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Hierarchy &amp; Monetization Model</w:t>
      </w:r>
    </w:p>
    <w:p>
      <w:pPr>
        <w:spacing w:after="60"/>
      </w:pPr>
      <w:r>
        <w:rPr>
          <w:i/>
          <w:iCs/>
          <w:color w:val="595959"/>
          <w:sz w:val="22"/>
          <w:szCs w:val="22"/>
        </w:rPr>
        <w:t xml:space="preserve">EarnedHome — how the mortgage stack maps to the product, what works today, and how we make money</w:t>
      </w:r>
    </w:p>
    <w:p>
      <w:pPr>
        <w:spacing w:after="220"/>
      </w:pPr>
      <w:r>
        <w:rPr>
          <w:b/>
          <w:bCs/>
          <w:sz w:val="20"/>
          <w:szCs w:val="20"/>
        </w:rPr>
        <w:t xml:space="preserve">Prepared for: </w:t>
      </w:r>
      <w:r>
        <w:rPr>
          <w:sz w:val="20"/>
          <w:szCs w:val="20"/>
        </w:rPr>
        <w:t xml:space="preserve">Richard McHargue, R Parry Financial</w:t>
      </w:r>
      <w:r>
        <w:rPr>
          <w:color w:val="595959"/>
          <w:sz w:val="20"/>
          <w:szCs w:val="20"/>
        </w:rPr>
        <w:t xml:space="preserve">     •     July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E75B6" w:sz="18"/>
              <w:bottom w:val="none"/>
              <w:right w:val="none"/>
            </w:tcBorders>
            <w:shd w:fill="EAF1F8" w:val="clear"/>
            <w:tcMar>
              <w:top w:type="dxa" w:w="130"/>
              <w:left w:type="dxa" w:w="200"/>
              <w:bottom w:type="dxa" w:w="130"/>
              <w:right w:type="dxa" w:w="160"/>
            </w:tcMar>
          </w:tcPr>
          <w:p>
            <w:r>
              <w:rPr>
                <w:b/>
                <w:bCs/>
                <w:color w:val="1F4E79"/>
              </w:rPr>
              <w:t xml:space="preserve">The big idea: </w:t>
            </w:r>
            <w:r>
              <w:t xml:space="preserve">The rate sheet lives with the </w:t>
            </w:r>
            <w:r>
              <w:rPr>
                <w:b/>
                <w:bCs/>
              </w:rPr>
              <w:t xml:space="preserve">broker</w:t>
            </w:r>
            <w:r>
              <w:t xml:space="preserve">. The book lives with the </w:t>
            </w:r>
            <w:r>
              <w:rPr>
                <w:b/>
                <w:bCs/>
              </w:rPr>
              <w:t xml:space="preserve">loan officer</w:t>
            </w:r>
            <w:r>
              <w:t xml:space="preserve">. Every broker is its own tenant today; “many LOs inside one broker” is Phase II; “a wholesaler over many brokers” is Phase III.</w:t>
            </w:r>
          </w:p>
        </w:tc>
      </w:tr>
    </w:tbl>
    <w:p>
      <w:pPr>
        <w:spacing w:after="160"/>
      </w:pPr>
    </w:p>
    <w:p>
      <w:pPr>
        <w:pStyle w:val="Heading1"/>
      </w:pPr>
      <w:r>
        <w:t xml:space="preserve">1.  The industry, in plain English</w:t>
      </w:r>
    </w:p>
    <w:p>
      <w:pPr>
        <w:spacing w:after="120" w:line="276"/>
      </w:pPr>
      <w:r>
        <w:t xml:space="preserve">Picture the mortgage business as a five-rung ladder. Money and rates flow down; leads and loans flow up.</w:t>
      </w:r>
    </w:p>
    <w:p>
      <w:pPr>
        <w:shd w:fill="F2F2F2" w:val="clear"/>
        <w:spacing w:after="0" w:line="240"/>
      </w:pPr>
      <w:r>
        <w:rPr>
          <w:rFonts w:ascii="Consolas" w:cs="Consolas" w:eastAsia="Consolas" w:hAnsi="Consolas"/>
          <w:sz w:val="18"/>
          <w:szCs w:val="18"/>
        </w:rPr>
        <w:t xml:space="preserve">  WHOLESALER        e.g., Rocket Mortgage (wholesale channel)</w:t>
      </w:r>
    </w:p>
    <w:p>
      <w:pPr>
        <w:shd w:fill="F2F2F2" w:val="clear"/>
        <w:spacing w:after="0" w:line="240"/>
      </w:pPr>
      <w:r>
        <w:rPr>
          <w:rFonts w:ascii="Consolas" w:cs="Consolas" w:eastAsia="Consolas" w:hAnsi="Consolas"/>
          <w:sz w:val="18"/>
          <w:szCs w:val="18"/>
        </w:rPr>
        <w:t xml:space="preserve">      |             Sets the raw rates. The "factory."</w:t>
      </w:r>
    </w:p>
    <w:p>
      <w:pPr>
        <w:shd w:fill="F2F2F2" w:val="clear"/>
        <w:spacing w:after="0" w:line="240"/>
      </w:pPr>
      <w:r>
        <w:rPr>
          <w:rFonts w:ascii="Consolas" w:cs="Consolas" w:eastAsia="Consolas" w:hAnsi="Consolas"/>
          <w:sz w:val="18"/>
          <w:szCs w:val="18"/>
        </w:rPr>
        <w:t xml:space="preserve">      v</w:t>
      </w:r>
    </w:p>
    <w:p>
      <w:pPr>
        <w:shd w:fill="F2F2F2" w:val="clear"/>
        <w:spacing w:after="0" w:line="240"/>
      </w:pPr>
      <w:r>
        <w:rPr>
          <w:rFonts w:ascii="Consolas" w:cs="Consolas" w:eastAsia="Consolas" w:hAnsi="Consolas"/>
          <w:sz w:val="18"/>
          <w:szCs w:val="18"/>
        </w:rPr>
        <w:t xml:space="preserve">  BROKER            e.g., R Parry Financial (company NMLS 1924318)</w:t>
      </w:r>
    </w:p>
    <w:p>
      <w:pPr>
        <w:shd w:fill="F2F2F2" w:val="clear"/>
        <w:spacing w:after="0" w:line="240"/>
      </w:pPr>
      <w:r>
        <w:rPr>
          <w:rFonts w:ascii="Consolas" w:cs="Consolas" w:eastAsia="Consolas" w:hAnsi="Consolas"/>
          <w:sz w:val="18"/>
          <w:szCs w:val="18"/>
        </w:rPr>
        <w:t xml:space="preserve">      |             Owns the wholesaler relationship, rate sheet, brand.</w:t>
      </w:r>
    </w:p>
    <w:p>
      <w:pPr>
        <w:shd w:fill="F2F2F2" w:val="clear"/>
        <w:spacing w:after="0" w:line="240"/>
      </w:pPr>
      <w:r>
        <w:rPr>
          <w:rFonts w:ascii="Consolas" w:cs="Consolas" w:eastAsia="Consolas" w:hAnsi="Consolas"/>
          <w:sz w:val="18"/>
          <w:szCs w:val="18"/>
        </w:rPr>
        <w:t xml:space="preserve">      v</w:t>
      </w:r>
    </w:p>
    <w:p>
      <w:pPr>
        <w:shd w:fill="F2F2F2" w:val="clear"/>
        <w:spacing w:after="0" w:line="240"/>
      </w:pPr>
      <w:r>
        <w:rPr>
          <w:rFonts w:ascii="Consolas" w:cs="Consolas" w:eastAsia="Consolas" w:hAnsi="Consolas"/>
          <w:sz w:val="18"/>
          <w:szCs w:val="18"/>
        </w:rPr>
        <w:t xml:space="preserve">  LOAN OFFICER      e.g., Richard (individual NMLS 927662)</w:t>
      </w:r>
    </w:p>
    <w:p>
      <w:pPr>
        <w:shd w:fill="F2F2F2" w:val="clear"/>
        <w:spacing w:after="0" w:line="240"/>
      </w:pPr>
      <w:r>
        <w:rPr>
          <w:rFonts w:ascii="Consolas" w:cs="Consolas" w:eastAsia="Consolas" w:hAnsi="Consolas"/>
          <w:sz w:val="18"/>
          <w:szCs w:val="18"/>
        </w:rPr>
        <w:t xml:space="preserve">      |             Owns the "book": leads, agents, pipeline, production.</w:t>
      </w:r>
    </w:p>
    <w:p>
      <w:pPr>
        <w:shd w:fill="F2F2F2" w:val="clear"/>
        <w:spacing w:after="0" w:line="240"/>
      </w:pPr>
      <w:r>
        <w:rPr>
          <w:rFonts w:ascii="Consolas" w:cs="Consolas" w:eastAsia="Consolas" w:hAnsi="Consolas"/>
          <w:sz w:val="18"/>
          <w:szCs w:val="18"/>
        </w:rPr>
        <w:t xml:space="preserve">      v</w:t>
      </w:r>
    </w:p>
    <w:p>
      <w:pPr>
        <w:shd w:fill="F2F2F2" w:val="clear"/>
        <w:spacing w:after="0" w:line="240"/>
      </w:pPr>
      <w:r>
        <w:rPr>
          <w:rFonts w:ascii="Consolas" w:cs="Consolas" w:eastAsia="Consolas" w:hAnsi="Consolas"/>
          <w:sz w:val="18"/>
          <w:szCs w:val="18"/>
        </w:rPr>
        <w:t xml:space="preserve">  REFERRAL PARTNER  e.g., a real-estate agent (Jane Realtor)</w:t>
      </w:r>
    </w:p>
    <w:p>
      <w:pPr>
        <w:shd w:fill="F2F2F2" w:val="clear"/>
        <w:spacing w:after="0" w:line="240"/>
      </w:pPr>
      <w:r>
        <w:rPr>
          <w:rFonts w:ascii="Consolas" w:cs="Consolas" w:eastAsia="Consolas" w:hAnsi="Consolas"/>
          <w:sz w:val="18"/>
          <w:szCs w:val="18"/>
        </w:rPr>
        <w:t xml:space="preserve">      |             Sends buyers in; gets attribution/credit.</w:t>
      </w:r>
    </w:p>
    <w:p>
      <w:pPr>
        <w:shd w:fill="F2F2F2" w:val="clear"/>
        <w:spacing w:after="0" w:line="240"/>
      </w:pPr>
      <w:r>
        <w:rPr>
          <w:rFonts w:ascii="Consolas" w:cs="Consolas" w:eastAsia="Consolas" w:hAnsi="Consolas"/>
          <w:sz w:val="18"/>
          <w:szCs w:val="18"/>
        </w:rPr>
        <w:t xml:space="preserve">      v</w:t>
      </w:r>
    </w:p>
    <w:p>
      <w:pPr>
        <w:shd w:fill="F2F2F2" w:val="clear"/>
        <w:spacing w:after="0" w:line="240"/>
      </w:pPr>
      <w:r>
        <w:rPr>
          <w:rFonts w:ascii="Consolas" w:cs="Consolas" w:eastAsia="Consolas" w:hAnsi="Consolas"/>
          <w:sz w:val="18"/>
          <w:szCs w:val="18"/>
        </w:rPr>
        <w:t xml:space="preserve">  BUYER             The homebuyer who runs an estimate and connects.</w:t>
      </w:r>
    </w:p>
    <w:p>
      <w:pPr>
        <w:spacing w:after="100"/>
      </w:pPr>
    </w:p>
    <w:p>
      <w:pPr>
        <w:pStyle w:val="Heading2"/>
      </w:pPr>
      <w:r>
        <w:t xml:space="preserve">The two rules that drive everything</w:t>
      </w:r>
    </w:p>
    <w:p>
      <w:pPr>
        <w:pStyle w:val="ListParagraph"/>
        <w:numPr>
          <w:ilvl w:val="0"/>
          <w:numId w:val="2"/>
        </w:numPr>
        <w:spacing w:after="80" w:line="276"/>
      </w:pPr>
      <w:r>
        <w:rPr>
          <w:b/>
          <w:bCs/>
        </w:rPr>
        <w:t xml:space="preserve">The rate sheet lives with the BROKER. </w:t>
      </w:r>
      <w:r>
        <w:t xml:space="preserve">The broker holds the wholesaler relationship and gets pricing from the wholesaler. Every loan officer under that broker prices off the same broker rate sheet. An LO cannot originate without a broker’s rate sheet behind them.</w:t>
      </w:r>
    </w:p>
    <w:p>
      <w:pPr>
        <w:pStyle w:val="ListParagraph"/>
        <w:numPr>
          <w:ilvl w:val="0"/>
          <w:numId w:val="2"/>
        </w:numPr>
        <w:spacing w:after="80" w:line="276"/>
      </w:pPr>
      <w:r>
        <w:rPr>
          <w:b/>
          <w:bCs/>
        </w:rPr>
        <w:t xml:space="preserve">The book lives with the LOAN OFFICER. </w:t>
      </w:r>
      <w:r>
        <w:t xml:space="preserve">The LO’s leads, referral agents, pipeline, and production history are theirs.</w:t>
      </w:r>
    </w:p>
    <w:p>
      <w:pPr>
        <w:spacing w:after="120" w:line="276"/>
      </w:pPr>
      <w:r>
        <w:rPr>
          <w:b/>
          <w:bCs/>
        </w:rPr>
        <w:t xml:space="preserve">A helpful analogy — a real-estate brokerage. </w:t>
      </w:r>
      <w:r>
        <w:t xml:space="preserve">The broker is like Ebby Halliday or Berkshire Hathaway HomeServices — the firm that holds the licenses and the brand. The loan officer is like an individual agent working under that firm. The firm sets the shingle everyone hangs under; each agent brings their own clients.</w:t>
      </w:r>
    </w:p>
    <w:p>
      <w:pPr>
        <w:pStyle w:val="Heading2"/>
      </w:pPr>
      <w:r>
        <w:t xml:space="preserve">Where R Parry sits (important)</w:t>
      </w:r>
    </w:p>
    <w:p>
      <w:pPr>
        <w:spacing w:after="120" w:line="276"/>
      </w:pPr>
      <w:r>
        <w:t xml:space="preserve">Richard is a very common special case: </w:t>
      </w:r>
      <w:r>
        <w:rPr>
          <w:b/>
          <w:bCs/>
        </w:rPr>
        <w:t xml:space="preserve">he is the broker and the loan officer at the same time.</w:t>
      </w:r>
      <w:r>
        <w:t xml:space="preserve"> He holds two licenses — the company license (R Parry Financial, NMLS 1924318 = the broker) and his individual license (NMLS 927662 = the LO). So R Parry is a “one-person shop” where the broker rung and the LO rung are the same person. </w:t>
      </w:r>
      <w:r>
        <w:rPr>
          <w:b/>
          <w:bCs/>
        </w:rPr>
        <w:t xml:space="preserve">That is exactly the simplest case — and exactly what EarnedHome is built for today.</w:t>
      </w:r>
    </w:p>
    <w:p>
      <w:pPr>
        <w:pStyle w:val="Heading1"/>
      </w:pPr>
      <w:r>
        <w:t xml:space="preserve">2.  Who can see what — the visibility roll-up</w:t>
      </w:r>
    </w:p>
    <w:p>
      <w:pPr>
        <w:spacing w:after="120" w:line="276"/>
      </w:pPr>
      <w:r>
        <w:t xml:space="preserve">Each rung sees everything below it, nothing sideways, nothing above.</w:t>
      </w:r>
    </w:p>
    <w:p>
      <w:pPr>
        <w:shd w:fill="F2F2F2" w:val="clear"/>
        <w:spacing w:after="0" w:line="240"/>
      </w:pPr>
      <w:r>
        <w:rPr>
          <w:rFonts w:ascii="Consolas" w:cs="Consolas" w:eastAsia="Consolas" w:hAnsi="Consolas"/>
          <w:sz w:val="18"/>
          <w:szCs w:val="18"/>
        </w:rPr>
        <w:t xml:space="preserve">WHOLESALER (Rocket)  -- sees ALL brokers on EarnedHome+Rocket   [Phase III]</w:t>
      </w:r>
    </w:p>
    <w:p>
      <w:pPr>
        <w:shd w:fill="F2F2F2" w:val="clear"/>
        <w:spacing w:after="0" w:line="240"/>
      </w:pPr>
      <w:r>
        <w:rPr>
          <w:rFonts w:ascii="Consolas" w:cs="Consolas" w:eastAsia="Consolas" w:hAnsi="Consolas"/>
          <w:sz w:val="18"/>
          <w:szCs w:val="18"/>
        </w:rPr>
        <w:t xml:space="preserve">  BROKER (R Parry)   -- sees ALL of its loan officers            [Phase II]</w:t>
      </w:r>
    </w:p>
    <w:p>
      <w:pPr>
        <w:shd w:fill="F2F2F2" w:val="clear"/>
        <w:spacing w:after="0" w:line="240"/>
      </w:pPr>
      <w:r>
        <w:rPr>
          <w:rFonts w:ascii="Consolas" w:cs="Consolas" w:eastAsia="Consolas" w:hAnsi="Consolas"/>
          <w:sz w:val="18"/>
          <w:szCs w:val="18"/>
        </w:rPr>
        <w:t xml:space="preserve">    LO (Richard)     -- sees ONLY their own leads/agents         [Phase II]</w:t>
      </w:r>
    </w:p>
    <w:p>
      <w:pPr>
        <w:shd w:fill="F2F2F2" w:val="clear"/>
        <w:spacing w:after="0" w:line="240"/>
      </w:pPr>
      <w:r>
        <w:rPr>
          <w:rFonts w:ascii="Consolas" w:cs="Consolas" w:eastAsia="Consolas" w:hAnsi="Consolas"/>
          <w:sz w:val="18"/>
          <w:szCs w:val="18"/>
        </w:rPr>
        <w:t xml:space="preserve">      AGENT          -- sees only what they're attributed to</w:t>
      </w:r>
    </w:p>
    <w:p>
      <w:pPr>
        <w:spacing w:after="100"/>
      </w:pPr>
    </w:p>
    <w:p>
      <w:pPr>
        <w:spacing w:after="120" w:line="276"/>
      </w:pPr>
      <w:r>
        <w:t xml:space="preserve">So if R Parry ever runs five loan officers: each LO logs in with their </w:t>
      </w:r>
      <w:r>
        <w:rPr>
          <w:i/>
          <w:iCs/>
        </w:rPr>
        <w:t xml:space="preserve">own</w:t>
      </w:r>
      <w:r>
        <w:t xml:space="preserve"> account and sees only their own leads, agents, and pipeline; </w:t>
      </w:r>
      <w:r>
        <w:rPr>
          <w:b/>
          <w:bCs/>
        </w:rPr>
        <w:t xml:space="preserve">R Parry (the broker admin) sees all five</w:t>
      </w:r>
      <w:r>
        <w:t xml:space="preserve"> rolled up. If Rocket ever bought in at the top, Rocket would see all the brokers under it — most likely as rolled-up production/volume, not every buyer’s personal information. How much detail each rung sees is a setting we define per level.</w:t>
      </w:r>
    </w:p>
    <w:p>
      <w:pPr>
        <w:spacing w:after="120" w:line="276"/>
      </w:pPr>
      <w:r>
        <w:rPr>
          <w:b/>
          <w:bCs/>
        </w:rPr>
        <w:t xml:space="preserve">Nuance worth saying out loud: </w:t>
      </w:r>
      <w:r>
        <w:t xml:space="preserve">today the tenant admin (R Parry) already sees everything in the tenant. Splitting that so each LO sees only their own slice is the Phase II work. It’s an addition, not a rebuild.</w:t>
      </w:r>
    </w:p>
    <w:p>
      <w:pPr>
        <w:pStyle w:val="Heading1"/>
      </w:pPr>
      <w:r>
        <w:t xml:space="preserve">3.  What works TODAY — Phase 1A (live now)</w:t>
      </w:r>
    </w:p>
    <w:p>
      <w:pPr>
        <w:spacing w:after="120" w:line="276"/>
      </w:pPr>
      <w:r>
        <w:t xml:space="preserve">Everything R Parry needs to run the pilot is built and working:</w:t>
      </w:r>
    </w:p>
    <w:p>
      <w:pPr>
        <w:pStyle w:val="ListParagraph"/>
        <w:numPr>
          <w:ilvl w:val="0"/>
          <w:numId w:val="2"/>
        </w:numPr>
        <w:spacing w:after="80" w:line="276"/>
      </w:pPr>
      <w:r>
        <w:rPr>
          <w:b/>
          <w:bCs/>
        </w:rPr>
        <w:t xml:space="preserve">One broker = one tenant. </w:t>
      </w:r>
      <w:r>
        <w:t xml:space="preserve">A private, branded instance — own rate sheet, own branding (header shows company NMLS 1924318), own dashboard login, own buyer data, walled off from every other tenant.</w:t>
      </w:r>
    </w:p>
    <w:p>
      <w:pPr>
        <w:pStyle w:val="ListParagraph"/>
        <w:numPr>
          <w:ilvl w:val="0"/>
          <w:numId w:val="2"/>
        </w:numPr>
        <w:spacing w:after="80" w:line="276"/>
      </w:pPr>
      <w:r>
        <w:rPr>
          <w:b/>
          <w:bCs/>
        </w:rPr>
        <w:t xml:space="preserve">The buyer tool + LO dashboard. </w:t>
      </w:r>
      <w:r>
        <w:t xml:space="preserve">Buyers run real, lender-backed estimates (Conventional / FHA / VA, incl. Jumbo) with full payment and cash-to-close breakdowns, then connect. The LO works the pipeline (new → working → closed/funded) with metrics.</w:t>
      </w:r>
    </w:p>
    <w:p>
      <w:pPr>
        <w:pStyle w:val="ListParagraph"/>
        <w:numPr>
          <w:ilvl w:val="0"/>
          <w:numId w:val="2"/>
        </w:numPr>
        <w:spacing w:after="80" w:line="276"/>
      </w:pPr>
      <w:r>
        <w:rPr>
          <w:b/>
          <w:bCs/>
        </w:rPr>
        <w:t xml:space="preserve">Referral-agent attribution. </w:t>
      </w:r>
      <w:r>
        <w:t xml:space="preserve">Each agent gets their own link (/a/&lt;slug&gt;); every buyer through it is credited to that agent. On/off toggle, email invites, inline edit — all live.</w:t>
      </w:r>
    </w:p>
    <w:p>
      <w:pPr>
        <w:pStyle w:val="ListParagraph"/>
        <w:numPr>
          <w:ilvl w:val="0"/>
          <w:numId w:val="2"/>
        </w:numPr>
        <w:spacing w:after="80" w:line="276"/>
      </w:pPr>
      <w:r>
        <w:rPr>
          <w:b/>
          <w:bCs/>
        </w:rPr>
        <w:t xml:space="preserve">Multiple brokers, side by side. </w:t>
      </w:r>
      <w:r>
        <w:t xml:space="preserve">You can onboard more brokers right now — each becomes its own separate, isolated tenant.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C00000" w:sz="18"/>
              <w:bottom w:val="none"/>
              <w:right w:val="none"/>
            </w:tcBorders>
            <w:shd w:fill="FBE9E7" w:val="clear"/>
            <w:tcMar>
              <w:top w:type="dxa" w:w="130"/>
              <w:left w:type="dxa" w:w="200"/>
              <w:bottom w:type="dxa" w:w="130"/>
              <w:right w:type="dxa" w:w="160"/>
            </w:tcMar>
          </w:tcPr>
          <w:p>
            <w:r>
              <w:rPr>
                <w:b/>
                <w:bCs/>
                <w:color w:val="C00000"/>
              </w:rPr>
              <w:t xml:space="preserve">The key limitation, plainly: </w:t>
            </w:r>
            <w:r>
              <w:t xml:space="preserve">Today you cannot put multiple loan officers </w:t>
            </w:r>
            <w:r>
              <w:rPr>
                <w:i/>
                <w:iCs/>
              </w:rPr>
              <w:t xml:space="preserve">inside one broker</w:t>
            </w:r>
            <w:r>
              <w:t xml:space="preserve">. One tenant = one book. Because R Parry is a broker-and-LO-in-one, that’s a perfect fit for the pilot. It only becomes a limitation when a broker has several independent LOs under one roof — and that’s Phase II.</w:t>
            </w:r>
          </w:p>
        </w:tc>
      </w:tr>
    </w:tbl>
    <w:p>
      <w:pPr>
        <w:spacing w:after="120"/>
      </w:pPr>
    </w:p>
    <w:p>
      <w:pPr>
        <w:pStyle w:val="Heading1"/>
      </w:pPr>
      <w:r>
        <w:t xml:space="preserve">4.  The “parallel run” — a second broker now</w:t>
      </w:r>
    </w:p>
    <w:p>
      <w:pPr>
        <w:spacing w:after="120" w:line="276"/>
      </w:pPr>
      <w:r>
        <w:rPr>
          <w:b/>
          <w:bCs/>
        </w:rPr>
        <w:t xml:space="preserve">If another broker wants to come aboard alongside R Parry, do we set up a separate tenant? </w:t>
      </w:r>
      <w:r>
        <w:rPr>
          <w:b/>
          <w:bCs/>
          <w:color w:val="2E7D32"/>
        </w:rPr>
        <w:t xml:space="preserve">Yes.</w:t>
      </w:r>
    </w:p>
    <w:p>
      <w:pPr>
        <w:spacing w:after="120" w:line="276"/>
      </w:pPr>
      <w:r>
        <w:t xml:space="preserve">Each broker is its own tenant: own rate sheet, branding, agents, buyers, and login, completely isolated from R Parry by the database’s security rules. R Parry and “Broker B” run in parallel and never see each other’s data.</w:t>
      </w:r>
    </w:p>
    <w:p>
      <w:pPr>
        <w:spacing w:after="120" w:line="276"/>
      </w:pPr>
      <w:r>
        <w:rPr>
          <w:b/>
          <w:bCs/>
        </w:rPr>
        <w:t xml:space="preserve">This works today — with one condition: </w:t>
      </w:r>
      <w:r>
        <w:t xml:space="preserve">it’s straightforward as long as Broker B is a single-LO shop (a broker-and-LO-in-one, like R Parry). Clone the tenant and you’re live. The moment Broker B wants several LOs under one account, that broker needs the Phase II capability — but adding the parallel tenant itself is a today thing.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2380"/>
        <w:gridCol w:w="2380"/>
      </w:tblGrid>
      <w:tr>
        <w:trPr>
          <w:tblHeader/>
        </w:trPr>
        <w:tc>
          <w:tcPr>
            <w:tcW w:type="dxa" w:w="46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sz w:val="20"/>
                <w:szCs w:val="20"/>
              </w:rPr>
              <w:t xml:space="preserve">Capability</w:t>
            </w:r>
          </w:p>
        </w:tc>
        <w:tc>
          <w:tcPr>
            <w:tcW w:type="dxa" w:w="238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sz w:val="20"/>
                <w:szCs w:val="20"/>
              </w:rPr>
              <w:t xml:space="preserve">Status</w:t>
            </w:r>
          </w:p>
        </w:tc>
        <w:tc>
          <w:tcPr>
            <w:tcW w:type="dxa" w:w="238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sz w:val="20"/>
                <w:szCs w:val="20"/>
              </w:rPr>
              <w:t xml:space="preserve">Phase</w:t>
            </w:r>
          </w:p>
        </w:tc>
      </w:tr>
      <w:tr>
        <w:trPr>
          <w:tblHeader w:val="false"/>
        </w:trPr>
        <w:tc>
          <w:tcPr>
            <w:tcW w:type="dxa" w:w="4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0"/>
                <w:szCs w:val="20"/>
              </w:rPr>
              <w:t xml:space="preserve">Parallel brokers (Broker B alongside R Parry) = separate tenants</w:t>
            </w:r>
          </w:p>
        </w:tc>
        <w:tc>
          <w:tcPr>
            <w:tcW w:type="dxa" w:w="2380"/>
            <w:tcBorders>
              <w:top w:val="single" w:color="BFBFBF" w:sz="1"/>
              <w:left w:val="single" w:color="BFBFBF" w:sz="1"/>
              <w:bottom w:val="single" w:color="BFBFBF" w:sz="1"/>
              <w:right w:val="single" w:color="BFBFBF" w:sz="1"/>
            </w:tcBorders>
            <w:shd w:fill="E8F5E9" w:val="clear"/>
            <w:tcMar>
              <w:top w:type="dxa" w:w="80"/>
              <w:left w:type="dxa" w:w="120"/>
              <w:bottom w:type="dxa" w:w="80"/>
              <w:right w:type="dxa" w:w="120"/>
            </w:tcMar>
            <w:vAlign w:val="center"/>
          </w:tcPr>
          <w:p>
            <w:r>
              <w:rPr>
                <w:b w:val="false"/>
                <w:bCs w:val="false"/>
                <w:sz w:val="20"/>
                <w:szCs w:val="20"/>
              </w:rPr>
              <w:t xml:space="preserve">Works today</w:t>
            </w:r>
          </w:p>
        </w:tc>
        <w:tc>
          <w:tcPr>
            <w:tcW w:type="dxa" w:w="2380"/>
            <w:tcBorders>
              <w:top w:val="single" w:color="BFBFBF" w:sz="1"/>
              <w:left w:val="single" w:color="BFBFBF" w:sz="1"/>
              <w:bottom w:val="single" w:color="BFBFBF" w:sz="1"/>
              <w:right w:val="single" w:color="BFBFBF" w:sz="1"/>
            </w:tcBorders>
            <w:shd w:fill="E8F5E9" w:val="clear"/>
            <w:tcMar>
              <w:top w:type="dxa" w:w="80"/>
              <w:left w:type="dxa" w:w="120"/>
              <w:bottom w:type="dxa" w:w="80"/>
              <w:right w:type="dxa" w:w="120"/>
            </w:tcMar>
            <w:vAlign w:val="center"/>
          </w:tcPr>
          <w:p>
            <w:r>
              <w:rPr>
                <w:b w:val="false"/>
                <w:bCs w:val="false"/>
                <w:sz w:val="20"/>
                <w:szCs w:val="20"/>
              </w:rPr>
              <w:t xml:space="preserve">1A</w:t>
            </w:r>
          </w:p>
        </w:tc>
      </w:tr>
      <w:tr>
        <w:trPr>
          <w:tblHeader w:val="false"/>
        </w:trPr>
        <w:tc>
          <w:tcPr>
            <w:tcW w:type="dxa" w:w="4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0"/>
                <w:szCs w:val="20"/>
              </w:rPr>
              <w:t xml:space="preserve">Multiple LOs under one broker (each sees only their own)</w:t>
            </w:r>
          </w:p>
        </w:tc>
        <w:tc>
          <w:tcPr>
            <w:tcW w:type="dxa" w:w="2380"/>
            <w:tcBorders>
              <w:top w:val="single" w:color="BFBFBF" w:sz="1"/>
              <w:left w:val="single" w:color="BFBFBF" w:sz="1"/>
              <w:bottom w:val="single" w:color="BFBFBF" w:sz="1"/>
              <w:right w:val="single" w:color="BFBFBF" w:sz="1"/>
            </w:tcBorders>
            <w:shd w:fill="FFF3E0" w:val="clear"/>
            <w:tcMar>
              <w:top w:type="dxa" w:w="80"/>
              <w:left w:type="dxa" w:w="120"/>
              <w:bottom w:type="dxa" w:w="80"/>
              <w:right w:type="dxa" w:w="120"/>
            </w:tcMar>
            <w:vAlign w:val="center"/>
          </w:tcPr>
          <w:p>
            <w:r>
              <w:rPr>
                <w:b w:val="false"/>
                <w:bCs w:val="false"/>
                <w:sz w:val="20"/>
                <w:szCs w:val="20"/>
              </w:rPr>
              <w:t xml:space="preserve">Not yet</w:t>
            </w:r>
          </w:p>
        </w:tc>
        <w:tc>
          <w:tcPr>
            <w:tcW w:type="dxa" w:w="2380"/>
            <w:tcBorders>
              <w:top w:val="single" w:color="BFBFBF" w:sz="1"/>
              <w:left w:val="single" w:color="BFBFBF" w:sz="1"/>
              <w:bottom w:val="single" w:color="BFBFBF" w:sz="1"/>
              <w:right w:val="single" w:color="BFBFBF" w:sz="1"/>
            </w:tcBorders>
            <w:shd w:fill="FFF3E0" w:val="clear"/>
            <w:tcMar>
              <w:top w:type="dxa" w:w="80"/>
              <w:left w:type="dxa" w:w="120"/>
              <w:bottom w:type="dxa" w:w="80"/>
              <w:right w:type="dxa" w:w="120"/>
            </w:tcMar>
            <w:vAlign w:val="center"/>
          </w:tcPr>
          <w:p>
            <w:r>
              <w:rPr>
                <w:b w:val="false"/>
                <w:bCs w:val="false"/>
                <w:sz w:val="20"/>
                <w:szCs w:val="20"/>
              </w:rPr>
              <w:t xml:space="preserve">Phase II</w:t>
            </w:r>
          </w:p>
        </w:tc>
      </w:tr>
      <w:tr>
        <w:trPr>
          <w:tblHeader w:val="false"/>
        </w:trPr>
        <w:tc>
          <w:tcPr>
            <w:tcW w:type="dxa" w:w="4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0"/>
                <w:szCs w:val="20"/>
              </w:rPr>
              <w:t xml:space="preserve">Wholesaler over many brokers (Rocket at the top)</w:t>
            </w:r>
          </w:p>
        </w:tc>
        <w:tc>
          <w:tcPr>
            <w:tcW w:type="dxa" w:w="2380"/>
            <w:tcBorders>
              <w:top w:val="single" w:color="BFBFBF" w:sz="1"/>
              <w:left w:val="single" w:color="BFBFBF" w:sz="1"/>
              <w:bottom w:val="single" w:color="BFBFBF" w:sz="1"/>
              <w:right w:val="single" w:color="BFBFBF" w:sz="1"/>
            </w:tcBorders>
            <w:shd w:fill="FFF3E0" w:val="clear"/>
            <w:tcMar>
              <w:top w:type="dxa" w:w="80"/>
              <w:left w:type="dxa" w:w="120"/>
              <w:bottom w:type="dxa" w:w="80"/>
              <w:right w:type="dxa" w:w="120"/>
            </w:tcMar>
            <w:vAlign w:val="center"/>
          </w:tcPr>
          <w:p>
            <w:r>
              <w:rPr>
                <w:b w:val="false"/>
                <w:bCs w:val="false"/>
                <w:sz w:val="20"/>
                <w:szCs w:val="20"/>
              </w:rPr>
              <w:t xml:space="preserve">Not yet</w:t>
            </w:r>
          </w:p>
        </w:tc>
        <w:tc>
          <w:tcPr>
            <w:tcW w:type="dxa" w:w="2380"/>
            <w:tcBorders>
              <w:top w:val="single" w:color="BFBFBF" w:sz="1"/>
              <w:left w:val="single" w:color="BFBFBF" w:sz="1"/>
              <w:bottom w:val="single" w:color="BFBFBF" w:sz="1"/>
              <w:right w:val="single" w:color="BFBFBF" w:sz="1"/>
            </w:tcBorders>
            <w:shd w:fill="FFF3E0" w:val="clear"/>
            <w:tcMar>
              <w:top w:type="dxa" w:w="80"/>
              <w:left w:type="dxa" w:w="120"/>
              <w:bottom w:type="dxa" w:w="80"/>
              <w:right w:type="dxa" w:w="120"/>
            </w:tcMar>
            <w:vAlign w:val="center"/>
          </w:tcPr>
          <w:p>
            <w:r>
              <w:rPr>
                <w:b w:val="false"/>
                <w:bCs w:val="false"/>
                <w:sz w:val="20"/>
                <w:szCs w:val="20"/>
              </w:rPr>
              <w:t xml:space="preserve">Phase III</w:t>
            </w:r>
          </w:p>
        </w:tc>
      </w:tr>
    </w:tbl>
    <w:p>
      <w:pPr>
        <w:spacing w:after="120" w:before="120"/>
      </w:pPr>
      <w:r>
        <w:t xml:space="preserve">So you can grow the customer count now (many single-LO brokers, each a tenant) without building anything new. What you can’t yet do is serve one broker that houses several LOs.</w:t>
      </w:r>
    </w:p>
    <w:p>
      <w:r>
        <w:br w:type="page"/>
      </w:r>
    </w:p>
    <w:p>
      <w:pPr>
        <w:pStyle w:val="Heading1"/>
      </w:pPr>
      <w:r>
        <w:t xml:space="preserve">5.  Phase II — many LOs under one broker</w:t>
      </w:r>
    </w:p>
    <w:p>
      <w:pPr>
        <w:spacing w:after="120" w:line="276"/>
      </w:pPr>
      <w:r>
        <w:rPr>
          <w:b/>
          <w:bCs/>
        </w:rPr>
        <w:t xml:space="preserve">The trigger: </w:t>
      </w:r>
      <w:r>
        <w:t xml:space="preserve">you sign a broker (or R Parry grows) with 2+ loan officers who each need their own login and their own slice.</w:t>
      </w:r>
    </w:p>
    <w:p>
      <w:pPr>
        <w:spacing w:after="120" w:line="276"/>
      </w:pPr>
      <w:r>
        <w:rPr>
          <w:b/>
          <w:bCs/>
        </w:rPr>
        <w:t xml:space="preserve">What gets built </w:t>
      </w:r>
      <w:r>
        <w:rPr>
          <w:i/>
          <w:iCs/>
        </w:rPr>
        <w:t xml:space="preserve">(all additive — no rewrite):</w:t>
      </w:r>
    </w:p>
    <w:p>
      <w:pPr>
        <w:pStyle w:val="ListParagraph"/>
        <w:numPr>
          <w:ilvl w:val="0"/>
          <w:numId w:val="2"/>
        </w:numPr>
        <w:spacing w:after="80" w:line="276"/>
      </w:pPr>
      <w:r>
        <w:t xml:space="preserve">A broker → LO hierarchy so one broker rate sheet is </w:t>
      </w:r>
      <w:r>
        <w:rPr>
          <w:b/>
          <w:bCs/>
        </w:rPr>
        <w:t xml:space="preserve">shared</w:t>
      </w:r>
      <w:r>
        <w:t xml:space="preserve"> by all its LOs.</w:t>
      </w:r>
    </w:p>
    <w:p>
      <w:pPr>
        <w:pStyle w:val="ListParagraph"/>
        <w:numPr>
          <w:ilvl w:val="0"/>
          <w:numId w:val="2"/>
        </w:numPr>
        <w:spacing w:after="80" w:line="276"/>
      </w:pPr>
      <w:r>
        <w:rPr>
          <w:b/>
          <w:bCs/>
        </w:rPr>
        <w:t xml:space="preserve">Per-LO scoping: </w:t>
      </w:r>
      <w:r>
        <w:t xml:space="preserve">each lead/agent is tagged to a specific LO; each LO sees only their own; the broker admin sees all of them rolled up.</w:t>
      </w:r>
    </w:p>
    <w:p>
      <w:pPr>
        <w:pStyle w:val="ListParagraph"/>
        <w:numPr>
          <w:ilvl w:val="0"/>
          <w:numId w:val="2"/>
        </w:numPr>
        <w:spacing w:after="80" w:line="276"/>
      </w:pPr>
      <w:r>
        <w:rPr>
          <w:b/>
          <w:bCs/>
        </w:rPr>
        <w:t xml:space="preserve">LO portability / re-parenting: </w:t>
      </w:r>
      <w:r>
        <w:t xml:space="preserve">if an LO moves to a different broker, we move their book with the rules below.</w:t>
      </w:r>
    </w:p>
    <w:p>
      <w:pPr>
        <w:pStyle w:val="Heading2"/>
      </w:pPr>
      <w:r>
        <w:t xml:space="preserve">What travels vs. what stays when an LO leaves</w:t>
      </w:r>
    </w:p>
    <w:p>
      <w:pPr>
        <w:pStyle w:val="ListParagraph"/>
        <w:numPr>
          <w:ilvl w:val="0"/>
          <w:numId w:val="2"/>
        </w:numPr>
        <w:spacing w:after="80" w:line="276"/>
      </w:pPr>
      <w:r>
        <w:rPr>
          <w:b/>
          <w:bCs/>
        </w:rPr>
        <w:t xml:space="preserve">Travels with the LO: </w:t>
      </w:r>
      <w:r>
        <w:t xml:space="preserve">their relationships / sphere — referral agents and contacts. (Like an agent taking client relationships to a new brokerage.)</w:t>
      </w:r>
    </w:p>
    <w:p>
      <w:pPr>
        <w:pStyle w:val="ListParagraph"/>
        <w:numPr>
          <w:ilvl w:val="0"/>
          <w:numId w:val="2"/>
        </w:numPr>
        <w:spacing w:after="80" w:line="276"/>
      </w:pPr>
      <w:r>
        <w:rPr>
          <w:b/>
          <w:bCs/>
        </w:rPr>
        <w:t xml:space="preserve">Stays with the broker/shop: </w:t>
      </w:r>
      <w:r>
        <w:t xml:space="preserve">the active, in-flight pipeline (loans already in process) and the broker’s rate sheet (it was never the LO’s). You don’t yank a borrower who’s mid-loan.</w:t>
      </w:r>
    </w:p>
    <w:p>
      <w:pPr>
        <w:pStyle w:val="ListParagraph"/>
        <w:numPr>
          <w:ilvl w:val="0"/>
          <w:numId w:val="2"/>
        </w:numPr>
        <w:spacing w:after="80" w:line="276"/>
      </w:pPr>
      <w:r>
        <w:rPr>
          <w:b/>
          <w:bCs/>
        </w:rPr>
        <w:t xml:space="preserve">Belongs to the LO as a record: </w:t>
      </w:r>
      <w:r>
        <w:t xml:space="preserve">their production history / track record follows them as proof of performance.</w:t>
      </w:r>
    </w:p>
    <w:p>
      <w:pPr>
        <w:spacing w:after="120" w:line="276"/>
      </w:pPr>
      <w:r>
        <w:t xml:space="preserve">This mirrors the real-estate-agent parallel exactly: an LO wouldn’t abandon an active, in-place borrower — so active pipeline stays put; relationships and track record travel.</w:t>
      </w:r>
    </w:p>
    <w:p>
      <w:pPr>
        <w:pStyle w:val="Heading1"/>
      </w:pPr>
      <w:r>
        <w:t xml:space="preserve">6.  Phase III — the wholesaler tier (selling at the top)</w:t>
      </w:r>
    </w:p>
    <w:p>
      <w:pPr>
        <w:spacing w:after="120" w:line="276"/>
      </w:pPr>
      <w:r>
        <w:rPr>
          <w:b/>
          <w:bCs/>
        </w:rPr>
        <w:t xml:space="preserve">The trigger: </w:t>
      </w:r>
      <w:r>
        <w:t xml:space="preserve">a wholesaler (e.g., Rocket) wants EarnedHome pushed down across their broker/LO network — a top-down, enterprise play.</w:t>
      </w:r>
    </w:p>
    <w:p>
      <w:pPr>
        <w:pStyle w:val="ListParagraph"/>
        <w:numPr>
          <w:ilvl w:val="0"/>
          <w:numId w:val="2"/>
        </w:numPr>
        <w:spacing w:after="80" w:line="276"/>
      </w:pPr>
      <w:r>
        <w:t xml:space="preserve">A wholesaler rung above brokers — Rocket as a parent over many broker tenants.</w:t>
      </w:r>
    </w:p>
    <w:p>
      <w:pPr>
        <w:pStyle w:val="ListParagraph"/>
        <w:numPr>
          <w:ilvl w:val="0"/>
          <w:numId w:val="2"/>
        </w:numPr>
        <w:spacing w:after="80" w:line="276"/>
      </w:pPr>
      <w:r>
        <w:t xml:space="preserve">Roll-up reporting for the wholesaler (aggregate production across their brokers, with privacy-appropriate detail).</w:t>
      </w:r>
    </w:p>
    <w:p>
      <w:pPr>
        <w:pStyle w:val="ListParagraph"/>
        <w:numPr>
          <w:ilvl w:val="0"/>
          <w:numId w:val="2"/>
        </w:numPr>
        <w:spacing w:after="80" w:line="276"/>
      </w:pPr>
      <w:r>
        <w:t xml:space="preserve">Multi-level billing / seat management so seats can be bought and distributed from the top.</w:t>
      </w:r>
    </w:p>
    <w:p>
      <w:pPr>
        <w:pStyle w:val="ListParagraph"/>
        <w:numPr>
          <w:ilvl w:val="0"/>
          <w:numId w:val="2"/>
        </w:numPr>
        <w:spacing w:after="80" w:line="276"/>
      </w:pPr>
      <w:r>
        <w:t xml:space="preserve">Optional AI surfaces (LO Copilot, predictive lead scoring) as premium tiers across the network.</w:t>
      </w:r>
    </w:p>
    <w:p>
      <w:pPr>
        <w:spacing w:after="120" w:line="276"/>
      </w:pPr>
      <w:r>
        <w:t xml:space="preserve">None of this blocks today’s design — it sits on top of the multi-tenant foundation already in place.</w:t>
      </w:r>
    </w:p>
    <w:p>
      <w:pPr>
        <w:pStyle w:val="Heading1"/>
      </w:pPr>
      <w:r>
        <w:t xml:space="preserve">7.  Monetization — how EarnedHome makes money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B8860B" w:sz="18"/>
              <w:bottom w:val="none"/>
              <w:right w:val="none"/>
            </w:tcBorders>
            <w:shd w:fill="FFF8E1" w:val="clear"/>
            <w:tcMar>
              <w:top w:type="dxa" w:w="130"/>
              <w:left w:type="dxa" w:w="200"/>
              <w:bottom w:type="dxa" w:w="130"/>
              <w:right w:type="dxa" w:w="160"/>
            </w:tcMar>
          </w:tcPr>
          <w:p>
            <w:r>
              <w:rPr>
                <w:b/>
                <w:bCs/>
                <w:color w:val="9A6A00"/>
              </w:rPr>
              <w:t xml:space="preserve">Compliance first (read this): </w:t>
            </w:r>
            <w:r>
              <w:t xml:space="preserve">Mortgage has a hard rule — RESPA Section 8 — you cannot tie payments to the referral of loan business. EarnedHome must always be priced as software licensed at fair market value, never as a per-loan or per-referral kickback. Everything below is built as SaaS licensing. This is general framing, not legal advice; have counsel bless the final model.</w:t>
            </w:r>
          </w:p>
        </w:tc>
      </w:tr>
    </w:tbl>
    <w:p>
      <w:pPr>
        <w:spacing w:after="120"/>
      </w:pPr>
    </w:p>
    <w:p>
      <w:pPr>
        <w:pStyle w:val="Heading2"/>
      </w:pPr>
      <w:r>
        <w:t xml:space="preserve">A.  Bottom-up: sell to the LO / Broker (start here)</w:t>
      </w:r>
    </w:p>
    <w:p>
      <w:pPr>
        <w:pStyle w:val="ListParagraph"/>
        <w:numPr>
          <w:ilvl w:val="0"/>
          <w:numId w:val="2"/>
        </w:numPr>
        <w:spacing w:after="80" w:line="276"/>
      </w:pPr>
      <w:r>
        <w:rPr>
          <w:b/>
          <w:bCs/>
        </w:rPr>
        <w:t xml:space="preserve">Per-seat SaaS subscription — </w:t>
      </w:r>
      <w:r>
        <w:t xml:space="preserve">a flat monthly (or annual) fee per loan-officer seat. Predictable, RESPA-clean, easy to explain. The core.</w:t>
      </w:r>
    </w:p>
    <w:p>
      <w:pPr>
        <w:pStyle w:val="ListParagraph"/>
        <w:numPr>
          <w:ilvl w:val="0"/>
          <w:numId w:val="2"/>
        </w:numPr>
        <w:spacing w:after="80" w:line="276"/>
      </w:pPr>
      <w:r>
        <w:rPr>
          <w:b/>
          <w:bCs/>
        </w:rPr>
        <w:t xml:space="preserve">Tiered plans that grow with value:</w:t>
      </w:r>
    </w:p>
    <w:p>
      <w:pPr>
        <w:pStyle w:val="ListParagraph"/>
        <w:numPr>
          <w:ilvl w:val="1"/>
          <w:numId w:val="2"/>
        </w:numPr>
        <w:spacing w:after="60" w:line="276"/>
      </w:pPr>
      <w:r>
        <w:rPr>
          <w:b/>
          <w:bCs/>
        </w:rPr>
        <w:t xml:space="preserve">Base </w:t>
      </w:r>
      <w:r>
        <w:t xml:space="preserve">— buyer tool + LO dashboard + referral-agent attribution.</w:t>
      </w:r>
    </w:p>
    <w:p>
      <w:pPr>
        <w:pStyle w:val="ListParagraph"/>
        <w:numPr>
          <w:ilvl w:val="1"/>
          <w:numId w:val="2"/>
        </w:numPr>
        <w:spacing w:after="60" w:line="276"/>
      </w:pPr>
      <w:r>
        <w:rPr>
          <w:b/>
          <w:bCs/>
        </w:rPr>
        <w:t xml:space="preserve">Pro </w:t>
      </w:r>
      <w:r>
        <w:t xml:space="preserve">— adds AI LO Copilot (drafts follow-ups, lead summaries, daily digest) + predictive lead scoring. Higher per-seat price; makes the tool sticky.</w:t>
      </w:r>
    </w:p>
    <w:p>
      <w:pPr>
        <w:pStyle w:val="ListParagraph"/>
        <w:numPr>
          <w:ilvl w:val="1"/>
          <w:numId w:val="2"/>
        </w:numPr>
        <w:spacing w:after="60" w:line="276"/>
      </w:pPr>
      <w:r>
        <w:rPr>
          <w:b/>
          <w:bCs/>
        </w:rPr>
        <w:t xml:space="preserve">Team/Broker </w:t>
      </w:r>
      <w:r>
        <w:t xml:space="preserve">— the Phase II multi-LO view + roll-up reporting; priced per active LO with a broker platform fee.</w:t>
      </w:r>
    </w:p>
    <w:p>
      <w:pPr>
        <w:pStyle w:val="ListParagraph"/>
        <w:numPr>
          <w:ilvl w:val="0"/>
          <w:numId w:val="2"/>
        </w:numPr>
        <w:spacing w:after="80" w:line="276"/>
      </w:pPr>
      <w:r>
        <w:rPr>
          <w:b/>
          <w:bCs/>
        </w:rPr>
        <w:t xml:space="preserve">Add-ons: </w:t>
      </w:r>
      <w:r>
        <w:t xml:space="preserve">extra agent seats, extra branded links, premium AI, multilingual (Spanish) buyer experience.</w:t>
      </w:r>
    </w:p>
    <w:p>
      <w:pPr>
        <w:pStyle w:val="ListParagraph"/>
        <w:numPr>
          <w:ilvl w:val="0"/>
          <w:numId w:val="2"/>
        </w:numPr>
        <w:spacing w:after="80" w:line="276"/>
      </w:pPr>
      <w:r>
        <w:rPr>
          <w:b/>
          <w:bCs/>
        </w:rPr>
        <w:t xml:space="preserve">Onboarding / setup fee </w:t>
      </w:r>
      <w:r>
        <w:t xml:space="preserve">for standing up a new tenant (rate-sheet mapping, branding).</w:t>
      </w:r>
    </w:p>
    <w:p>
      <w:pPr>
        <w:spacing w:after="120" w:line="276"/>
      </w:pPr>
      <w:r>
        <w:rPr>
          <w:b/>
          <w:bCs/>
        </w:rPr>
        <w:t xml:space="preserve">Why bottom-up first: </w:t>
      </w:r>
      <w:r>
        <w:t xml:space="preserve">fast to close (one decision-maker), proves value loan-by-loan, each LO becomes a reference for the next. It also fits LO-owned licensing — if an LO owns their seat, it travels with them when they move brokers.</w:t>
      </w:r>
    </w:p>
    <w:p>
      <w:pPr>
        <w:pStyle w:val="Heading2"/>
      </w:pPr>
      <w:r>
        <w:t xml:space="preserve">B.  Top-down: sell to the Wholesaler (Phase III, the scale play)</w:t>
      </w:r>
    </w:p>
    <w:p>
      <w:pPr>
        <w:pStyle w:val="ListParagraph"/>
        <w:numPr>
          <w:ilvl w:val="0"/>
          <w:numId w:val="2"/>
        </w:numPr>
        <w:spacing w:after="80" w:line="276"/>
      </w:pPr>
      <w:r>
        <w:rPr>
          <w:b/>
          <w:bCs/>
        </w:rPr>
        <w:t xml:space="preserve">Enterprise platform license — </w:t>
      </w:r>
      <w:r>
        <w:t xml:space="preserve">platform fee + per-active-LO to enable EarnedHome across the network. Wholesaler buys a pool of seats and distributes them (top-down: the wholesaler owns the seats; a departing LO’s seat returns to the pool).</w:t>
      </w:r>
    </w:p>
    <w:p>
      <w:pPr>
        <w:pStyle w:val="ListParagraph"/>
        <w:numPr>
          <w:ilvl w:val="0"/>
          <w:numId w:val="2"/>
        </w:numPr>
        <w:spacing w:after="80" w:line="276"/>
      </w:pPr>
      <w:r>
        <w:rPr>
          <w:b/>
          <w:bCs/>
        </w:rPr>
        <w:t xml:space="preserve">Enablement / channel model — </w:t>
      </w:r>
      <w:r>
        <w:t xml:space="preserve">the wholesaler subsidizes the tool for brokers as a bona-fide software benefit (fair-market value, not contingent on loan volume — RESPA).</w:t>
      </w:r>
    </w:p>
    <w:p>
      <w:pPr>
        <w:pStyle w:val="ListParagraph"/>
        <w:numPr>
          <w:ilvl w:val="0"/>
          <w:numId w:val="2"/>
        </w:numPr>
        <w:spacing w:after="80" w:line="276"/>
      </w:pPr>
      <w:r>
        <w:rPr>
          <w:b/>
          <w:bCs/>
        </w:rPr>
        <w:t xml:space="preserve">Data &amp; analytics premium — </w:t>
      </w:r>
      <w:r>
        <w:t xml:space="preserve">aggregate, anonymized market intelligence across the network (pull-through, product mix, regional demand). High-margin, compounds as more brokers join.</w:t>
      </w:r>
    </w:p>
    <w:p>
      <w:pPr>
        <w:pStyle w:val="ListParagraph"/>
        <w:numPr>
          <w:ilvl w:val="0"/>
          <w:numId w:val="2"/>
        </w:numPr>
        <w:spacing w:after="80" w:line="276"/>
      </w:pPr>
      <w:r>
        <w:rPr>
          <w:b/>
          <w:bCs/>
        </w:rPr>
        <w:t xml:space="preserve">White-label / co-brand fee — </w:t>
      </w:r>
      <w:r>
        <w:t xml:space="preserve">the wholesaler’s brand across the network.</w:t>
      </w:r>
    </w:p>
    <w:p>
      <w:pPr>
        <w:pStyle w:val="Heading2"/>
      </w:pPr>
      <w:r>
        <w:t xml:space="preserve">C.  Seats vs. data — the ownership question</w:t>
      </w:r>
    </w:p>
    <w:p>
      <w:pPr>
        <w:spacing w:after="120" w:line="276"/>
      </w:pPr>
      <w:r>
        <w:t xml:space="preserve">Keep two things separate:</w:t>
      </w:r>
    </w:p>
    <w:p>
      <w:pPr>
        <w:pStyle w:val="ListParagraph"/>
        <w:numPr>
          <w:ilvl w:val="0"/>
          <w:numId w:val="2"/>
        </w:numPr>
        <w:spacing w:after="80" w:line="276"/>
      </w:pPr>
      <w:r>
        <w:rPr>
          <w:b/>
          <w:bCs/>
        </w:rPr>
        <w:t xml:space="preserve">Seat ownership (who paid for the license): </w:t>
      </w:r>
      <w:r>
        <w:t xml:space="preserve">top-down → the wholesaler owns the pool (departing seat returns); bottom-up → the LO owns their seat (it travels); hybrid (recommended) → support both, set per contract.</w:t>
      </w:r>
    </w:p>
    <w:p>
      <w:pPr>
        <w:pStyle w:val="ListParagraph"/>
        <w:numPr>
          <w:ilvl w:val="0"/>
          <w:numId w:val="2"/>
        </w:numPr>
        <w:spacing w:after="80" w:line="276"/>
      </w:pPr>
      <w:r>
        <w:rPr>
          <w:b/>
          <w:bCs/>
        </w:rPr>
        <w:t xml:space="preserve">Data ownership (who keeps the book): </w:t>
      </w:r>
      <w:r>
        <w:t xml:space="preserve">relationships travel with the LO, active pipeline stays with the broker, the rate sheet always stays with the broker.</w:t>
      </w:r>
    </w:p>
    <w:p>
      <w:pPr>
        <w:spacing w:after="120" w:line="276"/>
      </w:pPr>
      <w:r>
        <w:rPr>
          <w:b/>
          <w:bCs/>
        </w:rPr>
        <w:t xml:space="preserve">Selling a seat and owning the data are different levers. </w:t>
      </w:r>
      <w:r>
        <w:t xml:space="preserve">A wholesaler can pay for the seat (top-down) while the broker still owns the rate sheet and the LO still owns their relationships. Design the contract, not just the code, around that.</w:t>
      </w:r>
    </w:p>
    <w:p>
      <w:pPr>
        <w:pStyle w:val="Heading2"/>
      </w:pPr>
      <w:r>
        <w:t xml:space="preserve">Recommended sequence</w:t>
      </w:r>
    </w:p>
    <w:p>
      <w:pPr>
        <w:pStyle w:val="ListParagraph"/>
        <w:numPr>
          <w:ilvl w:val="0"/>
          <w:numId w:val="2"/>
        </w:numPr>
        <w:spacing w:after="80" w:line="276"/>
      </w:pPr>
      <w:r>
        <w:rPr>
          <w:b/>
          <w:bCs/>
        </w:rPr>
        <w:t xml:space="preserve">Now: </w:t>
      </w:r>
      <w:r>
        <w:t xml:space="preserve">bottom-up, per-seat, to single-LO brokers like R Parry. Land, prove, reference.</w:t>
      </w:r>
    </w:p>
    <w:p>
      <w:pPr>
        <w:pStyle w:val="ListParagraph"/>
        <w:numPr>
          <w:ilvl w:val="0"/>
          <w:numId w:val="2"/>
        </w:numPr>
        <w:spacing w:after="80" w:line="276"/>
      </w:pPr>
      <w:r>
        <w:rPr>
          <w:b/>
          <w:bCs/>
        </w:rPr>
        <w:t xml:space="preserve">Phase II: </w:t>
      </w:r>
      <w:r>
        <w:t xml:space="preserve">add the Broker/Team tier (multi-LO) — now you can sell a whole brokerage, not just a solo LO.</w:t>
      </w:r>
    </w:p>
    <w:p>
      <w:pPr>
        <w:pStyle w:val="ListParagraph"/>
        <w:numPr>
          <w:ilvl w:val="0"/>
          <w:numId w:val="2"/>
        </w:numPr>
        <w:spacing w:after="80" w:line="276"/>
      </w:pPr>
      <w:r>
        <w:rPr>
          <w:b/>
          <w:bCs/>
        </w:rPr>
        <w:t xml:space="preserve">Phase III: </w:t>
      </w:r>
      <w:r>
        <w:t xml:space="preserve">top-down enterprise to a wholesaler — platform + per-active-LO + data/analytics premium, layered with AI upsells.</w:t>
      </w:r>
    </w:p>
    <w:p>
      <w:r>
        <w:br w:type="page"/>
      </w:r>
    </w:p>
    <w:p>
      <w:pPr>
        <w:pStyle w:val="Heading1"/>
      </w:pPr>
      <w:r>
        <w:t xml:space="preserve">8.  What this means for Richard, right now</w:t>
      </w:r>
    </w:p>
    <w:p>
      <w:pPr>
        <w:pStyle w:val="ListParagraph"/>
        <w:numPr>
          <w:ilvl w:val="0"/>
          <w:numId w:val="2"/>
        </w:numPr>
        <w:spacing w:after="80" w:line="276"/>
      </w:pPr>
      <w:r>
        <w:rPr>
          <w:b/>
          <w:bCs/>
        </w:rPr>
        <w:t xml:space="preserve">You can go live today. </w:t>
      </w:r>
      <w:r>
        <w:t xml:space="preserve">R Parry is the broker-and-LO-in-one case — exactly what’s built and working. Nothing about the bigger hierarchy needs to exist for you to run the pilot.</w:t>
      </w:r>
    </w:p>
    <w:p>
      <w:pPr>
        <w:pStyle w:val="ListParagraph"/>
        <w:numPr>
          <w:ilvl w:val="0"/>
          <w:numId w:val="2"/>
        </w:numPr>
        <w:spacing w:after="80" w:line="276"/>
      </w:pPr>
      <w:r>
        <w:rPr>
          <w:b/>
          <w:bCs/>
        </w:rPr>
        <w:t xml:space="preserve">You can add more solo brokers in parallel today </w:t>
      </w:r>
      <w:r>
        <w:t xml:space="preserve">— each is its own isolated tenant.</w:t>
      </w:r>
    </w:p>
    <w:p>
      <w:pPr>
        <w:pStyle w:val="ListParagraph"/>
        <w:numPr>
          <w:ilvl w:val="0"/>
          <w:numId w:val="2"/>
        </w:numPr>
        <w:spacing w:after="80" w:line="276"/>
      </w:pPr>
      <w:r>
        <w:rPr>
          <w:b/>
          <w:bCs/>
        </w:rPr>
        <w:t xml:space="preserve">You are not yet ready to hand this to a broker with multiple LOs </w:t>
      </w:r>
      <w:r>
        <w:t xml:space="preserve">— that’s Phase II, built when a multi-LO broker (or Rocket) is actually on the table, not before. Building ahead of demand wastes money and risks building the wrong thing.</w:t>
      </w:r>
    </w:p>
    <w:p>
      <w:pPr>
        <w:pStyle w:val="ListParagraph"/>
        <w:numPr>
          <w:ilvl w:val="0"/>
          <w:numId w:val="2"/>
        </w:numPr>
        <w:spacing w:after="80" w:line="276"/>
      </w:pPr>
      <w:r>
        <w:rPr>
          <w:b/>
          <w:bCs/>
        </w:rPr>
        <w:t xml:space="preserve">Nothing today paints us into a corner. </w:t>
      </w:r>
      <w:r>
        <w:t xml:space="preserve">Today’s design is a clean subset of the full ladder. Phase II and III are additions on top of the same multi-tenant foundation — additive migrations, not rewrites.</w:t>
      </w:r>
    </w:p>
    <w:p>
      <w:pPr>
        <w:pStyle w:val="Heading1"/>
      </w:pPr>
      <w:r>
        <w:t xml:space="preserve">9.  The gap at a glance (today → target)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1590"/>
        <w:gridCol w:w="1585"/>
        <w:gridCol w:w="1585"/>
      </w:tblGrid>
      <w:tr>
        <w:trPr>
          <w:tblHeader/>
        </w:trPr>
        <w:tc>
          <w:tcPr>
            <w:tcW w:type="dxa" w:w="46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sz w:val="20"/>
                <w:szCs w:val="20"/>
              </w:rPr>
              <w:t xml:space="preserve">Piece</w:t>
            </w:r>
          </w:p>
        </w:tc>
        <w:tc>
          <w:tcPr>
            <w:tcW w:type="dxa" w:w="159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sz w:val="20"/>
                <w:szCs w:val="20"/>
              </w:rPr>
              <w:t xml:space="preserve">Today (1A)</w:t>
            </w:r>
          </w:p>
        </w:tc>
        <w:tc>
          <w:tcPr>
            <w:tcW w:type="dxa" w:w="1585"/>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sz w:val="20"/>
                <w:szCs w:val="20"/>
              </w:rPr>
              <w:t xml:space="preserve">Phase II</w:t>
            </w:r>
          </w:p>
        </w:tc>
        <w:tc>
          <w:tcPr>
            <w:tcW w:type="dxa" w:w="1585"/>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sz w:val="20"/>
                <w:szCs w:val="20"/>
              </w:rPr>
              <w:t xml:space="preserve">Phase III</w:t>
            </w:r>
          </w:p>
        </w:tc>
      </w:tr>
      <w:tr>
        <w:trPr>
          <w:tblHeader w:val="false"/>
        </w:trPr>
        <w:tc>
          <w:tcPr>
            <w:tcW w:type="dxa" w:w="4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0"/>
                <w:szCs w:val="20"/>
              </w:rPr>
              <w:t xml:space="preserve">Broker as a tenant</w:t>
            </w:r>
          </w:p>
        </w:tc>
        <w:tc>
          <w:tcPr>
            <w:tcW w:type="dxa" w:w="1590"/>
            <w:tcBorders>
              <w:top w:val="single" w:color="BFBFBF" w:sz="1"/>
              <w:left w:val="single" w:color="BFBFBF" w:sz="1"/>
              <w:bottom w:val="single" w:color="BFBFBF" w:sz="1"/>
              <w:right w:val="single" w:color="BFBFBF" w:sz="1"/>
            </w:tcBorders>
            <w:shd w:fill="E8F5E9" w:val="clear"/>
            <w:tcMar>
              <w:top w:type="dxa" w:w="80"/>
              <w:left w:type="dxa" w:w="120"/>
              <w:bottom w:type="dxa" w:w="80"/>
              <w:right w:type="dxa" w:w="120"/>
            </w:tcMar>
            <w:vAlign w:val="center"/>
          </w:tcPr>
          <w:p>
            <w:r>
              <w:rPr>
                <w:b w:val="false"/>
                <w:bCs w:val="false"/>
                <w:sz w:val="20"/>
                <w:szCs w:val="20"/>
              </w:rPr>
              <w:t xml:space="preserve">Built</w:t>
            </w:r>
          </w:p>
        </w:tc>
        <w:tc>
          <w:tcPr>
            <w:tcW w:type="dxa" w:w="1585"/>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0"/>
                <w:szCs w:val="20"/>
              </w:rPr>
              <w:t xml:space="preserve">✓</w:t>
            </w:r>
          </w:p>
        </w:tc>
        <w:tc>
          <w:tcPr>
            <w:tcW w:type="dxa" w:w="1585"/>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0"/>
                <w:szCs w:val="20"/>
              </w:rPr>
              <w:t xml:space="preserve">✓</w:t>
            </w:r>
          </w:p>
        </w:tc>
      </w:tr>
      <w:tr>
        <w:trPr>
          <w:tblHeader w:val="false"/>
        </w:trPr>
        <w:tc>
          <w:tcPr>
            <w:tcW w:type="dxa" w:w="4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0"/>
                <w:szCs w:val="20"/>
              </w:rPr>
              <w:t xml:space="preserve">Parallel brokers (separate tenants)</w:t>
            </w:r>
          </w:p>
        </w:tc>
        <w:tc>
          <w:tcPr>
            <w:tcW w:type="dxa" w:w="1590"/>
            <w:tcBorders>
              <w:top w:val="single" w:color="BFBFBF" w:sz="1"/>
              <w:left w:val="single" w:color="BFBFBF" w:sz="1"/>
              <w:bottom w:val="single" w:color="BFBFBF" w:sz="1"/>
              <w:right w:val="single" w:color="BFBFBF" w:sz="1"/>
            </w:tcBorders>
            <w:shd w:fill="E8F5E9" w:val="clear"/>
            <w:tcMar>
              <w:top w:type="dxa" w:w="80"/>
              <w:left w:type="dxa" w:w="120"/>
              <w:bottom w:type="dxa" w:w="80"/>
              <w:right w:type="dxa" w:w="120"/>
            </w:tcMar>
            <w:vAlign w:val="center"/>
          </w:tcPr>
          <w:p>
            <w:r>
              <w:rPr>
                <w:b w:val="false"/>
                <w:bCs w:val="false"/>
                <w:sz w:val="20"/>
                <w:szCs w:val="20"/>
              </w:rPr>
              <w:t xml:space="preserve">Built</w:t>
            </w:r>
          </w:p>
        </w:tc>
        <w:tc>
          <w:tcPr>
            <w:tcW w:type="dxa" w:w="1585"/>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0"/>
                <w:szCs w:val="20"/>
              </w:rPr>
              <w:t xml:space="preserve">✓</w:t>
            </w:r>
          </w:p>
        </w:tc>
        <w:tc>
          <w:tcPr>
            <w:tcW w:type="dxa" w:w="1585"/>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0"/>
                <w:szCs w:val="20"/>
              </w:rPr>
              <w:t xml:space="preserve">✓</w:t>
            </w:r>
          </w:p>
        </w:tc>
      </w:tr>
      <w:tr>
        <w:trPr>
          <w:tblHeader w:val="false"/>
        </w:trPr>
        <w:tc>
          <w:tcPr>
            <w:tcW w:type="dxa" w:w="4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0"/>
                <w:szCs w:val="20"/>
              </w:rPr>
              <w:t xml:space="preserve">Referral-agent attribution</w:t>
            </w:r>
          </w:p>
        </w:tc>
        <w:tc>
          <w:tcPr>
            <w:tcW w:type="dxa" w:w="1590"/>
            <w:tcBorders>
              <w:top w:val="single" w:color="BFBFBF" w:sz="1"/>
              <w:left w:val="single" w:color="BFBFBF" w:sz="1"/>
              <w:bottom w:val="single" w:color="BFBFBF" w:sz="1"/>
              <w:right w:val="single" w:color="BFBFBF" w:sz="1"/>
            </w:tcBorders>
            <w:shd w:fill="E8F5E9" w:val="clear"/>
            <w:tcMar>
              <w:top w:type="dxa" w:w="80"/>
              <w:left w:type="dxa" w:w="120"/>
              <w:bottom w:type="dxa" w:w="80"/>
              <w:right w:type="dxa" w:w="120"/>
            </w:tcMar>
            <w:vAlign w:val="center"/>
          </w:tcPr>
          <w:p>
            <w:r>
              <w:rPr>
                <w:b w:val="false"/>
                <w:bCs w:val="false"/>
                <w:sz w:val="20"/>
                <w:szCs w:val="20"/>
              </w:rPr>
              <w:t xml:space="preserve">Built</w:t>
            </w:r>
          </w:p>
        </w:tc>
        <w:tc>
          <w:tcPr>
            <w:tcW w:type="dxa" w:w="1585"/>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0"/>
                <w:szCs w:val="20"/>
              </w:rPr>
              <w:t xml:space="preserve">✓</w:t>
            </w:r>
          </w:p>
        </w:tc>
        <w:tc>
          <w:tcPr>
            <w:tcW w:type="dxa" w:w="1585"/>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0"/>
                <w:szCs w:val="20"/>
              </w:rPr>
              <w:t xml:space="preserve">✓</w:t>
            </w:r>
          </w:p>
        </w:tc>
      </w:tr>
      <w:tr>
        <w:trPr>
          <w:tblHeader w:val="false"/>
        </w:trPr>
        <w:tc>
          <w:tcPr>
            <w:tcW w:type="dxa" w:w="4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0"/>
                <w:szCs w:val="20"/>
              </w:rPr>
              <w:t xml:space="preserve">Buyer tool + LO dashboard + metrics</w:t>
            </w:r>
          </w:p>
        </w:tc>
        <w:tc>
          <w:tcPr>
            <w:tcW w:type="dxa" w:w="1590"/>
            <w:tcBorders>
              <w:top w:val="single" w:color="BFBFBF" w:sz="1"/>
              <w:left w:val="single" w:color="BFBFBF" w:sz="1"/>
              <w:bottom w:val="single" w:color="BFBFBF" w:sz="1"/>
              <w:right w:val="single" w:color="BFBFBF" w:sz="1"/>
            </w:tcBorders>
            <w:shd w:fill="E8F5E9" w:val="clear"/>
            <w:tcMar>
              <w:top w:type="dxa" w:w="80"/>
              <w:left w:type="dxa" w:w="120"/>
              <w:bottom w:type="dxa" w:w="80"/>
              <w:right w:type="dxa" w:w="120"/>
            </w:tcMar>
            <w:vAlign w:val="center"/>
          </w:tcPr>
          <w:p>
            <w:r>
              <w:rPr>
                <w:b w:val="false"/>
                <w:bCs w:val="false"/>
                <w:sz w:val="20"/>
                <w:szCs w:val="20"/>
              </w:rPr>
              <w:t xml:space="preserve">Built</w:t>
            </w:r>
          </w:p>
        </w:tc>
        <w:tc>
          <w:tcPr>
            <w:tcW w:type="dxa" w:w="1585"/>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0"/>
                <w:szCs w:val="20"/>
              </w:rPr>
              <w:t xml:space="preserve">✓</w:t>
            </w:r>
          </w:p>
        </w:tc>
        <w:tc>
          <w:tcPr>
            <w:tcW w:type="dxa" w:w="1585"/>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0"/>
                <w:szCs w:val="20"/>
              </w:rPr>
              <w:t xml:space="preserve">✓</w:t>
            </w:r>
          </w:p>
        </w:tc>
      </w:tr>
      <w:tr>
        <w:trPr>
          <w:tblHeader w:val="false"/>
        </w:trPr>
        <w:tc>
          <w:tcPr>
            <w:tcW w:type="dxa" w:w="4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0"/>
                <w:szCs w:val="20"/>
              </w:rPr>
              <w:t xml:space="preserve">Rate sheet shared across a broker’s LOs</w:t>
            </w:r>
          </w:p>
        </w:tc>
        <w:tc>
          <w:tcPr>
            <w:tcW w:type="dxa" w:w="1590"/>
            <w:tcBorders>
              <w:top w:val="single" w:color="BFBFBF" w:sz="1"/>
              <w:left w:val="single" w:color="BFBFBF" w:sz="1"/>
              <w:bottom w:val="single" w:color="BFBFBF" w:sz="1"/>
              <w:right w:val="single" w:color="BFBFBF" w:sz="1"/>
            </w:tcBorders>
            <w:shd w:fill="FFF3E0" w:val="clear"/>
            <w:tcMar>
              <w:top w:type="dxa" w:w="80"/>
              <w:left w:type="dxa" w:w="120"/>
              <w:bottom w:type="dxa" w:w="80"/>
              <w:right w:type="dxa" w:w="120"/>
            </w:tcMar>
            <w:vAlign w:val="center"/>
          </w:tcPr>
          <w:p>
            <w:r>
              <w:rPr>
                <w:b w:val="false"/>
                <w:bCs w:val="false"/>
                <w:sz w:val="20"/>
                <w:szCs w:val="20"/>
              </w:rPr>
              <w:t xml:space="preserve">n/a yet</w:t>
            </w:r>
          </w:p>
        </w:tc>
        <w:tc>
          <w:tcPr>
            <w:tcW w:type="dxa" w:w="1585"/>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0"/>
                <w:szCs w:val="20"/>
              </w:rPr>
              <w:t xml:space="preserve">Build</w:t>
            </w:r>
          </w:p>
        </w:tc>
        <w:tc>
          <w:tcPr>
            <w:tcW w:type="dxa" w:w="1585"/>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0"/>
                <w:szCs w:val="20"/>
              </w:rPr>
              <w:t xml:space="preserve">✓</w:t>
            </w:r>
          </w:p>
        </w:tc>
      </w:tr>
      <w:tr>
        <w:trPr>
          <w:tblHeader w:val="false"/>
        </w:trPr>
        <w:tc>
          <w:tcPr>
            <w:tcW w:type="dxa" w:w="4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0"/>
                <w:szCs w:val="20"/>
              </w:rPr>
              <w:t xml:space="preserve">Multiple LOs under one broker</w:t>
            </w:r>
          </w:p>
        </w:tc>
        <w:tc>
          <w:tcPr>
            <w:tcW w:type="dxa" w:w="1590"/>
            <w:tcBorders>
              <w:top w:val="single" w:color="BFBFBF" w:sz="1"/>
              <w:left w:val="single" w:color="BFBFBF" w:sz="1"/>
              <w:bottom w:val="single" w:color="BFBFBF" w:sz="1"/>
              <w:right w:val="single" w:color="BFBFBF" w:sz="1"/>
            </w:tcBorders>
            <w:shd w:fill="FBE9E7" w:val="clear"/>
            <w:tcMar>
              <w:top w:type="dxa" w:w="80"/>
              <w:left w:type="dxa" w:w="120"/>
              <w:bottom w:type="dxa" w:w="80"/>
              <w:right w:type="dxa" w:w="120"/>
            </w:tcMar>
            <w:vAlign w:val="center"/>
          </w:tcPr>
          <w:p>
            <w:r>
              <w:rPr>
                <w:b w:val="false"/>
                <w:bCs w:val="false"/>
                <w:sz w:val="20"/>
                <w:szCs w:val="20"/>
              </w:rPr>
              <w:t xml:space="preserve">No</w:t>
            </w:r>
          </w:p>
        </w:tc>
        <w:tc>
          <w:tcPr>
            <w:tcW w:type="dxa" w:w="1585"/>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0"/>
                <w:szCs w:val="20"/>
              </w:rPr>
              <w:t xml:space="preserve">Build</w:t>
            </w:r>
          </w:p>
        </w:tc>
        <w:tc>
          <w:tcPr>
            <w:tcW w:type="dxa" w:w="1585"/>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0"/>
                <w:szCs w:val="20"/>
              </w:rPr>
              <w:t xml:space="preserve">✓</w:t>
            </w:r>
          </w:p>
        </w:tc>
      </w:tr>
      <w:tr>
        <w:trPr>
          <w:tblHeader w:val="false"/>
        </w:trPr>
        <w:tc>
          <w:tcPr>
            <w:tcW w:type="dxa" w:w="4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0"/>
                <w:szCs w:val="20"/>
              </w:rPr>
              <w:t xml:space="preserve">Per-LO visibility scoping</w:t>
            </w:r>
          </w:p>
        </w:tc>
        <w:tc>
          <w:tcPr>
            <w:tcW w:type="dxa" w:w="1590"/>
            <w:tcBorders>
              <w:top w:val="single" w:color="BFBFBF" w:sz="1"/>
              <w:left w:val="single" w:color="BFBFBF" w:sz="1"/>
              <w:bottom w:val="single" w:color="BFBFBF" w:sz="1"/>
              <w:right w:val="single" w:color="BFBFBF" w:sz="1"/>
            </w:tcBorders>
            <w:shd w:fill="FBE9E7" w:val="clear"/>
            <w:tcMar>
              <w:top w:type="dxa" w:w="80"/>
              <w:left w:type="dxa" w:w="120"/>
              <w:bottom w:type="dxa" w:w="80"/>
              <w:right w:type="dxa" w:w="120"/>
            </w:tcMar>
            <w:vAlign w:val="center"/>
          </w:tcPr>
          <w:p>
            <w:r>
              <w:rPr>
                <w:b w:val="false"/>
                <w:bCs w:val="false"/>
                <w:sz w:val="20"/>
                <w:szCs w:val="20"/>
              </w:rPr>
              <w:t xml:space="preserve">No</w:t>
            </w:r>
          </w:p>
        </w:tc>
        <w:tc>
          <w:tcPr>
            <w:tcW w:type="dxa" w:w="1585"/>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0"/>
                <w:szCs w:val="20"/>
              </w:rPr>
              <w:t xml:space="preserve">Build</w:t>
            </w:r>
          </w:p>
        </w:tc>
        <w:tc>
          <w:tcPr>
            <w:tcW w:type="dxa" w:w="1585"/>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0"/>
                <w:szCs w:val="20"/>
              </w:rPr>
              <w:t xml:space="preserve">✓</w:t>
            </w:r>
          </w:p>
        </w:tc>
      </w:tr>
      <w:tr>
        <w:trPr>
          <w:tblHeader w:val="false"/>
        </w:trPr>
        <w:tc>
          <w:tcPr>
            <w:tcW w:type="dxa" w:w="4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0"/>
                <w:szCs w:val="20"/>
              </w:rPr>
              <w:t xml:space="preserve">LO portability / re-parenting</w:t>
            </w:r>
          </w:p>
        </w:tc>
        <w:tc>
          <w:tcPr>
            <w:tcW w:type="dxa" w:w="1590"/>
            <w:tcBorders>
              <w:top w:val="single" w:color="BFBFBF" w:sz="1"/>
              <w:left w:val="single" w:color="BFBFBF" w:sz="1"/>
              <w:bottom w:val="single" w:color="BFBFBF" w:sz="1"/>
              <w:right w:val="single" w:color="BFBFBF" w:sz="1"/>
            </w:tcBorders>
            <w:shd w:fill="FBE9E7" w:val="clear"/>
            <w:tcMar>
              <w:top w:type="dxa" w:w="80"/>
              <w:left w:type="dxa" w:w="120"/>
              <w:bottom w:type="dxa" w:w="80"/>
              <w:right w:type="dxa" w:w="120"/>
            </w:tcMar>
            <w:vAlign w:val="center"/>
          </w:tcPr>
          <w:p>
            <w:r>
              <w:rPr>
                <w:b w:val="false"/>
                <w:bCs w:val="false"/>
                <w:sz w:val="20"/>
                <w:szCs w:val="20"/>
              </w:rPr>
              <w:t xml:space="preserve">No</w:t>
            </w:r>
          </w:p>
        </w:tc>
        <w:tc>
          <w:tcPr>
            <w:tcW w:type="dxa" w:w="1585"/>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0"/>
                <w:szCs w:val="20"/>
              </w:rPr>
              <w:t xml:space="preserve">Build</w:t>
            </w:r>
          </w:p>
        </w:tc>
        <w:tc>
          <w:tcPr>
            <w:tcW w:type="dxa" w:w="1585"/>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0"/>
                <w:szCs w:val="20"/>
              </w:rPr>
              <w:t xml:space="preserve">✓</w:t>
            </w:r>
          </w:p>
        </w:tc>
      </w:tr>
      <w:tr>
        <w:trPr>
          <w:tblHeader w:val="false"/>
        </w:trPr>
        <w:tc>
          <w:tcPr>
            <w:tcW w:type="dxa" w:w="4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0"/>
                <w:szCs w:val="20"/>
              </w:rPr>
              <w:t xml:space="preserve">Wholesaler tier + roll-up</w:t>
            </w:r>
          </w:p>
        </w:tc>
        <w:tc>
          <w:tcPr>
            <w:tcW w:type="dxa" w:w="1590"/>
            <w:tcBorders>
              <w:top w:val="single" w:color="BFBFBF" w:sz="1"/>
              <w:left w:val="single" w:color="BFBFBF" w:sz="1"/>
              <w:bottom w:val="single" w:color="BFBFBF" w:sz="1"/>
              <w:right w:val="single" w:color="BFBFBF" w:sz="1"/>
            </w:tcBorders>
            <w:shd w:fill="FBE9E7" w:val="clear"/>
            <w:tcMar>
              <w:top w:type="dxa" w:w="80"/>
              <w:left w:type="dxa" w:w="120"/>
              <w:bottom w:type="dxa" w:w="80"/>
              <w:right w:type="dxa" w:w="120"/>
            </w:tcMar>
            <w:vAlign w:val="center"/>
          </w:tcPr>
          <w:p>
            <w:r>
              <w:rPr>
                <w:b w:val="false"/>
                <w:bCs w:val="false"/>
                <w:sz w:val="20"/>
                <w:szCs w:val="20"/>
              </w:rPr>
              <w:t xml:space="preserve">No</w:t>
            </w:r>
          </w:p>
        </w:tc>
        <w:tc>
          <w:tcPr>
            <w:tcW w:type="dxa" w:w="1585"/>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0"/>
                <w:szCs w:val="20"/>
              </w:rPr>
              <w:t xml:space="preserve">—</w:t>
            </w:r>
          </w:p>
        </w:tc>
        <w:tc>
          <w:tcPr>
            <w:tcW w:type="dxa" w:w="1585"/>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0"/>
                <w:szCs w:val="20"/>
              </w:rPr>
              <w:t xml:space="preserve">Build</w:t>
            </w:r>
          </w:p>
        </w:tc>
      </w:tr>
      <w:tr>
        <w:trPr>
          <w:tblHeader w:val="false"/>
        </w:trPr>
        <w:tc>
          <w:tcPr>
            <w:tcW w:type="dxa" w:w="4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0"/>
                <w:szCs w:val="20"/>
              </w:rPr>
              <w:t xml:space="preserve">Multi-level billing / seat pools</w:t>
            </w:r>
          </w:p>
        </w:tc>
        <w:tc>
          <w:tcPr>
            <w:tcW w:type="dxa" w:w="1590"/>
            <w:tcBorders>
              <w:top w:val="single" w:color="BFBFBF" w:sz="1"/>
              <w:left w:val="single" w:color="BFBFBF" w:sz="1"/>
              <w:bottom w:val="single" w:color="BFBFBF" w:sz="1"/>
              <w:right w:val="single" w:color="BFBFBF" w:sz="1"/>
            </w:tcBorders>
            <w:shd w:fill="FBE9E7" w:val="clear"/>
            <w:tcMar>
              <w:top w:type="dxa" w:w="80"/>
              <w:left w:type="dxa" w:w="120"/>
              <w:bottom w:type="dxa" w:w="80"/>
              <w:right w:type="dxa" w:w="120"/>
            </w:tcMar>
            <w:vAlign w:val="center"/>
          </w:tcPr>
          <w:p>
            <w:r>
              <w:rPr>
                <w:b w:val="false"/>
                <w:bCs w:val="false"/>
                <w:sz w:val="20"/>
                <w:szCs w:val="20"/>
              </w:rPr>
              <w:t xml:space="preserve">No</w:t>
            </w:r>
          </w:p>
        </w:tc>
        <w:tc>
          <w:tcPr>
            <w:tcW w:type="dxa" w:w="1585"/>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0"/>
                <w:szCs w:val="20"/>
              </w:rPr>
              <w:t xml:space="preserve">Partial</w:t>
            </w:r>
          </w:p>
        </w:tc>
        <w:tc>
          <w:tcPr>
            <w:tcW w:type="dxa" w:w="1585"/>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sz w:val="20"/>
                <w:szCs w:val="20"/>
              </w:rPr>
              <w:t xml:space="preserve">Build</w:t>
            </w:r>
          </w:p>
        </w:tc>
      </w:tr>
    </w:tbl>
    <w:p>
      <w:pPr>
        <w:spacing w:after="40" w:before="200"/>
      </w:pPr>
      <w:r>
        <w:rPr>
          <w:i/>
          <w:iCs/>
          <w:color w:val="595959"/>
          <w:sz w:val="16"/>
          <w:szCs w:val="16"/>
        </w:rPr>
        <w:t xml:space="preserve">Compliance framing here is general and not legal advice; confirm any pricing / relationship model with mortgage compliance counsel.</w:t>
      </w:r>
    </w:p>
    <w:sectPr>
      <w:headerReference w:type="default" r:id="rId7"/>
      <w:footerReference w:type="default" r:id="rId8"/>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Hierarchy &amp; Monetization Model   —   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EarnedHome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Arial" w:cs="Arial" w:eastAsia="Arial" w:hAnsi="Arial"/>
      <w:b/>
      <w:bCs/>
      <w:color w:val="1F4E79"/>
      <w:sz w:val="44"/>
      <w:szCs w:val="44"/>
    </w:rPr>
  </w:style>
  <w:style w:type="paragraph" w:styleId="Heading1">
    <w:name w:val="Heading 1"/>
    <w:basedOn w:val="Normal"/>
    <w:next w:val="Normal"/>
    <w:qFormat/>
    <w:pPr>
      <w:pBdr>
        <w:bottom w:val="single" w:color="2E75B6" w:sz="6" w:space="4"/>
      </w:pBdr>
      <w:spacing w:after="140" w:before="300"/>
      <w:outlineLvl w:val="0"/>
    </w:pPr>
    <w:rPr>
      <w:rFonts w:ascii="Arial" w:cs="Arial" w:eastAsia="Arial" w:hAnsi="Arial"/>
      <w:b/>
      <w:bCs/>
      <w:color w:val="1F4E79"/>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EarnedHome — Hierarchy &amp; Monetization Model</dc:title>
  <dc:creator>EarnedHome</dc:creator>
  <cp:lastModifiedBy>Un-named</cp:lastModifiedBy>
  <cp:revision>1</cp:revision>
  <dcterms:created xsi:type="dcterms:W3CDTF">2026-07-10T02:27:52.539Z</dcterms:created>
  <dcterms:modified xsi:type="dcterms:W3CDTF">2026-07-10T02:27:52.540Z</dcterms:modified>
</cp:coreProperties>
</file>

<file path=docProps/custom.xml><?xml version="1.0" encoding="utf-8"?>
<Properties xmlns="http://schemas.openxmlformats.org/officeDocument/2006/custom-properties" xmlns:vt="http://schemas.openxmlformats.org/officeDocument/2006/docPropsVTypes"/>
</file>