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w:body>
    <w:p w:rsidR="00622006" w:rsidRDefault="00000000">
      <w:pPr>
        <w:pStyle w:val="Title"/>
      </w:pPr>
      <w:r>
        <w:t>Detailed Project Prompt: Stock Portfolio Analysis App</w:t>
      </w:r>
    </w:p>
    <w:p w:rsidR="00622006" w:rsidRDefault="00000000">
      <w:r>
        <w:t>Use the following prompt as a standalone instruction for an LLM coding assistant.</w:t>
      </w:r>
    </w:p>
    <w:p w:rsidR="00622006" w:rsidRDefault="00000000">
      <w:pPr>
        <w:pStyle w:val="Heading1"/>
      </w:pPr>
      <w:r>
        <w:t>1. Role and project objective</w:t>
      </w:r>
    </w:p>
    <w:p w:rsidR="00622006" w:rsidRDefault="00000000">
      <w:r>
        <w:t>Act as a senior Python developer and product designer. Build a complete, runnable Streamlit stock portfolio analysis app using CSV uploads. The upload tab must contain a plain CSV uploader, a centered gold Fetch / refresh market data button, and a selectable list of uploaded column names. Make reasonable implementation decisions, document assumptions, and ask only when essential information is missing. The centered gold fetch action is allowed as specified in the visual-theme requirement.</w:t>
      </w:r>
    </w:p>
    <w:p w:rsidR="00622006" w:rsidRDefault="00000000">
      <w:r>
        <w:t>The app must work for any supported portfolio, not only a particular investor or company. If a local historical portfolio CSV is available, use it to verify compatibility without hard-coding its securities, dates, or conclusions. Preserve original input files.</w:t>
      </w:r>
    </w:p>
    <w:p w:rsidR="00622006" w:rsidRDefault="00000000">
      <w:pPr>
        <w:pStyle w:val="Heading1"/>
      </w:pPr>
      <w:r>
        <w:t>2. Technology and deliverables</w:t>
      </w:r>
    </w:p>
    <w:p w:rsidR="00622006" w:rsidRDefault="00000000">
      <w:pPr>
        <w:pStyle w:val="ListParagraph"/>
      </w:pPr>
      <w:r>
        <w:t>• Use Python and Streamlit for the app, pandas for data processing, Plotly for interactive charts, and uv for package management and virtual environment setup. Use Yahoo Finance through a suitable Python client for available market data, and a local rule-based CSV assistant for chatbot capabilities.</w:t>
      </w:r>
    </w:p>
    <w:p w:rsidR="00622006" w:rsidRDefault="00000000">
      <w:pPr>
        <w:pStyle w:val="ListParagraph"/>
      </w:pPr>
      <w:r>
        <w:t>• Select compatible package versions at implementation time. Provide pyproject.toml and a generated uv.lock when dependency resolution is available. The chatbot uses local deterministic calculations, with no language-model dependency.</w:t>
      </w:r>
    </w:p>
    <w:p>
      <w:pPr>
        <w:pStyle w:val="ListParagraph"/>
      </w:pPr>
      <w:r>
        <w:t>• Required project structure: main.py as the application entry point; utils/ for reusable utility and business logic; and components/ for each tab’s UI logic. Keep these responsibilities separate.</w:t>
      </w:r>
    </w:p>
    <w:p>
      <w:pPr>
        <w:pStyle w:val="ListParagraph"/>
      </w:pPr>
      <w:r>
        <w:t>• Keep main.py focused on page configuration, shared session-state initialization, sidebar filters, creating the four tabs, and calling their component render functions. Launch the app with uv run streamlit run main.py.</w:t>
      </w:r>
    </w:p>
    <w:p>
      <w:pPr>
        <w:pStyle w:val="ListParagraph"/>
      </w:pPr>
      <w:r>
        <w:t>• Create utils/__init__.py, utils/data_loader.py, utils/validation.py, utils/market_data.py, utils/analytics.py, and utils/chatbot.py for CSV normalization, validation, provider access, calculations, and local chatbot logic. Keep calculations independently testable and return structured results rather than rendering tab UI.</w:t>
      </w:r>
    </w:p>
    <w:p>
      <w:pPr>
        <w:pStyle w:val="ListParagraph"/>
      </w:pPr>
      <w:r>
        <w:t>• Create components/__init__.py and one UI module per tab: components/csv_upload.py, components/portfolio_overview.py, components/historical_activity.py, and components/performance_chatbot.py. Each module should expose a clear render function and use utils/ for processing. The fourth component contains both performance/risk views and the chatbot interface.</w:t>
      </w:r>
    </w:p>
    <w:p>
      <w:pPr>
        <w:pStyle w:val="ListParagraph"/>
      </w:pPr>
      <w:r>
        <w:t>• Include tests/, sample_data/, pyproject.toml, uv.lock when dependency resolution is available, README.md, .env.example, and .gitignore. Components may import utilities; utilities must not depend on tab components or main.py. Avoid duplicating analytical logic across tabs.</w:t>
      </w:r>
    </w:p>
    <w:p w:rsidR="00622006" w:rsidRDefault="00000000">
      <w:pPr>
        <w:pStyle w:val="ListParagraph"/>
      </w:pPr>
      <w:r>
        <w:t>• Provide setup instructions using uv sync and uv run streamlit run main.py. The local chatbot needs no credentials or model configuration. Keep real credentials and local secret files excluded from version control.</w:t>
      </w:r>
    </w:p>
    <w:p w:rsidR="00622006" w:rsidRDefault="00000000">
      <w:pPr>
        <w:pStyle w:val="ListParagraph"/>
      </w:pPr>
      <w:r>
        <w:t>• Deliver a usable app, example CSV files, meaningful calculation and validation tests, and a README describing inputs, assumptions, limitations, and troubleshooting. Avoid adding authentication, a database, deployment infrastructure, or extra features unless needed for these requirements.</w:t>
      </w:r>
    </w:p>
    <w:p w:rsidR="00622006" w:rsidRDefault="00000000">
      <w:pPr>
        <w:pStyle w:val="Heading1"/>
      </w:pPr>
      <w:r>
        <w:t>3. Data contract and interpretation</w:t>
      </w:r>
    </w:p>
    <w:p w:rsidR="00622006" w:rsidRDefault="00000000">
      <w:pPr>
        <w:pStyle w:val="ListParagraph"/>
      </w:pPr>
      <w:r>
        <w:t>• Infer interpretation conservatively from the original source schema: action columns indicate reported position changes; dates without actions indicate dated holdings with unverified completeness; undated holdings or tickers support current holdings or watchlist analysis. No dataset-type selector is required. Deselecting action/date columns must not reclassify historical activity as current holdings. Never assume dated rows constitute complete snapshots without independent evidence.</w:t>
      </w:r>
    </w:p>
    <w:p w:rsidR="00622006" w:rsidRDefault="00000000">
      <w:pPr>
        <w:pStyle w:val="ListParagraph"/>
      </w:pPr>
      <w:r>
        <w:t>• Automatically recognize common aliases for ticker, company, date/period, action, shares, price, value, weight, share change, percentage share change, cost basis, currency, source URL and retrieval date. Support shares_held_after, reported_price_usd, reported_value_usd, portfolio_pct, shares_change, shares_change_pct, portfolio_change_pct, activity_raw and locked_fields. The column list controls which source fields participate in analysis. No mapping grid or configuration controls; unsupported headers can be renamed in the CSV.</w:t>
      </w:r>
    </w:p>
    <w:p w:rsidR="00622006" w:rsidRDefault="00000000">
      <w:pPr>
        <w:pStyle w:val="ListParagraph"/>
      </w:pPr>
      <w:r>
        <w:t>• A ticker is required for market research; ticker plus quantity supports position valuation; historical activity requires ticker, period/date, and action. Explain missing requirements separately for each analysis instead of rejecting an otherwise usable file. Preserve unmapped columns in the preview.</w:t>
      </w:r>
    </w:p>
    <w:p w:rsidR="00622006" w:rsidRDefault="00000000">
      <w:pPr>
        <w:pStyle w:val="ListParagraph"/>
      </w:pPr>
      <w:r>
        <w:lastRenderedPageBreak/>
        <w:t>• Parse quarterly labels such as 2024 Q2 and ordinary dates. Normalize numeric separators and explicit percent suffixes. Use a documented percentage-point convention for _pct/percent headers. Leave ambiguous generic percentage observations unavailable rather than guessing from magnitude; preserve source text and explain the issue outside the upload tab. No percentage-unit questions on the upload tab. Missing values remain distinct from zero; rounded 0.00% weights do not erase positions.</w:t>
      </w:r>
    </w:p>
    <w:p w:rsidR="00622006" w:rsidRDefault="00000000">
      <w:pPr>
        <w:pStyle w:val="ListParagraph"/>
      </w:pPr>
      <w:r>
        <w:t>• Normalize activity into add, reduce, new_position, sold_out, and initial_disclosure, while preserving the original label. Do not count initial disclosures as purchases. Unknown actions should be flagged and excluded from action-specific summaries until mapped.</w:t>
      </w:r>
    </w:p>
    <w:p w:rsidR="00622006" w:rsidRDefault="00000000">
      <w:pPr>
        <w:pStyle w:val="ListParagraph"/>
      </w:pPr>
      <w:r>
        <w:t>• Keep security identifiers separate from company identifiers. Allow verified or user-confirmed share-class grouping for company-level exposure; do not merge securities solely because their names look similar.</w:t>
      </w:r>
    </w:p>
    <w:p w:rsidR="00622006" w:rsidRDefault="00000000">
      <w:pPr>
        <w:pStyle w:val="ListParagraph"/>
      </w:pPr>
      <w:r>
        <w:t>• A missing activity row does not prove no holding or no trading. Never carry old portfolio weights forward to manufacture a complete portfolio. Historical reported quantities valued at newer prices must be labeled as estimates based on those dated quantities.</w:t>
      </w:r>
    </w:p>
    <w:p w:rsidR="00622006" w:rsidRDefault="00000000">
      <w:pPr>
        <w:pStyle w:val="Heading1"/>
      </w:pPr>
      <w:r>
        <w:t>4. Interface and navigation</w:t>
      </w:r>
    </w:p>
    <w:p w:rsidR="00622006" w:rsidRDefault="00000000">
      <w:r>
        <w:t>Create exactly four main tabs in the following order. Use a clean, readable layout with a simple sidebar for shared filters, concise explanations, consistent formatting, loading indicators, and helpful empty states. Keep implementation details out of the main analysis screens. Do not add a separate fifth insights or reports tab.</w:t>
      </w:r>
    </w:p>
    <w:p w:rsidR="00622006" w:rsidRDefault="00000000">
      <w:pPr>
        <w:pStyle w:val="Heading1"/>
      </w:pPr>
      <w:r>
        <w:t>Tab 1 — CSV Upload</w:t>
      </w:r>
    </w:p>
    <w:p w:rsidR="00622006" w:rsidRDefault="00000000">
      <w:pPr>
        <w:pStyle w:val="ListParagraph"/>
      </w:pPr>
      <w:r>
        <w:t>• Make CSV Upload the default starting tab. Display a plain CSV uploader, a centered gold Fetch / refresh market data button, and, after upload, a selectable list of original column names, with all columns selected by default. Do not show manual tickers, examples, template downloads, previews, summaries, expanders or any other options on this tab. Example files remain available in sample_data/. The centered gold fetch action is allowed as specified in the visual-theme requirement.</w:t>
      </w:r>
    </w:p>
    <w:p w:rsidR="00622006" w:rsidRDefault="00000000">
      <w:pPr>
        <w:pStyle w:val="ListParagraph"/>
      </w:pPr>
      <w:r>
        <w:t>• Automatically apply detected aliases for selected columns. Uploading or changing selected columns validates and updates analysis immediately. Do not include an Analyze/Apply button, dataset selector, mapping grid, advanced settings, currency/date/cost-basis controls, percentage questions, action mappings or exclusion controls. Document conventions and display necessary assumptions in the sidebar or affected analysis tab.</w:t>
      </w:r>
    </w:p>
    <w:p w:rsidR="00622006" w:rsidRDefault="00000000">
      <w:pPr>
        <w:pStyle w:val="ListParagraph"/>
      </w:pPr>
      <w:r>
        <w:t>• Keep validation in the processing layer and necessary findings outside the upload tab. Preserve missing-field, duplicate, action-sign, negative-quantity, sold-out-balance and shares-times-price/value checks. Do not silently combine ambiguous positions. Interpret duplicate candidates according to dataset semantics.</w:t>
      </w:r>
    </w:p>
    <w:p w:rsidR="00622006" w:rsidRDefault="00000000">
      <w:pPr>
        <w:pStyle w:val="ListParagraph"/>
      </w:pPr>
      <w:r>
        <w:t>• Display blocking validation findings with source row numbers in the sidebar or affected analysis tab. Users correct their CSV and upload it again; no correction/exclusion controls on the upload tab. Preserve every source record and block dependent analysis until errors are resolved. A concise unreadable-file error may appear next to the uploader when needed.</w:t>
      </w:r>
    </w:p>
    <w:p w:rsidR="00622006" w:rsidRDefault="00000000">
      <w:pPr>
        <w:pStyle w:val="ListParagraph"/>
      </w:pPr>
      <w:r>
        <w:t>• Store the validated data in session state and make it available to Tabs 2–4. Replacing or clearing a file must invalidate dependent calculations and chatbot context. Keep the original upload separate from normalized and enriched data.</w:t>
      </w:r>
    </w:p>
    <w:p w:rsidR="00622006" w:rsidRDefault="00000000">
      <w:pPr>
        <w:pStyle w:val="Heading1"/>
      </w:pPr>
      <w:r>
        <w:t>Tab 2 — Current Stock Prices and Portfolio Overview</w:t>
      </w:r>
    </w:p>
    <w:p w:rsidR="00622006" w:rsidRDefault="00000000">
      <w:pPr>
        <w:pStyle w:val="ListParagraph"/>
      </w:pPr>
      <w:r>
        <w:t>• Fetch the latest available prices for selected tickers and show provider, currency, timestamp, and freshness. Display price, daily absolute/percentage change, and interactive historical price charts. When market data is unavailable for a ticker, silently omit that ticker from market-price results and charts. Do not display per-ticker provider errors, warning banners, or messages such as “A309PS: No data available” or “ATVI: No data available.” Continue showing successful results. Preserve source holdings and missing values internally; never replace missing prices with zero or imply full coverage. Keep only concise, neutral aggregate coverage captions and partial-valuation labels where needed to explain totals.</w:t>
      </w:r>
    </w:p>
    <w:p w:rsidR="00622006" w:rsidRDefault="00000000">
      <w:pPr>
        <w:pStyle w:val="ListParagraph"/>
      </w:pPr>
      <w:r>
        <w:t>• With supplied current quantities, calculate position value as quantity multiplied by price and total covered value as the sum of priced positions. Show allocation weights, largest holdings, a holdings table, and an allocation chart. Identify unpriced holdings and label totals and weights as partial if coverage is incomplete.</w:t>
      </w:r>
    </w:p>
    <w:p w:rsidR="00622006" w:rsidRDefault="00000000">
      <w:pPr>
        <w:pStyle w:val="ListParagraph"/>
      </w:pPr>
      <w:r>
        <w:t>• Show sector allocation only if classifications are available. Aggregate confirmed share classes for company exposure while retaining security-level detail. Do not sum different currencies without explicit conversion rates and dates; otherwise display separate currency groups.</w:t>
      </w:r>
    </w:p>
    <w:p w:rsidR="00622006" w:rsidRDefault="00000000">
      <w:pPr>
        <w:pStyle w:val="ListParagraph"/>
      </w:pPr>
      <w:r>
        <w:lastRenderedPageBreak/>
        <w:t>• With tickers only, show a watchlist and price comparisons. Do not invent share quantities, portfolio weights, profit, or account value. Show unrealized gain/loss only with a valid cost basis, explaining whether the supplied basis is per share or total.</w:t>
      </w:r>
    </w:p>
    <w:p w:rsidR="00622006" w:rsidRDefault="00000000">
      <w:pPr>
        <w:pStyle w:val="ListParagraph"/>
      </w:pPr>
      <w:r>
        <w:t>• The Market research price-history window must default to the uploaded CSV’s earliest and latest valid observation dates, with the end capped at today, rather than always starting one year ago. Provide separate editable start and end date fields with explicit calendar bounds that allow historical dates such as 2013 and custom dates outside the CSV range. Keep these dates independent of observation/ticker filters, preserve custom dates during normal filter changes, and reset defaults when a new dataset is loaded. When dates are absent or cannot form a valid interval, use a one-year fallback window. Validate start before end, include the chosen end date in provider requests, and never fabricate unavailable provider history. Keep ticker filters, a manual refresh action, and concise notes for historical quantities and incomplete coverage.</w:t>
      </w:r>
    </w:p>
    <w:p>
      <w:r>
        <w:t>• Top-10 holdings charts: Tab 2 must prominently display attractive horizontal bar charts, not ranking tables, for portfolio share by covered value, holding value, positive unrealized profit, and share of positive unrealized profits. Use coordinated teal/indigo/green colors, largest-first ordering, readable direct percentage or currency labels, and hover details including ticker, company, portfolio share, currency and available values. Keep supporting quote/holdings tables in optional detail sections. Rank separately within each currency and active filter scope, using all eligible holdings for percentage denominators, not just the top 10. Show fewer than 10 when fewer qualify. Profit share uses all positive unrealized gains with valid cost basis; disclose missing-basis and loss-making holdings excluded from this profit ranking. Do not imply realized profits or actual portfolio returns. For reported weights, show a separate top-10 share chart before market retrieval using each ticker’s latest record across all selected quarters. Keep original observation dates visible on hover and label the chart as mixed-date historical weights, not a reconstructed current portfolio. Never sum or renormalize weights across dates. Exclude latest reported exits; do not replace missing or ambiguous latest weights with earlier observations. Missing quantities, prices or cost basis must produce an honest empty state rather than invented values or profits.</w:t>
      </w:r>
    </w:p>
    <w:p w:rsidR="00622006" w:rsidRDefault="00000000">
      <w:pPr>
        <w:pStyle w:val="Heading1"/>
      </w:pPr>
      <w:r>
        <w:t>Tab 3 — Historical Buys and Sells Analysis</w:t>
      </w:r>
    </w:p>
    <w:p w:rsidR="00622006" w:rsidRDefault="00000000">
      <w:pPr>
        <w:pStyle w:val="ListParagraph"/>
      </w:pPr>
      <w:r>
        <w:t>• Show counts of additions, reductions, new positions, exits, and initial disclosures by quarter or year. Include a timeline/bar chart, activity heatmap, and searchable event table. Label these as reported position changes when the input is an activity dataset, not individual trades. Make the activity heatmap attractive and easy to read: default to Yearly totals for the 15 most active stocks across up to 12 recent observed years. Use exactly one row per stock, aggregating events across the selected quarters in each year. Add includes additions and new positions; Reduce includes reductions and exits. Use a red-to-neutral-to-green gradient based on addition count minus reduction count. Show both counts only in hover tooltips (for example, ↑2 ↓2), including equal counts when the color is neutral. Do not display any numbers inside cells. This balance is event counts, not shares or money. Provide a Yearly totals / Quarterly detail switch independent of the timeline grouping. Stronger red indicates more reductions than additions; stronger green indicates more additions than reductions. Hover must show the total and action breakdown, excluding initial disclosures from the directional heatmap while retaining them in the timeline and event table. Explain that annual coverage can be partial due to source coverage or active date filters. Provide an ending-period selector for older history and a compact stock-count selector (10, 15 or 25). Rank rows by event count within the visible window, show every ticker label, keep date labels horizontal with year and quarter on separate lines, use a red-to-green diverging gradient with a pale neutral midpoint, blank labels for no reported events, and contiguous cells with zero gaps, no borders and no axis grid lines, and size chart height to the number of rows. Display both positive counts with up/down arrows only on hover and a clear More reductions / Balanced / More additions legend; use deeper colors for larger differences between action counts and hide the signed color scale. Keep the same action colors on the timeline and action scatter charts. Hover details must identify ticker, period and action counts. Hide the chart toolbar to reduce clutter. Explain that blank cells mean no reported event in the supplied records, not proof of no holding or trading. Do not fabricate missing reporting periods. Keep all source events available in the event table and preserve the global filters.</w:t>
      </w:r>
    </w:p>
    <w:p w:rsidR="00622006" w:rsidRDefault="00000000">
      <w:pPr>
        <w:pStyle w:val="ListParagraph"/>
      </w:pPr>
      <w:r>
        <w:t>• Highlight the busiest periods, most frequently adjusted securities, latest-period changes, repeated additions or reductions, exits followed by re-entry, and the size of starting allocations when available. Compare buying-related versus selling-related action counts without calling them net dollar flows or portfolio turnover.</w:t>
      </w:r>
    </w:p>
    <w:p w:rsidR="00622006" w:rsidRDefault="00000000">
      <w:pPr>
        <w:pStyle w:val="ListParagraph"/>
      </w:pPr>
      <w:r>
        <w:t>• Offer a ticker/company drilldown with observed entry, buildup, reductions, exit, and re-entry. Show available share counts and reported weights with their observation dates. Identify consecutive-quarter streaks only when coverage supports that claim.</w:t>
      </w:r>
    </w:p>
    <w:p w:rsidR="00622006" w:rsidRDefault="00000000">
      <w:pPr>
        <w:pStyle w:val="ListParagraph"/>
      </w:pPr>
      <w:r>
        <w:t>• Compare relative share changes with ending portfolio weights to distinguish large percentage increases from large portfolio exposure. Show maximum observed weights and explain that weight changes can reflect prices and changes elsewhere in the portfolio. Use an attractive bubble chart for relative share changes versus ending exposure. Color additions green and reductions red; size bubbles by ending portfolio weight with a disclosed minimum size for tiny or rounded-zero positions. Use a signed logarithmic horizontal transform, sign(x) × log10(1 + abs(x)), to retain reductions, zero and extreme increases without crowding typical changes. Label ticks and hover with original percentages and explain the compressed spacing. Include ticker, date, action and weight in hover details. Add deterministic, filter-aware observations identifying the largest relative increase, largest reduction, largest ending exposure and median absolute share change. Cite their tickers, dates and values; disclose omitted records. Do not equate relative share growth with portfolio exposure, profit or dollar flows, or invent investment motives. Write the bubble-chart analysis for a beginner, using short takeaways with bold, plain-language labels: Biggest percentage increase, Biggest holding shown, A useful comparison, and Biggest percentage cut. Explain shares rising/falling and portfolio size in everyday words, with stock names/tickers, readable month/year dates, and relevant figures. Avoid unexplained terms such as relative increase, ending exposure, absolute change and median. Explain the typical-change statistic as half of the records changing by no more than the stated percentage. Keep formulas, scaling details and data limitations in an optional expander; keep a short historical/not-profit qualification visible.</w:t>
      </w:r>
    </w:p>
    <w:p w:rsidR="00622006" w:rsidRDefault="00000000">
      <w:pPr>
        <w:pStyle w:val="ListParagraph"/>
      </w:pPr>
      <w:r>
        <w:t>• Calculate observed entry-to-exit durations where both events exist. Mark positions already present at the beginning or still open at the end as incomplete histories. Do not infer an original purchase date from an initial disclosure.</w:t>
      </w:r>
    </w:p>
    <w:p w:rsidR="00622006" w:rsidRDefault="00000000">
      <w:pPr>
        <w:pStyle w:val="ListParagraph"/>
      </w:pPr>
      <w:r>
        <w:t>• If showing share-change multiplied by reported price, label it as an approximate value proxy, not execution proceeds or cost. Flag corporate actions or inconsistent share histories before interpreting changes as purchases or sales.</w:t>
      </w:r>
    </w:p>
    <w:p w:rsidR="00622006" w:rsidRDefault="00000000">
      <w:pPr>
        <w:pStyle w:val="Heading1"/>
      </w:pPr>
      <w:r>
        <w:t>Tab 4 — Performance, Risk and Chatbot</w:t>
      </w:r>
    </w:p>
    <w:p w:rsidR="00622006" w:rsidRDefault="00000000">
      <w:pPr>
        <w:pStyle w:val="ListParagraph"/>
      </w:pPr>
      <w:r>
        <w:t>• Show security returns and comparison charts using consistent, appropriately adjusted price history. Label price-only returns separately if dividend-adjusted data is unavailable. Let users select a benchmark and common analysis window.</w:t>
      </w:r>
    </w:p>
    <w:p w:rsidR="00622006" w:rsidRDefault="00000000">
      <w:pPr>
        <w:pStyle w:val="ListParagraph"/>
      </w:pPr>
      <w:r>
        <w:t>• Show volatility and maximum drawdown when sufficient history exists. State the sampling frequency, adjustment method, analysis window, and annualization convention. Use compounded cumulative returns; calculate drawdown from the running peak. Do not forward-fill missing prices into fabricated returns.</w:t>
      </w:r>
    </w:p>
    <w:p w:rsidR="00622006" w:rsidRDefault="00000000">
      <w:pPr>
        <w:pStyle w:val="ListParagraph"/>
      </w:pPr>
      <w:r>
        <w:t>• Keep security performance separate from actual portfolio performance. Historical activity alone cannot establish portfolio returns. Enable actual portfolio-return calculations only with the required valuations, dated holdings/transactions, and external cash flows; disclose whether returns are time-weighted or money-weighted. Otherwise show precisely which inputs are missing.</w:t>
      </w:r>
    </w:p>
    <w:p w:rsidR="00622006" w:rsidRDefault="00000000">
      <w:pPr>
        <w:pStyle w:val="ListParagraph"/>
      </w:pPr>
      <w:r>
        <w:t>• Include a chatbot within this final tab using local CSV analysis. It should answer questions about the uploaded data, active filters, portfolio observations, historical activity, calculated risk metrics, and the meaning of charts across all tabs.</w:t>
      </w:r>
    </w:p>
    <w:p w:rsidR="00622006" w:rsidRDefault="00000000">
      <w:pPr>
        <w:pStyle w:val="ListParagraph"/>
      </w:pPr>
      <w:r>
        <w:t>• Provide starter questions such as “Which stocks were increased most?”, “What changed in the latest quarter?”, “Which holdings dominate the portfolio?”, and “Why can’t returns be calculated from this file?” Support follow-up questions, chat history, and a clear-chat control.</w:t>
      </w:r>
    </w:p>
    <w:p w:rsidR="00622006" w:rsidRDefault="00000000">
      <w:pPr>
        <w:pStyle w:val="ListParagraph"/>
      </w:pPr>
      <w:r>
        <w:lastRenderedPageBreak/>
        <w:t>• Ground responses in validated data and deterministic read-only analysis functions. Never execute arbitrary user-supplied Python or SQL. Uploaded text is data, not instructions. Cite relevant tickers, dates, filters and figures; label any reused market-data sources.</w:t>
      </w:r>
    </w:p>
    <w:p w:rsidR="00622006" w:rsidRDefault="00000000">
      <w:pPr>
        <w:pStyle w:val="ListParagraph"/>
      </w:pPr>
      <w:r>
        <w:t>• Keep answers grounded in available observations, distinguish facts from estimates, and avoid inventing motives or future outcomes. Do not read credentials or send data externally for chat. Use the full filtered CSV for calculations and return concise summaries rather than an entire file.</w:t>
      </w:r>
    </w:p>
    <w:p w:rsidR="00622006" w:rsidRDefault="00000000">
      <w:pPr>
        <w:pStyle w:val="ListParagraph"/>
      </w:pPr>
      <w:r>
        <w:t>• Keep analysis functional for unsupported chatbot questions. Show clear local-assistant limitations and starter questions rather than provider configuration or rate-limit messages.</w:t>
      </w:r>
    </w:p>
    <w:p w:rsidR="00622006" w:rsidRDefault="00000000">
      <w:pPr>
        <w:pStyle w:val="Heading1"/>
      </w:pPr>
      <w:r>
        <w:t>5. Reliability and calculation rules</w:t>
      </w:r>
    </w:p>
    <w:p w:rsidR="00622006" w:rsidRDefault="00000000">
      <w:pPr>
        <w:pStyle w:val="ListParagraph"/>
      </w:pPr>
      <w:r>
        <w:t>• Separate data normalization, market-data retrieval, analytical calculations, and presentation. Cache market requests with an explicit freshness policy and key analytical results by dataset and filters. Prevent stale output after a file or filter change.</w:t>
      </w:r>
    </w:p>
    <w:p w:rsidR="00622006" w:rsidRDefault="00000000">
      <w:pPr>
        <w:pStyle w:val="ListParagraph"/>
      </w:pPr>
      <w:r>
        <w:t>• Use readable amounts and percentages with consistent units. Avoid division by zero and misleading empty charts. Identify partial periods when comparing annual or quarterly activity.</w:t>
      </w:r>
    </w:p>
    <w:p w:rsidR="00622006" w:rsidRDefault="00000000">
      <w:pPr>
        <w:pStyle w:val="ListParagraph"/>
      </w:pPr>
      <w:r>
        <w:t>• Display compact limitations next to affected metrics. Historical activity cannot establish the full current portfolio, exact execution prices, realized profits, cash balances, or personal authorship of a manager’s decisions.</w:t>
      </w:r>
    </w:p>
    <w:p w:rsidR="00622006" w:rsidRDefault="00000000">
      <w:pPr>
        <w:pStyle w:val="ListParagraph"/>
      </w:pPr>
      <w:r>
        <w:t>• Support downloads of useful filtered tables where practical. Preserve sources and calculation labels so exported results retain their meaning. Keep this functionality within the four specified tabs.</w:t>
      </w:r>
    </w:p>
    <w:p w:rsidR="00622006" w:rsidRDefault="00000000">
      <w:pPr>
        <w:pStyle w:val="Heading1"/>
      </w:pPr>
      <w:r>
        <w:t>6. Acceptance criteria and verification</w:t>
      </w:r>
    </w:p>
    <w:p>
      <w:pPr>
        <w:pStyle w:val="ListParagraph"/>
      </w:pPr>
      <w:r>
        <w:t>• Verify that main.py is the application entry point, shared processing resides in utils/, and each of the four tabs has its own UI module in components/. Confirm that the README and launch command match this structure and that calculation tests can run without rendering the Streamlit UI.</w:t>
      </w:r>
    </w:p>
    <w:p w:rsidR="00622006" w:rsidRDefault="00000000">
      <w:pPr>
        <w:pStyle w:val="ListParagraph"/>
      </w:pPr>
      <w:r>
        <w:t>• The app installs with uv and launches with the documented command. Exactly four tabs appear in order, with CSV Upload first and chatbot fourth. The upload tab has a plain CSV uploader, a centered gold Fetch / refresh market data button, and, after upload, a selectable column list. It contains no additional buttons beyond the fetch action, options, previews or expandable panels. Verify automatic processing and stale-context invalidation on file or column-selection changes. The centered gold fetch action is allowed as specified in the visual-theme requirement.</w:t>
      </w:r>
    </w:p>
    <w:p w:rsidR="00622006" w:rsidRDefault="00000000">
      <w:pPr>
        <w:pStyle w:val="ListParagraph"/>
      </w:pPr>
      <w:r>
        <w:t>• A ticker-only input produces a usable watchlist without invented portfolio metrics. A current holdings CSV produces correct values and allocation weights. A quarterly activity CSV produces historical action analysis without pretending to be a full current holdings snapshot.</w:t>
      </w:r>
    </w:p>
    <w:p w:rsidR="00622006" w:rsidRDefault="00000000">
      <w:pPr>
        <w:pStyle w:val="ListParagraph"/>
      </w:pPr>
      <w:r>
        <w:t>• For a single-currency holdings fixture with 10 shares priced at 100 and 5 shares priced at 200, verify that the covered total is 2,000 and each weight is 50%. If one price is missing, clearly label the remaining valuation as partial.</w:t>
      </w:r>
    </w:p>
    <w:p w:rsidR="00622006" w:rsidRDefault="00000000">
      <w:pPr>
        <w:pStyle w:val="ListParagraph"/>
      </w:pPr>
      <w:r>
        <w:t>• Verify that one initial disclosure, one addition, one reduction, and one exit produce separate action counts. Verify that a missing quantity remains missing, a 0.00% weight does not erase a position, and a valid exit followed by a new position is recognized as re-entry.</w:t>
      </w:r>
    </w:p>
    <w:p w:rsidR="00622006" w:rsidRDefault="00000000">
      <w:pPr>
        <w:pStyle w:val="ListParagraph"/>
      </w:pPr>
      <w:r>
        <w:t>• For a synthetic price series of 100, 120, and 90, verify a cumulative return of -10% and maximum drawdown of -25%. Test incorrect mappings, duplicate candidates, missing prices, and insufficient return inputs using deterministic fixtures and mocked provider responses.</w:t>
      </w:r>
    </w:p>
    <w:p w:rsidR="00622006" w:rsidRDefault="00000000">
      <w:pPr>
        <w:pStyle w:val="ListParagraph"/>
      </w:pPr>
      <w:r>
        <w:t>• Verify that the chatbot uses the active dataset and filters, identifies missing data, handles operation without credentials, and cannot invoke arbitrary code. Check that a new upload invalidates context from the previous dataset.</w:t>
      </w:r>
    </w:p>
    <w:p w:rsidR="00622006" w:rsidRDefault="00000000">
      <w:pPr>
        <w:pStyle w:val="ListParagraph"/>
      </w:pPr>
      <w:r>
        <w:t>• Smoke test upload, column selection, automatic processing, filters, all four tabs, empty states, source replacement/removal and provider failures. Verify that deselecting action/date columns cannot turn historical activity into current holdings. Report checks actually performed and verification limits; never claim unrun tests passed.</w:t>
      </w:r>
    </w:p>
    <w:p w:rsidR="00622006" w:rsidRDefault="00000000">
      <w:pPr>
        <w:pStyle w:val="Heading1"/>
      </w:pPr>
      <w:r>
        <w:lastRenderedPageBreak/>
        <w:t>7. Expected coding-assistant response</w:t>
      </w:r>
    </w:p>
    <w:p w:rsidR="00622006" w:rsidRDefault="00000000">
      <w:r>
        <w:t>Implement the project in the workspace. Then provide a concise summary of the files created, setup and launch commands, required environment variables, validation performed, and any remaining limitations. Include no secrets. Deliver the working project rather than only describing how it could be built.</w:t>
      </w:r>
    </w:p>
    <w:p>
      <w:r>
        <w:t>Local CSV assistant: implement a deterministic, rule-based assistant using the full validated dataset and active filters. No external language-model API, API key, model name or download is required. Support common questions about additions, reductions, latest-quarter changes, top reported holdings, exits/re-entries, ticker history, missing inputs and chart explanations. Include starter questions, chat history, clear-chat and simple ticker follow-ups. Clearly state that unsupported questions cannot be interpreted; do not pretend to provide unrestricted AI conversation. Never execute user text as code or SQL. Cite CSV observation dates and filter scope. Use existing calculated valuation/risk results only when available and identify their Yahoo source; the chatbot must not fetch market data itself. Reset context when uploads or filters change.</w:t>
      </w:r>
    </w:p>
    <w:p>
      <w:r>
        <w:t>Visual theme and fetching: use appealing gold accents and light-green/sage backgrounds across all four tabs, with readable dark text, a gold active-tab treatment and gold primary buttons. Keep red/green action colors meaningful in analytical charts. Place the gold Fetch / refresh market data button horizontally centered in the CSV Upload tab, below the uploader and column selector; remove the duplicate sidebar action. Keep market date/ticker controls in the sidebar. This fetch button is the explicit exception to the minimal upload-tab controls; do not restore advanced upload options. Disable fetching until a valid dataset is loaded. During fetching show a game-style gold progress bar from 0% to 100%, updated by actual completed symbol requests including unavailable symbols and cache hits. Do not use fake delays or imply 100% price coverage. Show a neutral completion/coverage caption, suppress per-symbol provider errors, and support reduced-motion preferences. Typography: use a classic financial-newspaper-inspired serif style, such as Georgia with Times New Roman fallback, without claiming to reproduce proprietary Wall Street Journal fonts. Increase base text to about 18px; use bold editorial headings and tab labels, a large bold gold-button label (roughly 23–25px on desktop), and chart text of at least 16px. Make captions readable with moderate weight, preserve icon fonts, allow long tab labels to wrap, and keep the layout responsive. Do not load remote fonts.</w:t>
      </w:r>
    </w:p>
    <w:p>
      <w:r>
        <w:t>Header illustration: display the local transparent assets/robot_lens.png beside the Portfolio Lens title, a cheerful cream, sage and gold robot looking through a gold magnifying glass. Render around 104px with descriptive alternative text and a responsive header. The header has no chat cloud, chat button or popover. Keep the local CSV chatbot in the Performance, Risk and Chatbot tab.</w:t>
      </w:r>
    </w:p>
    <w:sectPr w:rsidR="00622006">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3B0"/>
    <w:rsid w:val="000D3E65"/>
    <w:rsid w:val="001B7B69"/>
    <w:rsid w:val="00587CF7"/>
    <w:rsid w:val="005A56D3"/>
    <w:rsid w:val="00617891"/>
    <w:rsid w:val="00622006"/>
    <w:rsid w:val="006F3519"/>
    <w:rsid w:val="008E23C0"/>
    <w:rsid w:val="00A62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43433CA5-910E-6941-8ABB-E1D7C6516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1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keepNext/>
      <w:spacing w:before="240"/>
      <w:outlineLvl w:val="0"/>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sz w:val="36"/>
    </w:rPr>
  </w:style>
  <w:style w:type="paragraph" w:styleId="ListParagraph">
    <w:name w:val="List Paragraph"/>
    <w:basedOn w:val="Normal"/>
    <w:pPr>
      <w:ind w:left="24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2139</Words>
  <Characters>12196</Characters>
  <Application>Microsoft Office Word</Application>
  <DocSecurity>0</DocSecurity>
  <Lines>101</Lines>
  <Paragraphs>28</Paragraphs>
  <ScaleCrop>false</ScaleCrop>
  <Company/>
  <LinksUpToDate>false</LinksUpToDate>
  <CharactersWithSpaces>14307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mtirupari@gmail.com</cp:lastModifiedBy>
  <cp:revision>1</cp:revision>
  <dcterms:created xsi:type="dcterms:W3CDTF">2026-10-10T23:43:00Z</dcterms:created>
  <dcterms:modified xsi:type="dcterms:W3CDTF">2026-10-11T00:10:00Z</dcterms:modified>
</cp:coreProperties>
</file>