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600"/>
            </w:pPr>
          </w:p>
          <w:p>
            <w:pPr>
              <w:pBdr>
                <w:left w:val="single" w:color="37DCF2" w:sz="18" w:space="20"/>
              </w:pBdr>
              <w:spacing w:after="200"/>
              <w:ind w:left="1000"/>
            </w:pPr>
            <w:r>
              <w:rPr>
                <w:rFonts w:ascii="Times New Roman"/>
                <w:color w:val="37DCF2"/>
                <w:spacing w:val="80"/>
                <w:sz w:val="20"/>
                <w:szCs w:val="20"/>
              </w:rPr>
              <w:t xml:space="preserve">CUSTOMER DISCOVERY</w:t>
            </w:r>
          </w:p>
          <w:p>
            <w:pPr>
              <w:spacing w:after="100" w:line="920" w:lineRule="atLeast"/>
              <w:ind w:left="1000"/>
            </w:pPr>
            <w:r>
              <w:rPr>
                <w:rFonts w:ascii="Times New Roman"/>
                <w:b/>
                <w:bCs/>
                <w:color w:val="FFFFFF"/>
                <w:sz w:val="40"/>
                <w:szCs w:val="40"/>
              </w:rPr>
              <w:t xml:space="preserve">AddManuChain Customer Discovery Interview Insights Report</w:t>
            </w:r>
          </w:p>
          <w:p>
            <w:pPr>
              <w:spacing w:after="400" w:line="460" w:lineRule="atLeast"/>
              <w:ind w:left="1000"/>
            </w:pPr>
            <w:r>
              <w:rPr>
                <w:rFonts w:ascii="Times New Roman"/>
                <w:color w:val="B0B8C0"/>
                <w:sz w:val="22"/>
                <w:szCs w:val="22"/>
              </w:rPr>
              <w:t xml:space="preserve">Comprehensive Analysis of 80+ Industry Expert Interviews for Digital Inventory and Additive Manufacturing Supply Chain Platform</w:t>
            </w:r>
          </w:p>
          <w:p>
            <w:pPr>
              <w:spacing w:after="80"/>
              <w:ind w:left="1000"/>
            </w:pPr>
            <w:r>
              <w:rPr>
                <w:rFonts w:ascii="Times New Roman"/>
                <w:color w:val="90989F"/>
                <w:sz w:val="20"/>
                <w:szCs w:val="20"/>
              </w:rPr>
              <w:t xml:space="preserve">Prepared by: Mahmoud Kiasari, PhD</w:t>
            </w:r>
          </w:p>
          <w:p>
            <w:pPr>
              <w:spacing w:after="80"/>
              <w:ind w:left="1000"/>
            </w:pPr>
            <w:r>
              <w:rPr>
                <w:rFonts w:ascii="Times New Roman"/>
                <w:color w:val="90989F"/>
                <w:sz w:val="20"/>
                <w:szCs w:val="20"/>
              </w:rPr>
              <w:t xml:space="preserve">Institution: Dalhousie University</w:t>
            </w:r>
          </w:p>
          <w:p>
            <w:pPr>
              <w:spacing w:after="80"/>
              <w:ind w:left="1000"/>
            </w:pPr>
            <w:r>
              <w:rPr>
                <w:rFonts w:ascii="Times New Roman"/>
                <w:color w:val="90989F"/>
                <w:sz w:val="20"/>
                <w:szCs w:val="20"/>
              </w:rPr>
              <w:t xml:space="preserve">Program: Lab2Market Customer Discovery</w:t>
            </w:r>
          </w:p>
          <w:p>
            <w:pPr>
              <w:spacing w:after="80"/>
              <w:ind w:left="1000"/>
            </w:pPr>
            <w:r>
              <w:rPr>
                <w:rFonts w:ascii="Times New Roman"/>
                <w:color w:val="90989F"/>
                <w:sz w:val="20"/>
                <w:szCs w:val="20"/>
              </w:rPr>
              <w:t xml:space="preserve">Date: June 9, 2026</w:t>
            </w:r>
          </w:p>
          <w:p>
            <w:pPr>
              <w:spacing w:after="80"/>
              <w:ind w:left="1000"/>
            </w:pPr>
            <w:r>
              <w:rPr>
                <w:rFonts w:ascii="Times New Roman"/>
                <w:color w:val="90989F"/>
                <w:sz w:val="20"/>
                <w:szCs w:val="20"/>
              </w:rPr>
              <w:t xml:space="preserve">Classification: Confidential</w:t>
            </w:r>
          </w:p>
          <w:p>
            <w:pPr>
              <w:spacing w:before="1600"/>
            </w:pPr>
          </w:p>
          <w:p>
            <w:pPr>
              <w:ind w:left="1000"/>
            </w:pPr>
            <w:r>
              <w:rPr>
                <w:rFonts w:ascii="Times New Roman"/>
                <w:color w:val="687078"/>
                <w:sz w:val="18"/>
                <w:szCs w:val="18"/>
              </w:rPr>
              <w:t xml:space="preserve">AddManuChain — AI-Powered Digital Inventory &amp; AM Supply Chain Platform</w:t>
            </w:r>
          </w:p>
        </w:tc>
      </w:tr>
    </w:tbl>
    <w:p>
      <w:pPr>
        <w:sectPr>
          <w:pgSz w:w="11906" w:h="16838" w:orient="portrait"/>
          <w:pgMar w:top="0" w:right="0" w:bottom="0" w:left="0" w:header="708" w:footer="708" w:gutter="0"/>
          <w:pgNumType/>
          <w:docGrid w:linePitch="360"/>
        </w:sectPr>
      </w:pPr>
    </w:p>
    <w:p>
      <w:pPr>
        <w:pStyle w:val="Heading1"/>
        <w:spacing w:after="160" w:before="360" w:line="312"/>
      </w:pPr>
      <w:bookmarkStart w:id="100000" w:name="_Toc100000"/>
      <w:r>
        <w:rPr>
          <w:rFonts w:ascii="Times New Roman" w:eastAsia="SimHei"/>
          <w:b/>
          <w:bCs/>
          <w:color w:val="0A1628"/>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Background and Research Objectives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The AddManuChain Platform Vision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Research Objectives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Methodology</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3. Interview Portfolio Overview</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Segment Distribution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3.2 Key Interviewee Profiles</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Core Findings: Universal Pain Points and Opportunities</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4.1 Certification Is the Single Greatest Barrier to AM Adoption</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4.2 Business Case Economics Trump Technology Capabilities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OEM IP Protection Is a Non-Negotiable Requirement</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4.4 Lead Time, Not Cost, Is the Primary Value Driver</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4.5 AI Should Lead, But AM Follows: The Inventory Optimization Pivot</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4.6 The Compliance Pipeline Is the Competitive Moat</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Market Segmentation and Priority Analysis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Segment Priority Matrix</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Defense and Naval: The Beachhead Market</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Offshore Oil and Gas: The High-Value Target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5.4 Mining: Confirmed Poor Fit with Strategic Exceptions</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6. Competitive Landscape and Differentiation</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6.1 Primary Competitors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6.2 AddManuChain Differentiation Strategy</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7. Hypothesis Validation Status</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7.1 Strongly Supported Hypotheses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7.2 Rejected or Contradicted Hypotheses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7.3 Key New Hypotheses Discovered</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8. Product Architecture and Feature Recommendations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8.1 MVP Feature Priorities (Phase 1: 0-6 Months)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8.2 Phase 2 Feature Priorities (6-12 Months)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8.3 Phase 3 Feature Priorities (12-24 Months)</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9. Strategic Pivots and Go-to-Market Recommendations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9.1 Five Critical Strategic Pivots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9.2 Recommended Go-to-Market Sequence</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9.3 Partnership Strategy</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10. Key Quantitative Data Points</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11. Risk Factors and Red Flags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11.1 Critical Risks</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11.2 Mitigation Strategies</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12. Funding and Investment Intelligence</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12.1 Government Funding Pathways</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12.2 Investment Considerations</w:t>
            </w:r>
            <w:r>
              <w:tab/>
            </w:r>
            <w:r>
              <w:fldChar w:fldCharType="begin"/>
            </w:r>
            <w:r>
              <w:instrText xml:space="preserve"> PAGEREF _Toc100042 \h </w:instrText>
            </w:r>
            <w:r>
              <w:fldChar w:fldCharType="separate"/>
            </w:r>
            <w:r>
              <w:t>13</w:t>
            </w:r>
            <w:r>
              <w:fldChar w:fldCharType="end"/>
            </w:r>
          </w:hyperlink>
        </w:p>
        <w:p>
          <w:pPr>
            <w:pStyle w:val="9"/>
            <w:tabs>
              <w:tab w:val="right" w:leader="dot" w:pos="9026"/>
            </w:tabs>
            <w:spacing w:before="120" w:after="60"/>
          </w:pPr>
          <w:hyperlink w:anchor="_Toc100043" w:history="1">
            <w:r>
              <w:rPr>
                <w:rStyle w:val="Hyperlink"/>
              </w:rPr>
              <w:t>13. Conclusions and Recommended Next Actions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13.1 Summary of Key Conclusions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13.2 Recommended Next Actions</w:t>
            </w:r>
            <w:r>
              <w:tab/>
            </w:r>
            <w:r>
              <w:fldChar w:fldCharType="begin"/>
            </w:r>
            <w:r>
              <w:instrText xml:space="preserve"> PAGEREF _Toc100045 \h </w:instrText>
            </w:r>
            <w:r>
              <w:fldChar w:fldCharType="separate"/>
            </w:r>
            <w:r>
              <w:t>14</w:t>
            </w:r>
            <w:r>
              <w:fldChar w:fldCharType="end"/>
            </w:r>
          </w:hyperlink>
        </w:p>
        <w:p>
          <w:pPr>
            <w:pStyle w:val="9"/>
            <w:tabs>
              <w:tab w:val="right" w:leader="dot" w:pos="9026"/>
            </w:tabs>
            <w:spacing w:before="120" w:after="60"/>
          </w:pPr>
          <w:hyperlink w:anchor="_Toc100046" w:history="1">
            <w:r>
              <w:rPr>
                <w:rStyle w:val="Hyperlink"/>
              </w:rPr>
              <w:t>14. Appendix: Complete Interview Index</w:t>
            </w:r>
            <w:r>
              <w:tab/>
            </w:r>
            <w:r>
              <w:fldChar w:fldCharType="begin"/>
            </w:r>
            <w:r>
              <w:instrText xml:space="preserve"> PAGEREF _Toc100046 \h </w:instrText>
            </w:r>
            <w:r>
              <w:fldChar w:fldCharType="separate"/>
            </w:r>
            <w:r>
              <w:t>14</w:t>
            </w:r>
            <w:r>
              <w:fldChar w:fldCharType="end"/>
            </w:r>
          </w:hyperlink>
        </w:p>
        <w:p>
          <w:r>
            <w:fldChar w:fldCharType="end"/>
          </w:r>
        </w:p>
      </w:sdtContent>
    </w:sdt>
    <w:p>
      <w:r>
        <w:rPr>
          <w:rFonts w:ascii="Times New Roman"/>
          <w:i/>
          <w:iCs/>
          <w:color w:val="6878A0"/>
          <w:sz w:val="20"/>
          <w:szCs w:val="20"/>
        </w:rPr>
        <w:t xml:space="preserve">Right-click the Table of Contents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1" w:name="_Toc100001"/>
      <w:r>
        <w:rPr>
          <w:rFonts w:ascii="Times New Roman" w:eastAsia="SimHei"/>
          <w:b/>
          <w:bCs/>
          <w:color w:val="0A1628"/>
          <w:sz w:val="32"/>
          <w:szCs w:val="32"/>
        </w:rPr>
        <w:t xml:space="preserve">1. Executive Summary</w:t>
      </w:r>
      <w:bookmarkEnd w:id="100001"/>
    </w:p>
    <w:p>
      <w:pPr>
        <w:spacing w:after="60" w:line="312"/>
        <w:ind w:firstLine="480"/>
        <w:jc w:val="both"/>
      </w:pPr>
      <w:r>
        <w:rPr>
          <w:rFonts w:ascii="Times New Roman" w:eastAsia="Microsoft YaHei"/>
          <w:color w:val="1A2B40"/>
          <w:sz w:val="24"/>
          <w:szCs w:val="24"/>
        </w:rPr>
        <w:t xml:space="preserve">This report presents a comprehensive analysis of 80+ in-depth interviews conducted between January and May 2026 as part of the AddManuChain Lab2Market customer discovery program. AddManuChain is developing an AI-powered digital inventory and additive manufacturing (AM) supply chain platform designed to connect OEM blueprint owners, certified 3D-printing facilities, and offshore/remote operators for on-demand certified parts production. The research spans six industry segments: Oil and Gas, Defense/Naval, Mining, Aerospace, Maritime, and Utilities, with interviewees ranging from C-suite executives at global energy companies to frontline AM practitioners and regulatory authority representatives.</w:t>
      </w:r>
    </w:p>
    <w:p>
      <w:pPr>
        <w:spacing w:after="60" w:line="312"/>
        <w:ind w:firstLine="480"/>
        <w:jc w:val="both"/>
      </w:pPr>
      <w:r>
        <w:rPr>
          <w:rFonts w:ascii="Times New Roman" w:eastAsia="Microsoft YaHei"/>
          <w:color w:val="1A2B40"/>
          <w:sz w:val="24"/>
          <w:szCs w:val="24"/>
        </w:rPr>
        <w:t xml:space="preserve">The core finding from this extensive research is that the spare parts supply chain for remote and regulated industries is fundamentally broken. Lead times of 3 to 18 months for obsolete or custom parts are commonplace, offshore downtime costs range from $50,000 to $1,000,000 per day, and an estimated 80% of physical spare parts inventory (representing a $4.5 billion industry-wide problem) is never used. These systemic failures create a compelling market opportunity for a digital inventory platform that can compress lead times from months to days while maintaining certification compliance and IP security.</w:t>
      </w:r>
    </w:p>
    <w:p>
      <w:pPr>
        <w:spacing w:after="60" w:line="312"/>
        <w:ind w:firstLine="480"/>
        <w:jc w:val="both"/>
      </w:pPr>
      <w:r>
        <w:rPr>
          <w:rFonts w:ascii="Times New Roman" w:eastAsia="Microsoft YaHei"/>
          <w:color w:val="1A2B40"/>
          <w:sz w:val="24"/>
          <w:szCs w:val="24"/>
        </w:rPr>
        <w:t xml:space="preserve">The interviews revealed several critical strategic pivots that reshape the platform’s go-to-market approach. First, the platform should lead with AI inventory optimization rather than additive manufacturing, as every segment confirmed that working capital optimization and supply chain intelligence represent more immediate and measurable value than AM marketplace connectivity alone. Second, certification is the single most significant barrier to adoption across all regulated industries, and the compliance pipeline—not the print—is the core competitive moat. Third, OEM IP protection is a non-negotiable requirement; cloud-based file sharing models will be rejected by virtually every potential customer. Fourth, the Defense and Naval segment, driven by Canadian sovereignty imperatives and existing government funding mechanisms, represents the strongest beachhead market, while Mining is a confirmed poor fit for current AM economics.</w:t>
      </w:r>
    </w:p>
    <w:p>
      <w:pPr>
        <w:spacing w:after="60" w:line="312"/>
        <w:ind w:firstLine="480"/>
        <w:jc w:val="both"/>
      </w:pPr>
      <w:r>
        <w:rPr>
          <w:rFonts w:ascii="Times New Roman" w:eastAsia="Microsoft YaHei"/>
          <w:color w:val="1A2B40"/>
          <w:sz w:val="24"/>
          <w:szCs w:val="24"/>
        </w:rPr>
        <w:t xml:space="preserve">Key quantitative data points emerged from the research: 89% of manufacturers cite investment costs as the primary adoption barrier, 15% return on investment is the minimum threshold for oil and gas adoption, the inventory-to-asset ratio in remote operations is 8-10%, and only 20% of Canadian manufacturers are actively engaged with digital transformation programs. Canada lags 10 or more years behind Europe and the United States in AM adoption, creating both a challenge and an opportunity for a Canadian-first platform with sovereign resilience positioning.</w:t>
      </w:r>
    </w:p>
    <w:p>
      <w:pPr>
        <w:pStyle w:val="Heading1"/>
        <w:spacing w:after="160" w:before="360" w:line="312"/>
      </w:pPr>
      <w:bookmarkStart w:id="100002" w:name="_Toc100002"/>
      <w:r>
        <w:rPr>
          <w:rFonts w:ascii="Times New Roman" w:eastAsia="SimHei"/>
          <w:b/>
          <w:bCs/>
          <w:color w:val="0A1628"/>
          <w:sz w:val="32"/>
          <w:szCs w:val="32"/>
        </w:rPr>
        <w:t xml:space="preserve">2. Background and Research Objectives</w:t>
      </w:r>
      <w:bookmarkEnd w:id="100002"/>
    </w:p>
    <w:p>
      <w:pPr>
        <w:pStyle w:val="Heading2"/>
        <w:spacing w:after="120" w:before="280" w:line="312"/>
      </w:pPr>
      <w:bookmarkStart w:id="100003" w:name="_Toc100003"/>
      <w:r>
        <w:rPr>
          <w:rFonts w:ascii="Times New Roman" w:eastAsia="SimHei"/>
          <w:b/>
          <w:bCs/>
          <w:color w:val="0A1628"/>
          <w:sz w:val="28"/>
          <w:szCs w:val="28"/>
        </w:rPr>
        <w:t xml:space="preserve">2.1 The AddManuChain Platform Vision</w:t>
      </w:r>
      <w:bookmarkEnd w:id="100003"/>
    </w:p>
    <w:p>
      <w:pPr>
        <w:spacing w:after="60" w:line="312"/>
        <w:ind w:firstLine="480"/>
        <w:jc w:val="both"/>
      </w:pPr>
      <w:r>
        <w:rPr>
          <w:rFonts w:ascii="Times New Roman" w:eastAsia="Microsoft YaHei"/>
          <w:color w:val="1A2B40"/>
          <w:sz w:val="24"/>
          <w:szCs w:val="24"/>
        </w:rPr>
        <w:t xml:space="preserve">AddManuChain is conceived as a two-sided digital marketplace and intelligence platform that bridges the gap between parties who need certified replacement parts (buyers) and parties who can manufacture them (certified AM facilities). The platform’s core workflow involves an OEM or blueprint owner uploading a certified digital part file, a certification authority verifying print compliance through a structured approval pipeline, a certified print center producing the part under controlled conditions, and logistics coordination delivering the part to the end user. The platform aims to transform how remote and regulated industries manage their spare parts supply chains by shifting from physical warehousing to digital inventory.</w:t>
      </w:r>
    </w:p>
    <w:p>
      <w:pPr>
        <w:pStyle w:val="Heading2"/>
        <w:spacing w:after="120" w:before="280" w:line="312"/>
      </w:pPr>
      <w:bookmarkStart w:id="100004" w:name="_Toc100004"/>
      <w:r>
        <w:rPr>
          <w:rFonts w:ascii="Times New Roman" w:eastAsia="SimHei"/>
          <w:b/>
          <w:bCs/>
          <w:color w:val="0A1628"/>
          <w:sz w:val="28"/>
          <w:szCs w:val="28"/>
        </w:rPr>
        <w:t xml:space="preserve">2.2 Research Objectives</w:t>
      </w:r>
      <w:bookmarkEnd w:id="100004"/>
    </w:p>
    <w:p>
      <w:pPr>
        <w:spacing w:after="60" w:line="312"/>
        <w:ind w:firstLine="480"/>
        <w:jc w:val="both"/>
      </w:pPr>
      <w:r>
        <w:rPr>
          <w:rFonts w:ascii="Times New Roman" w:eastAsia="Microsoft YaHei"/>
          <w:color w:val="1A2B40"/>
          <w:sz w:val="24"/>
          <w:szCs w:val="24"/>
        </w:rPr>
        <w:t xml:space="preserve">The customer discovery program was designed to validate or invalidate a set of hypotheses across five customer segments: Clients/Buyers, 3D Printing Facilities, Labs and Authorities, OEMs, and Certification Bodies. The primary research objectives included validating the existence and severity of spare parts supply chain pain points across target industries, understanding the certification and compliance landscape for AM-produced parts, assessing OEM willingness to participate in digital licensing and distributed manufacturing models, identifying the competitive landscape and differentiation opportunities, determining the optimal go-to-market strategy and beachhead market, and uncovering feature priorities and product architecture requirements that would drive adoption.</w:t>
      </w:r>
    </w:p>
    <w:p>
      <w:pPr>
        <w:pStyle w:val="Heading2"/>
        <w:spacing w:after="120" w:before="280" w:line="312"/>
      </w:pPr>
      <w:bookmarkStart w:id="100005" w:name="_Toc100005"/>
      <w:r>
        <w:rPr>
          <w:rFonts w:ascii="Times New Roman" w:eastAsia="SimHei"/>
          <w:b/>
          <w:bCs/>
          <w:color w:val="0A1628"/>
          <w:sz w:val="28"/>
          <w:szCs w:val="28"/>
        </w:rPr>
        <w:t xml:space="preserve">2.3 Methodology</w:t>
      </w:r>
      <w:bookmarkEnd w:id="100005"/>
    </w:p>
    <w:p>
      <w:pPr>
        <w:spacing w:after="60" w:line="312"/>
        <w:ind w:firstLine="480"/>
        <w:jc w:val="both"/>
      </w:pPr>
      <w:r>
        <w:rPr>
          <w:rFonts w:ascii="Times New Roman" w:eastAsia="Microsoft YaHei"/>
          <w:color w:val="1A2B40"/>
          <w:sz w:val="24"/>
          <w:szCs w:val="24"/>
        </w:rPr>
        <w:t xml:space="preserve">This research follows the Lab2Market customer discovery methodology, targeting 100 structured interviews with industry stakeholders across Canada, Europe, and the United States. As of June 2026, over 80 interviews have been completed. Each interview followed a semi-structured protocol with tailored question sets for each customer segment, incorporating both Moskowitz framework elements and domain-specific deep-dive questions. Interviews were conducted virtually, recorded, and subsequently analyzed using thematic analysis to identify patterns, contradictions, and emerging hypotheses. The interview corpus includes full transcripts, analysis documents, follow-up emails, pre-interview briefs, and outreach campaign materials spanning folders 5 through 84 in the research archive.</w:t>
      </w:r>
    </w:p>
    <w:p>
      <w:pPr>
        <w:pStyle w:val="Heading1"/>
        <w:spacing w:after="160" w:before="360" w:line="312"/>
      </w:pPr>
      <w:bookmarkStart w:id="100006" w:name="_Toc100006"/>
      <w:r>
        <w:rPr>
          <w:rFonts w:ascii="Times New Roman" w:eastAsia="SimHei"/>
          <w:b/>
          <w:bCs/>
          <w:color w:val="0A1628"/>
          <w:sz w:val="32"/>
          <w:szCs w:val="32"/>
        </w:rPr>
        <w:t xml:space="preserve">3. Interview Portfolio Overview</w:t>
      </w:r>
      <w:bookmarkEnd w:id="100006"/>
    </w:p>
    <w:p>
      <w:pPr>
        <w:pStyle w:val="Heading2"/>
        <w:spacing w:after="120" w:before="280" w:line="312"/>
      </w:pPr>
      <w:bookmarkStart w:id="100007" w:name="_Toc100007"/>
      <w:r>
        <w:rPr>
          <w:rFonts w:ascii="Times New Roman" w:eastAsia="SimHei"/>
          <w:b/>
          <w:bCs/>
          <w:color w:val="0A1628"/>
          <w:sz w:val="28"/>
          <w:szCs w:val="28"/>
        </w:rPr>
        <w:t xml:space="preserve">3.1 Segment Distribution</w:t>
      </w:r>
      <w:bookmarkEnd w:id="100007"/>
    </w:p>
    <w:p>
      <w:pPr>
        <w:spacing w:after="60" w:line="312"/>
        <w:ind w:firstLine="480"/>
        <w:jc w:val="both"/>
      </w:pPr>
      <w:r>
        <w:rPr>
          <w:rFonts w:ascii="Times New Roman" w:eastAsia="Microsoft YaHei"/>
          <w:color w:val="1A2B40"/>
          <w:sz w:val="24"/>
          <w:szCs w:val="24"/>
        </w:rPr>
        <w:t xml:space="preserve">The 80+ interviews span the following industry segments, with representation across all five customer segments defined in the original research framework. Oil and Gas operations (both offshore and onshore) constitute the largest single segment with approximately 25 interviews, followed by Defense and Naval with approximately 15 interviews, Maritime and Shipping with approximately 10 interviews, Aerospace and Space with approximately 8 interviews, Mining with approximately 5 interviews, and cross-industry ecosystem participants including certification bodies, government agencies, and technology providers making up the remainder. The geographic distribution includes interviewees from Canada (Newfoundland, Nova Scotia, Alberta, Ontario, Quebec), the United States (Houston, Washington DC), Europe (Austria, UK, Germany, Norway, France), and Singapore.</w:t>
      </w:r>
    </w:p>
    <w:p>
      <w:pPr>
        <w:pStyle w:val="Heading2"/>
        <w:spacing w:after="120" w:before="280" w:line="312"/>
      </w:pPr>
      <w:bookmarkStart w:id="100008" w:name="_Toc100008"/>
      <w:r>
        <w:rPr>
          <w:rFonts w:ascii="Times New Roman" w:eastAsia="SimHei"/>
          <w:b/>
          <w:bCs/>
          <w:color w:val="0A1628"/>
          <w:sz w:val="28"/>
          <w:szCs w:val="28"/>
        </w:rPr>
        <w:t xml:space="preserve">3.2 Key Interviewee Profiles</w:t>
      </w:r>
      <w:bookmarkEnd w:id="10000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Interview</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Name</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Organization</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Segment</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Key Role</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#5</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Sean Morgan</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Atlantic XL Inc.</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Oil &amp; Gas / Marine</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Director of Operations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#9</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Mark Kirby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Tronosjet / Renishaw</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Aerospace</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AM Manager (7yr Renishaw)</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#10</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Jordan Cumming</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Enginuity / Kraken Robotics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Ocean Tech / Defense</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Business Dev Specialist</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#13</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Lee Vessey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Thales Canada</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Defense / Navy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Innovation Team Lead</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#25</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Kwadwo Ampofo</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Deloitte Canada</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Cross-Industry / SAP</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SAP Business Architect</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#33</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Tyler Beatty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ExxonMobil Canada</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Oil &amp; Gas</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R&amp;D Advisor (18yr)</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#34</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Aaron Plamondon</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Irving Shipbuilding</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Defense / Naval</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Director of ITB</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#45</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Adam Saxty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Lloyd’s Register (UK)</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Marine Certification</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Lead AM Technologist</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#46</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Dave Whitehouse</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Lloyd’s Register</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Naval / Defense</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Advisory Group Manager</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#52</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Scott Humber</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Aker Solutions</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Oil &amp; Gas / EPC</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AM Lead</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#55</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Andre Simha</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MSC</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Global Shipping</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Chief Digital &amp; Info Officer</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#60</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Craig Dicken</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ExxonMobil</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Oil &amp; Gas / Enterprise</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Sr. Principal Materials Mgmt</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#72</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Cassidy Silbernagel</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Exergy Solutions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AM Engineering / O&amp;G</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Head of AM Engineering</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#80</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Sebastian Piegert</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Siemens Energy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Energy / OEM</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Head of AM Tech Development</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#83</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Paleagus CEO</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Paleagus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On-Demand Mfg</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CEO / Founder</w:t>
            </w:r>
          </w:p>
        </w:tc>
      </w:tr>
    </w:tbl>
    <w:p>
      <w:pPr>
        <w:spacing w:before="100"/>
      </w:pPr>
    </w:p>
    <w:p>
      <w:pPr>
        <w:pStyle w:val="Heading1"/>
        <w:spacing w:after="160" w:before="360" w:line="312"/>
      </w:pPr>
      <w:bookmarkStart w:id="100009" w:name="_Toc100009"/>
      <w:r>
        <w:rPr>
          <w:rFonts w:ascii="Times New Roman" w:eastAsia="SimHei"/>
          <w:b/>
          <w:bCs/>
          <w:color w:val="0A1628"/>
          <w:sz w:val="32"/>
          <w:szCs w:val="32"/>
        </w:rPr>
        <w:t xml:space="preserve">4. Core Findings: Universal Pain Points and Opportunities</w:t>
      </w:r>
      <w:bookmarkEnd w:id="100009"/>
    </w:p>
    <w:p>
      <w:pPr>
        <w:pStyle w:val="Heading2"/>
        <w:spacing w:after="120" w:before="280" w:line="312"/>
      </w:pPr>
      <w:bookmarkStart w:id="100010" w:name="_Toc100010"/>
      <w:r>
        <w:rPr>
          <w:rFonts w:ascii="Times New Roman" w:eastAsia="SimHei"/>
          <w:b/>
          <w:bCs/>
          <w:color w:val="0A1628"/>
          <w:sz w:val="28"/>
          <w:szCs w:val="28"/>
        </w:rPr>
        <w:t xml:space="preserve">4.1 Certification Is the Single Greatest Barrier to AM Adoption</w:t>
      </w:r>
      <w:bookmarkEnd w:id="100010"/>
    </w:p>
    <w:p>
      <w:pPr>
        <w:spacing w:after="60" w:line="312"/>
        <w:ind w:firstLine="480"/>
        <w:jc w:val="both"/>
      </w:pPr>
      <w:r>
        <w:rPr>
          <w:rFonts w:ascii="Times New Roman" w:eastAsia="Microsoft YaHei"/>
          <w:color w:val="1A2B40"/>
          <w:sz w:val="24"/>
          <w:szCs w:val="24"/>
        </w:rPr>
        <w:t xml:space="preserve">Across virtually every interview, certification emerged as the most significant structural barrier to additive manufacturing adoption in regulated industries. Dr. Ali Nasiri of Dalhousie University stated that “AM developed so fast that authorities couldn’t catch up,” a sentiment echoed by Lloyd’s Register’s Adam Saxty, who provided the most authoritative breakdown of the AM certification pathway in the entire research program. His complete 7-step framework—spanning Design Review, Material Specification, Facility Qualification, Feedstock Qualification, Part Qualification/Prototype, Production Certification, and Installation Approval—reveals that while the pathway exists, it is case-by-case, not standardized, and costly in both time and money.</w:t>
      </w:r>
    </w:p>
    <w:p>
      <w:pPr>
        <w:spacing w:after="60" w:line="312"/>
        <w:ind w:firstLine="480"/>
        <w:jc w:val="both"/>
      </w:pPr>
      <w:r>
        <w:rPr>
          <w:rFonts w:ascii="Times New Roman" w:eastAsia="Microsoft YaHei"/>
          <w:color w:val="1A2B40"/>
          <w:sz w:val="24"/>
          <w:szCs w:val="24"/>
        </w:rPr>
        <w:t xml:space="preserve">John Lidstone at Atlantic XL documented 86 certification templates in active use for Lloyd’s Register compliance alone, with a 4-year certification process. Lee Vessey at Thales Canada is leading a $360,000 project just to create the certification regime for Canadian Navy AM parts. ExxonMobil’s Tyler Beatty described the “Value-Capability-Permission” Venn diagram, where Value and Capability are proven but Permission (certification) remains blocked, noting that “certifying authorities haven’t led the charge.” Andrew Smith reported that Atlantic XL charges “two orders of magnitude more” for certified versus non-certified parts, making certification cost the dominant expense rather than manufacturing cost.</w:t>
      </w:r>
    </w:p>
    <w:p>
      <w:pPr>
        <w:spacing w:after="60" w:line="312"/>
        <w:ind w:firstLine="480"/>
        <w:jc w:val="both"/>
      </w:pPr>
      <w:r>
        <w:rPr>
          <w:rFonts w:ascii="Times New Roman" w:eastAsia="Microsoft YaHei"/>
          <w:color w:val="1A2B40"/>
          <w:sz w:val="24"/>
          <w:szCs w:val="24"/>
        </w:rPr>
        <w:t xml:space="preserve">However, the interviews also revealed that certification barriers vary significantly by industry segment. Utilities and power generation are largely self-regulating, meaning that CSA or UL certification is not always required for non-public environments. Maritime certification operates at the vessel/equipment level rather than individual part level, which is less burdensome than offshore oil and gas certification. Defense has no standardized AM certification framework at all, creating an opportunity for AddManuChain to help define the standard. The strategic implication is clear: the platform must embed certification workflow orchestration as a core feature, and the pre-certified parts library concept—where facility qualification and part qualification are one-time investments amortized across many customers—represents the most powerful unlock for AM adoption at scale.</w:t>
      </w:r>
    </w:p>
    <w:p>
      <w:pPr>
        <w:pStyle w:val="Heading2"/>
        <w:spacing w:after="120" w:before="280" w:line="312"/>
      </w:pPr>
      <w:bookmarkStart w:id="100011" w:name="_Toc100011"/>
      <w:r>
        <w:rPr>
          <w:rFonts w:ascii="Times New Roman" w:eastAsia="SimHei"/>
          <w:b/>
          <w:bCs/>
          <w:color w:val="0A1628"/>
          <w:sz w:val="28"/>
          <w:szCs w:val="28"/>
        </w:rPr>
        <w:t xml:space="preserve">4.2 Business Case Economics Trump Technology Capabilities</w:t>
      </w:r>
      <w:bookmarkEnd w:id="100011"/>
    </w:p>
    <w:p>
      <w:pPr>
        <w:spacing w:after="60" w:line="312"/>
        <w:ind w:firstLine="480"/>
        <w:jc w:val="both"/>
      </w:pPr>
      <w:r>
        <w:rPr>
          <w:rFonts w:ascii="Times New Roman" w:eastAsia="Microsoft YaHei"/>
          <w:color w:val="1A2B40"/>
          <w:sz w:val="24"/>
          <w:szCs w:val="24"/>
        </w:rPr>
        <w:t xml:space="preserve">A universal finding across all segments is that the business case, not the technology, determines adoption. Mark Kirby from Tronosjet/Renishaw provided the most forceful articulation: “The biggest barrier is the business case.” He emphasized that AM is a “5% solution” at best—meaning the platform must be exceptionally good at identifying the right 5% of parts where AM delivers value. OMV’s Mikhail Gladkikh and Chris independently confirmed a 15% ROI threshold as the minimum for oil and gas technology adoption. Clearwater Seafoods, an active AM user on vessels, reported they “haven’t found enough tangible benefits to invest bigger,” validating the business case barrier even among early adopters.</w:t>
      </w:r>
    </w:p>
    <w:p>
      <w:pPr>
        <w:spacing w:after="60" w:line="312"/>
        <w:ind w:firstLine="480"/>
        <w:jc w:val="both"/>
      </w:pPr>
      <w:r>
        <w:rPr>
          <w:rFonts w:ascii="Times New Roman" w:eastAsia="Microsoft YaHei"/>
          <w:color w:val="1A2B40"/>
          <w:sz w:val="24"/>
          <w:szCs w:val="24"/>
        </w:rPr>
        <w:t xml:space="preserve">The most powerful ROI framing emerged from Douglas Garcia-Golindano at Equinor: “1-2% capex in spare parts protects 98% of production value.” This framing transforms the value proposition from “cost reduction through digital inventory” to “production assurance through intelligent parts management.” Kwadwo Ampofo at Deloitte revealed that working capital—not storage costs—is the primary ROI driver, and that the CFO, not the supply chain manager, is the true decision owner for inventory optimization investments. His insight that “insurance stock” (mandatory “just in case” parts) represents the highest-value entry point for digital conversion is strategically critical because it targets parts that must be held regardless of demand probability, making the ROI case straightforward and compelling.</w:t>
      </w:r>
    </w:p>
    <w:p>
      <w:pPr>
        <w:spacing w:after="60" w:line="312"/>
        <w:ind w:firstLine="480"/>
        <w:jc w:val="both"/>
      </w:pPr>
      <w:r>
        <w:rPr>
          <w:rFonts w:ascii="Times New Roman" w:eastAsia="Microsoft YaHei"/>
          <w:color w:val="1A2B40"/>
          <w:sz w:val="24"/>
          <w:szCs w:val="24"/>
        </w:rPr>
        <w:t xml:space="preserve">The cross-budget ROI misalignment identified by Mark Kirby is particularly important for platform design. In his medical device example, a 3x more expensive AM part saves 2 days of hospital recovery—but the savings appear in the clinical budget while the cost appears in the procurement budget. AddManuChain should build a “Business Case Calculator” that maps cross-budget economics, showing procurement costs against downtime savings, working capital reduction, and logistics simplification in a unified view.</w:t>
      </w:r>
    </w:p>
    <w:p>
      <w:pPr>
        <w:pStyle w:val="Heading2"/>
        <w:spacing w:after="120" w:before="280" w:line="312"/>
      </w:pPr>
      <w:bookmarkStart w:id="100012" w:name="_Toc100012"/>
      <w:r>
        <w:rPr>
          <w:rFonts w:ascii="Times New Roman" w:eastAsia="SimHei"/>
          <w:b/>
          <w:bCs/>
          <w:color w:val="0A1628"/>
          <w:sz w:val="28"/>
          <w:szCs w:val="28"/>
        </w:rPr>
        <w:t xml:space="preserve">4.3 OEM IP Protection Is a Non-Negotiable Requirement</w:t>
      </w:r>
      <w:bookmarkEnd w:id="100012"/>
    </w:p>
    <w:p>
      <w:pPr>
        <w:spacing w:after="60" w:line="312"/>
        <w:ind w:firstLine="480"/>
        <w:jc w:val="both"/>
      </w:pPr>
      <w:r>
        <w:rPr>
          <w:rFonts w:ascii="Times New Roman" w:eastAsia="Microsoft YaHei"/>
          <w:color w:val="1A2B40"/>
          <w:sz w:val="24"/>
          <w:szCs w:val="24"/>
        </w:rPr>
        <w:t xml:space="preserve">OEM IP protection was raised as a critical concern in over 20 interviews and was often the first objection voiced before the AddManuChain pitch was even presented. Nicole Rathie of NGen provided the most instructive case study: the Select AM tool succeeded precisely because “CAD files don’t leave the person’s computer,” proving that on-premise processing is the viable architecture for IP-sensitive manufacturing applications. Chris at OMV stated that “People will hide behind IP,” while Jim Granger, with 15 years at GE, confirmed that the closed-data approach is non-negotiable in aerospace. The Assembly Studio in PEI built their entire business model around IP security, with a Raspberry Pi local hardware model that ensures no cloud uploads of design files.</w:t>
      </w:r>
    </w:p>
    <w:p>
      <w:pPr>
        <w:spacing w:after="60" w:line="312"/>
        <w:ind w:firstLine="480"/>
        <w:jc w:val="both"/>
      </w:pPr>
      <w:r>
        <w:rPr>
          <w:rFonts w:ascii="Times New Roman" w:eastAsia="Microsoft YaHei"/>
          <w:color w:val="1A2B40"/>
          <w:sz w:val="24"/>
          <w:szCs w:val="24"/>
        </w:rPr>
        <w:t xml:space="preserve">Sebastian Piegert at Siemens Energy provided the OEM perspective: they see distributed manufacturing primarily as a threat that erodes service revenue, reduces customer control, and introduces quality risk. However, he also noted that for non-IP-critical legacy fleet components, OEMs are pragmatic—“If it brings value, why not?” The hydrogen transition is creating a time-limited opportunity: new designs are IP-critical and will never be produced externally, but the legacy fleet of existing parts represents a window where OEM cooperation is achievable. Paleagus CEO reinforced this point: OEMs don’t want brokerage; they want operational responsibility taken by a trusted partner who handles design governance, QA, certification, and liability.</w:t>
      </w:r>
    </w:p>
    <w:p>
      <w:pPr>
        <w:spacing w:after="60" w:line="312"/>
        <w:ind w:firstLine="480"/>
        <w:jc w:val="both"/>
      </w:pPr>
      <w:r>
        <w:rPr>
          <w:rFonts w:ascii="Times New Roman" w:eastAsia="Microsoft YaHei"/>
          <w:color w:val="1A2B40"/>
          <w:sz w:val="24"/>
          <w:szCs w:val="24"/>
        </w:rPr>
        <w:t xml:space="preserve">The strategic implication is that AddManuChain must adopt a zero-knowledge or on-premise architecture where CAD files never leave the OEM’s controlled environment. The DRM token pipeline—single-use cryptographic release of print authorization—is a core innovation worth patenting. Revenue-share models with per-print royalties to OEMs, as suggested by Keith Healey, can transform OEMs from skeptics into willing licensors.</w:t>
      </w:r>
    </w:p>
    <w:p>
      <w:pPr>
        <w:pStyle w:val="Heading2"/>
        <w:spacing w:after="120" w:before="280" w:line="312"/>
      </w:pPr>
      <w:bookmarkStart w:id="100013" w:name="_Toc100013"/>
      <w:r>
        <w:rPr>
          <w:rFonts w:ascii="Times New Roman" w:eastAsia="SimHei"/>
          <w:b/>
          <w:bCs/>
          <w:color w:val="0A1628"/>
          <w:sz w:val="28"/>
          <w:szCs w:val="28"/>
        </w:rPr>
        <w:t xml:space="preserve">4.4 Lead Time, Not Cost, Is the Primary Value Driver</w:t>
      </w:r>
      <w:bookmarkEnd w:id="100013"/>
    </w:p>
    <w:p>
      <w:pPr>
        <w:spacing w:after="60" w:line="312"/>
        <w:ind w:firstLine="480"/>
        <w:jc w:val="both"/>
      </w:pPr>
      <w:r>
        <w:rPr>
          <w:rFonts w:ascii="Times New Roman" w:eastAsia="Microsoft YaHei"/>
          <w:color w:val="1A2B40"/>
          <w:sz w:val="24"/>
          <w:szCs w:val="24"/>
        </w:rPr>
        <w:t xml:space="preserve">Multiple interviewees across Defense, Mining, Oil and Gas, and Maritime independently confirmed that lead time reduction, not cost savings, is the most compelling value proposition. Cameron Munro at DRDC Atlantic reported 1-2 year procurement timelines for critical submarine components. David Bursey at Cenovus Energy described supply chain delays measured in weeks for even simple bolts. Mike Lenart at Greenstone Gold Mines shared the “$15 part / $5,000 shipping” problem—a polymer generator component worth $15 cost $5,000 to ship to a remote mine site. Dave Whitehouse at Lloyd’s Register confirmed that Canadian Navy ship availability is only 30-50% against a target of 70-80%, with spare parts delays being a primary driver.</w:t>
      </w:r>
    </w:p>
    <w:p>
      <w:pPr>
        <w:spacing w:after="60" w:line="312"/>
        <w:ind w:firstLine="480"/>
        <w:jc w:val="both"/>
      </w:pPr>
      <w:r>
        <w:rPr>
          <w:rFonts w:ascii="Times New Roman" w:eastAsia="Microsoft YaHei"/>
          <w:color w:val="1A2B40"/>
          <w:sz w:val="24"/>
          <w:szCs w:val="24"/>
        </w:rPr>
        <w:t xml:space="preserve">The lead-time-driven value proposition is especially powerful in remote and Arctic operations where seasonal logistics create hard deadlines. Jean-Michel Fortin at Agnico Eagle Mines described the 1.5 to 4 month operating season that requires 12-month advance ordering. Mike Paulin at C-CORE detailed the three-window Arctic access model: open water, solid ice, and the stranded period during ice formation and breakup when only helicopter access is possible. Adam Chubbs provided the first quantitative inventory data: $4-5 million in inventory for a $50 million asset base, an 8-10% ratio, with sealift (summer) versus air freight (winter) creating massive cost differentials. These conditions make the “print on demand” value proposition compelling regardless of whether the per-part cost is higher than conventional manufacturing.</w:t>
      </w:r>
    </w:p>
    <w:p>
      <w:pPr>
        <w:pStyle w:val="Heading2"/>
        <w:spacing w:after="120" w:before="280" w:line="312"/>
      </w:pPr>
      <w:bookmarkStart w:id="100014" w:name="_Toc100014"/>
      <w:r>
        <w:rPr>
          <w:rFonts w:ascii="Times New Roman" w:eastAsia="SimHei"/>
          <w:b/>
          <w:bCs/>
          <w:color w:val="0A1628"/>
          <w:sz w:val="28"/>
          <w:szCs w:val="28"/>
        </w:rPr>
        <w:t xml:space="preserve">4.5 AI Should Lead, But AM Follows: The Inventory Optimization Pivot</w:t>
      </w:r>
      <w:bookmarkEnd w:id="100014"/>
    </w:p>
    <w:p>
      <w:pPr>
        <w:spacing w:after="60" w:line="312"/>
        <w:ind w:firstLine="480"/>
        <w:jc w:val="both"/>
      </w:pPr>
      <w:r>
        <w:rPr>
          <w:rFonts w:ascii="Times New Roman" w:eastAsia="Microsoft YaHei"/>
          <w:color w:val="1A2B40"/>
          <w:sz w:val="24"/>
          <w:szCs w:val="24"/>
        </w:rPr>
        <w:t xml:space="preserve">One of the most significant strategic pivots discovered through the interviews is that AI-powered inventory optimization represents a more immediate and universally valued entry point than AM marketplace connectivity. Jordan Cumming’s second meeting was decisive: he rated “knowledge capture / workforce memory” as the highest-impact value proposition and concluded that “AI-enabled inventory optimization is need-to-have, while AM is nice-to-have.” He recommended positioning AM as a Phase 2 capability downstream of the AI inventory platform. OMV’s Chris and Mikhail independently stated that “Inventory management should be fully AI-based,” providing strong validation for this positioning.</w:t>
      </w:r>
    </w:p>
    <w:p>
      <w:pPr>
        <w:spacing w:after="60" w:line="312"/>
        <w:ind w:firstLine="480"/>
        <w:jc w:val="both"/>
      </w:pPr>
      <w:r>
        <w:rPr>
          <w:rFonts w:ascii="Times New Roman" w:eastAsia="Microsoft YaHei"/>
          <w:color w:val="1A2B40"/>
          <w:sz w:val="24"/>
          <w:szCs w:val="24"/>
        </w:rPr>
        <w:t xml:space="preserve">Mark Kirby offered the “signal processing” metaphor: the platform should focus on clarifying supply chain signals rather than just connecting buyers and sellers. Kwadwo Ampofo at Deloitte cautioned that “AI will just muddy the waters” if supply chain fundamentals are not solved first, recommending that the platform solve basic supply chain visibility and optimization before layering on AI-driven features. Cynthia Clark revealed the “Tomato Problem”—the same physical component exists under 8-10 different part numbers across systems, and no AI tool yet solves this normalization problem. This data normalization challenge represents a high-value AI application that is independent of AM and could serve as the platform’s initial standalone feature.</w:t>
      </w:r>
    </w:p>
    <w:p>
      <w:pPr>
        <w:spacing w:after="60" w:line="312"/>
        <w:ind w:firstLine="480"/>
        <w:jc w:val="both"/>
      </w:pPr>
      <w:r>
        <w:rPr>
          <w:rFonts w:ascii="Times New Roman" w:eastAsia="Microsoft YaHei"/>
          <w:color w:val="1A2B40"/>
          <w:sz w:val="24"/>
          <w:szCs w:val="24"/>
        </w:rPr>
        <w:t xml:space="preserve">The consensus position that emerged is a two-pillar value proposition: first, AI-powered supply chain optimization and inventory intelligence, and second, knowledge capture and digital inventory with AM as the downstream manufacturing fulfillment mechanism. This reframing positions AddManuChain not as a 3D printing marketplace but as an intelligent supply chain platform where AM is one of several fulfillment options.</w:t>
      </w:r>
    </w:p>
    <w:p>
      <w:pPr>
        <w:pStyle w:val="Heading2"/>
        <w:spacing w:after="120" w:before="280" w:line="312"/>
      </w:pPr>
      <w:bookmarkStart w:id="100015" w:name="_Toc100015"/>
      <w:r>
        <w:rPr>
          <w:rFonts w:ascii="Times New Roman" w:eastAsia="SimHei"/>
          <w:b/>
          <w:bCs/>
          <w:color w:val="0A1628"/>
          <w:sz w:val="28"/>
          <w:szCs w:val="28"/>
        </w:rPr>
        <w:t xml:space="preserve">4.6 The Compliance Pipeline Is the Competitive Moat</w:t>
      </w:r>
      <w:bookmarkEnd w:id="100015"/>
    </w:p>
    <w:p>
      <w:pPr>
        <w:spacing w:after="60" w:line="312"/>
        <w:ind w:firstLine="480"/>
        <w:jc w:val="both"/>
      </w:pPr>
      <w:r>
        <w:rPr>
          <w:rFonts w:ascii="Times New Roman" w:eastAsia="Microsoft YaHei"/>
          <w:color w:val="1A2B40"/>
          <w:sz w:val="24"/>
          <w:szCs w:val="24"/>
        </w:rPr>
        <w:t xml:space="preserve">Multiple interviews converged on the insight that the compliance pipeline—the certified, traceable, auditable path from part request to qualified delivery—is the platform’s primary differentiator, not the print centers themselves. Steven from Polyunity Tech articulated this most clearly: “The compliance pipeline IS the product—not the print.” Their three-tier platform model demonstrates that the approval cascade, where once a part is approved by one organization all future organizations can reuse that approval, eliminates 50% of sales friction. Cassidy Silbernagel at Exergy Solutions confirmed that the digital thread is broken everywhere: traceability is constantly lost from design through machine, post-processing, and inspection, making a unified digital thread a core platform opportunity.</w:t>
      </w:r>
    </w:p>
    <w:p>
      <w:pPr>
        <w:spacing w:after="60" w:line="312"/>
        <w:ind w:firstLine="480"/>
        <w:jc w:val="both"/>
      </w:pPr>
      <w:r>
        <w:rPr>
          <w:rFonts w:ascii="Times New Roman" w:eastAsia="Microsoft YaHei"/>
          <w:color w:val="1A2B40"/>
          <w:sz w:val="24"/>
          <w:szCs w:val="24"/>
        </w:rPr>
        <w:t xml:space="preserve">Paleagus CEO reinforced this by noting that OEMs don’t want brokerage—if you’re just connecting them to a printer, what’s the value? The platform must take operational responsibility for design governance, QA, certification, and liability. Craig Dicken at ExxonMobil introduced the Digital Readiness Level (DRL 1-3) framework, where getting from a scan (DRL 1) to a qualified part (DRL 3) can cost $5,000-$20,000 per part. The pre-certified parts library concept amortizes this DRL 3 qualification cost across 100+ customers, making it the single most powerful economic argument for a platform approach over individual company AM adoption.</w:t>
      </w:r>
    </w:p>
    <w:p>
      <w:pPr>
        <w:pStyle w:val="Heading1"/>
        <w:spacing w:after="160" w:before="360" w:line="312"/>
      </w:pPr>
      <w:bookmarkStart w:id="100016" w:name="_Toc100016"/>
      <w:r>
        <w:rPr>
          <w:rFonts w:ascii="Times New Roman" w:eastAsia="SimHei"/>
          <w:b/>
          <w:bCs/>
          <w:color w:val="0A1628"/>
          <w:sz w:val="32"/>
          <w:szCs w:val="32"/>
        </w:rPr>
        <w:t xml:space="preserve">5. Market Segmentation and Priority Analysis</w:t>
      </w:r>
      <w:bookmarkEnd w:id="100016"/>
    </w:p>
    <w:p>
      <w:pPr>
        <w:pStyle w:val="Heading2"/>
        <w:spacing w:after="120" w:before="280" w:line="312"/>
      </w:pPr>
      <w:bookmarkStart w:id="100017" w:name="_Toc100017"/>
      <w:r>
        <w:rPr>
          <w:rFonts w:ascii="Times New Roman" w:eastAsia="SimHei"/>
          <w:b/>
          <w:bCs/>
          <w:color w:val="0A1628"/>
          <w:sz w:val="28"/>
          <w:szCs w:val="28"/>
        </w:rPr>
        <w:t xml:space="preserve">5.1 Segment Priority Matrix</w:t>
      </w:r>
      <w:bookmarkEnd w:id="100017"/>
    </w:p>
    <w:p>
      <w:pPr>
        <w:spacing w:after="60" w:line="312"/>
        <w:ind w:firstLine="480"/>
        <w:jc w:val="both"/>
      </w:pPr>
      <w:r>
        <w:rPr>
          <w:rFonts w:ascii="Times New Roman" w:eastAsia="Microsoft YaHei"/>
          <w:color w:val="1A2B40"/>
          <w:sz w:val="24"/>
          <w:szCs w:val="24"/>
        </w:rPr>
        <w:t xml:space="preserve">Based on the cumulative evidence from 80+ interviews, the following segment priority matrix reflects both the strength of validated pain points and the feasibility of platform entry. Each segment is evaluated on four dimensions: pain severity (downtime costs and lead time urgency), certification feasibility (how achievable is AM certification), IP landscape (OEM willingness and obsolete parts availability), and market accessibility (existing relationships and funding mechanisms).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Segment</w:t>
            </w:r>
          </w:p>
        </w:tc>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Priority</w:t>
            </w:r>
          </w:p>
        </w:tc>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Pain Severity</w:t>
            </w:r>
          </w:p>
        </w:tc>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Cert Feasibility</w:t>
            </w:r>
          </w:p>
        </w:tc>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IP Landscape</w:t>
            </w:r>
          </w:p>
        </w:tc>
        <w:tc>
          <w:tcPr>
            <w:tcW w:type="pct" w:w="16%"/>
            <w:shd w:fill="1B6B7A" w:val="clear"/>
            <w:tcMar>
              <w:top w:type="dxa" w:w="60"/>
              <w:left w:type="dxa" w:w="120"/>
              <w:bottom w:type="dxa" w:w="60"/>
              <w:right w:type="dxa" w:w="120"/>
            </w:tcMar>
          </w:tcPr>
          <w:p>
            <w:r>
              <w:rPr>
                <w:rFonts w:ascii="Times New Roman" w:eastAsia="SimHei"/>
                <w:b/>
                <w:bCs/>
                <w:color w:val="FFFFFF"/>
                <w:sz w:val="21"/>
                <w:szCs w:val="21"/>
              </w:rPr>
              <w:t xml:space="preserve">Market Access</w:t>
            </w:r>
          </w:p>
        </w:tc>
      </w:tr>
      <w:tr>
        <w:trPr>
          <w:cantSplit/>
        </w:trPr>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Defense / Naval</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#1</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Very High</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Medium (no std)</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Favorable (Crown IP)</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Very High (ITB/IRAP)</w:t>
            </w:r>
          </w:p>
        </w:tc>
      </w:tr>
      <w:tr>
        <w:trPr>
          <w:cantSplit/>
        </w:trPr>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Offshore Oil &amp; Gas</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#2</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Very High</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Mixed</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High</w:t>
            </w:r>
          </w:p>
        </w:tc>
      </w:tr>
      <w:tr>
        <w:trPr>
          <w:cantSplit/>
        </w:trPr>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Remote Mining</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#3</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High</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Low-Medium</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Favorable (obsolete)</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Medium</w:t>
            </w:r>
          </w:p>
        </w:tc>
      </w:tr>
      <w:tr>
        <w:trPr>
          <w:cantSplit/>
        </w:trPr>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Maritime / Shipping</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#4</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Medium-High</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High (vessel-level)</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Mixed</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r>
      <w:tr>
        <w:trPr>
          <w:cantSplit/>
        </w:trPr>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Aerospace MRO</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#5</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High</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Low (MMPDS gap)</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Unfavorable</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Low-Medium</w:t>
            </w:r>
          </w:p>
        </w:tc>
      </w:tr>
      <w:tr>
        <w:trPr>
          <w:cantSplit/>
        </w:trPr>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Utilities / Power</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#6</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High (self-reg)</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Favorable</w:t>
            </w:r>
          </w:p>
        </w:tc>
        <w:tc>
          <w:tcPr>
            <w:tcW w:type="pct" w:w="16%"/>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r>
      <w:tr>
        <w:trPr>
          <w:cantSplit/>
        </w:trPr>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Space / Satellite</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#7</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High (AM-native)</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Favorable</w:t>
            </w:r>
          </w:p>
        </w:tc>
        <w:tc>
          <w:tcPr>
            <w:tcW w:type="pct" w:w="16%"/>
            <w:shd w:fill="F4F8FC" w:val="clear"/>
            <w:tcMar>
              <w:top w:type="dxa" w:w="60"/>
              <w:left w:type="dxa" w:w="120"/>
              <w:bottom w:type="dxa" w:w="60"/>
              <w:right w:type="dxa" w:w="120"/>
            </w:tcMar>
          </w:tcPr>
          <w:p>
            <w:r>
              <w:rPr>
                <w:rFonts w:ascii="Times New Roman" w:eastAsia="Microsoft YaHei"/>
                <w:color w:val="1A2B40"/>
                <w:sz w:val="21"/>
                <w:szCs w:val="21"/>
              </w:rPr>
              <w:t xml:space="preserve">Low</w:t>
            </w:r>
          </w:p>
        </w:tc>
      </w:tr>
    </w:tbl>
    <w:p>
      <w:pPr>
        <w:spacing w:before="100"/>
      </w:pPr>
    </w:p>
    <w:p>
      <w:pPr>
        <w:pStyle w:val="Heading2"/>
        <w:spacing w:after="120" w:before="280" w:line="312"/>
      </w:pPr>
      <w:bookmarkStart w:id="100018" w:name="_Toc100018"/>
      <w:r>
        <w:rPr>
          <w:rFonts w:ascii="Times New Roman" w:eastAsia="SimHei"/>
          <w:b/>
          <w:bCs/>
          <w:color w:val="0A1628"/>
          <w:sz w:val="28"/>
          <w:szCs w:val="28"/>
        </w:rPr>
        <w:t xml:space="preserve">5.2 Defense and Naval: The Beachhead Market</w:t>
      </w:r>
      <w:bookmarkEnd w:id="100018"/>
    </w:p>
    <w:p>
      <w:pPr>
        <w:spacing w:after="60" w:line="312"/>
        <w:ind w:firstLine="480"/>
        <w:jc w:val="both"/>
      </w:pPr>
      <w:r>
        <w:rPr>
          <w:rFonts w:ascii="Times New Roman" w:eastAsia="Microsoft YaHei"/>
          <w:color w:val="1A2B40"/>
          <w:sz w:val="24"/>
          <w:szCs w:val="24"/>
        </w:rPr>
        <w:t xml:space="preserve">The Defense and Naval segment emerged as the strongest beachhead market for AddManuChain, validated by multiple converging lines of evidence. Lee Vessey at Thales Canada is leading a $360,000 AM project for Arctic Patrol Vessels, with a clear e-inventory vision: “I will buy the 3D model and the license—I’ve got an unlimited warehouse of electronic inventory.” Dave Whitehouse at Lloyd’s Register revealed that Canadian Navy ship availability is only 30-50%, with spare parts delays being a primary driver, and that the Victoria-class submarine program represents an extreme obsolescence crisis with thousands of parts no longer available from any supplier. Brian May at DRDC confirmed that procurement process is the number one bottleneck—they literally postpone trials because they cannot buy parts fast enough.</w:t>
      </w:r>
    </w:p>
    <w:p>
      <w:pPr>
        <w:spacing w:after="60" w:line="312"/>
        <w:ind w:firstLine="480"/>
        <w:jc w:val="both"/>
      </w:pPr>
      <w:r>
        <w:rPr>
          <w:rFonts w:ascii="Times New Roman" w:eastAsia="Microsoft YaHei"/>
          <w:color w:val="1A2B40"/>
          <w:sz w:val="24"/>
          <w:szCs w:val="24"/>
        </w:rPr>
        <w:t xml:space="preserve">Aaron Plamondon at Irving Shipbuilding provided critical context: despite years of investment, not a single AM part has been produced for the Navy through the MAMCE program, blocked by the absence of a leadership decision at the Admiral level. However, the new submarine program coming in summer 2026 represents a near-term opportunity window. The ITB (Industrial Technological Benefits) process at Irving provides a pathway for AddManuChain to gain entry through university R&amp;D partnerships that generate ITB credits. The Arctic sovereignty angle—confirmed by Dave Whitehouse, Keith Healey, and multiple DRDC representatives—provides the political and funding justification that makes defense the segment where government mandate can break the chicken-and-egg marketplace problem.</w:t>
      </w:r>
    </w:p>
    <w:p>
      <w:pPr>
        <w:pStyle w:val="Heading2"/>
        <w:spacing w:after="120" w:before="280" w:line="312"/>
      </w:pPr>
      <w:bookmarkStart w:id="100019" w:name="_Toc100019"/>
      <w:r>
        <w:rPr>
          <w:rFonts w:ascii="Times New Roman" w:eastAsia="SimHei"/>
          <w:b/>
          <w:bCs/>
          <w:color w:val="0A1628"/>
          <w:sz w:val="28"/>
          <w:szCs w:val="28"/>
        </w:rPr>
        <w:t xml:space="preserve">5.3 Offshore Oil and Gas: The High-Value Target</w:t>
      </w:r>
      <w:bookmarkEnd w:id="100019"/>
    </w:p>
    <w:p>
      <w:pPr>
        <w:spacing w:after="60" w:line="312"/>
        <w:ind w:firstLine="480"/>
        <w:jc w:val="both"/>
      </w:pPr>
      <w:r>
        <w:rPr>
          <w:rFonts w:ascii="Times New Roman" w:eastAsia="Microsoft YaHei"/>
          <w:color w:val="1A2B40"/>
          <w:sz w:val="24"/>
          <w:szCs w:val="24"/>
        </w:rPr>
        <w:t xml:space="preserve">Offshore Oil and Gas represents the highest-value target segment by downtime cost metrics, with theoretical maximum downtime reaching $7 million per day for Arctic offshore platforms. Sean Morgan at Atlantic XL provided the foundational validation: post-COVID supply chains are fundamentally broken, “Nobody carries stock anymore,” and geographic isolation amplifies all pain. Tyler Beatty at ExxonMobil confirmed that “War on Inventory” is official internal terminology and that digital inventory is “natural table stakes.” Keith Healey identified Equinor’s Bay du Nord ($14 billion CAD, 500km offshore, first production 2030-2033) as the ideal beachhead: a greenfield project with no legacy warehouse and an operator already doing AM in Norway.</w:t>
      </w:r>
    </w:p>
    <w:p>
      <w:pPr>
        <w:spacing w:after="60" w:line="312"/>
        <w:ind w:firstLine="480"/>
        <w:jc w:val="both"/>
      </w:pPr>
      <w:r>
        <w:rPr>
          <w:rFonts w:ascii="Times New Roman" w:eastAsia="Microsoft YaHei"/>
          <w:color w:val="1A2B40"/>
          <w:sz w:val="24"/>
          <w:szCs w:val="24"/>
        </w:rPr>
        <w:t xml:space="preserve">However, the segment also presents significant barriers. OMV’s interviews revealed that many operators have not considered AM at all, requiring extensive education before adoption. The 15% ROI threshold and 6-month lead time for specialty valves create urgency but also demand quantified proof. ExxonMobil’s Craig Dicken highlighted the enterprise IT risk barrier: SOC 2 compliance, encryption requirements, data residency rules, and a 6-12 month IT approval process. The recommended approach is to prove the platform in defense and maritime first, then approach oil and gas operators with validated case studies, using the “1-2% protects 98%” ROI framing from Equinor.</w:t>
      </w:r>
    </w:p>
    <w:p>
      <w:pPr>
        <w:pStyle w:val="Heading2"/>
        <w:spacing w:after="120" w:before="280" w:line="312"/>
      </w:pPr>
      <w:bookmarkStart w:id="100020" w:name="_Toc100020"/>
      <w:r>
        <w:rPr>
          <w:rFonts w:ascii="Times New Roman" w:eastAsia="SimHei"/>
          <w:b/>
          <w:bCs/>
          <w:color w:val="0A1628"/>
          <w:sz w:val="28"/>
          <w:szCs w:val="28"/>
        </w:rPr>
        <w:t xml:space="preserve">5.4 Mining: Confirmed Poor Fit with Strategic Exceptions</w:t>
      </w:r>
      <w:bookmarkEnd w:id="100020"/>
    </w:p>
    <w:p>
      <w:pPr>
        <w:spacing w:after="60" w:line="312"/>
        <w:ind w:firstLine="480"/>
        <w:jc w:val="both"/>
      </w:pPr>
      <w:r>
        <w:rPr>
          <w:rFonts w:ascii="Times New Roman" w:eastAsia="Microsoft YaHei"/>
          <w:color w:val="1A2B40"/>
          <w:sz w:val="24"/>
          <w:szCs w:val="24"/>
        </w:rPr>
        <w:t xml:space="preserve">Jean-Michel Fortin at Agnico Eagle Mines provided the clearest negative validation: mining needs thousands of identical wear parts, while AM economics favor low-volume, high-mix production. The volume mismatch makes AM fundamentally uncompetitive for the primary mining use case. However, multiple mining interviews (JP Hudon at Glencore, Michael Kowalczyk/Kobalch at Kinross Gold, Mike Lenart at Greenstone Gold Mines) revealed a viable niche: emergency breakdown scenarios where a single unexpected failure can shut down a mill costing hundreds of thousands of dollars per day. Mike Lenart’s “$15 part / $5,000 shipping” problem is the perfect AM use case: low-cost polymer parts that are prohibitively expensive to stock at remote sites.</w:t>
      </w:r>
    </w:p>
    <w:p>
      <w:pPr>
        <w:spacing w:after="60" w:line="312"/>
        <w:ind w:firstLine="480"/>
        <w:jc w:val="both"/>
      </w:pPr>
      <w:r>
        <w:rPr>
          <w:rFonts w:ascii="Times New Roman" w:eastAsia="Microsoft YaHei"/>
          <w:color w:val="1A2B40"/>
          <w:sz w:val="24"/>
          <w:szCs w:val="24"/>
        </w:rPr>
        <w:t xml:space="preserve">The three barriers consistently raised by mining executives are: Can 3D printed parts meet high-strength requirements? Who carries liability? Is it truly push-button simple? These questions map directly to platform features: metallurgical testing proof, legal liability frameworks, and simple UX for remote operations. The recommended strategy is to position mining as a Phase 3 market, targeting only emergency breakdown and consumable polymer parts, while focusing initial efforts on the more tractable defense and offshore segments.</w:t>
      </w:r>
    </w:p>
    <w:p>
      <w:pPr>
        <w:pStyle w:val="Heading1"/>
        <w:spacing w:after="160" w:before="360" w:line="312"/>
      </w:pPr>
      <w:bookmarkStart w:id="100021" w:name="_Toc100021"/>
      <w:r>
        <w:rPr>
          <w:rFonts w:ascii="Times New Roman" w:eastAsia="SimHei"/>
          <w:b/>
          <w:bCs/>
          <w:color w:val="0A1628"/>
          <w:sz w:val="32"/>
          <w:szCs w:val="32"/>
        </w:rPr>
        <w:t xml:space="preserve">6. Competitive Landscape and Differentiation</w:t>
      </w:r>
      <w:bookmarkEnd w:id="100021"/>
    </w:p>
    <w:p>
      <w:pPr>
        <w:pStyle w:val="Heading2"/>
        <w:spacing w:after="120" w:before="280" w:line="312"/>
      </w:pPr>
      <w:bookmarkStart w:id="100022" w:name="_Toc100022"/>
      <w:r>
        <w:rPr>
          <w:rFonts w:ascii="Times New Roman" w:eastAsia="SimHei"/>
          <w:b/>
          <w:bCs/>
          <w:color w:val="0A1628"/>
          <w:sz w:val="28"/>
          <w:szCs w:val="28"/>
        </w:rPr>
        <w:t xml:space="preserve">6.1 Primary Competitors</w:t>
      </w:r>
      <w:bookmarkEnd w:id="10002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Competitor</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Focus</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Strengths</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Weaknesses</w:t>
            </w:r>
          </w:p>
        </w:tc>
        <w:tc>
          <w:tcPr>
            <w:tcW w:type="pct" w:w="20%"/>
            <w:shd w:fill="1B6B7A" w:val="clear"/>
            <w:tcMar>
              <w:top w:type="dxa" w:w="60"/>
              <w:left w:type="dxa" w:w="120"/>
              <w:bottom w:type="dxa" w:w="60"/>
              <w:right w:type="dxa" w:w="120"/>
            </w:tcMar>
          </w:tcPr>
          <w:p>
            <w:r>
              <w:rPr>
                <w:rFonts w:ascii="Times New Roman" w:eastAsia="SimHei"/>
                <w:b/>
                <w:bCs/>
                <w:color w:val="FFFFFF"/>
                <w:sz w:val="21"/>
                <w:szCs w:val="21"/>
              </w:rPr>
              <w:t xml:space="preserve">Threat Level</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FieldNode</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O&amp;G Digital Inventory</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Shell, BP, ExxonMobil, Equinor consortium</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Software-only, no cert layer, slow decisions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HIGH</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Pelagus 3D</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Marine/Offshore</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Singapore-based, marine focus</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Very new, limited traction</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MEDIUM</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Assembly Studio</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General Manufacturing</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IP security focus, PEI-based</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Small scale, not AM-focused</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MEDIUM</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Spare Parts 3D</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Digital Inventory</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Existing platform</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Limited Canadian presence</w:t>
            </w:r>
          </w:p>
        </w:tc>
        <w:tc>
          <w:tcPr>
            <w:tcW w:type="pct" w:w="20%"/>
            <w:shd w:fill="FFFFFF" w:val="clear"/>
            <w:tcMar>
              <w:top w:type="dxa" w:w="60"/>
              <w:left w:type="dxa" w:w="120"/>
              <w:bottom w:type="dxa" w:w="60"/>
              <w:right w:type="dxa" w:w="120"/>
            </w:tcMar>
          </w:tcPr>
          <w:p>
            <w:r>
              <w:rPr>
                <w:rFonts w:ascii="Times New Roman" w:eastAsia="Microsoft YaHei"/>
                <w:color w:val="1A2B40"/>
                <w:sz w:val="21"/>
                <w:szCs w:val="21"/>
              </w:rPr>
              <w:t xml:space="preserve">LOW-MEDIUM</w:t>
            </w:r>
          </w:p>
        </w:tc>
      </w:tr>
      <w:tr>
        <w:trPr>
          <w:cantSplit/>
        </w:trPr>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Baker Hughes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AM Services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450+ qualified AM parts</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Service provider, not platform</w:t>
            </w:r>
          </w:p>
        </w:tc>
        <w:tc>
          <w:tcPr>
            <w:tcW w:type="pct" w:w="20%"/>
            <w:shd w:fill="F4F8FC" w:val="clear"/>
            <w:tcMar>
              <w:top w:type="dxa" w:w="60"/>
              <w:left w:type="dxa" w:w="120"/>
              <w:bottom w:type="dxa" w:w="60"/>
              <w:right w:type="dxa" w:w="120"/>
            </w:tcMar>
          </w:tcPr>
          <w:p>
            <w:r>
              <w:rPr>
                <w:rFonts w:ascii="Times New Roman" w:eastAsia="Microsoft YaHei"/>
                <w:color w:val="1A2B40"/>
                <w:sz w:val="21"/>
                <w:szCs w:val="21"/>
              </w:rPr>
              <w:t xml:space="preserve">PARTNER opportunity</w:t>
            </w:r>
          </w:p>
        </w:tc>
      </w:tr>
    </w:tbl>
    <w:p>
      <w:pPr>
        <w:spacing w:before="100"/>
      </w:pPr>
    </w:p>
    <w:p>
      <w:pPr>
        <w:pStyle w:val="Heading2"/>
        <w:spacing w:after="120" w:before="280" w:line="312"/>
      </w:pPr>
      <w:bookmarkStart w:id="100023" w:name="_Toc100023"/>
      <w:r>
        <w:rPr>
          <w:rFonts w:ascii="Times New Roman" w:eastAsia="SimHei"/>
          <w:b/>
          <w:bCs/>
          <w:color w:val="0A1628"/>
          <w:sz w:val="28"/>
          <w:szCs w:val="28"/>
        </w:rPr>
        <w:t xml:space="preserve">6.2 AddManuChain Differentiation Strategy</w:t>
      </w:r>
      <w:bookmarkEnd w:id="100023"/>
    </w:p>
    <w:p>
      <w:pPr>
        <w:spacing w:after="60" w:line="312"/>
        <w:ind w:firstLine="480"/>
        <w:jc w:val="both"/>
      </w:pPr>
      <w:r>
        <w:rPr>
          <w:rFonts w:ascii="Times New Roman" w:eastAsia="Microsoft YaHei"/>
          <w:color w:val="1A2B40"/>
          <w:sz w:val="24"/>
          <w:szCs w:val="24"/>
        </w:rPr>
        <w:t xml:space="preserve">The primary differentiation against FieldNode—the most significant competitor—is the certification and compliance layer. FieldNode focuses on inventory reduction through digital file sharing but does not handle AM production orchestration or certification compliance. Aker Solutions confirmed that their clients have settled on FieldNode for digital inventory but FieldNode doesn’t handle AM production or certification, creating a clear integration opportunity. AddManuChain should position as the compliance and production orchestration layer that can integrate with FieldNode rather than competing head-to-head on inventory management.</w:t>
      </w:r>
    </w:p>
    <w:p>
      <w:pPr>
        <w:spacing w:after="60" w:line="312"/>
        <w:ind w:firstLine="480"/>
        <w:jc w:val="both"/>
      </w:pPr>
      <w:r>
        <w:rPr>
          <w:rFonts w:ascii="Times New Roman" w:eastAsia="Microsoft YaHei"/>
          <w:color w:val="1A2B40"/>
          <w:sz w:val="24"/>
          <w:szCs w:val="24"/>
        </w:rPr>
        <w:t xml:space="preserve">Against all competitors, AddManuChain’s unique advantages are: (1) The pre-certified parts library with full manufacturing recipes (not just CAD files), validated by Nathan Smeenk at Agile Manufacturing who noted that “a file alone is useless; you need full manufacturing recipe data”; (2) The Canadian-first sovereign positioning with no equivalent Canadian platform existing in the market, confirmed by both Trevor Butler and Alireza at Lloyd’s Register; (3) The AI-driven part suitability scoring engine that helps customers identify which parts are the “right 5%” for AM; and (4) The DRM token pipeline for OEM IP protection that enables the two-sided marketplace to function without cloud-based file sharing.</w:t>
      </w:r>
    </w:p>
    <w:p>
      <w:pPr>
        <w:pStyle w:val="Heading1"/>
        <w:spacing w:after="160" w:before="360" w:line="312"/>
      </w:pPr>
      <w:bookmarkStart w:id="100024" w:name="_Toc100024"/>
      <w:r>
        <w:rPr>
          <w:rFonts w:ascii="Times New Roman" w:eastAsia="SimHei"/>
          <w:b/>
          <w:bCs/>
          <w:color w:val="0A1628"/>
          <w:sz w:val="32"/>
          <w:szCs w:val="32"/>
        </w:rPr>
        <w:t xml:space="preserve">7. Hypothesis Validation Status</w:t>
      </w:r>
      <w:bookmarkEnd w:id="100024"/>
    </w:p>
    <w:p>
      <w:pPr>
        <w:pStyle w:val="Heading2"/>
        <w:spacing w:after="120" w:before="280" w:line="312"/>
      </w:pPr>
      <w:bookmarkStart w:id="100025" w:name="_Toc100025"/>
      <w:r>
        <w:rPr>
          <w:rFonts w:ascii="Times New Roman" w:eastAsia="SimHei"/>
          <w:b/>
          <w:bCs/>
          <w:color w:val="0A1628"/>
          <w:sz w:val="28"/>
          <w:szCs w:val="28"/>
        </w:rPr>
        <w:t xml:space="preserve">7.1 Strongly Supported Hypotheses</w:t>
      </w:r>
      <w:bookmarkEnd w:id="100025"/>
    </w:p>
    <w:p>
      <w:pPr>
        <w:spacing w:after="60" w:line="312"/>
        <w:ind w:firstLine="480"/>
        <w:jc w:val="both"/>
      </w:pPr>
      <w:r>
        <w:rPr>
          <w:rFonts w:ascii="Times New Roman" w:eastAsia="Microsoft YaHei"/>
          <w:color w:val="1A2B40"/>
          <w:sz w:val="24"/>
          <w:szCs w:val="24"/>
        </w:rPr>
        <w:t xml:space="preserve">The following hypotheses received consistent validation across multiple interviews and represent core assumptions that should inform product development and go-to-market strategy: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Hypothesis</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Validation Strength</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Key Sources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CS.1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Manufacturers Need Certified Local Suppliers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Very Strong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Sean Morgan, Lee Vessey, Atlantic XL</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CS.2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Facilities Have Idle Capacity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Sean Morgan, Arad Gharagozli</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NH.7</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Certification is Primary Gatekeeper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Very Strong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Dr. Nasiri, Adam Saxty, Tyler Beatty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NH.10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OEM IP Release is Critical Blocker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Very Strong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Nicole Rathie, Jim Granger, Chris/OMV</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NH.2</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Obsolescence Drives AM Adoption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Lee Vessey, Darren Wood, Sean Morgan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NH.12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Cost/ROI is #1 Adoption Barrier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Fanny Charreteur (89% survey), OMV</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NH.26</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Working Capital is Primary ROI Driver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Kwadwo Ampofo, Adam Chubbs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NH.17</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Government Anchor Tenant Solves Cold Start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Nicole Rathie, Lee Vessey, Aaron Plamondon</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VP.9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Real-Time Communication Platform</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Bassey Amba, Khashayar</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H50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Low-Risk Part Categorization System</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Strong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Jason Power, Dr. Nasiri, Jordan Cumming</w:t>
            </w:r>
          </w:p>
        </w:tc>
      </w:tr>
    </w:tbl>
    <w:p>
      <w:pPr>
        <w:spacing w:before="100"/>
      </w:pPr>
    </w:p>
    <w:p>
      <w:pPr>
        <w:pStyle w:val="Heading2"/>
        <w:spacing w:after="120" w:before="280" w:line="312"/>
      </w:pPr>
      <w:bookmarkStart w:id="100026" w:name="_Toc100026"/>
      <w:r>
        <w:rPr>
          <w:rFonts w:ascii="Times New Roman" w:eastAsia="SimHei"/>
          <w:b/>
          <w:bCs/>
          <w:color w:val="0A1628"/>
          <w:sz w:val="28"/>
          <w:szCs w:val="28"/>
        </w:rPr>
        <w:t xml:space="preserve">7.2 Rejected or Contradicted Hypotheses</w:t>
      </w:r>
      <w:bookmarkEnd w:id="100026"/>
    </w:p>
    <w:p>
      <w:pPr>
        <w:spacing w:after="60" w:line="312"/>
        <w:ind w:firstLine="480"/>
        <w:jc w:val="both"/>
      </w:pPr>
      <w:r>
        <w:rPr>
          <w:rFonts w:ascii="Times New Roman" w:eastAsia="Microsoft YaHei"/>
          <w:color w:val="1A2B40"/>
          <w:sz w:val="24"/>
          <w:szCs w:val="24"/>
        </w:rPr>
        <w:t xml:space="preserve">Several initial hypotheses were rejected or significantly modified by the research: CS.4 (OEMs Want to ENABLE Distributed Manufacturing) was rejected because companies already do distributed manufacturing—they need OPTIMIZATION, not enablement. CP.8 (Can’t Trust Distributed Mfg) was contradicted because operators DO trust distributed manufacturing; they need quality consistency tools. Mining as a viable AM market was rejected by Jean-Michel Fortin due to volume economics. The open marketplace model was contradicted by Nicole Rathie and the Assembly Studio, both confirming that manufacturers will not share digital inventory on an open platform.</w:t>
      </w:r>
    </w:p>
    <w:p>
      <w:pPr>
        <w:pStyle w:val="Heading2"/>
        <w:spacing w:after="120" w:before="280" w:line="312"/>
      </w:pPr>
      <w:bookmarkStart w:id="100027" w:name="_Toc100027"/>
      <w:r>
        <w:rPr>
          <w:rFonts w:ascii="Times New Roman" w:eastAsia="SimHei"/>
          <w:b/>
          <w:bCs/>
          <w:color w:val="0A1628"/>
          <w:sz w:val="28"/>
          <w:szCs w:val="28"/>
        </w:rPr>
        <w:t xml:space="preserve">7.3 Key New Hypotheses Discovered</w:t>
      </w:r>
      <w:bookmarkEnd w:id="100027"/>
    </w:p>
    <w:p>
      <w:pPr>
        <w:spacing w:after="60" w:line="312"/>
        <w:ind w:firstLine="480"/>
        <w:jc w:val="both"/>
      </w:pPr>
      <w:r>
        <w:rPr>
          <w:rFonts w:ascii="Times New Roman" w:eastAsia="Microsoft YaHei"/>
          <w:color w:val="1A2B40"/>
          <w:sz w:val="24"/>
          <w:szCs w:val="24"/>
        </w:rPr>
        <w:t xml:space="preserve">The interviews generated over 50 new hypotheses, with the most strategically significant being: NH.18 (AI for Stock vs. Print Decision is Key Differentiator), NH.27 (Insurance Stock Conversion is Highest-Value Entry Point), NH.28 (Finance/CFO is the True Decision Owner), NH.41 (Greenfield Offshore Projects Are Better Beachheads), NH.42 (Consortium/Cooperative Models Reduce Adoption Risk), NH.43 (Royalty Licensing Can Unlock OEM File Release), H76 (Aerospace-First Certification Builds Cross-Sector Credibility), and H53 (Predictive Maintenance API Integration as largest unmet need). Each of these new hypotheses represents a potential strategic pivot or feature priority that should be tested in subsequent customer discovery iterations.</w:t>
      </w:r>
    </w:p>
    <w:p>
      <w:pPr>
        <w:pStyle w:val="Heading1"/>
        <w:spacing w:after="160" w:before="360" w:line="312"/>
      </w:pPr>
      <w:bookmarkStart w:id="100028" w:name="_Toc100028"/>
      <w:r>
        <w:rPr>
          <w:rFonts w:ascii="Times New Roman" w:eastAsia="SimHei"/>
          <w:b/>
          <w:bCs/>
          <w:color w:val="0A1628"/>
          <w:sz w:val="32"/>
          <w:szCs w:val="32"/>
        </w:rPr>
        <w:t xml:space="preserve">8. Product Architecture and Feature Recommendations</w:t>
      </w:r>
      <w:bookmarkEnd w:id="100028"/>
    </w:p>
    <w:p>
      <w:pPr>
        <w:pStyle w:val="Heading2"/>
        <w:spacing w:after="120" w:before="280" w:line="312"/>
      </w:pPr>
      <w:bookmarkStart w:id="100029" w:name="_Toc100029"/>
      <w:r>
        <w:rPr>
          <w:rFonts w:ascii="Times New Roman" w:eastAsia="SimHei"/>
          <w:b/>
          <w:bCs/>
          <w:color w:val="0A1628"/>
          <w:sz w:val="28"/>
          <w:szCs w:val="28"/>
        </w:rPr>
        <w:t xml:space="preserve">8.1 MVP Feature Priorities (Phase 1: 0-6 Months)</w:t>
      </w:r>
      <w:bookmarkEnd w:id="10002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Priority</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Rationale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Source Interviews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Part Suitability Scoring Engine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Identify the 'right 5%' of parts for AM; universal demand</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Kirby, Ampofo, Cumming, Dicken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Certification Pathway Orchestrator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Map to LR 7-step framework; automate compliance docs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Saxty, Whitehouse, Nasiri</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OEM IP Protection Layer (DRM)</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Single-use token release; zero-knowledge architecture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Rathie, Granger, Assembly Studio</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4</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Pre-Certified Parts Library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Amortize DRL 3 cost across network; key economic unlock</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Dicken, Smeenk, Vessey</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Working Capital ROI Calculator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CFO-focused business case; 15% threshold proof</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Ampofo, Gladkikh, Garcia-Golindano</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Real-Time Collaboration Workspace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Communication inefficiency is universal pain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Amba, Waldbillig, Khashayar</w:t>
            </w:r>
          </w:p>
        </w:tc>
      </w:tr>
    </w:tbl>
    <w:p>
      <w:pPr>
        <w:spacing w:before="100"/>
      </w:pPr>
    </w:p>
    <w:p>
      <w:pPr>
        <w:pStyle w:val="Heading2"/>
        <w:spacing w:after="120" w:before="280" w:line="312"/>
      </w:pPr>
      <w:bookmarkStart w:id="100030" w:name="_Toc100030"/>
      <w:r>
        <w:rPr>
          <w:rFonts w:ascii="Times New Roman" w:eastAsia="SimHei"/>
          <w:b/>
          <w:bCs/>
          <w:color w:val="0A1628"/>
          <w:sz w:val="28"/>
          <w:szCs w:val="28"/>
        </w:rPr>
        <w:t xml:space="preserve">8.2 Phase 2 Feature Priorities (6-12 Months)</w:t>
      </w:r>
      <w:bookmarkEnd w:id="10003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Priority</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Rationale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Source Interviews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SAP/ERP Integration (MRP)</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First-mover advantage; never done before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Ampofo</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Insurance Stock Digital Conversion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Clearest ROI use case for CFOs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Ampofo, Healey</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Digital Thread / Traceability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Broken everywhere; core platform opportunity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Silbernagel, Dicken, Piegert</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Cross-Regional Inventory Visibility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Duplication problem across regions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Dicken, Dalpe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Reverse Engineering Integration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Obsolete parts have no IP barriers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Ampofo, Lenart</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AI Parts Normalization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The 'Tomato Problem' - dedup across systems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Clark</w:t>
            </w:r>
          </w:p>
        </w:tc>
      </w:tr>
    </w:tbl>
    <w:p>
      <w:pPr>
        <w:spacing w:before="100"/>
      </w:pPr>
    </w:p>
    <w:p>
      <w:pPr>
        <w:pStyle w:val="Heading2"/>
        <w:spacing w:after="120" w:before="280" w:line="312"/>
      </w:pPr>
      <w:bookmarkStart w:id="100031" w:name="_Toc100031"/>
      <w:r>
        <w:rPr>
          <w:rFonts w:ascii="Times New Roman" w:eastAsia="SimHei"/>
          <w:b/>
          <w:bCs/>
          <w:color w:val="0A1628"/>
          <w:sz w:val="28"/>
          <w:szCs w:val="28"/>
        </w:rPr>
        <w:t xml:space="preserve">8.3 Phase 3 Feature Priorities (12-24 Months)</w:t>
      </w:r>
      <w:bookmarkEnd w:id="10003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Priority</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Rationale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Source Interviews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13</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Predictive Maintenance API</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Largest unmet need; no one has accomplished this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Power, Chubbs, Vessey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14</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In-Process Defect Detection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Research opportunity (PhD-level); future LR R&amp;D</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Nasiri, Saxty</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15</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Automatic Inventory Triggering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Threshold-based print-on-demand</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Bursey, Chubbs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16</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Post-Processing Service Network</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Coatings, surface finishing, heat treatment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Waldbillig, Smeenk</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17</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Supply Chain Traceability Compliance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Incoming legislation on forced labor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Clark</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Full Manufacturing Recipe Management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Not just CAD files; machine params, QA data</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Smeenk, Silbernagel</w:t>
            </w:r>
          </w:p>
        </w:tc>
      </w:tr>
    </w:tbl>
    <w:p>
      <w:pPr>
        <w:spacing w:before="100"/>
      </w:pPr>
    </w:p>
    <w:p>
      <w:pPr>
        <w:pStyle w:val="Heading1"/>
        <w:spacing w:after="160" w:before="360" w:line="312"/>
      </w:pPr>
      <w:bookmarkStart w:id="100032" w:name="_Toc100032"/>
      <w:r>
        <w:rPr>
          <w:rFonts w:ascii="Times New Roman" w:eastAsia="SimHei"/>
          <w:b/>
          <w:bCs/>
          <w:color w:val="0A1628"/>
          <w:sz w:val="32"/>
          <w:szCs w:val="32"/>
        </w:rPr>
        <w:t xml:space="preserve">9. Strategic Pivots and Go-to-Market Recommendations</w:t>
      </w:r>
      <w:bookmarkEnd w:id="100032"/>
    </w:p>
    <w:p>
      <w:pPr>
        <w:pStyle w:val="Heading2"/>
        <w:spacing w:after="120" w:before="280" w:line="312"/>
      </w:pPr>
      <w:bookmarkStart w:id="100033" w:name="_Toc100033"/>
      <w:r>
        <w:rPr>
          <w:rFonts w:ascii="Times New Roman" w:eastAsia="SimHei"/>
          <w:b/>
          <w:bCs/>
          <w:color w:val="0A1628"/>
          <w:sz w:val="28"/>
          <w:szCs w:val="28"/>
        </w:rPr>
        <w:t xml:space="preserve">9.1 Five Critical Strategic Pivots</w:t>
      </w:r>
      <w:bookmarkEnd w:id="100033"/>
    </w:p>
    <w:p>
      <w:pPr>
        <w:spacing w:after="60" w:line="312"/>
        <w:ind w:firstLine="480"/>
        <w:jc w:val="both"/>
      </w:pPr>
      <w:r>
        <w:rPr>
          <w:rFonts w:ascii="Times New Roman" w:eastAsia="Microsoft YaHei"/>
          <w:color w:val="1A2B40"/>
          <w:sz w:val="24"/>
          <w:szCs w:val="24"/>
        </w:rPr>
        <w:t xml:space="preserve">The research revealed five strategic pivots that fundamentally reshape the AddManuChain go-to-market approach. First, the Target Pivot: target integrators (HMH, NOV, Baker Hughes) rather than end-user operators, because integrators make manufacturing method decisions and one partnership provides access to many operators. Second, the Value Proposition Pivot: lead with AI inventory optimization rather than AM connectivity, as AI inventory is “need-to-have” while AM is “nice-to-have” for most potential customers. Third, the Architecture Pivot: position as a communication and collaboration platform, not just a marketplace, because communication inefficiency is the universal pain across all segments. Fourth, the Positioning Pivot: reframe from “enable” to “optimize” distributed manufacturing, because companies already do it and need better management tools, not enablement. Fifth, the Entry Point Pivot: start with DRL 3 certification-as-a-service and pre-certified parts library, because the compliance pipeline is the moat and certification cost amortization is the economic unlock.</w:t>
      </w:r>
    </w:p>
    <w:p>
      <w:pPr>
        <w:pStyle w:val="Heading2"/>
        <w:spacing w:after="120" w:before="280" w:line="312"/>
      </w:pPr>
      <w:bookmarkStart w:id="100034" w:name="_Toc100034"/>
      <w:r>
        <w:rPr>
          <w:rFonts w:ascii="Times New Roman" w:eastAsia="SimHei"/>
          <w:b/>
          <w:bCs/>
          <w:color w:val="0A1628"/>
          <w:sz w:val="28"/>
          <w:szCs w:val="28"/>
        </w:rPr>
        <w:t xml:space="preserve">9.2 Recommended Go-to-Market Sequence</w:t>
      </w:r>
      <w:bookmarkEnd w:id="100034"/>
    </w:p>
    <w:p>
      <w:pPr>
        <w:spacing w:after="60" w:line="312"/>
        <w:ind w:firstLine="480"/>
        <w:jc w:val="both"/>
      </w:pPr>
      <w:r>
        <w:rPr>
          <w:rFonts w:ascii="Times New Roman" w:eastAsia="Microsoft YaHei"/>
          <w:color w:val="1A2B40"/>
          <w:sz w:val="24"/>
          <w:szCs w:val="24"/>
        </w:rPr>
        <w:t xml:space="preserve">Based on the cumulative evidence, the recommended go-to-market sequence follows a deliberate beachhead strategy. Phase 1 (Months 0-6) focuses on securing the Canadian Navy as the anchor tenant through the Thales/Lloyd’s Register partnership, executing a 90-day maritime pilot with 5-10 parts on one vessel to prove the certification workflow, and building the MVP around part suitability scoring, certification orchestration, and OEM IP protection. Phase 2 (Months 6-12) expands to offshore oil and gas through the Atlantic XL production partnership and Equinor Bay du Nord engagement, while developing SAP/ERP integration and the working capital ROI calculator. Phase 3 (Months 12-24) extends to remote mining for emergency breakdown scenarios, aerospace MRO through the PMA pathway, and utilities through the self-regulating certification advantage. Throughout all phases, the platform should maintain its Canadian-first sovereign positioning while architecting for North American and eventually global scale, as multiple experts warned that a Canada-only strategy is insufficient for long-term viability.</w:t>
      </w:r>
    </w:p>
    <w:p>
      <w:pPr>
        <w:pStyle w:val="Heading2"/>
        <w:spacing w:after="120" w:before="280" w:line="312"/>
      </w:pPr>
      <w:bookmarkStart w:id="100035" w:name="_Toc100035"/>
      <w:r>
        <w:rPr>
          <w:rFonts w:ascii="Times New Roman" w:eastAsia="SimHei"/>
          <w:b/>
          <w:bCs/>
          <w:color w:val="0A1628"/>
          <w:sz w:val="28"/>
          <w:szCs w:val="28"/>
        </w:rPr>
        <w:t xml:space="preserve">9.3 Partnership Strategy</w:t>
      </w:r>
      <w:bookmarkEnd w:id="10003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Partner</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Type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Strategic Value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Status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Atlantic XL</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Certified AM Facility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Only LR-certified facility in Americas; anchor production partner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Warm - Sean Morgan relationship</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Lloyd’s Register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Certification Authority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7-step framework; technical partnership; credibility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Warm - Adam Saxty / Dave Whitehouse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Thales Canada</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Defense Integrator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Navy AM project; e-inventory vision; $360K active program</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Warm - Lee Vessey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Canada Makes / NGen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Ecosystem Orchestrator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8000+ SME network; Select AM integration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Warm - Nicole Rathie / Frank DeFalco</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Polyunity Tech</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Parallel Platform</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3-tier model; compliance pipeline IP; collaboration offer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Explicit offer - Steven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CME Newfoundland</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Industry Association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1000+ member access; distribution partner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Willing - David Haire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Shield Group</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AM Practitioner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Active clients; certification expertise; class society knowledge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Warm - Shawn Sooley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DRDC Atlantic</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Defense Research</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Submarine program; AM qualification standards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Warm - Brian May / Cameron Munro</w:t>
            </w:r>
          </w:p>
        </w:tc>
      </w:tr>
    </w:tbl>
    <w:p>
      <w:pPr>
        <w:spacing w:before="100"/>
      </w:pPr>
    </w:p>
    <w:p>
      <w:pPr>
        <w:pStyle w:val="Heading1"/>
        <w:spacing w:after="160" w:before="360" w:line="312"/>
      </w:pPr>
      <w:bookmarkStart w:id="100036" w:name="_Toc100036"/>
      <w:r>
        <w:rPr>
          <w:rFonts w:ascii="Times New Roman" w:eastAsia="SimHei"/>
          <w:b/>
          <w:bCs/>
          <w:color w:val="0A1628"/>
          <w:sz w:val="32"/>
          <w:szCs w:val="32"/>
        </w:rPr>
        <w:t xml:space="preserve">10. Key Quantitative Data Points</w:t>
      </w:r>
      <w:bookmarkEnd w:id="100036"/>
    </w:p>
    <w:p>
      <w:pPr>
        <w:spacing w:after="60" w:line="312"/>
        <w:ind w:firstLine="480"/>
        <w:jc w:val="both"/>
      </w:pPr>
      <w:r>
        <w:rPr>
          <w:rFonts w:ascii="Times New Roman" w:eastAsia="Microsoft YaHei"/>
          <w:color w:val="1A2B40"/>
          <w:sz w:val="24"/>
          <w:szCs w:val="24"/>
        </w:rPr>
        <w:t xml:space="preserve">The following quantitative data points were directly extracted from interview responses and represent the most compelling evidence for the AddManuChain business case: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Metric</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Value</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Source</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Offshore downtime cost</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$500K-$1M/day</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Jason Power (Noble), Horizon Maritime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Maritime downtime cost</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$50K-$100K/day</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Horizon Maritime / Lonita Judge</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Arctic theoretical max downtime</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$7M/day</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Mike Paulin (C-CORE)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Spare parts as % of capex</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1-2% protecting 98% production value</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Equinor (Garcia-Golindano)</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Inventory-to-asset ratio (remote)</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8-10% ($4-5M for $50M assets)</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Adam Chubbs (Frobisher/Ecotex)</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AM certification cost per part</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$10K-$50K</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Lloyd’s Register; ExxonMobil</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DRL 3 qualification cost</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$5K-$20K per part</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Craig Dicken (ExxonMobil)</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AM cost-effective threshold</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&lt;50 units</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Andrew Smith (Design Smith)</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O&amp;G ROI adoption threshold</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15% minimum</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OMV (Gladkikh/Chris)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Investment cost as barrier</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89% of manufacturers</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PRIMA Quebec survey (Charreteur)</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ROI uncertainty as barrier</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55% of manufacturers</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PRIMA Quebec survey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Canadian companies using AI</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14% (vs. 58-60% US)</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Cynthia Clark (WISC)</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Canada vs. US/Europe AM gap</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10+ years behind</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Nichelle Hubley, Dr. Nasiri</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Physical inventory never used</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80% ($4.5B industry-wide)</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Precise Design meeting</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Navy ship availability</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30-50% (target 70-80%)</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Dave Whitehouse (LR)</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Critical parts lead time</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10-18 months</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Equinor (Garcia-Golindano)</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ExxonMobil SMART Lab investment</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$17.5M</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Tyler Beatty (ExxonMobil)</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Canadian shipbuilding budget</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$111B</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Cynthia Clark (WISC)</w:t>
            </w:r>
          </w:p>
        </w:tc>
      </w:tr>
      <w:tr>
        <w:trPr>
          <w:cantSplit/>
        </w:trPr>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Bay du Nord project value</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$14B CAD</w:t>
            </w:r>
          </w:p>
        </w:tc>
        <w:tc>
          <w:tcPr>
            <w:tcW w:type="pct" w:w="33%"/>
            <w:shd w:fill="F4F8FC" w:val="clear"/>
            <w:tcMar>
              <w:top w:type="dxa" w:w="60"/>
              <w:left w:type="dxa" w:w="120"/>
              <w:bottom w:type="dxa" w:w="60"/>
              <w:right w:type="dxa" w:w="120"/>
            </w:tcMar>
          </w:tcPr>
          <w:p>
            <w:r>
              <w:rPr>
                <w:rFonts w:ascii="Times New Roman" w:eastAsia="Microsoft YaHei"/>
                <w:color w:val="1A2B40"/>
                <w:sz w:val="21"/>
                <w:szCs w:val="21"/>
              </w:rPr>
              <w:t xml:space="preserve">Equinor / Keith Healey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Digital transformation engagement</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Only 20% of manufacturers</w:t>
            </w:r>
          </w:p>
        </w:tc>
        <w:tc>
          <w:tcPr>
            <w:tcW w:type="pct" w:w="33%"/>
            <w:shd w:fill="FFFFFF" w:val="clear"/>
            <w:tcMar>
              <w:top w:type="dxa" w:w="60"/>
              <w:left w:type="dxa" w:w="120"/>
              <w:bottom w:type="dxa" w:w="60"/>
              <w:right w:type="dxa" w:w="120"/>
            </w:tcMar>
          </w:tcPr>
          <w:p>
            <w:r>
              <w:rPr>
                <w:rFonts w:ascii="Times New Roman" w:eastAsia="Microsoft YaHei"/>
                <w:color w:val="1A2B40"/>
                <w:sz w:val="21"/>
                <w:szCs w:val="21"/>
              </w:rPr>
              <w:t xml:space="preserve">Fanny Charreteur (PRIMA)</w:t>
            </w:r>
          </w:p>
        </w:tc>
      </w:tr>
    </w:tbl>
    <w:p>
      <w:pPr>
        <w:spacing w:before="100"/>
      </w:pPr>
    </w:p>
    <w:p>
      <w:pPr>
        <w:pStyle w:val="Heading1"/>
        <w:spacing w:after="160" w:before="360" w:line="312"/>
      </w:pPr>
      <w:bookmarkStart w:id="100037" w:name="_Toc100037"/>
      <w:r>
        <w:rPr>
          <w:rFonts w:ascii="Times New Roman" w:eastAsia="SimHei"/>
          <w:b/>
          <w:bCs/>
          <w:color w:val="0A1628"/>
          <w:sz w:val="32"/>
          <w:szCs w:val="32"/>
        </w:rPr>
        <w:t xml:space="preserve">11. Risk Factors and Red Flags</w:t>
      </w:r>
      <w:bookmarkEnd w:id="100037"/>
    </w:p>
    <w:p>
      <w:pPr>
        <w:pStyle w:val="Heading2"/>
        <w:spacing w:after="120" w:before="280" w:line="312"/>
      </w:pPr>
      <w:bookmarkStart w:id="100038" w:name="_Toc100038"/>
      <w:r>
        <w:rPr>
          <w:rFonts w:ascii="Times New Roman" w:eastAsia="SimHei"/>
          <w:b/>
          <w:bCs/>
          <w:color w:val="0A1628"/>
          <w:sz w:val="28"/>
          <w:szCs w:val="28"/>
        </w:rPr>
        <w:t xml:space="preserve">11.1 Critical Risks</w:t>
      </w:r>
      <w:bookmarkEnd w:id="100038"/>
    </w:p>
    <w:p>
      <w:pPr>
        <w:spacing w:after="60" w:line="312"/>
        <w:ind w:firstLine="480"/>
        <w:jc w:val="both"/>
      </w:pPr>
      <w:r>
        <w:rPr>
          <w:rFonts w:ascii="Times New Roman" w:eastAsia="Microsoft YaHei"/>
          <w:color w:val="1A2B40"/>
          <w:sz w:val="24"/>
          <w:szCs w:val="24"/>
        </w:rPr>
        <w:t xml:space="preserve">Several significant risk factors emerged from the research that must be addressed in the business strategy. First, no paying platform customers exist despite 60+ conversations, meaning the value proposition remains theoretically validated but not commercially proven. Second, the liability model is undefined, which blocks defense and aerospace market entry where clear accountability for part failure is mandatory. Third, FieldNode has captured major oil and gas players including Shell, BP, ExxonMobil, and Equinor, making direct competition in the O&amp;G digital inventory space challenging. Fourth, Canada is 10+ years behind the US and Europe in AM adoption, which limits the near-term addressable market. Fifth, OEMs may resist digital licensing that threatens their 40-60% aftermarket spare parts margins, creating a structural incentive to maintain the status quo.</w:t>
      </w:r>
    </w:p>
    <w:p>
      <w:pPr>
        <w:pStyle w:val="Heading2"/>
        <w:spacing w:after="120" w:before="280" w:line="312"/>
      </w:pPr>
      <w:bookmarkStart w:id="100039" w:name="_Toc100039"/>
      <w:r>
        <w:rPr>
          <w:rFonts w:ascii="Times New Roman" w:eastAsia="SimHei"/>
          <w:b/>
          <w:bCs/>
          <w:color w:val="0A1628"/>
          <w:sz w:val="28"/>
          <w:szCs w:val="28"/>
        </w:rPr>
        <w:t xml:space="preserve">11.2 Mitigation Strategies</w:t>
      </w:r>
      <w:bookmarkEnd w:id="100039"/>
    </w:p>
    <w:p>
      <w:pPr>
        <w:spacing w:after="60" w:line="312"/>
        <w:ind w:firstLine="480"/>
        <w:jc w:val="both"/>
      </w:pPr>
      <w:r>
        <w:rPr>
          <w:rFonts w:ascii="Times New Roman" w:eastAsia="Microsoft YaHei"/>
          <w:color w:val="1A2B40"/>
          <w:sz w:val="24"/>
          <w:szCs w:val="24"/>
        </w:rPr>
        <w:t xml:space="preserve">Each risk has corresponding mitigation strategies derived from the interview insights. The no-customer risk is addressed by executing the 90-day maritime pilot recommended by Evan Butler-Jones, using measurable outcomes like MTTR reduction and downtime avoided. The liability model gap can be resolved through the legal framework work recommended by Niraj Shukla, leveraging NRC IRAP IP Assist for subsidized legal consultation. The FieldNode threat is mitigated by positioning AddManuChain as the compliance and production orchestration layer that integrates with FieldNode rather than competing directly. The Canada-lag risk is addressed by building for North American scale from day one, as recommended by Bob Hedrick, Nathalie Sykora, and Evan Butler-Jones. The OEM resistance risk is mitigated by starting with obsolete parts where OEMs no longer exist, building trust through the revenue-share model, and leveraging the hydrogen transition timeline where legacy fleet parts represent a closing window of opportunity.</w:t>
      </w:r>
    </w:p>
    <w:p>
      <w:pPr>
        <w:pStyle w:val="Heading1"/>
        <w:spacing w:after="160" w:before="360" w:line="312"/>
      </w:pPr>
      <w:bookmarkStart w:id="100040" w:name="_Toc100040"/>
      <w:r>
        <w:rPr>
          <w:rFonts w:ascii="Times New Roman" w:eastAsia="SimHei"/>
          <w:b/>
          <w:bCs/>
          <w:color w:val="0A1628"/>
          <w:sz w:val="32"/>
          <w:szCs w:val="32"/>
        </w:rPr>
        <w:t xml:space="preserve">12. Funding and Investment Intelligence</w:t>
      </w:r>
      <w:bookmarkEnd w:id="100040"/>
    </w:p>
    <w:p>
      <w:pPr>
        <w:pStyle w:val="Heading2"/>
        <w:spacing w:after="120" w:before="280" w:line="312"/>
      </w:pPr>
      <w:bookmarkStart w:id="100041" w:name="_Toc100041"/>
      <w:r>
        <w:rPr>
          <w:rFonts w:ascii="Times New Roman" w:eastAsia="SimHei"/>
          <w:b/>
          <w:bCs/>
          <w:color w:val="0A1628"/>
          <w:sz w:val="28"/>
          <w:szCs w:val="28"/>
        </w:rPr>
        <w:t xml:space="preserve">12.1 Government Funding Pathways</w:t>
      </w:r>
      <w:bookmarkEnd w:id="100041"/>
    </w:p>
    <w:p>
      <w:pPr>
        <w:spacing w:after="60" w:line="312"/>
        <w:ind w:firstLine="480"/>
        <w:jc w:val="both"/>
      </w:pPr>
      <w:r>
        <w:rPr>
          <w:rFonts w:ascii="Times New Roman" w:eastAsia="Microsoft YaHei"/>
          <w:color w:val="1A2B40"/>
          <w:sz w:val="24"/>
          <w:szCs w:val="24"/>
        </w:rPr>
        <w:t xml:space="preserve">The interviews revealed multiple accessible government funding pathways that can support AddManuChain’s development. NRC IRAP provides advisory credibility and network access valued at 80% of the program’s benefit, with funding of $50K-$200K over 12-24 months. However, IRAP assessment currently shows a “yellow light” status due to three blockers: undefined liability model, unvalidated OEM partnerships, and missing pilot validation. Keith Healey at ERINL confirmed that they will fund certification costs (not just R&amp;D), and that “we provided funding to help this startup get CSA certification.” The ITB process at Irving Shipbuilding provides a pathway for university R&amp;D partnerships that generate credits. MyTax (SR&amp;ED) R&amp;D tax credits provide tax-free income covering founder salaries. Springboard Atlantic (19 post-secondary institutions) offers a potential distribution channel as identified by Niraj Shukla.</w:t>
      </w:r>
    </w:p>
    <w:p>
      <w:pPr>
        <w:pStyle w:val="Heading2"/>
        <w:spacing w:after="120" w:before="280" w:line="312"/>
      </w:pPr>
      <w:bookmarkStart w:id="100042" w:name="_Toc100042"/>
      <w:r>
        <w:rPr>
          <w:rFonts w:ascii="Times New Roman" w:eastAsia="SimHei"/>
          <w:b/>
          <w:bCs/>
          <w:color w:val="0A1628"/>
          <w:sz w:val="28"/>
          <w:szCs w:val="28"/>
        </w:rPr>
        <w:t xml:space="preserve">12.2 Investment Considerations</w:t>
      </w:r>
      <w:bookmarkEnd w:id="100042"/>
    </w:p>
    <w:p>
      <w:pPr>
        <w:spacing w:after="60" w:line="312"/>
        <w:ind w:firstLine="480"/>
        <w:jc w:val="both"/>
      </w:pPr>
      <w:r>
        <w:rPr>
          <w:rFonts w:ascii="Times New Roman" w:eastAsia="Microsoft YaHei"/>
          <w:color w:val="1A2B40"/>
          <w:sz w:val="24"/>
          <w:szCs w:val="24"/>
        </w:rPr>
        <w:t xml:space="preserve">The Funding session with Osler LLP provided critical guidance for investment strategy: use SAFEs for early/angel raises, model the cap table before signing, and recognize that post-money SAFE stacking creates dangerous dilution risk. Non-dilutive capital through grants, IRAP, and defense contracts is essential in the current environment. The IP session with DWL Law Firm established that the DRM token workflow is a core innovation worth patenting, AI cannot be listed as an inventor, and risk exists in inputting un-filed invention details into open AI platforms that may trigger public disclosure. The recommended priority filing sequence is provisional patent, then trademark, then PCT filing, with a decision on patent versus trade secret for the AI matching algorithm.</w:t>
      </w:r>
    </w:p>
    <w:p>
      <w:pPr>
        <w:pStyle w:val="Heading1"/>
        <w:spacing w:after="160" w:before="360" w:line="312"/>
      </w:pPr>
      <w:bookmarkStart w:id="100043" w:name="_Toc100043"/>
      <w:r>
        <w:rPr>
          <w:rFonts w:ascii="Times New Roman" w:eastAsia="SimHei"/>
          <w:b/>
          <w:bCs/>
          <w:color w:val="0A1628"/>
          <w:sz w:val="32"/>
          <w:szCs w:val="32"/>
        </w:rPr>
        <w:t xml:space="preserve">13. Conclusions and Recommended Next Actions</w:t>
      </w:r>
      <w:bookmarkEnd w:id="100043"/>
    </w:p>
    <w:p>
      <w:pPr>
        <w:pStyle w:val="Heading2"/>
        <w:spacing w:after="120" w:before="280" w:line="312"/>
      </w:pPr>
      <w:bookmarkStart w:id="100044" w:name="_Toc100044"/>
      <w:r>
        <w:rPr>
          <w:rFonts w:ascii="Times New Roman" w:eastAsia="SimHei"/>
          <w:b/>
          <w:bCs/>
          <w:color w:val="0A1628"/>
          <w:sz w:val="28"/>
          <w:szCs w:val="28"/>
        </w:rPr>
        <w:t xml:space="preserve">13.1 Summary of Key Conclusions</w:t>
      </w:r>
      <w:bookmarkEnd w:id="100044"/>
    </w:p>
    <w:p>
      <w:pPr>
        <w:spacing w:after="60" w:line="312"/>
        <w:ind w:firstLine="480"/>
        <w:jc w:val="both"/>
      </w:pPr>
      <w:r>
        <w:rPr>
          <w:rFonts w:ascii="Times New Roman" w:eastAsia="Microsoft YaHei"/>
          <w:color w:val="1A2B40"/>
          <w:sz w:val="24"/>
          <w:szCs w:val="24"/>
        </w:rPr>
        <w:t xml:space="preserve">The AddManuChain customer discovery program has validated a substantial market opportunity in digital inventory and additive manufacturing supply chain optimization for remote and regulated industries. The spare parts supply chain is fundamentally broken, with lead times of months to years, downtime costs of hundreds of thousands to millions of dollars per day, and an estimated 80% of physical inventory never used. The platform’s core value proposition—compressing lead times from months to days through digital inventory and on-demand certified AM production—is strongly validated across all target segments.</w:t>
      </w:r>
    </w:p>
    <w:p>
      <w:pPr>
        <w:spacing w:after="60" w:line="312"/>
        <w:ind w:firstLine="480"/>
        <w:jc w:val="both"/>
      </w:pPr>
      <w:r>
        <w:rPr>
          <w:rFonts w:ascii="Times New Roman" w:eastAsia="Microsoft YaHei"/>
          <w:color w:val="1A2B40"/>
          <w:sz w:val="24"/>
          <w:szCs w:val="24"/>
        </w:rPr>
        <w:t xml:space="preserve">However, the research has also revealed that the path to market is more nuanced than initially hypothesized. Certification is the single greatest barrier, but it is achievable through structured pathways and can be amortized through a platform approach. OEM IP protection is non-negotiable and requires on-premise or zero-knowledge architecture. The business case must lead with quantified financial outcomes, not technology features. AI inventory optimization is more immediately valuable than AM marketplace connectivity. And the compliance pipeline, not the print centers, is the platform’s primary competitive moat.</w:t>
      </w:r>
    </w:p>
    <w:p>
      <w:pPr>
        <w:spacing w:after="60" w:line="312"/>
        <w:ind w:firstLine="480"/>
        <w:jc w:val="both"/>
      </w:pPr>
      <w:r>
        <w:rPr>
          <w:rFonts w:ascii="Times New Roman" w:eastAsia="Microsoft YaHei"/>
          <w:color w:val="1A2B40"/>
          <w:sz w:val="24"/>
          <w:szCs w:val="24"/>
        </w:rPr>
        <w:t xml:space="preserve">The recommended beachhead market is Canadian Defense and Naval, driven by sovereignty imperatives, existing government funding mechanisms, and the most favorable IP landscape (Crown-owned designs for obsolete parts). The recommended entry strategy is a 90-day maritime pilot with measurable outcomes, followed by expansion to offshore oil and gas through the Atlantic XL and Equinor partnerships, and eventual extension to mining, aerospace MRO, and utilities.</w:t>
      </w:r>
    </w:p>
    <w:p>
      <w:pPr>
        <w:pStyle w:val="Heading2"/>
        <w:spacing w:after="120" w:before="280" w:line="312"/>
      </w:pPr>
      <w:bookmarkStart w:id="100045" w:name="_Toc100045"/>
      <w:r>
        <w:rPr>
          <w:rFonts w:ascii="Times New Roman" w:eastAsia="SimHei"/>
          <w:b/>
          <w:bCs/>
          <w:color w:val="0A1628"/>
          <w:sz w:val="28"/>
          <w:szCs w:val="28"/>
        </w:rPr>
        <w:t xml:space="preserve">13.2 Recommended Next Actions</w:t>
      </w:r>
      <w:bookmarkEnd w:id="100045"/>
    </w:p>
    <w:p>
      <w:pPr>
        <w:spacing w:after="60" w:line="312"/>
        <w:ind w:firstLine="480"/>
        <w:jc w:val="both"/>
      </w:pPr>
      <w:r>
        <w:rPr>
          <w:rFonts w:ascii="Times New Roman" w:eastAsia="Microsoft YaHei"/>
          <w:color w:val="1A2B40"/>
          <w:sz w:val="24"/>
          <w:szCs w:val="24"/>
        </w:rPr>
        <w:t xml:space="preserve">The following ten actions represent the highest-priority next steps based on the complete body of interview evidence: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Priority</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Action</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Timeline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Owner</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Execute 90-day maritime pilot (5-10 parts, one vessel, Horizon Maritime)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0-3 months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Founding team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Formalize Lloyd’s Register technical partnership (Adam Saxty relationship)</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0-2 months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CEO</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Secure Atlantic XL as anchor production partner (site visit + documentation)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0-2 months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CEO</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4</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Hire legal counsel for liability framework (defense/aerospace focused)</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0-3 months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CEO</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Secure 1 OEM LOI for digital licensing model (Hawboldt or Precise Design)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1-3 months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BD</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Submit NRC IRAP application with Atlantic XL + LR R&amp;D angle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1-4 months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CEO</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Build DRL 3 screening tool as first MVP feature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0-6 months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Engineering</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File provisional patent on DRM token workflow</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0-3 months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Legal</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Attend ENGINE Conference Toronto for manufacturer networking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March 2026</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BD</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Prioritize Precise Design + Tronos Jet + Dalhousie for Tallis Phase 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1-4 months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BD</w:t>
            </w:r>
          </w:p>
        </w:tc>
      </w:tr>
    </w:tbl>
    <w:p>
      <w:pPr>
        <w:spacing w:before="100"/>
      </w:pPr>
    </w:p>
    <w:p>
      <w:pPr>
        <w:spacing w:after="60" w:line="312"/>
        <w:ind w:firstLine="480"/>
        <w:jc w:val="both"/>
      </w:pPr>
      <w:r>
        <w:rPr>
          <w:rFonts w:ascii="Times New Roman" w:eastAsia="Microsoft YaHei"/>
          <w:color w:val="1A2B40"/>
          <w:sz w:val="24"/>
          <w:szCs w:val="24"/>
        </w:rPr>
        <w:t xml:space="preserve">These actions, if executed in the recommended sequence, will position AddManuChain to move from customer discovery validation to commercial pilot within six months, with a clear pathway to sustained growth through the defense anchor tenant strategy and progressive market expansion.</w:t>
      </w:r>
    </w:p>
    <w:p>
      <w:pPr>
        <w:pStyle w:val="Heading1"/>
        <w:spacing w:after="160" w:before="360" w:line="312"/>
      </w:pPr>
      <w:bookmarkStart w:id="100046" w:name="_Toc100046"/>
      <w:r>
        <w:rPr>
          <w:rFonts w:ascii="Times New Roman" w:eastAsia="SimHei"/>
          <w:b/>
          <w:bCs/>
          <w:color w:val="0A1628"/>
          <w:sz w:val="32"/>
          <w:szCs w:val="32"/>
        </w:rPr>
        <w:t xml:space="preserve">14. Appendix: Complete Interview Index</w:t>
      </w:r>
      <w:bookmarkEnd w:id="100046"/>
    </w:p>
    <w:p>
      <w:pPr>
        <w:spacing w:after="60" w:line="312"/>
        <w:ind w:firstLine="480"/>
        <w:jc w:val="both"/>
      </w:pPr>
      <w:r>
        <w:rPr>
          <w:rFonts w:ascii="Times New Roman" w:eastAsia="Microsoft YaHei"/>
          <w:color w:val="1A2B40"/>
          <w:sz w:val="24"/>
          <w:szCs w:val="24"/>
        </w:rPr>
        <w:t xml:space="preserve">The following table provides a complete index of all interviews conducted as part of the AddManuChain customer discovery program, including interviewee names, organizations, industry segments, and date ranges. Full transcripts, analysis documents, and follow-up materials are archived in the project repository.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Folder</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Interviewee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Organization</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Segment</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Sean Morgan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Atlantic XL Inc.</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Oil &amp; Gas / Marine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John Lidstone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Atlantic XL Inc.</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Oil &amp; Gas / Marine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Fanny Charreteur (referral)</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PRIMA Quebec</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Ecosystem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Frank DeFalco</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NGen / Canada Makes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Ecosystem</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Mark Kirby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Tronosjet / Renishaw</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Aerospace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Jordan Cumming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Enginuity / Kraken Robotics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Ocean Tech / Defense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Dr. Ali Nasiri</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Dalhousie University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Academic / Certification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Tony Jabbour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Clearwater Seafoods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Marine / Seafood</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13</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Lee Vessey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Thales Canada</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Defense / Navy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14</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Nicole Rathie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NGen / Canada Makes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Ecosystem</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15</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Mikhail Gladkikh</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OMV</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Oil &amp; Gas (Europe)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16</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Harvey Doane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Maritime Launch Services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Space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17</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Jean-Michel Fortin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Agnico Eagle Mines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Mining (Arctic)</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18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Chris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OMV</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Oil &amp; Gas (Europe)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19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Fanny Charreteur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PRIMA Quebec</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Ecosystem / Materials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20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Nichelle Hubley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The Assembly Studio</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General Mfg / AM Platform</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21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Arad Gharagozli</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Galaxia Mission Systems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Aerospace / Space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23</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Jim Granger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MAN Energy Solutions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Marine / Offshore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25</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Kwadwo Ampofo</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Deloitte Canada</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Cross-Industry / SAP</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27</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Keith Healey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ERINL / Suncor / ExxonMobil</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O&amp;G / Government R&amp;D</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28</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Andrew Smith</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Design Smith / JVPLabs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Cross-Industry / QA</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29</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Darren Wood</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Proax Technologies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Industrial Automation</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30</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Adam Chubbs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Frobisher Energy / Ecotex</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Utilities / Mining / Arctic</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31</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Mike Paulin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C-CORE / Memorial University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Arctic Offshore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32</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Shawn Sooley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Shield Group</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Cross-Industry AM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33</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Tyler Beatty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ExxonMobil Canada</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Oil &amp; Gas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34</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Aaron Plamondon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Irving Shipbuilding</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Defense / Naval</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35</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Nathan Smeenk</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Agile Manufacturing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AM Service Bureau</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39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David Haire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CME Newfoundland</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Manufacturing Assoc.</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41</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Mohsen Mohammadi</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Automotive AM Expert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Cross-Industry</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42</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Trevor Butler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Lloyd's Register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Marine Certification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43</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Matthew Erning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GKN Aerospace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Aerospace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44</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Douglas Garcia-Golindano</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Equinor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Oil &amp; Gas (Midstream)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45</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Adam Saxty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Lloyd's Register (UK)</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Marine Certification</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46</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Dave Whitehouse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Lloyd's Register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Naval / Defense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48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Lonita Judge + Adam Mars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Horizon Maritime / Rosen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Maritime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50</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Bachar Elzein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Reaction Dynamics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Space / Rocket</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52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Scott Humber + Heather Davis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Aker Solutions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Oil &amp; Gas / EPC</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53</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Steven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Polyunity Tech</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Healthcare / Parallel Platform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55</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Andre Simha</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MSC</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Global Shipping</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56</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Sheila Paterson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NS Dept. of Energy</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Government / Policy</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57</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Nathalie Sykora</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CSL</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Maritime / Short-Sea</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58</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Bob Hedrick</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CAMufacturing Solutions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AM Software / DED</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59</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Evan Butler-Jones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Ecospheres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AM / Digital Inventory</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60</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Craig Dicken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ExxonMobil</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Enterprise Supply Chain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63</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Jens Kroeger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APNC (GE Aerospace)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Aerospace / Metal Powders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64</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Dean Dalpe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Enbridge</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Utilities / Pipeline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65</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Jared Newcombe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Horizon Naval Engineering</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Shipbuilding / Naval Repair</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66</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Cynthia Clark</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WISC</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Cross-Industry Consultant</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67</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Niraj Shukla</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IP / Gov Funding Expert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Government Funding / IP</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68</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Aurangzeb Siddiqui</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WESCO Distribution</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Enterprise Distribution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69</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JP Hudon</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Glencore</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Mining / Smelting</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70</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Michael Kowalczyk</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Major Mining (Kinross)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Mining</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71</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Brian May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DRDC Atlantic</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Defense / Government Research</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72</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Cassidy Silbernagel</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Exergy Solutions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AM Engineering / O&amp;G</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75</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David Bursey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Cenovus Energy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Oil &amp; Gas / Offshore</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76</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Mike Lenart</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Greenstone Gold Mines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Mining (Gold)</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78</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Donna Hatt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Town of Bridgewater</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Regional Economic Dev.</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79</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Andrew Black</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GTICS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Maritime AI / Port Ops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80</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Sebastian Piegert</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Siemens Energy</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Energy / Gas Turbines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81</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Cameron Munro</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DRDC Atlantic</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Defense / Submarines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Michael Kobalch</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Kinross Gold</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Mining</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83</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Paleagus CEO</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Paleagus</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On-Demand Mfg</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84</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Bachar Elzein (Part 2)</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Reaction Dynamics</w:t>
            </w:r>
          </w:p>
        </w:tc>
        <w:tc>
          <w:tcPr>
            <w:tcW w:type="pct" w:w="25%"/>
            <w:shd w:fill="FFFFFF" w:val="clear"/>
            <w:tcMar>
              <w:top w:type="dxa" w:w="60"/>
              <w:left w:type="dxa" w:w="120"/>
              <w:bottom w:type="dxa" w:w="60"/>
              <w:right w:type="dxa" w:w="120"/>
            </w:tcMar>
          </w:tcPr>
          <w:p>
            <w:r>
              <w:rPr>
                <w:rFonts w:ascii="Times New Roman" w:eastAsia="Microsoft YaHei"/>
                <w:color w:val="1A2B40"/>
                <w:sz w:val="21"/>
                <w:szCs w:val="21"/>
              </w:rPr>
              <w:t xml:space="preserve">Aerospace / Rocket</w:t>
            </w:r>
          </w:p>
        </w:tc>
      </w:tr>
    </w:tbl>
    <w:p>
      <w:pPr>
        <w:spacing w:before="100"/>
      </w:pP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6878A0"/>
        <w:sz w:val="18"/>
        <w:szCs w:val="18"/>
      </w:rPr>
      <w:t xml:space="preserve">AddManuChain Interview Insights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6878A0"/>
        <w:sz w:val="18"/>
        <w:szCs w:val="18"/>
      </w:rPr>
      <w:t xml:space="preserve">AddManuChain Interview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80" w:line="312"/>
      <w:outlineLvl w:val="1"/>
    </w:pPr>
    <w:rPr>
      <w:rFonts w:ascii="Times New Roman" w:eastAsia="SimHei"/>
      <w:b/>
      <w:bCs/>
      <w:color w:val="0A1628"/>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2026-06-09T19:45:43.136Z</dcterms:created>
  <dcterms:modified xsi:type="dcterms:W3CDTF">2026-06-09T19:45:43.136Z</dcterms:modified>
</cp:coreProperties>
</file>

<file path=docProps/custom.xml><?xml version="1.0" encoding="utf-8"?>
<Properties xmlns="http://schemas.openxmlformats.org/officeDocument/2006/custom-properties" xmlns:vt="http://schemas.openxmlformats.org/officeDocument/2006/docPropsVTypes"/>
</file>