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32912" w14:textId="0B5C1BED" w:rsidR="00D7522C" w:rsidRPr="00CA4392" w:rsidRDefault="007057DC" w:rsidP="007057DC">
      <w:pPr>
        <w:pStyle w:val="Author"/>
        <w:spacing w:before="100" w:beforeAutospacing="1" w:after="100" w:afterAutospacing="1"/>
        <w:rPr>
          <w:sz w:val="16"/>
          <w:szCs w:val="16"/>
        </w:rPr>
        <w:sectPr w:rsidR="00D7522C" w:rsidRPr="00CA4392" w:rsidSect="006528C6">
          <w:footerReference w:type="first" r:id="rId8"/>
          <w:pgSz w:w="11906" w:h="16838" w:code="9"/>
          <w:pgMar w:top="540" w:right="893" w:bottom="1440" w:left="893" w:header="720" w:footer="720" w:gutter="0"/>
          <w:cols w:space="720"/>
          <w:titlePg/>
          <w:docGrid w:linePitch="360"/>
        </w:sectPr>
      </w:pPr>
      <w:r w:rsidRPr="007057DC">
        <w:rPr>
          <w:rFonts w:eastAsia="MS Mincho"/>
          <w:sz w:val="48"/>
          <w:szCs w:val="48"/>
        </w:rPr>
        <w:t>Comparative Analysis of Machine Learning Models for State of Charge Prediction in V2G Systems: Insights from a MATLAB Simulated Microgrid Environment</w:t>
      </w:r>
    </w:p>
    <w:p w14:paraId="198C47C9" w14:textId="77777777" w:rsidR="00CE6415" w:rsidRDefault="00CE6415" w:rsidP="00CE6415">
      <w:pPr>
        <w:pStyle w:val="Author"/>
        <w:spacing w:before="0" w:after="0"/>
        <w:rPr>
          <w:sz w:val="18"/>
          <w:szCs w:val="18"/>
        </w:rPr>
      </w:pPr>
      <w:r>
        <w:rPr>
          <w:sz w:val="18"/>
          <w:szCs w:val="18"/>
        </w:rPr>
        <w:t>Mahmoud Mohammadnezhad Kiasari</w:t>
      </w:r>
    </w:p>
    <w:p w14:paraId="35AAAA89" w14:textId="77777777" w:rsidR="00CE6415" w:rsidRDefault="00CE6415" w:rsidP="00CE6415">
      <w:pPr>
        <w:pStyle w:val="Author"/>
        <w:spacing w:before="0" w:after="0"/>
        <w:rPr>
          <w:sz w:val="18"/>
          <w:szCs w:val="18"/>
        </w:rPr>
      </w:pPr>
      <w:r>
        <w:rPr>
          <w:sz w:val="18"/>
          <w:szCs w:val="18"/>
        </w:rPr>
        <w:t>Department of Electrical and Computer Engineering</w:t>
      </w:r>
    </w:p>
    <w:p w14:paraId="6F5D0C4E" w14:textId="77777777" w:rsidR="00CE6415" w:rsidRDefault="00CE6415" w:rsidP="00CE6415">
      <w:pPr>
        <w:pStyle w:val="Author"/>
        <w:spacing w:before="0" w:after="0"/>
        <w:rPr>
          <w:sz w:val="18"/>
          <w:szCs w:val="18"/>
        </w:rPr>
      </w:pPr>
      <w:r>
        <w:rPr>
          <w:sz w:val="18"/>
          <w:szCs w:val="18"/>
        </w:rPr>
        <w:t>Dalhousie University</w:t>
      </w:r>
    </w:p>
    <w:p w14:paraId="5FADF190" w14:textId="77777777" w:rsidR="00CE6415" w:rsidRDefault="00CE6415" w:rsidP="00CE6415">
      <w:pPr>
        <w:pStyle w:val="Author"/>
        <w:spacing w:before="0" w:after="0"/>
        <w:rPr>
          <w:sz w:val="18"/>
          <w:szCs w:val="18"/>
        </w:rPr>
      </w:pPr>
      <w:r>
        <w:rPr>
          <w:sz w:val="18"/>
          <w:szCs w:val="18"/>
        </w:rPr>
        <w:t>Halifax, Canada</w:t>
      </w:r>
    </w:p>
    <w:p w14:paraId="6B4BD4A0" w14:textId="77777777" w:rsidR="00CE6415" w:rsidRDefault="00CE6415" w:rsidP="00CE6415">
      <w:pPr>
        <w:pStyle w:val="Author"/>
        <w:spacing w:before="0" w:after="0"/>
        <w:rPr>
          <w:sz w:val="18"/>
          <w:szCs w:val="18"/>
        </w:rPr>
      </w:pPr>
      <w:r w:rsidRPr="004015A5">
        <w:rPr>
          <w:sz w:val="18"/>
          <w:szCs w:val="18"/>
        </w:rPr>
        <w:t>Mahmoud.Kiasari@dal.ca</w:t>
      </w:r>
      <w:r>
        <w:rPr>
          <w:sz w:val="18"/>
          <w:szCs w:val="18"/>
        </w:rPr>
        <w:t xml:space="preserve"> </w:t>
      </w:r>
      <w:r w:rsidR="00BD670B">
        <w:rPr>
          <w:sz w:val="18"/>
          <w:szCs w:val="18"/>
        </w:rPr>
        <w:br w:type="column"/>
      </w:r>
      <w:r w:rsidRPr="004015A5">
        <w:rPr>
          <w:sz w:val="18"/>
          <w:szCs w:val="18"/>
        </w:rPr>
        <w:t>Hamed</w:t>
      </w:r>
      <w:r>
        <w:rPr>
          <w:sz w:val="18"/>
          <w:szCs w:val="18"/>
        </w:rPr>
        <w:t xml:space="preserve"> H. Aly</w:t>
      </w:r>
    </w:p>
    <w:p w14:paraId="5728F7A8" w14:textId="77777777" w:rsidR="00CE6415" w:rsidRDefault="00CE6415" w:rsidP="00CE6415">
      <w:pPr>
        <w:pStyle w:val="Author"/>
        <w:spacing w:before="0" w:after="0"/>
        <w:rPr>
          <w:sz w:val="18"/>
          <w:szCs w:val="18"/>
        </w:rPr>
      </w:pPr>
      <w:r>
        <w:rPr>
          <w:sz w:val="18"/>
          <w:szCs w:val="18"/>
        </w:rPr>
        <w:t>Department of Electrical and Computer Engineering</w:t>
      </w:r>
    </w:p>
    <w:p w14:paraId="59B1D9D9" w14:textId="77777777" w:rsidR="00CE6415" w:rsidRDefault="00CE6415" w:rsidP="00CE6415">
      <w:pPr>
        <w:pStyle w:val="Author"/>
        <w:spacing w:before="0" w:after="0"/>
        <w:rPr>
          <w:sz w:val="18"/>
          <w:szCs w:val="18"/>
        </w:rPr>
      </w:pPr>
      <w:r>
        <w:rPr>
          <w:sz w:val="18"/>
          <w:szCs w:val="18"/>
        </w:rPr>
        <w:t>Dalhousie University</w:t>
      </w:r>
    </w:p>
    <w:p w14:paraId="16FF304D" w14:textId="77777777" w:rsidR="00CE6415" w:rsidRDefault="00CE6415" w:rsidP="00CE6415">
      <w:pPr>
        <w:pStyle w:val="Author"/>
        <w:spacing w:before="0" w:after="0"/>
        <w:rPr>
          <w:sz w:val="18"/>
          <w:szCs w:val="18"/>
        </w:rPr>
      </w:pPr>
      <w:r>
        <w:rPr>
          <w:sz w:val="18"/>
          <w:szCs w:val="18"/>
        </w:rPr>
        <w:t>Halifax, Canada</w:t>
      </w:r>
    </w:p>
    <w:p w14:paraId="18F98846" w14:textId="56ECC4FA" w:rsidR="009F1D79" w:rsidRDefault="00CE6415" w:rsidP="00CE6415">
      <w:pPr>
        <w:pStyle w:val="Author"/>
        <w:spacing w:before="0"/>
        <w:sectPr w:rsidR="009F1D79" w:rsidSect="006528C6">
          <w:type w:val="continuous"/>
          <w:pgSz w:w="11906" w:h="16838" w:code="9"/>
          <w:pgMar w:top="450" w:right="893" w:bottom="1440" w:left="893" w:header="720" w:footer="720" w:gutter="0"/>
          <w:cols w:num="2" w:space="720"/>
          <w:docGrid w:linePitch="360"/>
        </w:sectPr>
      </w:pPr>
      <w:r>
        <w:rPr>
          <w:sz w:val="18"/>
          <w:szCs w:val="18"/>
        </w:rPr>
        <w:t>Hamed.Aly@dal.ca</w:t>
      </w:r>
    </w:p>
    <w:p w14:paraId="37EDAC2A" w14:textId="77777777" w:rsidR="009303D9" w:rsidRPr="005B520E" w:rsidRDefault="00BD670B">
      <w:pPr>
        <w:sectPr w:rsidR="009303D9" w:rsidRPr="005B520E" w:rsidSect="006528C6">
          <w:type w:val="continuous"/>
          <w:pgSz w:w="11906" w:h="16838" w:code="9"/>
          <w:pgMar w:top="450" w:right="893" w:bottom="1440" w:left="893" w:header="720" w:footer="720" w:gutter="0"/>
          <w:cols w:num="3" w:space="720"/>
          <w:docGrid w:linePitch="360"/>
        </w:sectPr>
      </w:pPr>
      <w:r>
        <w:br w:type="column"/>
      </w:r>
    </w:p>
    <w:p w14:paraId="33F28CB8" w14:textId="65AD650A" w:rsidR="004D72B5" w:rsidRDefault="009303D9" w:rsidP="0091448F">
      <w:pPr>
        <w:pStyle w:val="Abstract"/>
        <w:rPr>
          <w:i/>
          <w:iCs/>
        </w:rPr>
      </w:pPr>
      <w:r>
        <w:rPr>
          <w:i/>
          <w:iCs/>
        </w:rPr>
        <w:t>Abstract</w:t>
      </w:r>
      <w:r>
        <w:t>—</w:t>
      </w:r>
      <w:r w:rsidR="009014BC" w:rsidRPr="009014BC">
        <w:t xml:space="preserve"> </w:t>
      </w:r>
      <w:r w:rsidR="006C4937" w:rsidRPr="006C4937">
        <w:rPr>
          <w:spacing w:val="5"/>
          <w:kern w:val="1"/>
        </w:rPr>
        <w:t>The burgeoning integration of renewable energy and Vehicle-to-Grid (V2G) systems into microgrids underscores the imperative for sophisticated predictive models to forecast the State of Charge (SoC) of electric vehicles (EVs), a pivotal aspect of V2G efficiency. Leveraging a model derived from MATLAB examples, this study embarks on a passive mode analysis to compare the efficacy of three distinguished machine learning algorithms—Extreme Gradient Boosting (XGBoost), Recurrent Neural Networks (RNNs), and Support Vector Regression (SVR)—in predicting the SoC for EVs within a simulated microgrid framework. The simulation meticulously replicates a microgrid composed of a diesel generator, renewable energy sources (photovoltaic and wind), a V2G system, and varying consumer load profiles, mirroring the energy dynamics of a community comprising a thousand households. Emphasis is placed on five V2G user profiles to emulate diverse real-world scenarios. The evaluation of the model</w:t>
      </w:r>
      <w:r w:rsidR="003D1F04">
        <w:rPr>
          <w:spacing w:val="5"/>
          <w:kern w:val="1"/>
        </w:rPr>
        <w:t>'s</w:t>
      </w:r>
      <w:r w:rsidR="006C4937" w:rsidRPr="006C4937">
        <w:rPr>
          <w:spacing w:val="5"/>
          <w:kern w:val="1"/>
        </w:rPr>
        <w:t xml:space="preserve"> predictive performance is meticulously conducted through Mean Squared Error (MSE), R-squared values, and k-fold cross-validation metrics, facilitating a comprehensive understanding of their predictive accuracy and robustness. This investigation enriches the microgrid management discourse, highlighting the potential of passive mode analysis in MATLAB to enhance the operational efficacy of microgrid systems. By elucidating the comparative strengths and limitations of each predictive model, the study paves the way for future research </w:t>
      </w:r>
      <w:r w:rsidR="00341DF6">
        <w:rPr>
          <w:spacing w:val="5"/>
          <w:kern w:val="1"/>
        </w:rPr>
        <w:t>endeavors</w:t>
      </w:r>
      <w:r w:rsidR="006C4937" w:rsidRPr="006C4937">
        <w:rPr>
          <w:spacing w:val="5"/>
          <w:kern w:val="1"/>
        </w:rPr>
        <w:t xml:space="preserve"> aimed at refining predictive methodologies in the energy sector.</w:t>
      </w:r>
    </w:p>
    <w:p w14:paraId="7B0D30ED" w14:textId="26E8F542" w:rsidR="009303D9" w:rsidRPr="004D72B5" w:rsidRDefault="004D72B5" w:rsidP="00972203">
      <w:pPr>
        <w:pStyle w:val="Keywords"/>
      </w:pPr>
      <w:r w:rsidRPr="004D72B5">
        <w:t>Keywords—</w:t>
      </w:r>
      <w:r w:rsidR="00B01919">
        <w:t>Renewable Energy, Win</w:t>
      </w:r>
      <w:r w:rsidR="003D1F04">
        <w:t>d</w:t>
      </w:r>
      <w:r w:rsidR="00B01919">
        <w:t>, Solar, Machine Learning</w:t>
      </w:r>
      <w:r w:rsidR="00341DF6">
        <w:t>, MATLAB</w:t>
      </w:r>
    </w:p>
    <w:p w14:paraId="441AFC3E" w14:textId="5C071784" w:rsidR="009303D9" w:rsidRDefault="009303D9" w:rsidP="006B6B66">
      <w:pPr>
        <w:pStyle w:val="Heading1"/>
      </w:pPr>
      <w:r w:rsidRPr="00D632BE">
        <w:t xml:space="preserve">Introduction </w:t>
      </w:r>
    </w:p>
    <w:p w14:paraId="0F9005C5" w14:textId="6AAD898B" w:rsidR="00B01919" w:rsidRDefault="003D1F04" w:rsidP="003D1F04">
      <w:pPr>
        <w:ind w:firstLine="360"/>
        <w:jc w:val="both"/>
      </w:pPr>
      <w:r>
        <w:t>The advent of the smart grid and the increasing integration of renewable energy sources have significantly altered the landscape of energy systems, leading to more sustainability and grid reliance. The concept of microgrids is central to this transformation, where they can operate autonomously or in conjunction with the main power grid. Having the help of other sources could elevate the effic</w:t>
      </w:r>
      <w:r w:rsidR="00CE45EA">
        <w:t>ienc</w:t>
      </w:r>
      <w:r>
        <w:t xml:space="preserve">y of the system while aiding </w:t>
      </w:r>
      <w:r w:rsidR="00CE45EA">
        <w:t>in</w:t>
      </w:r>
      <w:r>
        <w:t xml:space="preserve"> more flexibility and reliability of the system. As on</w:t>
      </w:r>
      <w:r w:rsidR="00CE45EA">
        <w:t>e</w:t>
      </w:r>
      <w:r>
        <w:t xml:space="preserve"> of the pivotal innovations, V2G technology emerges within the microg</w:t>
      </w:r>
      <w:r w:rsidR="00CE45EA">
        <w:t>ri</w:t>
      </w:r>
      <w:r>
        <w:t>d, enabling the EVs not only to be charged but also to feed electricity back into the grid, thereby acting as mobile energy storage.</w:t>
      </w:r>
    </w:p>
    <w:p w14:paraId="54815E7F" w14:textId="77777777" w:rsidR="00B2221D" w:rsidRDefault="00B2221D" w:rsidP="003D1F04">
      <w:pPr>
        <w:ind w:firstLine="360"/>
        <w:jc w:val="both"/>
      </w:pPr>
    </w:p>
    <w:p w14:paraId="104F9027" w14:textId="27EA1483" w:rsidR="003D1F04" w:rsidRDefault="003D1F04" w:rsidP="007A1777">
      <w:pPr>
        <w:jc w:val="both"/>
      </w:pPr>
      <w:r>
        <w:t xml:space="preserve">The effective integration of this technology depends on the accurate prediction of </w:t>
      </w:r>
      <w:r w:rsidR="00CE45EA">
        <w:t xml:space="preserve">the </w:t>
      </w:r>
      <w:r>
        <w:t xml:space="preserve">SoC of EVs, a critical parameter </w:t>
      </w:r>
      <w:r>
        <w:t>that secures the optimal operation of both EVs and grids in each stage of charging and discharging. This forecasting facilitate</w:t>
      </w:r>
      <w:r w:rsidR="00CE45EA">
        <w:t>s</w:t>
      </w:r>
      <w:r>
        <w:t xml:space="preserve"> EV usage as a load or source, </w:t>
      </w:r>
      <w:r w:rsidR="00CE45EA">
        <w:t xml:space="preserve">of </w:t>
      </w:r>
      <w:r>
        <w:t xml:space="preserve">grid stability, especially with </w:t>
      </w:r>
      <w:r w:rsidR="00CE45EA">
        <w:t xml:space="preserve">the </w:t>
      </w:r>
      <w:r>
        <w:t xml:space="preserve">unpredictable nature of renewable energies like wind and solar. The main focus of this work </w:t>
      </w:r>
      <w:r w:rsidR="00CE45EA">
        <w:t xml:space="preserve">is </w:t>
      </w:r>
      <w:r>
        <w:t>also dedicate</w:t>
      </w:r>
      <w:r w:rsidR="00CE45EA">
        <w:t>d</w:t>
      </w:r>
      <w:r>
        <w:t xml:space="preserve"> to this matter, where the development of robust prediction is paramount, with machine learning offering guaranteeing revenue due to its applicability in handling complex and non-linear correlations inherent in energy sources.</w:t>
      </w:r>
    </w:p>
    <w:p w14:paraId="672CAC59" w14:textId="77777777" w:rsidR="00B2221D" w:rsidRDefault="00B2221D" w:rsidP="00B2221D">
      <w:pPr>
        <w:ind w:firstLine="450"/>
        <w:jc w:val="both"/>
      </w:pPr>
    </w:p>
    <w:p w14:paraId="191926A5" w14:textId="08577FED" w:rsidR="00B2221D" w:rsidRDefault="00B2221D" w:rsidP="00B2221D">
      <w:pPr>
        <w:ind w:firstLine="360"/>
        <w:jc w:val="both"/>
        <w:rPr>
          <w:lang w:bidi="fa-IR"/>
        </w:rPr>
      </w:pPr>
      <w:r>
        <w:t>This study delves into a comparative analysis of three advanced machine learning methods, XGBoost, RNN, and SVR in predicting EV SoCs within a microgrid environment. MATLAB-Simulink, notorious for its excellence in simulations, particularly for its remarkable V2G simulation capabilities, is to be applied in the study.</w:t>
      </w:r>
      <w:r w:rsidR="00C05B94">
        <w:t xml:space="preserve"> This model simulates a microg</w:t>
      </w:r>
      <w:r w:rsidR="00CE45EA">
        <w:t>ri</w:t>
      </w:r>
      <w:r w:rsidR="00C05B94">
        <w:t>d composed of a diesel generator, renewable energy sources (PV and wind farms), a V2G system, and 5 different consumer load profiles</w:t>
      </w:r>
      <w:r w:rsidR="004B73AF">
        <w:t xml:space="preserve"> for 10 different days</w:t>
      </w:r>
      <w:r w:rsidR="00C05B94">
        <w:t>. The model itself only implement</w:t>
      </w:r>
      <w:r w:rsidR="00CE45EA">
        <w:t>s</w:t>
      </w:r>
      <w:r w:rsidR="00C05B94">
        <w:t xml:space="preserve"> some random inputs for each part, as in this work, different realistic sources would be used to resemble the real-time situation for simulation and the </w:t>
      </w:r>
      <w:r w:rsidR="00C05B94">
        <w:rPr>
          <w:lang w:bidi="fa-IR"/>
        </w:rPr>
        <w:t>machine learning methods to be as much as close to the reality.</w:t>
      </w:r>
      <w:r w:rsidR="00CE45EA">
        <w:rPr>
          <w:lang w:bidi="fa-IR"/>
        </w:rPr>
        <w:t xml:space="preserve"> The total aim is to elucidate the predictive accuracy, reliability, and computational efficiency of each model in the context of V2G, to contribute valuable insights to microgrid management optimization and advancing sustainable energy systems.</w:t>
      </w:r>
    </w:p>
    <w:p w14:paraId="5CEC20ED" w14:textId="77777777" w:rsidR="003D1F04" w:rsidRDefault="003D1F04" w:rsidP="007A1777">
      <w:pPr>
        <w:jc w:val="both"/>
      </w:pPr>
    </w:p>
    <w:p w14:paraId="665D8533" w14:textId="77777777" w:rsidR="004B73AF" w:rsidRDefault="004B73AF" w:rsidP="004B73AF">
      <w:pPr>
        <w:keepNext/>
        <w:jc w:val="both"/>
      </w:pPr>
      <w:r>
        <w:rPr>
          <w:noProof/>
        </w:rPr>
        <w:drawing>
          <wp:inline distT="0" distB="0" distL="0" distR="0" wp14:anchorId="7195F38F" wp14:editId="0FEB067E">
            <wp:extent cx="2984500" cy="1608455"/>
            <wp:effectExtent l="0" t="0" r="6350" b="0"/>
            <wp:docPr id="472062999" name="Picture 2" descr="A diagram of a wind fa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62999" name="Picture 2" descr="A diagram of a wind far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84500" cy="1608455"/>
                    </a:xfrm>
                    <a:prstGeom prst="rect">
                      <a:avLst/>
                    </a:prstGeom>
                  </pic:spPr>
                </pic:pic>
              </a:graphicData>
            </a:graphic>
          </wp:inline>
        </w:drawing>
      </w:r>
    </w:p>
    <w:p w14:paraId="438C387D" w14:textId="60FFBE5E" w:rsidR="003D1F04" w:rsidRDefault="004B73AF" w:rsidP="004B73AF">
      <w:pPr>
        <w:widowControl w:val="0"/>
        <w:autoSpaceDE w:val="0"/>
        <w:autoSpaceDN w:val="0"/>
        <w:adjustRightInd w:val="0"/>
        <w:spacing w:before="120" w:line="226" w:lineRule="auto"/>
        <w:rPr>
          <w:rFonts w:eastAsia="Times New Roman"/>
          <w:spacing w:val="5"/>
          <w:kern w:val="1"/>
          <w:sz w:val="16"/>
          <w:szCs w:val="16"/>
        </w:rPr>
      </w:pPr>
      <w:r w:rsidRPr="004B73AF">
        <w:rPr>
          <w:rFonts w:eastAsia="Times New Roman"/>
          <w:spacing w:val="5"/>
          <w:kern w:val="1"/>
          <w:sz w:val="16"/>
          <w:szCs w:val="16"/>
        </w:rPr>
        <w:t xml:space="preserve">Figure </w:t>
      </w:r>
      <w:r w:rsidRPr="004B73AF">
        <w:rPr>
          <w:rFonts w:eastAsia="Times New Roman"/>
          <w:spacing w:val="5"/>
          <w:kern w:val="1"/>
          <w:sz w:val="16"/>
          <w:szCs w:val="16"/>
        </w:rPr>
        <w:fldChar w:fldCharType="begin"/>
      </w:r>
      <w:r w:rsidRPr="004B73AF">
        <w:rPr>
          <w:rFonts w:eastAsia="Times New Roman"/>
          <w:spacing w:val="5"/>
          <w:kern w:val="1"/>
          <w:sz w:val="16"/>
          <w:szCs w:val="16"/>
        </w:rPr>
        <w:instrText xml:space="preserve"> SEQ Figure \* ARABIC </w:instrText>
      </w:r>
      <w:r w:rsidRPr="004B73AF">
        <w:rPr>
          <w:rFonts w:eastAsia="Times New Roman"/>
          <w:spacing w:val="5"/>
          <w:kern w:val="1"/>
          <w:sz w:val="16"/>
          <w:szCs w:val="16"/>
        </w:rPr>
        <w:fldChar w:fldCharType="separate"/>
      </w:r>
      <w:r w:rsidRPr="004B73AF">
        <w:rPr>
          <w:rFonts w:eastAsia="Times New Roman"/>
          <w:spacing w:val="5"/>
          <w:kern w:val="1"/>
          <w:sz w:val="16"/>
          <w:szCs w:val="16"/>
        </w:rPr>
        <w:t>1</w:t>
      </w:r>
      <w:r w:rsidRPr="004B73AF">
        <w:rPr>
          <w:rFonts w:eastAsia="Times New Roman"/>
          <w:spacing w:val="5"/>
          <w:kern w:val="1"/>
          <w:sz w:val="16"/>
          <w:szCs w:val="16"/>
        </w:rPr>
        <w:fldChar w:fldCharType="end"/>
      </w:r>
      <w:r w:rsidRPr="004B73AF">
        <w:rPr>
          <w:rFonts w:eastAsia="Times New Roman"/>
          <w:spacing w:val="5"/>
          <w:kern w:val="1"/>
          <w:sz w:val="16"/>
          <w:szCs w:val="16"/>
        </w:rPr>
        <w:t xml:space="preserve"> 24-hour Simulation of V2G System in Simulink</w:t>
      </w:r>
    </w:p>
    <w:p w14:paraId="5CBA63C8" w14:textId="77777777" w:rsidR="004F0BC8" w:rsidRPr="004B73AF" w:rsidRDefault="004F0BC8" w:rsidP="004B73AF">
      <w:pPr>
        <w:widowControl w:val="0"/>
        <w:autoSpaceDE w:val="0"/>
        <w:autoSpaceDN w:val="0"/>
        <w:adjustRightInd w:val="0"/>
        <w:spacing w:before="120" w:line="226" w:lineRule="auto"/>
        <w:rPr>
          <w:rFonts w:eastAsia="Times New Roman"/>
          <w:spacing w:val="5"/>
          <w:kern w:val="1"/>
          <w:sz w:val="16"/>
          <w:szCs w:val="16"/>
        </w:rPr>
      </w:pPr>
    </w:p>
    <w:p w14:paraId="7E9025BA" w14:textId="0D858992" w:rsidR="003D1F04" w:rsidRDefault="004F0BC8" w:rsidP="004F0BC8">
      <w:pPr>
        <w:jc w:val="both"/>
        <w:rPr>
          <w:color w:val="FF0000"/>
        </w:rPr>
      </w:pPr>
      <w:r>
        <w:t>This paper builds on previous foundations and studies on the associated topic. In this study</w:t>
      </w:r>
      <w:r>
        <w:fldChar w:fldCharType="begin"/>
      </w:r>
      <w:r>
        <w:instrText xml:space="preserve"> ADDIN ZOTERO_ITEM CSL_CITATION {"citationID":"tgS99Lcx","properties":{"formattedCitation":"[1]","plainCitation":"[1]","noteIndex":0},"citationItems":[{"id":439,"uris":["http://zotero.org/users/9870935/items/W692HIZ4"],"itemData":{"id":439,"type":"article-journal","abstract":"Electric vehicles (EVs) are inducing revolutionary developments to the transportation and power sectors. Their innumerable benefits are forcing nations to adopt this sustainable mode of transport. Governments are framing and implementing various green energy policies. Nonetheless, there exist several critical challenges and concerns to be resolved in order to reap the complete benefits of E-mobility. The impacts of unplanned EV charging are a major concern. Accurate EV load forecasting followed by an efficient charge scheduling system could, to a large extent, solve this problem. This work focuses on short-term EV demand forecasting using three learning frameworks, which were applied to real-time adaptive charging network (ACN) data, and performance was analyzed. Auto-regressive (AR) forecasting, support vector regression (SVR), and long short-term memory (LSTM) frameworks demonstrated good performance in EV charging demand forecasting. Among these, LSTM showed the best performance with a mean absolute error (MAE) of 4 kW and a root-mean-squared error (RMSE) of 5.9 kW.","container-title":"World Electric Vehicle Journal","DOI":"10.3390/wevj14090266","ISSN":"2032-6653","issue":"9","journalAbbreviation":"WEVJ","language":"en","page":"266","source":"DOI.org (Crossref)","title":"Short-Term Forecasting of Electric Vehicle Load Using Time Series, Machine Learning, and Deep Learning Techniques","volume":"14","author":[{"family":"Vishnu","given":"Gayathry"},{"family":"Kaliyaperumal","given":"Deepa"},{"family":"Pati","given":"Peeta Basa"},{"family":"Karthick","given":"Alagar"},{"family":"Subbanna","given":"Nagesh"},{"family":"Ghosh","given":"Aritra"}],"issued":{"date-parts":[["2023",9,20]]}}}],"schema":"https://github.com/citation-style-language/schema/raw/master/csl-citation.json"} </w:instrText>
      </w:r>
      <w:r>
        <w:fldChar w:fldCharType="separate"/>
      </w:r>
      <w:r w:rsidRPr="004F0BC8">
        <w:t>[1]</w:t>
      </w:r>
      <w:r>
        <w:fldChar w:fldCharType="end"/>
      </w:r>
      <w:r>
        <w:t xml:space="preserve">, authors have explored the capabilities of machine learning models, especially </w:t>
      </w:r>
      <w:r>
        <w:lastRenderedPageBreak/>
        <w:t>deep learning techniques, in the short</w:t>
      </w:r>
      <w:r w:rsidR="00E33A55">
        <w:t>-</w:t>
      </w:r>
      <w:r>
        <w:t>term forecasting of EV load. Also, another work</w:t>
      </w:r>
      <w:r>
        <w:fldChar w:fldCharType="begin"/>
      </w:r>
      <w:r>
        <w:instrText xml:space="preserve"> ADDIN ZOTERO_ITEM CSL_CITATION {"citationID":"ZOnAmZhr","properties":{"formattedCitation":"[2]","plainCitation":"[2]","noteIndex":0},"citationItems":[{"id":442,"uris":["http://zotero.org/users/9870935/items/L5YA4TM7"],"itemData":{"id":442,"type":"paper-conference","container-title":"2023 International Conference on Power Electronics and Energy (ICPEE)","DOI":"10.1109/ICPEE54198.2023.10060798","event-place":"Bhubaneswar, India","event-title":"2023 International Conference on Power Electronics and Energy (ICPEE)","ISBN":"978-1-66547-058-2","page":"1-6","publisher":"IEEE","publisher-place":"Bhubaneswar, India","source":"DOI.org (Crossref)","title":"Prediction of EV Energy consumption Using Random Forest And XGBoost","URL":"https://ieeexplore.ieee.org/document/10060798/","author":[{"family":"Rathore","given":"Harshit"},{"family":"Meena","given":"Hemant Kumar"},{"family":"Jain","given":"Prerna"}],"accessed":{"date-parts":[["2024",3,6]]},"issued":{"date-parts":[["2023",1,3]]}}}],"schema":"https://github.com/citation-style-language/schema/raw/master/csl-citation.json"} </w:instrText>
      </w:r>
      <w:r>
        <w:fldChar w:fldCharType="separate"/>
      </w:r>
      <w:r w:rsidRPr="004F0BC8">
        <w:t>[2]</w:t>
      </w:r>
      <w:r>
        <w:fldChar w:fldCharType="end"/>
      </w:r>
      <w:r>
        <w:t xml:space="preserve"> ha</w:t>
      </w:r>
      <w:r w:rsidR="00E33A55">
        <w:t>s</w:t>
      </w:r>
      <w:r>
        <w:t xml:space="preserve"> used XGBoost and Random Forest as its method of EV energy consumption. While most of these works have been working on different machine learning techniques in various scen</w:t>
      </w:r>
      <w:r w:rsidR="00E33A55">
        <w:t>ario</w:t>
      </w:r>
      <w:r>
        <w:t xml:space="preserve">s, </w:t>
      </w:r>
      <w:r w:rsidR="007577E0">
        <w:t>a distinct gap is evident in the comprehensive comparison analysis of mentioned methodologies, to verify their effectiveness in SoC forecasting. Moreover, the integration of these methods with the Simulink-based simulation model implements real world data to mirror authentic V2G scenarios. This oversight presents a significant research opportunity, not only to have a th</w:t>
      </w:r>
      <w:r w:rsidR="00814C95">
        <w:t>o</w:t>
      </w:r>
      <w:r w:rsidR="007577E0">
        <w:t>rough comparison among three techniques, to capture their competence in dealing with realistic scenarios, but also hut also harness the power of Simulink’s robust simulation capabilities.</w:t>
      </w:r>
      <w:r w:rsidR="00521E7B">
        <w:t xml:space="preserve"> </w:t>
      </w:r>
      <w:r w:rsidR="00521E7B">
        <w:rPr>
          <w:color w:val="FF0000"/>
        </w:rPr>
        <w:t>( Use other different sources an</w:t>
      </w:r>
      <w:r w:rsidR="00814C95">
        <w:rPr>
          <w:color w:val="FF0000"/>
        </w:rPr>
        <w:t>d</w:t>
      </w:r>
      <w:r w:rsidR="00521E7B">
        <w:rPr>
          <w:color w:val="FF0000"/>
        </w:rPr>
        <w:t xml:space="preserve"> also use some gap</w:t>
      </w:r>
      <w:r w:rsidR="00814C95">
        <w:rPr>
          <w:color w:val="FF0000"/>
        </w:rPr>
        <w:t>s</w:t>
      </w:r>
      <w:r w:rsidR="00521E7B">
        <w:rPr>
          <w:color w:val="FF0000"/>
        </w:rPr>
        <w:t xml:space="preserve"> between the work and previous ones )</w:t>
      </w:r>
      <w:r w:rsidR="00F8479B">
        <w:rPr>
          <w:color w:val="FF0000"/>
        </w:rPr>
        <w:t>.</w:t>
      </w:r>
    </w:p>
    <w:p w14:paraId="4EF8C531" w14:textId="77777777" w:rsidR="00DF45C3" w:rsidRDefault="00DF45C3" w:rsidP="004F0BC8">
      <w:pPr>
        <w:jc w:val="both"/>
        <w:rPr>
          <w:color w:val="FF0000"/>
        </w:rPr>
      </w:pPr>
    </w:p>
    <w:p w14:paraId="17F1EED4" w14:textId="05AB575A" w:rsidR="00DF45C3" w:rsidRDefault="00DF45C3" w:rsidP="004F0BC8">
      <w:pPr>
        <w:jc w:val="both"/>
      </w:pPr>
      <w:r>
        <w:t xml:space="preserve">The paper </w:t>
      </w:r>
      <w:r w:rsidR="00814C95">
        <w:t xml:space="preserve">is </w:t>
      </w:r>
      <w:r>
        <w:t>organized as follows. Section 2, has a brief explanation related to each method. Section 3, is about the data and prediction models architecture. In section 4, there is a proper definition of model implementation alongside the validations. And lastly, for the final sections, results and future works are mentioned.</w:t>
      </w:r>
    </w:p>
    <w:p w14:paraId="0539F458" w14:textId="77777777" w:rsidR="00DF45C3" w:rsidRDefault="00DF45C3" w:rsidP="004F0BC8">
      <w:pPr>
        <w:jc w:val="both"/>
      </w:pPr>
    </w:p>
    <w:p w14:paraId="007680DE" w14:textId="0D51BD96" w:rsidR="006843A7" w:rsidRDefault="006843A7" w:rsidP="006843A7">
      <w:pPr>
        <w:pStyle w:val="Heading1"/>
        <w:tabs>
          <w:tab w:val="clear" w:pos="576"/>
          <w:tab w:val="num" w:pos="648"/>
        </w:tabs>
      </w:pPr>
      <w:r>
        <w:t>XGBoost, RNN, and SVR</w:t>
      </w:r>
    </w:p>
    <w:p w14:paraId="0254C323" w14:textId="1EEABAB5" w:rsidR="006843A7" w:rsidRDefault="006843A7" w:rsidP="00814C95">
      <w:pPr>
        <w:ind w:firstLine="450"/>
        <w:jc w:val="both"/>
      </w:pPr>
      <w:r>
        <w:t>The advanced machine learning methods have garn</w:t>
      </w:r>
      <w:r w:rsidR="00814C95">
        <w:t>er</w:t>
      </w:r>
      <w:r>
        <w:t>ed significant attention in this paper due to their capabilities and successes across various domains, including renewable energy predictions, have been chosen. In this section, an overview of each method by highlighting their theoretical foundations, key features, and applicability</w:t>
      </w:r>
      <w:r w:rsidR="00814C95">
        <w:fldChar w:fldCharType="begin"/>
      </w:r>
      <w:r w:rsidR="00814C95">
        <w:instrText xml:space="preserve"> ADDIN ZOTERO_ITEM CSL_CITATION {"citationID":"0MHd661U","properties":{"formattedCitation":"[3]","plainCitation":"[3]","noteIndex":0},"citationItems":[{"id":443,"uris":["http://zotero.org/users/9870935/items/2C8J5YZL"],"itemData":{"id":443,"type":"article-journal","abstract":"This article presents a review of current advances and prospects in the field of forecasting renewable energy generation using machine learning (ML) and deep learning (DL) techniques. With the increasing penetration of renewable energy sources (RES) into the electricity grid, accurate forecasting of their generation becomes crucial for efficient grid operation and energy management. Traditional forecasting methods have limitations, and thus ML and DL algorithms have gained popularity due to their ability to learn complex relationships from data and provide accurate predictions. This paper reviews the different approaches and models that have been used for renewable energy forecasting and discusses their strengths and limitations. It also highlights the challenges and future research directions in the field, such as dealing with uncertainty and variability in renewable energy generation, data availability, and model interpretability. Finally, this paper emphasizes the importance of developing robust and accurate renewable energy forecasting models to enable the integration of RES into the electricity grid and facilitate the transition towards a sustainable energy future.","container-title":"Sustainability","DOI":"10.3390/su15097087","ISSN":"2071-1050","issue":"9","journalAbbreviation":"Sustainability","language":"en","page":"7087","source":"DOI.org (Crossref)","title":"Forecasting Renewable Energy Generation with Machine Learning and Deep Learning: Current Advances and Future Prospects","title-short":"Forecasting Renewable Energy Generation with Machine Learning and Deep Learning","volume":"15","author":[{"family":"Benti","given":"Natei Ermias"},{"family":"Chaka","given":"Mesfin Diro"},{"family":"Semie","given":"Addisu Gezahegn"}],"issued":{"date-parts":[["2023",4,23]]}}}],"schema":"https://github.com/citation-style-language/schema/raw/master/csl-citation.json"} </w:instrText>
      </w:r>
      <w:r w:rsidR="00814C95">
        <w:fldChar w:fldCharType="separate"/>
      </w:r>
      <w:r w:rsidR="00814C95" w:rsidRPr="00814C95">
        <w:t>[3]</w:t>
      </w:r>
      <w:r w:rsidR="00814C95">
        <w:fldChar w:fldCharType="end"/>
      </w:r>
      <w:r>
        <w:t xml:space="preserve"> to this matter, are discussed.</w:t>
      </w:r>
    </w:p>
    <w:p w14:paraId="6BD1EEB1" w14:textId="77777777" w:rsidR="00814C95" w:rsidRDefault="00814C95" w:rsidP="006843A7">
      <w:pPr>
        <w:ind w:firstLine="450"/>
        <w:jc w:val="left"/>
      </w:pPr>
    </w:p>
    <w:p w14:paraId="6526C5E9" w14:textId="4769C9E4" w:rsidR="00814C95" w:rsidRDefault="00814C95" w:rsidP="00814C95">
      <w:pPr>
        <w:numPr>
          <w:ilvl w:val="0"/>
          <w:numId w:val="25"/>
        </w:numPr>
        <w:jc w:val="both"/>
      </w:pPr>
      <w:r>
        <w:rPr>
          <w:b/>
          <w:bCs/>
        </w:rPr>
        <w:t>XGBoost</w:t>
      </w:r>
      <w:r w:rsidRPr="005E3ED2">
        <w:rPr>
          <w:b/>
          <w:bCs/>
        </w:rPr>
        <w:t>:</w:t>
      </w:r>
      <w:r>
        <w:t xml:space="preserve"> </w:t>
      </w:r>
      <w:r>
        <w:t>This method stands as a powerful ensemble learning method, empowered by the gradient boosting framework. Its renowned because of its efficiency, accuracy, and scalability in handling large and complex datasets. Decision Trees are the backbone of XGBoost, while it operates by constructing a sequence of them, where each successive trees corrects errors made by the previous ones, leads to the model improvement. Missing data management, captivating non-linearity correlation among datasets, and the feature importance scores make XGBoost a valuable method where understanding the influence of various predictors is crucial</w:t>
      </w:r>
      <w:r>
        <w:fldChar w:fldCharType="begin"/>
      </w:r>
      <w:r>
        <w:instrText xml:space="preserve"> ADDIN ZOTERO_ITEM CSL_CITATION {"citationID":"sBNijTOI","properties":{"formattedCitation":"[2]","plainCitation":"[2]","noteIndex":0},"citationItems":[{"id":442,"uris":["http://zotero.org/users/9870935/items/L5YA4TM7"],"itemData":{"id":442,"type":"paper-conference","container-title":"2023 International Conference on Power Electronics and Energy (ICPEE)","DOI":"10.1109/ICPEE54198.2023.10060798","event-place":"Bhubaneswar, India","event-title":"2023 International Conference on Power Electronics and Energy (ICPEE)","ISBN":"978-1-66547-058-2","page":"1-6","publisher":"IEEE","publisher-place":"Bhubaneswar, India","source":"DOI.org (Crossref)","title":"Prediction of EV Energy consumption Using Random Forest And XGBoost","URL":"https://ieeexplore.ieee.org/document/10060798/","author":[{"family":"Rathore","given":"Harshit"},{"family":"Meena","given":"Hemant Kumar"},{"family":"Jain","given":"Prerna"}],"accessed":{"date-parts":[["2024",3,6]]},"issued":{"date-parts":[["2023",1,3]]}}}],"schema":"https://github.com/citation-style-language/schema/raw/master/csl-citation.json"} </w:instrText>
      </w:r>
      <w:r>
        <w:fldChar w:fldCharType="separate"/>
      </w:r>
      <w:r w:rsidRPr="00814C95">
        <w:t>[2]</w:t>
      </w:r>
      <w:r>
        <w:fldChar w:fldCharType="end"/>
      </w:r>
      <w:r>
        <w:t>.</w:t>
      </w:r>
    </w:p>
    <w:p w14:paraId="1B835902" w14:textId="7F9B6E04" w:rsidR="00814C95" w:rsidRDefault="00814C95" w:rsidP="00E90CEA">
      <w:pPr>
        <w:numPr>
          <w:ilvl w:val="0"/>
          <w:numId w:val="25"/>
        </w:numPr>
        <w:jc w:val="both"/>
      </w:pPr>
      <w:r w:rsidRPr="005E3ED2">
        <w:rPr>
          <w:b/>
          <w:bCs/>
        </w:rPr>
        <w:t>SV</w:t>
      </w:r>
      <w:r>
        <w:rPr>
          <w:b/>
          <w:bCs/>
        </w:rPr>
        <w:t>R</w:t>
      </w:r>
      <w:r>
        <w:t xml:space="preserve">: </w:t>
      </w:r>
      <w:r w:rsidR="00A203EF">
        <w:t>This method, extends the principles of Support Vector Machines (SVM) to regression problems, emphasizing on detecting a function that could deviated from the actual observed values by value that does not exceed a specific threshold that declared for itself. Main characteristics of this model, is the kernel function, leads the model to have its operation in a high-dimensional space, to capture the non-linearity. SVR, values for its robustness, in high dimensional datasets scenarios mostly and handling the data complexity</w:t>
      </w:r>
      <w:r w:rsidR="00E90CEA">
        <w:fldChar w:fldCharType="begin"/>
      </w:r>
      <w:r w:rsidR="00E90CEA">
        <w:instrText xml:space="preserve"> ADDIN ZOTERO_ITEM CSL_CITATION {"citationID":"L4vXbRyF","properties":{"formattedCitation":"[4]","plainCitation":"[4]","noteIndex":0},"citationItems":[{"id":447,"uris":["http://zotero.org/users/9870935/items/TABXBG23"],"itemData":{"id":447,"type":"paper-conference","container-title":"2022 IEEE Transportation Electrification Conference &amp; Expo (ITEC)","DOI":"10.1109/ITEC53557.2022.9813811","event-place":"Anaheim, CA, USA","event-title":"2022 IEEE/AIAA Transportation Electrification Conference and Electric Aircraft Technologies Symposium (ITEC+EATS)","ISBN":"978-1-66540-560-7","page":"964-969","publisher":"IEEE","publisher-place":"Anaheim, CA, USA","source":"DOI.org (Crossref)","title":"State of Charge Estimation for EV Batteries Using Support Vector Regression","URL":"https://ieeexplore.ieee.org/document/9813811/","author":[{"family":"Jumah","given":"Sarah"},{"family":"Elezab","given":"Ahmed"},{"family":"Zayed","given":"Omar"},{"family":"Ahmed","given":"Ryan"},{"family":"Narimani","given":"Mehdi"},{"family":"Emadi","given":"Ali"}],"accessed":{"date-parts":[["2024",3,9]]},"issued":{"date-parts":[["2022",6,15]]}}}],"schema":"https://github.com/citation-style-language/schema/raw/master/csl-citation.json"} </w:instrText>
      </w:r>
      <w:r w:rsidR="00E90CEA">
        <w:fldChar w:fldCharType="separate"/>
      </w:r>
      <w:r w:rsidR="00E90CEA" w:rsidRPr="00E90CEA">
        <w:t>[4]</w:t>
      </w:r>
      <w:r w:rsidR="00E90CEA">
        <w:fldChar w:fldCharType="end"/>
      </w:r>
    </w:p>
    <w:p w14:paraId="18FA61A5" w14:textId="25B89B70" w:rsidR="00814C95" w:rsidRDefault="00814C95" w:rsidP="00F21BAB">
      <w:pPr>
        <w:numPr>
          <w:ilvl w:val="0"/>
          <w:numId w:val="25"/>
        </w:numPr>
        <w:jc w:val="both"/>
      </w:pPr>
      <w:r>
        <w:t xml:space="preserve"> </w:t>
      </w:r>
      <w:r w:rsidR="00F21BAB">
        <w:rPr>
          <w:b/>
          <w:bCs/>
        </w:rPr>
        <w:t>RNN</w:t>
      </w:r>
      <w:r>
        <w:t xml:space="preserve">: </w:t>
      </w:r>
      <w:r w:rsidR="00F21BAB">
        <w:t xml:space="preserve">Represents a class of neural networks designed to the patterns in sequences of data recognition. </w:t>
      </w:r>
      <w:r w:rsidR="00A4618D">
        <w:t>This process</w:t>
      </w:r>
      <w:r w:rsidR="00F21BAB">
        <w:t xml:space="preserve"> makes the data ideal for time series forecasting </w:t>
      </w:r>
      <w:r w:rsidR="00A4618D">
        <w:t>problems</w:t>
      </w:r>
      <w:r w:rsidR="00F21BAB">
        <w:t>, like wind prediction</w:t>
      </w:r>
      <w:r>
        <w:t>.</w:t>
      </w:r>
      <w:r w:rsidR="00F21BAB">
        <w:t xml:space="preserve"> Unlike previous feedforward neural networks, RNNs use internal loops that allow information to persist, enable them to maintain the memory of previous inputs. This matter </w:t>
      </w:r>
      <w:r w:rsidR="00F21BAB">
        <w:t xml:space="preserve">aids the model to exhibit temporal dynamic </w:t>
      </w:r>
      <w:r w:rsidR="00A4618D">
        <w:t>behavior</w:t>
      </w:r>
      <w:r w:rsidR="00F21BAB">
        <w:t>.</w:t>
      </w:r>
      <w:r w:rsidR="00F21BAB">
        <w:t xml:space="preserve"> RNNs achieve this feature by incorporating feedback connections that feed the output of a layer at one time step as input to the same layer at the next time step, thus considering the temporal correlation within the sequence. Having said about this valuable characteristic, RNN is highly effective for modeling sequential data and predicting future elements of the sequence</w:t>
      </w:r>
      <w:r w:rsidR="00F21BAB">
        <w:fldChar w:fldCharType="begin"/>
      </w:r>
      <w:r w:rsidR="00F21BAB">
        <w:instrText xml:space="preserve"> ADDIN ZOTERO_ITEM CSL_CITATION {"citationID":"9HOXX1Pk","properties":{"formattedCitation":"[5]","plainCitation":"[5]","noteIndex":0},"citationItems":[{"id":448,"uris":["http://zotero.org/users/9870935/items/EIVIYR2C"],"itemData":{"id":448,"type":"article-journal","container-title":"Energy and AI","DOI":"10.1016/j.egyai.2023.100285","ISSN":"26665468","journalAbbreviation":"Energy and AI","language":"en","page":"100285","source":"DOI.org (Crossref)","title":"Seasonal electric vehicle forecasting model based on machine learning and deep learning techniques","volume":"14","author":[{"family":"El-Azab","given":"Heba-Allah I."},{"family":"Swief","given":"R.A."},{"family":"El-Amary","given":"Noha H."},{"family":"Temraz","given":"H.K."}],"issued":{"date-parts":[["2023",10]]}}}],"schema":"https://github.com/citation-style-language/schema/raw/master/csl-citation.json"} </w:instrText>
      </w:r>
      <w:r w:rsidR="00F21BAB">
        <w:fldChar w:fldCharType="separate"/>
      </w:r>
      <w:r w:rsidR="00F21BAB" w:rsidRPr="00F21BAB">
        <w:t>[5]</w:t>
      </w:r>
      <w:r w:rsidR="00F21BAB">
        <w:fldChar w:fldCharType="end"/>
      </w:r>
      <w:r w:rsidR="00F21BAB">
        <w:t xml:space="preserve">. </w:t>
      </w:r>
    </w:p>
    <w:p w14:paraId="0AFB48DC" w14:textId="77777777" w:rsidR="00814C95" w:rsidRPr="006843A7" w:rsidRDefault="00814C95" w:rsidP="006843A7">
      <w:pPr>
        <w:ind w:firstLine="450"/>
        <w:jc w:val="left"/>
      </w:pPr>
    </w:p>
    <w:p w14:paraId="5FCC0F0E" w14:textId="314D0FAD" w:rsidR="00A4618D" w:rsidRPr="00DF45C3" w:rsidRDefault="00A4618D" w:rsidP="00A4618D">
      <w:pPr>
        <w:jc w:val="both"/>
      </w:pPr>
      <w:r>
        <w:t xml:space="preserve">Leveraging the strengths of each method within a comparative situation, by the help of Simulink model alongside the rea;-world data and the power of Python programming language, aimed to identifying the most effective machine learning model for predicting the SoC of EV cars in one-hour ahead scenario. The sophisticated ensemble learning capabilities of XGBoost, the sequential data processing of prowess of RNN, and the adept non-linearity management of SVR, are going to be compare with each other, which represent a multifaceted approach to </w:t>
      </w:r>
      <w:r w:rsidR="005E23F4">
        <w:t>tackle</w:t>
      </w:r>
      <w:r>
        <w:t xml:space="preserve"> the inheritance complexities of SoC forecasting in different scenarios. Acknowledging the implementation of real-world data related to renewable energies and other power output by considering trustworthy datasets like NREL and MERRA-2 could be emphasized as one of the pros of this paper. The reason of this usage is to fill the gap between theorical accuracy and practical capabilities, especially in the deployment phase of trained model. </w:t>
      </w:r>
    </w:p>
    <w:p w14:paraId="2199B3EF" w14:textId="5E242EA3" w:rsidR="00DA74CD" w:rsidRDefault="00FA2CDC" w:rsidP="00FA2CDC">
      <w:pPr>
        <w:pStyle w:val="Heading1"/>
      </w:pPr>
      <w:r>
        <w:t>data and prediction models architecture</w:t>
      </w:r>
    </w:p>
    <w:p w14:paraId="6A1A6679" w14:textId="55EDFFAA" w:rsidR="00DA74CD" w:rsidRDefault="00DA74CD" w:rsidP="00814C95">
      <w:pPr>
        <w:jc w:val="both"/>
      </w:pPr>
      <w:r w:rsidRPr="00DA74CD">
        <w:t>Forecasting has faced an enormous advance with the advent of machine learning (ML). This transformation mainly relies on the vast amount of data that could be gathered by industries that are collected in datasets or websites like Renewable. ninja, which researchers and engineers have access to</w:t>
      </w:r>
      <w:r w:rsidR="005B3C4B">
        <w:rPr>
          <w:spacing w:val="5"/>
          <w:kern w:val="1"/>
        </w:rPr>
        <w:fldChar w:fldCharType="begin"/>
      </w:r>
      <w:r w:rsidR="00814C95">
        <w:rPr>
          <w:spacing w:val="5"/>
          <w:kern w:val="1"/>
        </w:rPr>
        <w:instrText xml:space="preserve"> ADDIN ZOTERO_ITEM CSL_CITATION {"citationID":"EVi5YCL6","properties":{"formattedCitation":"[10]","plainCitation":"[10]","noteIndex":0},"citationItems":[{"id":351,"uris":["http://zotero.org/users/9870935/items/47UGPUHX"],"itemData":{"id":351,"type":"dataset","abstract":"A web tool developed by Imperial College London and ETH Zürich that shows the estimated amount of energy that could be generated by wind or solar farms at any location.","title":"Renewable.ninja","URL":"https://www.renewables.ninja","accessed":{"date-parts":[["2024",1,27]]},"issued":{"date-parts":[["2024",1,27]]}}}],"schema":"https://github.com/citation-style-language/schema/raw/master/csl-citation.json"} </w:instrText>
      </w:r>
      <w:r w:rsidR="005B3C4B">
        <w:rPr>
          <w:spacing w:val="5"/>
          <w:kern w:val="1"/>
        </w:rPr>
        <w:fldChar w:fldCharType="separate"/>
      </w:r>
      <w:r w:rsidR="00814C95" w:rsidRPr="00814C95">
        <w:t>[10]</w:t>
      </w:r>
      <w:r w:rsidR="005B3C4B">
        <w:rPr>
          <w:spacing w:val="5"/>
          <w:kern w:val="1"/>
        </w:rPr>
        <w:fldChar w:fldCharType="end"/>
      </w:r>
      <w:r w:rsidRPr="00DA74CD">
        <w:t>.</w:t>
      </w:r>
      <w:r>
        <w:t xml:space="preserve"> Among all </w:t>
      </w:r>
      <w:r w:rsidR="005B3C4B">
        <w:t>ML techniques, this work focused on three specific ones. ANN, SV</w:t>
      </w:r>
      <w:r w:rsidR="00C75BB0">
        <w:t>R</w:t>
      </w:r>
      <w:r w:rsidR="00A702D3">
        <w:t xml:space="preserve"> ( the regression model of SVM )</w:t>
      </w:r>
      <w:r w:rsidR="005B3C4B">
        <w:t xml:space="preserve">, and LSTM </w:t>
      </w:r>
      <w:r w:rsidR="009B4C9A">
        <w:t xml:space="preserve">were </w:t>
      </w:r>
      <w:r w:rsidR="005B3C4B">
        <w:t>chosen for their ability to handle the non-linear and intricate patterns characteristic of wind data</w:t>
      </w:r>
      <w:r w:rsidR="005B3C4B">
        <w:rPr>
          <w:spacing w:val="5"/>
          <w:kern w:val="1"/>
        </w:rPr>
        <w:fldChar w:fldCharType="begin"/>
      </w:r>
      <w:r w:rsidR="00814C95">
        <w:rPr>
          <w:spacing w:val="5"/>
          <w:kern w:val="1"/>
        </w:rPr>
        <w:instrText xml:space="preserve"> ADDIN ZOTERO_ITEM CSL_CITATION {"citationID":"7V3hEetZ","properties":{"formattedCitation":"[11]","plainCitation":"[11]","noteIndex":0},"citationItems":[{"id":369,"uris":["http://zotero.org/users/9870935/items/MH5AJUBC"],"itemData":{"id":369,"type":"article-journal","abstract":"Wind energy production has had accelerated growth in recent years, reaching an annual increase of 17% in 2021. Wind speed plays a crucial role in the stability required for power grid operation. However, wind intermittency makes accurate forecasting a complicated process. Implementing new technologies has allowed the development of hybrid models and techniques, improving wind speed forecasting accuracy. Additionally, statistical and artificial intelligence methods, especially artificial neural networks, have been applied to enhance the results. However, there is a concern about identifying the main factors influencing the forecasting process and providing a basis for estimation with artificial neural network models. This paper reviews and classifies the forecasting models used in recent years according to the input model type, the pre-processing and post-processing technique, the artificial neural network model, the prediction horizon, the steps ahead number, and the evaluation metric. The research results indicate that artificial neural network (ANN)-based models can provide accurate wind forecasting and essential information about the specific location of potential wind use for a power plant by understanding the future wind speed values.","container-title":"Energies","DOI":"10.3390/en16052457","ISSN":"1996-1073","issue":"5","journalAbbreviation":"Energies","language":"en","page":"2457","source":"DOI.org (Crossref)","title":"Artificial Intelligence in Wind Speed Forecasting: A Review","title-short":"Artificial Intelligence in Wind Speed Forecasting","volume":"16","author":[{"family":"Valdivia-Bautista","given":"Sandra Minerva"},{"family":"Domínguez-Navarro","given":"José Antonio"},{"family":"Pérez-Cisneros","given":"Marco"},{"family":"Vega-Gómez","given":"Carlos Jesahel"},{"family":"Castillo-Téllez","given":"Beatriz"}],"issued":{"date-parts":[["2023",3,4]]}}}],"schema":"https://github.com/citation-style-language/schema/raw/master/csl-citation.json"} </w:instrText>
      </w:r>
      <w:r w:rsidR="005B3C4B">
        <w:rPr>
          <w:spacing w:val="5"/>
          <w:kern w:val="1"/>
        </w:rPr>
        <w:fldChar w:fldCharType="separate"/>
      </w:r>
      <w:r w:rsidR="00814C95" w:rsidRPr="00814C95">
        <w:t>[11]</w:t>
      </w:r>
      <w:r w:rsidR="005B3C4B">
        <w:rPr>
          <w:spacing w:val="5"/>
          <w:kern w:val="1"/>
        </w:rPr>
        <w:fldChar w:fldCharType="end"/>
      </w:r>
      <w:r w:rsidR="005B3C4B">
        <w:t>.</w:t>
      </w:r>
    </w:p>
    <w:p w14:paraId="178046BF" w14:textId="558A5BCC" w:rsidR="00C73D67" w:rsidRDefault="00C73D67" w:rsidP="00814C95">
      <w:pPr>
        <w:numPr>
          <w:ilvl w:val="0"/>
          <w:numId w:val="25"/>
        </w:numPr>
        <w:jc w:val="both"/>
      </w:pPr>
      <w:r w:rsidRPr="005E3ED2">
        <w:rPr>
          <w:b/>
          <w:bCs/>
        </w:rPr>
        <w:t>ANN:</w:t>
      </w:r>
      <w:r>
        <w:t xml:space="preserve"> Inspired by the neural networks in the animal brains, are adept at recognizing patterns and dependencies within the data which makes it ideal for forecasting tasks that are involved with complex and dynamic datasets. Because of their layered structures, mode</w:t>
      </w:r>
      <w:r w:rsidR="009B4C9A">
        <w:t>l</w:t>
      </w:r>
      <w:r>
        <w:t xml:space="preserve">ling the data at various abstraction levels, empowering their </w:t>
      </w:r>
      <w:r w:rsidR="005E3ED2">
        <w:t>predictive</w:t>
      </w:r>
      <w:r>
        <w:t xml:space="preserve"> capabilities, mainly for the time-series data like the one that this work focused on, </w:t>
      </w:r>
      <w:r w:rsidR="005E3ED2">
        <w:t>is achievable</w:t>
      </w:r>
      <w:r w:rsidR="005E3ED2" w:rsidRPr="0060548B">
        <w:rPr>
          <w:spacing w:val="5"/>
          <w:kern w:val="1"/>
        </w:rPr>
        <w:fldChar w:fldCharType="begin"/>
      </w:r>
      <w:r w:rsidR="00814C95">
        <w:rPr>
          <w:spacing w:val="5"/>
          <w:kern w:val="1"/>
        </w:rPr>
        <w:instrText xml:space="preserve"> ADDIN ZOTERO_ITEM CSL_CITATION {"citationID":"v4DILzDd","properties":{"formattedCitation":"[7]","plainCitation":"[7]","noteIndex":0},"citationItems":[{"id":365,"uris":["http://zotero.org/users/9870935/items/79TWFQML"],"itemData":{"id":365,"type":"paper-conference","container-title":"2020 IEEE 8th International Conference on Smart Energy Grid Engineering (SEGE)","DOI":"10.1109/SEGE49949.2020.9181870","event-place":"Oshawa, ON, Canada","event-title":"2020 IEEE 8th International Conference on Smart Energy Grid Engineering (SEGE)","ISBN":"978-1-72819-912-2","page":"44-50","publisher":"IEEE","publisher-place":"Oshawa, ON, Canada","source":"DOI.org (Crossref)","title":"Wind Power Forecasting Using Machine Learning: State of the Art, Trends and Challenges","title-short":"Wind Power Forecasting Using Machine Learning","URL":"https://ieeexplore.ieee.org/document/9181870/","author":[{"family":"Jorgensen","given":"Kathrine Lau"},{"family":"Shaker","given":"Hamid Reza"}],"accessed":{"date-parts":[["2024",2,2]]},"issued":{"date-parts":[["2020",8]]}}}],"schema":"https://github.com/citation-style-language/schema/raw/master/csl-citation.json"} </w:instrText>
      </w:r>
      <w:r w:rsidR="005E3ED2" w:rsidRPr="0060548B">
        <w:rPr>
          <w:spacing w:val="5"/>
          <w:kern w:val="1"/>
        </w:rPr>
        <w:fldChar w:fldCharType="separate"/>
      </w:r>
      <w:r w:rsidR="00814C95" w:rsidRPr="00814C95">
        <w:t>[7]</w:t>
      </w:r>
      <w:r w:rsidR="005E3ED2" w:rsidRPr="0060548B">
        <w:rPr>
          <w:spacing w:val="5"/>
          <w:kern w:val="1"/>
        </w:rPr>
        <w:fldChar w:fldCharType="end"/>
      </w:r>
      <w:r w:rsidR="005E3ED2">
        <w:t>.</w:t>
      </w:r>
    </w:p>
    <w:p w14:paraId="40EC374B" w14:textId="436AFA84" w:rsidR="005E3ED2" w:rsidRDefault="005E3ED2" w:rsidP="00E90CEA">
      <w:pPr>
        <w:numPr>
          <w:ilvl w:val="0"/>
          <w:numId w:val="25"/>
        </w:numPr>
        <w:jc w:val="both"/>
      </w:pPr>
      <w:r w:rsidRPr="005E3ED2">
        <w:rPr>
          <w:b/>
          <w:bCs/>
        </w:rPr>
        <w:t>SV</w:t>
      </w:r>
      <w:r w:rsidR="00C75BB0">
        <w:rPr>
          <w:b/>
          <w:bCs/>
        </w:rPr>
        <w:t>R</w:t>
      </w:r>
      <w:r>
        <w:t xml:space="preserve">: Stands out for </w:t>
      </w:r>
      <w:r w:rsidR="009B4C9A">
        <w:t>its</w:t>
      </w:r>
      <w:r>
        <w:t xml:space="preserve"> ability to manage high dimensional data and complex model non-linearity through the kernel trick and optimizing the balance between model intricacy and </w:t>
      </w:r>
      <w:r>
        <w:lastRenderedPageBreak/>
        <w:t xml:space="preserve">predictive accuracy, which is crucial in </w:t>
      </w:r>
      <w:r w:rsidR="009B4C9A">
        <w:t>a</w:t>
      </w:r>
      <w:r>
        <w:t xml:space="preserve"> noisy environment</w:t>
      </w:r>
      <w:r w:rsidRPr="0060548B">
        <w:rPr>
          <w:spacing w:val="5"/>
          <w:kern w:val="1"/>
        </w:rPr>
        <w:fldChar w:fldCharType="begin"/>
      </w:r>
      <w:r w:rsidR="00E90CEA">
        <w:rPr>
          <w:spacing w:val="5"/>
          <w:kern w:val="1"/>
        </w:rPr>
        <w:instrText xml:space="preserve"> ADDIN ZOTERO_ITEM CSL_CITATION {"citationID":"3JhBtcyk","properties":{"formattedCitation":"[12]","plainCitation":"[12]","noteIndex":0},"citationItems":[{"id":373,"uris":["http://zotero.org/users/9870935/items/QH2849JD"],"itemData":{"id":373,"type":"article-journal","container-title":"Journal of Cleaner Production","DOI":"10.1016/j.jclepro.2019.118447","ISSN":"09596526","journalAbbreviation":"Journal of Cleaner Production","language":"en","page":"118447","source":"DOI.org (Crossref)","title":"Short-term wind power forecasting based on support vector machine with improved dragonfly algorithm","volume":"242","author":[{"family":"Li","given":"Ling-Ling"},{"family":"Zhao","given":"Xue"},{"family":"Tseng","given":"Ming-Lang"},{"family":"Tan","given":"Raymond R."}],"issued":{"date-parts":[["2020",1]]}}}],"schema":"https://github.com/citation-style-language/schema/raw/master/csl-citation.json"} </w:instrText>
      </w:r>
      <w:r w:rsidRPr="0060548B">
        <w:rPr>
          <w:spacing w:val="5"/>
          <w:kern w:val="1"/>
        </w:rPr>
        <w:fldChar w:fldCharType="separate"/>
      </w:r>
      <w:r w:rsidR="00E90CEA" w:rsidRPr="00E90CEA">
        <w:t>[12]</w:t>
      </w:r>
      <w:r w:rsidRPr="0060548B">
        <w:rPr>
          <w:spacing w:val="5"/>
          <w:kern w:val="1"/>
        </w:rPr>
        <w:fldChar w:fldCharType="end"/>
      </w:r>
      <w:r>
        <w:t>.</w:t>
      </w:r>
    </w:p>
    <w:p w14:paraId="55BCA3CD" w14:textId="651BD404" w:rsidR="005E3ED2" w:rsidRDefault="005E3ED2" w:rsidP="00F21BAB">
      <w:pPr>
        <w:numPr>
          <w:ilvl w:val="0"/>
          <w:numId w:val="25"/>
        </w:numPr>
        <w:jc w:val="both"/>
      </w:pPr>
      <w:r>
        <w:t xml:space="preserve"> </w:t>
      </w:r>
      <w:r w:rsidRPr="005E3ED2">
        <w:rPr>
          <w:b/>
          <w:bCs/>
        </w:rPr>
        <w:t>LSTM</w:t>
      </w:r>
      <w:r>
        <w:t xml:space="preserve">: </w:t>
      </w:r>
      <w:r w:rsidR="009B4C9A">
        <w:t>These a</w:t>
      </w:r>
      <w:r>
        <w:t>re specialized form</w:t>
      </w:r>
      <w:r w:rsidR="009B4C9A">
        <w:t>s</w:t>
      </w:r>
      <w:r>
        <w:t xml:space="preserve"> of Recurrent Neural Networks (RNNs), particularly effective in capturing long-term dependencies in the time series data, which is a common aspect of wind energy, due to their unique memory cell structure</w:t>
      </w:r>
      <w:r w:rsidRPr="0060548B">
        <w:rPr>
          <w:spacing w:val="5"/>
          <w:kern w:val="1"/>
        </w:rPr>
        <w:fldChar w:fldCharType="begin"/>
      </w:r>
      <w:r w:rsidR="00F21BAB">
        <w:rPr>
          <w:spacing w:val="5"/>
          <w:kern w:val="1"/>
        </w:rPr>
        <w:instrText xml:space="preserve"> ADDIN ZOTERO_ITEM CSL_CITATION {"citationID":"RQboh1ym","properties":{"formattedCitation":"[13]","plainCitation":"[13]","noteIndex":0},"citationItems":[{"id":374,"uris":["http://zotero.org/users/9870935/items/AIXQVIV8"],"itemData":{"id":374,"type":"article-journal","container-title":"Energy","DOI":"10.1016/j.energy.2021.120069","ISSN":"03605442","journalAbbreviation":"Energy","language":"en","page":"120069","source":"DOI.org (Crossref)","title":"A novel genetic LSTM model for wind power forecast","volume":"223","author":[{"family":"Shahid","given":"Farah"},{"family":"Zameer","given":"Aneela"},{"family":"Muneeb","given":"Muhammad"}],"issued":{"date-parts":[["2021",5]]}}}],"schema":"https://github.com/citation-style-language/schema/raw/master/csl-citation.json"} </w:instrText>
      </w:r>
      <w:r w:rsidRPr="0060548B">
        <w:rPr>
          <w:spacing w:val="5"/>
          <w:kern w:val="1"/>
        </w:rPr>
        <w:fldChar w:fldCharType="separate"/>
      </w:r>
      <w:r w:rsidR="00F21BAB" w:rsidRPr="00F21BAB">
        <w:t>[13]</w:t>
      </w:r>
      <w:r w:rsidRPr="0060548B">
        <w:rPr>
          <w:spacing w:val="5"/>
          <w:kern w:val="1"/>
        </w:rPr>
        <w:fldChar w:fldCharType="end"/>
      </w:r>
      <w:r>
        <w:t>.</w:t>
      </w:r>
    </w:p>
    <w:p w14:paraId="24399C31" w14:textId="77777777" w:rsidR="0036675F" w:rsidRDefault="0036675F" w:rsidP="0036675F">
      <w:pPr>
        <w:jc w:val="both"/>
      </w:pPr>
    </w:p>
    <w:p w14:paraId="2197708C" w14:textId="41CD6054" w:rsidR="0036675F" w:rsidRDefault="0036675F" w:rsidP="006609F5">
      <w:pPr>
        <w:jc w:val="both"/>
      </w:pPr>
      <w:r>
        <w:t>Having these three models as a hybrid ML framework offers a promising approach for optimal RE forecasting. The synergy between ANN, SV</w:t>
      </w:r>
      <w:r w:rsidR="00C75BB0">
        <w:t>R</w:t>
      </w:r>
      <w:r>
        <w:t>, and LSTM in the hybrid setup aims to implement the strengths of each model. The pattern recognition of ANN, the non-linearity handling of data in SVM, and the temporal data processing power of LSTM. This collaboration not only aims to elevate the accuracy of wind power generation but also could be a robust response to other challenges posed by the variability and complexity of REs.</w:t>
      </w:r>
    </w:p>
    <w:p w14:paraId="1B2F208A" w14:textId="77777777" w:rsidR="006609F5" w:rsidRDefault="006609F5" w:rsidP="006609F5">
      <w:pPr>
        <w:jc w:val="both"/>
      </w:pPr>
    </w:p>
    <w:p w14:paraId="4896EE65" w14:textId="6CF55D73" w:rsidR="0036675F" w:rsidRPr="00DA74CD" w:rsidRDefault="0036675F" w:rsidP="0036675F">
      <w:pPr>
        <w:jc w:val="both"/>
      </w:pPr>
      <w:r w:rsidRPr="0060548B">
        <w:rPr>
          <w:spacing w:val="5"/>
          <w:kern w:val="1"/>
        </w:rPr>
        <w:t xml:space="preserve">Having dysconnectivity between trained models and deployed ones because of a lack of real-world data is evident in some previous works. </w:t>
      </w:r>
      <w:r w:rsidR="006609F5" w:rsidRPr="0060548B">
        <w:rPr>
          <w:spacing w:val="5"/>
          <w:kern w:val="1"/>
        </w:rPr>
        <w:t>Obtaining</w:t>
      </w:r>
      <w:r w:rsidRPr="0060548B">
        <w:rPr>
          <w:spacing w:val="5"/>
          <w:kern w:val="1"/>
        </w:rPr>
        <w:t xml:space="preserve"> a precise model with high accuracy is not always the actual outcome, but most importantly, the data that these models are trained on should be realistic. By incorporating the MERRA-2 dataset, this gap would be significantly bridged. Its comprehensive and exact data from the atmosphere provides a robust foundation for a more realistic forecasting model.</w:t>
      </w:r>
      <w:r>
        <w:t xml:space="preserve"> </w:t>
      </w:r>
    </w:p>
    <w:p w14:paraId="29292882" w14:textId="2B9BF403" w:rsidR="009303D9" w:rsidRDefault="001E3570" w:rsidP="006B6B66">
      <w:pPr>
        <w:pStyle w:val="Heading1"/>
      </w:pPr>
      <w:r>
        <w:t>Integrated Data analysis and forecasting models</w:t>
      </w:r>
    </w:p>
    <w:p w14:paraId="627F113B" w14:textId="5767BDB5" w:rsidR="00943618" w:rsidRPr="00943618" w:rsidRDefault="00943618" w:rsidP="00943618">
      <w:pPr>
        <w:pStyle w:val="Heading2"/>
      </w:pPr>
      <w:r>
        <w:t>Data Collection and Preparation</w:t>
      </w:r>
    </w:p>
    <w:p w14:paraId="104782F5" w14:textId="6932DD9E" w:rsidR="001E3570" w:rsidRDefault="001E3570" w:rsidP="00E7596C">
      <w:pPr>
        <w:pStyle w:val="BodyText"/>
      </w:pPr>
      <w:r w:rsidRPr="001E3570">
        <w:t xml:space="preserve">The methodology for achieving this goal would start with a precise data collection of different environmental features from other locations of provinces in Canada. The reason for choosing these places is to put the training model with various inputs to be trained better. As explained before, a trustful organization like NASA gave us access to its database that uses MERRA-2. This atmospheric reanalysis dataset further enriches the analysis with important weather-related factors. However, this enormous dataset, from </w:t>
      </w:r>
      <w:r w:rsidR="0091081C">
        <w:rPr>
          <w:lang w:val="en-US"/>
        </w:rPr>
        <w:t>2000</w:t>
      </w:r>
      <w:r w:rsidRPr="001E3570">
        <w:t xml:space="preserve"> to 2019 with </w:t>
      </w:r>
      <w:r w:rsidR="0091081C">
        <w:rPr>
          <w:lang w:val="en-US"/>
        </w:rPr>
        <w:t>three</w:t>
      </w:r>
      <w:r w:rsidRPr="001E3570">
        <w:t xml:space="preserve"> different locations, is raw and needs to be done through data cleaning and preprocessing first. After doing all of these steps, it would be ready for the model implementation. For this part, ANN, SV</w:t>
      </w:r>
      <w:r w:rsidR="00C75BB0">
        <w:rPr>
          <w:lang w:val="en-US"/>
        </w:rPr>
        <w:t>R</w:t>
      </w:r>
      <w:r w:rsidRPr="001E3570">
        <w:t xml:space="preserve">, and LTSM will be used. Each model brings its capabilities, and its selection is made because of its efficiency in capturing complicated interconnections within the dynamic data. In the end, using the evaluation metrics like Mean Squared Error (MSE), the model's efficiency would be assessed. </w:t>
      </w:r>
    </w:p>
    <w:p w14:paraId="0C49457E" w14:textId="1FE4C686" w:rsidR="0091081C" w:rsidRDefault="0091081C" w:rsidP="00F21BAB">
      <w:pPr>
        <w:widowControl w:val="0"/>
        <w:autoSpaceDE w:val="0"/>
        <w:autoSpaceDN w:val="0"/>
        <w:adjustRightInd w:val="0"/>
        <w:spacing w:before="120" w:line="226" w:lineRule="auto"/>
        <w:ind w:firstLine="288"/>
        <w:jc w:val="both"/>
        <w:rPr>
          <w:spacing w:val="5"/>
          <w:kern w:val="1"/>
        </w:rPr>
      </w:pPr>
      <w:r>
        <w:rPr>
          <w:spacing w:val="5"/>
          <w:kern w:val="1"/>
        </w:rPr>
        <w:t xml:space="preserve">Moreover, three different wind turbines were focused upon, each has been chosen because of </w:t>
      </w:r>
      <w:r w:rsidR="009B4C9A">
        <w:rPr>
          <w:spacing w:val="5"/>
          <w:kern w:val="1"/>
        </w:rPr>
        <w:t>its</w:t>
      </w:r>
      <w:r>
        <w:rPr>
          <w:spacing w:val="5"/>
          <w:kern w:val="1"/>
        </w:rPr>
        <w:t xml:space="preserve"> exceptional wind generation capacity, designs, and technological advancements. The Enercon E126/6500 was the first one, that ha</w:t>
      </w:r>
      <w:r w:rsidR="009B4C9A">
        <w:rPr>
          <w:spacing w:val="5"/>
          <w:kern w:val="1"/>
        </w:rPr>
        <w:t>d</w:t>
      </w:r>
      <w:r>
        <w:rPr>
          <w:spacing w:val="5"/>
          <w:kern w:val="1"/>
        </w:rPr>
        <w:t xml:space="preserve"> a rotor diameter of 126 meters and </w:t>
      </w:r>
      <w:r w:rsidR="009B4C9A">
        <w:rPr>
          <w:spacing w:val="5"/>
          <w:kern w:val="1"/>
        </w:rPr>
        <w:t xml:space="preserve">a </w:t>
      </w:r>
      <w:r>
        <w:rPr>
          <w:spacing w:val="5"/>
          <w:kern w:val="1"/>
        </w:rPr>
        <w:t xml:space="preserve">hub height of 136 meters, with </w:t>
      </w:r>
      <w:r w:rsidR="009B4C9A">
        <w:rPr>
          <w:spacing w:val="5"/>
          <w:kern w:val="1"/>
        </w:rPr>
        <w:t>a</w:t>
      </w:r>
      <w:r>
        <w:rPr>
          <w:spacing w:val="5"/>
          <w:kern w:val="1"/>
        </w:rPr>
        <w:t xml:space="preserve"> rated power capacity of 6Mw up to 7.5Mw. Because of its gearless design and direct drive mechanism, this turbine is used in places that ha</w:t>
      </w:r>
      <w:r w:rsidR="009B4C9A">
        <w:rPr>
          <w:spacing w:val="5"/>
          <w:kern w:val="1"/>
        </w:rPr>
        <w:t>ve</w:t>
      </w:r>
      <w:r>
        <w:rPr>
          <w:spacing w:val="5"/>
          <w:kern w:val="1"/>
        </w:rPr>
        <w:t xml:space="preserve"> </w:t>
      </w:r>
      <w:r w:rsidR="009B4C9A">
        <w:rPr>
          <w:spacing w:val="5"/>
          <w:kern w:val="1"/>
        </w:rPr>
        <w:t>a</w:t>
      </w:r>
      <w:r>
        <w:rPr>
          <w:spacing w:val="5"/>
          <w:kern w:val="1"/>
        </w:rPr>
        <w:t xml:space="preserve"> high potential </w:t>
      </w:r>
      <w:r w:rsidR="009B4C9A">
        <w:rPr>
          <w:spacing w:val="5"/>
          <w:kern w:val="1"/>
        </w:rPr>
        <w:t>for</w:t>
      </w:r>
      <w:r>
        <w:rPr>
          <w:spacing w:val="5"/>
          <w:kern w:val="1"/>
        </w:rPr>
        <w:t xml:space="preserve"> wind power </w:t>
      </w:r>
      <w:r>
        <w:rPr>
          <w:spacing w:val="5"/>
          <w:kern w:val="1"/>
        </w:rPr>
        <w:t xml:space="preserve">generation. This specific reason was the main one </w:t>
      </w:r>
      <w:r w:rsidR="009B4C9A">
        <w:rPr>
          <w:spacing w:val="5"/>
          <w:kern w:val="1"/>
        </w:rPr>
        <w:t>for</w:t>
      </w:r>
      <w:r>
        <w:rPr>
          <w:spacing w:val="5"/>
          <w:kern w:val="1"/>
        </w:rPr>
        <w:t xml:space="preserve"> having the turbine as one of </w:t>
      </w:r>
      <w:r w:rsidR="009B4C9A">
        <w:rPr>
          <w:spacing w:val="5"/>
          <w:kern w:val="1"/>
        </w:rPr>
        <w:t xml:space="preserve">the </w:t>
      </w:r>
      <w:r>
        <w:rPr>
          <w:spacing w:val="5"/>
          <w:kern w:val="1"/>
        </w:rPr>
        <w:t xml:space="preserve">candidates for this work. The Siemens SWT-3.6-120 was the second option for this work. This turbine features a rotor diameter of 120 meters and a typical hub height of 90 meters, which have </w:t>
      </w:r>
      <w:r w:rsidR="009B4C9A">
        <w:rPr>
          <w:spacing w:val="5"/>
          <w:kern w:val="1"/>
        </w:rPr>
        <w:t>a</w:t>
      </w:r>
      <w:r>
        <w:rPr>
          <w:spacing w:val="5"/>
          <w:kern w:val="1"/>
        </w:rPr>
        <w:t xml:space="preserve"> capacity of 3.6Mw </w:t>
      </w:r>
      <w:r w:rsidR="009B4C9A">
        <w:rPr>
          <w:spacing w:val="5"/>
          <w:kern w:val="1"/>
        </w:rPr>
        <w:t>for</w:t>
      </w:r>
      <w:r>
        <w:rPr>
          <w:spacing w:val="5"/>
          <w:kern w:val="1"/>
        </w:rPr>
        <w:t xml:space="preserve"> wind generation. Because of its reliability, this turbine has been used widely across diverse wind regions, especially in the Canadian context, where wind speed and direction can change from one place to another. As a mid-capacity turbine, the adaptability to varying wind conditions and its robust design w</w:t>
      </w:r>
      <w:r w:rsidR="009B4C9A">
        <w:rPr>
          <w:spacing w:val="5"/>
          <w:kern w:val="1"/>
        </w:rPr>
        <w:t>ere</w:t>
      </w:r>
      <w:r>
        <w:rPr>
          <w:spacing w:val="5"/>
          <w:kern w:val="1"/>
        </w:rPr>
        <w:t xml:space="preserve"> convincing enough to be one of the options. Lastly, for the low-range wind generation, V90-2.0 has been chosen as it has a rotor diameter of 90 meters and a standard hub of 80 meters, providing </w:t>
      </w:r>
      <w:r w:rsidR="009B4C9A">
        <w:rPr>
          <w:spacing w:val="5"/>
          <w:kern w:val="1"/>
        </w:rPr>
        <w:t>a</w:t>
      </w:r>
      <w:r>
        <w:rPr>
          <w:spacing w:val="5"/>
          <w:kern w:val="1"/>
        </w:rPr>
        <w:t xml:space="preserve"> rated capacity of 2Mw. This turbine can be ideal for areas with average wind speeds.</w:t>
      </w:r>
      <w:r w:rsidRPr="00391CEC">
        <w:t xml:space="preserve"> </w:t>
      </w:r>
      <w:r w:rsidRPr="00391CEC">
        <w:rPr>
          <w:spacing w:val="5"/>
          <w:kern w:val="1"/>
        </w:rPr>
        <w:t>Th</w:t>
      </w:r>
      <w:r>
        <w:rPr>
          <w:spacing w:val="5"/>
          <w:kern w:val="1"/>
        </w:rPr>
        <w:t>e</w:t>
      </w:r>
      <w:r w:rsidRPr="00391CEC">
        <w:rPr>
          <w:spacing w:val="5"/>
          <w:kern w:val="1"/>
        </w:rPr>
        <w:t xml:space="preserve"> selection</w:t>
      </w:r>
      <w:r>
        <w:rPr>
          <w:spacing w:val="5"/>
          <w:kern w:val="1"/>
        </w:rPr>
        <w:t xml:space="preserve"> of these three,</w:t>
      </w:r>
      <w:r w:rsidRPr="00391CEC">
        <w:rPr>
          <w:spacing w:val="5"/>
          <w:kern w:val="1"/>
        </w:rPr>
        <w:t xml:space="preserve"> not only spanned a wide range of turbine technologies and capacities but also enabled a detailed investigation into the adaptability and performance of these turbines under the diverse wind conditions encountered in Canada</w:t>
      </w:r>
      <w:r>
        <w:rPr>
          <w:spacing w:val="5"/>
          <w:kern w:val="1"/>
        </w:rPr>
        <w:fldChar w:fldCharType="begin"/>
      </w:r>
      <w:r w:rsidR="00F21BAB">
        <w:rPr>
          <w:spacing w:val="5"/>
          <w:kern w:val="1"/>
        </w:rPr>
        <w:instrText xml:space="preserve"> ADDIN ZOTERO_ITEM CSL_CITATION {"citationID":"HzsWjve8","properties":{"formattedCitation":"[14]","plainCitation":"[14]","noteIndex":0},"citationItems":[{"id":413,"uris":["http://zotero.org/users/9870935/items/VVUQ35MS"],"itemData":{"id":413,"type":"paper-conference","container-title":"2018 XIII International Conference on Electrical Machines (ICEM)","DOI":"10.1109/ICELMACH.2018.8507165","event-place":"Alexandroupoli","event-title":"2018 XIII International Conference on Electrical Machines (ICEM)","ISBN":"978-1-5386-2477-7","page":"2205-2211","publisher":"IEEE","publisher-place":"Alexandroupoli","source":"DOI.org (Crossref)","title":"Large wind turbine generators: State-of-the-art review","title-short":"Large wind turbine generators","URL":"https://ieeexplore.ieee.org/document/8507165/","author":[{"family":"Bensalah","given":"A."},{"family":"Benhamida","given":"M.A."},{"family":"Barakat","given":"G."},{"family":"Amara","given":"Y."}],"accessed":{"date-parts":[["2024",2,13]]},"issued":{"date-parts":[["2018",9]]}}}],"schema":"https://github.com/citation-style-language/schema/raw/master/csl-citation.json"} </w:instrText>
      </w:r>
      <w:r>
        <w:rPr>
          <w:spacing w:val="5"/>
          <w:kern w:val="1"/>
        </w:rPr>
        <w:fldChar w:fldCharType="separate"/>
      </w:r>
      <w:r w:rsidR="00F21BAB" w:rsidRPr="00F21BAB">
        <w:t>[14]</w:t>
      </w:r>
      <w:r>
        <w:rPr>
          <w:spacing w:val="5"/>
          <w:kern w:val="1"/>
        </w:rPr>
        <w:fldChar w:fldCharType="end"/>
      </w:r>
      <w:r w:rsidRPr="00391CEC">
        <w:rPr>
          <w:spacing w:val="5"/>
          <w:kern w:val="1"/>
        </w:rPr>
        <w:t>.</w:t>
      </w:r>
      <w:r>
        <w:rPr>
          <w:spacing w:val="5"/>
          <w:kern w:val="1"/>
        </w:rPr>
        <w:t xml:space="preserve"> </w:t>
      </w:r>
    </w:p>
    <w:p w14:paraId="2E286052" w14:textId="78133D70" w:rsidR="0091081C" w:rsidRDefault="0091081C" w:rsidP="00F21BAB">
      <w:pPr>
        <w:widowControl w:val="0"/>
        <w:autoSpaceDE w:val="0"/>
        <w:autoSpaceDN w:val="0"/>
        <w:adjustRightInd w:val="0"/>
        <w:spacing w:before="120" w:line="226" w:lineRule="auto"/>
        <w:ind w:firstLine="288"/>
        <w:jc w:val="both"/>
        <w:rPr>
          <w:spacing w:val="5"/>
          <w:kern w:val="1"/>
        </w:rPr>
      </w:pPr>
      <w:r>
        <w:rPr>
          <w:spacing w:val="5"/>
          <w:kern w:val="1"/>
        </w:rPr>
        <w:t>Since 1980, the MERRA-2, developed by NASA’s Global Modeling and Assimilation Office, has faced fundamental enhancements, making it the backbone of many atmospheric data analysis studies. Also, NASA’s ozone profile has been used in this dataset since 2004, which enriched its superiority. The Fidelity of the dataset is sustained by improvements in both Gridpoint Statistical Interpolation (GSI) and Goddard Earth Observing System (GEOS), maintaining its resolution at 50km in the latitudinal direction</w:t>
      </w:r>
      <w:r>
        <w:rPr>
          <w:spacing w:val="5"/>
          <w:kern w:val="1"/>
        </w:rPr>
        <w:fldChar w:fldCharType="begin"/>
      </w:r>
      <w:r w:rsidR="00F21BAB">
        <w:rPr>
          <w:spacing w:val="5"/>
          <w:kern w:val="1"/>
        </w:rPr>
        <w:instrText xml:space="preserve"> ADDIN ZOTERO_ITEM CSL_CITATION {"citationID":"p8Tz1qZw","properties":{"formattedCitation":"[15]","plainCitation":"[15]","noteIndex":0},"citationItems":[{"id":377,"uris":["http://zotero.org/users/9870935/items/6HEZN7U4"],"itemData":{"id":377,"type":"post-weblog","abstract":"The Modern-Era Retrospective analysis for Research and Applications, Version 2 (MERRA-2) provides data beginning in 1980. It was introduced to replace the original MERRA dataset because of the advances made in the assimilation system that enable assimilation of modern hyperspectral radiance and microwave observations, along with GPS-Radio Occultation datasets. It also uses NASA's ozone profile observations that began in late 2004. Additional advances in both the GEOS model and the GSI assimilation system are included in MERRA-2. Spatial resolution remains about the same (about 50 km in the latitudinal direction) as in MERRA.","title":"Modern-Era Retrospective analysis for Research and Applications, Version 2","URL":"https://gmao.gsfc.nasa.gov/reanalysis/MERRA-2/","author":[{"family":"Nasa","given":""}],"accessed":{"date-parts":[["2024",2,4]]},"issued":{"date-parts":[["2022",9,9]]}}}],"schema":"https://github.com/citation-style-language/schema/raw/master/csl-citation.json"} </w:instrText>
      </w:r>
      <w:r>
        <w:rPr>
          <w:spacing w:val="5"/>
          <w:kern w:val="1"/>
        </w:rPr>
        <w:fldChar w:fldCharType="separate"/>
      </w:r>
      <w:r w:rsidR="00F21BAB" w:rsidRPr="00F21BAB">
        <w:t>[15]</w:t>
      </w:r>
      <w:r>
        <w:rPr>
          <w:spacing w:val="5"/>
          <w:kern w:val="1"/>
        </w:rPr>
        <w:fldChar w:fldCharType="end"/>
      </w:r>
      <w:r>
        <w:rPr>
          <w:spacing w:val="5"/>
          <w:kern w:val="1"/>
        </w:rPr>
        <w:t>. The integration of this data set into this study, due to its refined spatial and temporal resolution, which contains various environmental features like air temperature or wind speed, is inevitable. Incorporating vast satellite observations with advanced data adjustments aids this dataset in gathering accurate and consistent valuable information from the atmosphere. This evolutionary enhancement in data quality enriches the understanding of climate dynamics, underpinning the robustness of this study's forecasting by providing thorough information on the features of atmospheric conditions that have an enormous impact on renewable energy generation.</w:t>
      </w:r>
    </w:p>
    <w:p w14:paraId="130B845B" w14:textId="59EF1EDD" w:rsidR="00943618" w:rsidRDefault="00943618" w:rsidP="00943618">
      <w:pPr>
        <w:pStyle w:val="Heading2"/>
      </w:pPr>
      <w:r>
        <w:t>Data Cleaning and Integration</w:t>
      </w:r>
    </w:p>
    <w:p w14:paraId="443CD040" w14:textId="77777777" w:rsidR="00943618" w:rsidRDefault="00943618" w:rsidP="00943618">
      <w:pPr>
        <w:widowControl w:val="0"/>
        <w:autoSpaceDE w:val="0"/>
        <w:autoSpaceDN w:val="0"/>
        <w:adjustRightInd w:val="0"/>
        <w:spacing w:before="120" w:line="226" w:lineRule="auto"/>
        <w:ind w:firstLine="288"/>
        <w:jc w:val="both"/>
        <w:rPr>
          <w:spacing w:val="5"/>
          <w:kern w:val="1"/>
        </w:rPr>
      </w:pPr>
      <w:r>
        <w:rPr>
          <w:spacing w:val="5"/>
          <w:kern w:val="1"/>
        </w:rPr>
        <w:t>This section will explore the meticulous processes of ensuring the dataset quality, consistency, and comparability</w:t>
      </w:r>
      <w:r w:rsidRPr="00D2309A">
        <w:rPr>
          <w:spacing w:val="5"/>
          <w:kern w:val="1"/>
        </w:rPr>
        <w:t>.</w:t>
      </w:r>
      <w:r>
        <w:rPr>
          <w:spacing w:val="5"/>
          <w:kern w:val="1"/>
        </w:rPr>
        <w:t xml:space="preserve"> Using powerful programming languages like Python aims to refine the raw data gathered into a coherent, analysis-ready format. Some issues like missing values, outliers, and inconsistencies across the dataset were issued, ensuring a solid foundation for accurate forecasting. The data source variety leads to the fact that the ML system would face different units of measurement, normalization, and transformation to establish a robust essential for quality assurance. In the following parts, each step taken to prepare the dataset for the ML model training has been clarified.</w:t>
      </w:r>
    </w:p>
    <w:p w14:paraId="6C0E085B" w14:textId="77777777" w:rsidR="00943618" w:rsidRPr="00361B17" w:rsidRDefault="00943618" w:rsidP="00943618">
      <w:pPr>
        <w:pStyle w:val="ListParagraph"/>
        <w:widowControl w:val="0"/>
        <w:numPr>
          <w:ilvl w:val="0"/>
          <w:numId w:val="26"/>
        </w:numPr>
        <w:autoSpaceDE w:val="0"/>
        <w:autoSpaceDN w:val="0"/>
        <w:adjustRightInd w:val="0"/>
        <w:spacing w:before="120" w:line="226" w:lineRule="auto"/>
        <w:jc w:val="both"/>
        <w:rPr>
          <w:b/>
          <w:bCs/>
          <w:spacing w:val="5"/>
          <w:kern w:val="1"/>
        </w:rPr>
      </w:pPr>
      <w:r w:rsidRPr="00C856EE">
        <w:rPr>
          <w:b/>
          <w:bCs/>
          <w:spacing w:val="5"/>
          <w:kern w:val="1"/>
        </w:rPr>
        <w:t>Missing Data Handling:</w:t>
      </w:r>
      <w:r>
        <w:rPr>
          <w:b/>
          <w:bCs/>
          <w:spacing w:val="5"/>
          <w:kern w:val="1"/>
        </w:rPr>
        <w:t xml:space="preserve"> </w:t>
      </w:r>
      <w:r>
        <w:rPr>
          <w:spacing w:val="5"/>
          <w:kern w:val="1"/>
        </w:rPr>
        <w:t xml:space="preserve">One specific flaw in each dataset is the missing values of each feature. This issue could lead to some inaccuracy and malfunction in the trained </w:t>
      </w:r>
      <w:r>
        <w:rPr>
          <w:spacing w:val="5"/>
          <w:kern w:val="1"/>
        </w:rPr>
        <w:lastRenderedPageBreak/>
        <w:t xml:space="preserve">model. Based on this matter, missed values are interpolated using the known dataset to ensure continuous and uninterrupted information. For instance, hourly wind power generation could be filled with the means of other values. Furthermore, the usage of statistical methods like standard deviation, some outlier data that could be stored because of human error, or the measurement devices' complications could be </w:t>
      </w:r>
      <w:r>
        <w:rPr>
          <w:spacing w:val="5"/>
          <w:kern w:val="1"/>
          <w:lang w:bidi="fa-IR"/>
        </w:rPr>
        <w:t xml:space="preserve">identified to prohibit any misjudgments for the trained model. Maintaining thresholds have been chosen for this study. </w:t>
      </w:r>
    </w:p>
    <w:p w14:paraId="7163747B" w14:textId="77777777" w:rsidR="00943618" w:rsidRPr="00A2062E" w:rsidRDefault="00943618" w:rsidP="00943618">
      <w:pPr>
        <w:pStyle w:val="ListParagraph"/>
        <w:widowControl w:val="0"/>
        <w:numPr>
          <w:ilvl w:val="0"/>
          <w:numId w:val="26"/>
        </w:numPr>
        <w:autoSpaceDE w:val="0"/>
        <w:autoSpaceDN w:val="0"/>
        <w:adjustRightInd w:val="0"/>
        <w:spacing w:before="120" w:line="226" w:lineRule="auto"/>
        <w:jc w:val="both"/>
        <w:rPr>
          <w:b/>
          <w:bCs/>
          <w:spacing w:val="5"/>
          <w:kern w:val="1"/>
        </w:rPr>
      </w:pPr>
      <w:r>
        <w:rPr>
          <w:b/>
          <w:bCs/>
          <w:spacing w:val="5"/>
          <w:kern w:val="1"/>
        </w:rPr>
        <w:t xml:space="preserve">Data Normalizations and Transformations: </w:t>
      </w:r>
      <w:r>
        <w:rPr>
          <w:spacing w:val="5"/>
          <w:kern w:val="1"/>
        </w:rPr>
        <w:t>Normalization of data processes into a standard range ensures uniformity in data units and facilitates the comparison of various scale features. A z-score is a common way, where each data points to the standard deviation of that specific feature value.</w:t>
      </w:r>
    </w:p>
    <w:p w14:paraId="0F788268" w14:textId="7D8CD91C" w:rsidR="00943618" w:rsidRPr="00DF5E64" w:rsidRDefault="00943618" w:rsidP="00F21BAB">
      <w:pPr>
        <w:pStyle w:val="ListParagraph"/>
        <w:widowControl w:val="0"/>
        <w:numPr>
          <w:ilvl w:val="0"/>
          <w:numId w:val="26"/>
        </w:numPr>
        <w:autoSpaceDE w:val="0"/>
        <w:autoSpaceDN w:val="0"/>
        <w:adjustRightInd w:val="0"/>
        <w:spacing w:before="120" w:line="226" w:lineRule="auto"/>
        <w:jc w:val="both"/>
        <w:rPr>
          <w:b/>
          <w:bCs/>
          <w:spacing w:val="5"/>
          <w:kern w:val="1"/>
        </w:rPr>
      </w:pPr>
      <w:r>
        <w:rPr>
          <w:b/>
          <w:bCs/>
          <w:spacing w:val="5"/>
          <w:kern w:val="1"/>
        </w:rPr>
        <w:t xml:space="preserve">Integration Techniques: </w:t>
      </w:r>
      <w:r>
        <w:rPr>
          <w:spacing w:val="5"/>
          <w:kern w:val="1"/>
        </w:rPr>
        <w:t>Combining datasets from different sources was another part of this work. As MERRA-2 provides vast information, gathering, categorizing, and combining those materials was another challenge. Using Application Program Interface (APIs) that Renewable provided. The Ninja website was a great aid in overcoming this obstacle alongside the help of the Pandas library in Python</w:t>
      </w:r>
      <w:r>
        <w:rPr>
          <w:spacing w:val="5"/>
          <w:kern w:val="1"/>
        </w:rPr>
        <w:fldChar w:fldCharType="begin"/>
      </w:r>
      <w:r w:rsidR="00F21BAB">
        <w:rPr>
          <w:spacing w:val="5"/>
          <w:kern w:val="1"/>
        </w:rPr>
        <w:instrText xml:space="preserve"> ADDIN ZOTERO_ITEM CSL_CITATION {"citationID":"tjohEyXK","properties":{"formattedCitation":"[16]","plainCitation":"[16]","noteIndex":0},"citationItems":[{"id":40,"uris":["http://zotero.org/users/9870935/items/A5WF6JXF"],"itemData":{"id":40,"type":"post-weblog","title":"What Is Pandas In Python? Everything You Need To Know","URL":"https://www.activestate.com/resources/quick-reads/what-is-pandas-in-python-everything-you-need-to-know/","author":[{"family":"ActiveState","given":""}],"accessed":{"date-parts":[["2022",8,9]]}}}],"schema":"https://github.com/citation-style-language/schema/raw/master/csl-citation.json"} </w:instrText>
      </w:r>
      <w:r>
        <w:rPr>
          <w:spacing w:val="5"/>
          <w:kern w:val="1"/>
        </w:rPr>
        <w:fldChar w:fldCharType="separate"/>
      </w:r>
      <w:r w:rsidR="00F21BAB" w:rsidRPr="00F21BAB">
        <w:t>[16]</w:t>
      </w:r>
      <w:r>
        <w:rPr>
          <w:spacing w:val="5"/>
          <w:kern w:val="1"/>
        </w:rPr>
        <w:fldChar w:fldCharType="end"/>
      </w:r>
      <w:r>
        <w:rPr>
          <w:spacing w:val="5"/>
          <w:kern w:val="1"/>
        </w:rPr>
        <w:t xml:space="preserve">. However, some parts of this process must be done manually by putting different environmental datasets alongside the 10 years of other locations. This integration aims to ensure that the ML model is supplied with the proper dataset for analyzing the correlation among the features. </w:t>
      </w:r>
    </w:p>
    <w:p w14:paraId="1D2F7CAA" w14:textId="78304744" w:rsidR="00943618" w:rsidRDefault="00943618" w:rsidP="00943618">
      <w:pPr>
        <w:pStyle w:val="ListParagraph"/>
        <w:widowControl w:val="0"/>
        <w:numPr>
          <w:ilvl w:val="0"/>
          <w:numId w:val="26"/>
        </w:numPr>
        <w:autoSpaceDE w:val="0"/>
        <w:autoSpaceDN w:val="0"/>
        <w:adjustRightInd w:val="0"/>
        <w:spacing w:before="120" w:line="226" w:lineRule="auto"/>
        <w:jc w:val="both"/>
        <w:rPr>
          <w:b/>
          <w:bCs/>
          <w:spacing w:val="5"/>
          <w:kern w:val="1"/>
        </w:rPr>
      </w:pPr>
      <w:r>
        <w:rPr>
          <w:b/>
          <w:bCs/>
          <w:spacing w:val="5"/>
          <w:kern w:val="1"/>
        </w:rPr>
        <w:t xml:space="preserve">Efficiency Consideration: </w:t>
      </w:r>
      <w:r>
        <w:rPr>
          <w:spacing w:val="5"/>
          <w:kern w:val="1"/>
        </w:rPr>
        <w:t xml:space="preserve">Having a large number of datasets alongside its complexity, would have some issues like computation time. Using parallel processing would address these issues as it can enhance computational efficiency, leading to faster data analysis, model training, and other tasks. This strategy elevates modern hardware's capabilities and optimizes the utilization of computing resources. </w:t>
      </w:r>
      <w:r w:rsidRPr="00502300">
        <w:rPr>
          <w:spacing w:val="5"/>
          <w:kern w:val="1"/>
        </w:rPr>
        <w:t xml:space="preserve">  </w:t>
      </w:r>
      <w:r w:rsidRPr="00502300">
        <w:rPr>
          <w:b/>
          <w:bCs/>
          <w:spacing w:val="5"/>
          <w:kern w:val="1"/>
        </w:rPr>
        <w:t xml:space="preserve"> </w:t>
      </w:r>
    </w:p>
    <w:p w14:paraId="5933985C" w14:textId="7128BFE0" w:rsidR="00943618" w:rsidRPr="00943618" w:rsidRDefault="00943618" w:rsidP="000534DE">
      <w:pPr>
        <w:pStyle w:val="Heading2"/>
      </w:pPr>
      <w:r>
        <w:t>Model Configuration</w:t>
      </w:r>
    </w:p>
    <w:p w14:paraId="60655DF6" w14:textId="41345D53" w:rsidR="00423123" w:rsidRDefault="00423123" w:rsidP="00423123">
      <w:pPr>
        <w:widowControl w:val="0"/>
        <w:autoSpaceDE w:val="0"/>
        <w:autoSpaceDN w:val="0"/>
        <w:adjustRightInd w:val="0"/>
        <w:spacing w:before="120" w:line="226" w:lineRule="auto"/>
        <w:ind w:firstLine="288"/>
        <w:jc w:val="both"/>
        <w:rPr>
          <w:spacing w:val="5"/>
          <w:kern w:val="1"/>
        </w:rPr>
      </w:pPr>
      <w:r w:rsidRPr="008E682A">
        <w:rPr>
          <w:spacing w:val="5"/>
          <w:kern w:val="1"/>
        </w:rPr>
        <w:t>In this section, intricate elaboration w</w:t>
      </w:r>
      <w:r w:rsidR="009B4C9A">
        <w:rPr>
          <w:spacing w:val="5"/>
          <w:kern w:val="1"/>
        </w:rPr>
        <w:t>ill</w:t>
      </w:r>
      <w:r w:rsidRPr="008E682A">
        <w:rPr>
          <w:spacing w:val="5"/>
          <w:kern w:val="1"/>
        </w:rPr>
        <w:t xml:space="preserve"> be on the selected ML models for the study. For this work</w:t>
      </w:r>
      <w:r w:rsidR="009B4C9A">
        <w:rPr>
          <w:spacing w:val="5"/>
          <w:kern w:val="1"/>
        </w:rPr>
        <w:t>,</w:t>
      </w:r>
      <w:r w:rsidRPr="008E682A">
        <w:rPr>
          <w:spacing w:val="5"/>
          <w:kern w:val="1"/>
        </w:rPr>
        <w:t xml:space="preserve"> ANN, SV</w:t>
      </w:r>
      <w:r w:rsidR="00C75BB0">
        <w:rPr>
          <w:spacing w:val="5"/>
          <w:kern w:val="1"/>
        </w:rPr>
        <w:t>R</w:t>
      </w:r>
      <w:r w:rsidRPr="008E682A">
        <w:rPr>
          <w:spacing w:val="5"/>
          <w:kern w:val="1"/>
        </w:rPr>
        <w:t xml:space="preserve">, and LSTMs have been chosen. The complexity of </w:t>
      </w:r>
      <w:r w:rsidR="009B4C9A">
        <w:rPr>
          <w:spacing w:val="5"/>
          <w:kern w:val="1"/>
        </w:rPr>
        <w:t xml:space="preserve">the </w:t>
      </w:r>
      <w:r w:rsidRPr="008E682A">
        <w:rPr>
          <w:spacing w:val="5"/>
          <w:kern w:val="1"/>
        </w:rPr>
        <w:t>data set, with the varied variables and temporal dynamics, needed a profound model can find the patterns among the features. For the ANN and LTSM models, careful consideration was to their hyperparameters, hidden layers or neurons within each layer, to capture the correlation among the input datasets, thereby enhancing predictive performance.</w:t>
      </w:r>
      <w:r>
        <w:rPr>
          <w:spacing w:val="5"/>
          <w:kern w:val="1"/>
        </w:rPr>
        <w:t xml:space="preserve"> The number of hidden layers in the ANN model w</w:t>
      </w:r>
      <w:r w:rsidR="009B4C9A">
        <w:rPr>
          <w:spacing w:val="5"/>
          <w:kern w:val="1"/>
        </w:rPr>
        <w:t>as</w:t>
      </w:r>
      <w:r>
        <w:rPr>
          <w:spacing w:val="5"/>
          <w:kern w:val="1"/>
        </w:rPr>
        <w:t xml:space="preserve"> designed in a way to commence with a size roughly half of the input features, to employ a geometric progression for decreasing the numbers of subsequent layers. Using this way aids in gradually concentrating the most useful information for the task. </w:t>
      </w:r>
    </w:p>
    <w:p w14:paraId="2BD2871A" w14:textId="47CA6ACA" w:rsidR="00423123" w:rsidRDefault="00423123" w:rsidP="00F21BAB">
      <w:pPr>
        <w:widowControl w:val="0"/>
        <w:autoSpaceDE w:val="0"/>
        <w:autoSpaceDN w:val="0"/>
        <w:adjustRightInd w:val="0"/>
        <w:spacing w:before="120" w:line="226" w:lineRule="auto"/>
        <w:ind w:firstLine="288"/>
        <w:jc w:val="both"/>
        <w:rPr>
          <w:spacing w:val="5"/>
          <w:kern w:val="1"/>
        </w:rPr>
      </w:pPr>
      <w:r>
        <w:rPr>
          <w:spacing w:val="5"/>
          <w:kern w:val="1"/>
        </w:rPr>
        <w:t xml:space="preserve">An activation function in ML, mostly used in </w:t>
      </w:r>
      <w:r>
        <w:rPr>
          <w:spacing w:val="5"/>
          <w:kern w:val="1"/>
        </w:rPr>
        <w:t xml:space="preserve">Networks, is a mathematical function that would be applied to each node’s inputs to produce an output signal for the next layer, which is the new input for that specific layer. The main task of having these techniques in the training process is to bring non-linearity to the system, </w:t>
      </w:r>
      <w:r w:rsidR="009B4C9A">
        <w:rPr>
          <w:spacing w:val="5"/>
          <w:kern w:val="1"/>
        </w:rPr>
        <w:t>which</w:t>
      </w:r>
      <w:r>
        <w:rPr>
          <w:spacing w:val="5"/>
          <w:kern w:val="1"/>
        </w:rPr>
        <w:t xml:space="preserve"> could help the model capture the complexity among the inputs. Without having an activation function, NN would only focus on linearity, by considering all its depth, which restricts its ability to find the true pattern, such as those found in image recognition or natural language processing. Rectified Linear Unit</w:t>
      </w:r>
      <w:r w:rsidR="009B4C9A">
        <w:rPr>
          <w:spacing w:val="5"/>
          <w:kern w:val="1"/>
        </w:rPr>
        <w:t>s</w:t>
      </w:r>
      <w:r>
        <w:rPr>
          <w:spacing w:val="5"/>
          <w:kern w:val="1"/>
        </w:rPr>
        <w:t xml:space="preserve"> (ReLU), sigmoid, and Softmax are the common ones, each with their specific characteristics</w:t>
      </w:r>
      <w:r>
        <w:rPr>
          <w:spacing w:val="5"/>
          <w:kern w:val="1"/>
        </w:rPr>
        <w:fldChar w:fldCharType="begin"/>
      </w:r>
      <w:r w:rsidR="00F21BAB">
        <w:rPr>
          <w:spacing w:val="5"/>
          <w:kern w:val="1"/>
        </w:rPr>
        <w:instrText xml:space="preserve"> ADDIN ZOTERO_ITEM CSL_CITATION {"citationID":"3HdHpzIm","properties":{"formattedCitation":"[17]","plainCitation":"[17]","noteIndex":0},"citationItems":[{"id":419,"uris":["http://zotero.org/users/9870935/items/TQ8K6BHP"],"itemData":{"id":419,"type":"article-journal","container-title":"Neurocomputing","DOI":"10.1016/j.neucom.2022.06.111","ISSN":"09252312","journalAbbreviation":"Neurocomputing","language":"en","page":"92-108","source":"DOI.org (Crossref)","title":"Activation functions in deep learning: A comprehensive survey and benchmark","title-short":"Activation functions in deep learning","volume":"503","author":[{"family":"Dubey","given":"Shiv Ram"},{"family":"Singh","given":"Satish Kumar"},{"family":"Chaudhuri","given":"Bidyut Baran"}],"issued":{"date-parts":[["2022",9]]}}}],"schema":"https://github.com/citation-style-language/schema/raw/master/csl-citation.json"} </w:instrText>
      </w:r>
      <w:r>
        <w:rPr>
          <w:spacing w:val="5"/>
          <w:kern w:val="1"/>
        </w:rPr>
        <w:fldChar w:fldCharType="separate"/>
      </w:r>
      <w:r w:rsidR="00F21BAB" w:rsidRPr="00F21BAB">
        <w:t>[17]</w:t>
      </w:r>
      <w:r>
        <w:rPr>
          <w:spacing w:val="5"/>
          <w:kern w:val="1"/>
        </w:rPr>
        <w:fldChar w:fldCharType="end"/>
      </w:r>
      <w:r>
        <w:rPr>
          <w:spacing w:val="5"/>
          <w:kern w:val="1"/>
        </w:rPr>
        <w:t xml:space="preserve">. </w:t>
      </w:r>
    </w:p>
    <w:p w14:paraId="6404534C" w14:textId="77777777" w:rsidR="002C004D" w:rsidRDefault="002C004D" w:rsidP="007A1777">
      <w:pPr>
        <w:widowControl w:val="0"/>
        <w:autoSpaceDE w:val="0"/>
        <w:autoSpaceDN w:val="0"/>
        <w:adjustRightInd w:val="0"/>
        <w:spacing w:before="120" w:line="226" w:lineRule="auto"/>
        <w:ind w:firstLine="288"/>
        <w:jc w:val="both"/>
        <w:rPr>
          <w:spacing w:val="5"/>
          <w:kern w:val="1"/>
        </w:rPr>
      </w:pPr>
    </w:p>
    <w:p w14:paraId="2B42A95D" w14:textId="67ACA99F" w:rsidR="00423123" w:rsidRDefault="00A93929" w:rsidP="00423123">
      <w:pPr>
        <w:keepNext/>
        <w:widowControl w:val="0"/>
        <w:autoSpaceDE w:val="0"/>
        <w:autoSpaceDN w:val="0"/>
        <w:adjustRightInd w:val="0"/>
        <w:spacing w:before="120" w:line="226" w:lineRule="auto"/>
      </w:pPr>
      <w:r w:rsidRPr="00E335A5">
        <w:rPr>
          <w:noProof/>
        </w:rPr>
        <w:drawing>
          <wp:inline distT="0" distB="0" distL="0" distR="0" wp14:anchorId="29AE2B25" wp14:editId="09CE92FB">
            <wp:extent cx="2977997" cy="1473958"/>
            <wp:effectExtent l="0" t="0" r="0" b="0"/>
            <wp:docPr id="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2749" cy="1481260"/>
                    </a:xfrm>
                    <a:prstGeom prst="rect">
                      <a:avLst/>
                    </a:prstGeom>
                  </pic:spPr>
                </pic:pic>
              </a:graphicData>
            </a:graphic>
          </wp:inline>
        </w:drawing>
      </w:r>
    </w:p>
    <w:p w14:paraId="186D05C6" w14:textId="6B4A5882" w:rsidR="00423123" w:rsidRDefault="00423123" w:rsidP="00423123">
      <w:pPr>
        <w:widowControl w:val="0"/>
        <w:autoSpaceDE w:val="0"/>
        <w:autoSpaceDN w:val="0"/>
        <w:adjustRightInd w:val="0"/>
        <w:spacing w:before="120" w:line="226" w:lineRule="auto"/>
        <w:rPr>
          <w:rFonts w:eastAsia="Times New Roman"/>
          <w:spacing w:val="5"/>
          <w:kern w:val="1"/>
          <w:sz w:val="16"/>
          <w:szCs w:val="16"/>
        </w:rPr>
      </w:pPr>
      <w:r w:rsidRPr="004B63A3">
        <w:rPr>
          <w:rFonts w:eastAsia="Times New Roman"/>
          <w:spacing w:val="5"/>
          <w:kern w:val="1"/>
          <w:sz w:val="16"/>
          <w:szCs w:val="16"/>
        </w:rPr>
        <w:t xml:space="preserve">Figure </w:t>
      </w:r>
      <w:r w:rsidRPr="004B63A3">
        <w:rPr>
          <w:rFonts w:eastAsia="Times New Roman"/>
          <w:spacing w:val="5"/>
          <w:kern w:val="1"/>
          <w:sz w:val="16"/>
          <w:szCs w:val="16"/>
        </w:rPr>
        <w:fldChar w:fldCharType="begin"/>
      </w:r>
      <w:r w:rsidRPr="004B63A3">
        <w:rPr>
          <w:rFonts w:eastAsia="Times New Roman"/>
          <w:spacing w:val="5"/>
          <w:kern w:val="1"/>
          <w:sz w:val="16"/>
          <w:szCs w:val="16"/>
        </w:rPr>
        <w:instrText xml:space="preserve"> SEQ Figure \* ARABIC </w:instrText>
      </w:r>
      <w:r w:rsidRPr="004B63A3">
        <w:rPr>
          <w:rFonts w:eastAsia="Times New Roman"/>
          <w:spacing w:val="5"/>
          <w:kern w:val="1"/>
          <w:sz w:val="16"/>
          <w:szCs w:val="16"/>
        </w:rPr>
        <w:fldChar w:fldCharType="separate"/>
      </w:r>
      <w:r w:rsidR="004B73AF">
        <w:rPr>
          <w:rFonts w:eastAsia="Times New Roman"/>
          <w:noProof/>
          <w:spacing w:val="5"/>
          <w:kern w:val="1"/>
          <w:sz w:val="16"/>
          <w:szCs w:val="16"/>
        </w:rPr>
        <w:t>2</w:t>
      </w:r>
      <w:r w:rsidRPr="004B63A3">
        <w:rPr>
          <w:rFonts w:eastAsia="Times New Roman"/>
          <w:spacing w:val="5"/>
          <w:kern w:val="1"/>
          <w:sz w:val="16"/>
          <w:szCs w:val="16"/>
        </w:rPr>
        <w:fldChar w:fldCharType="end"/>
      </w:r>
      <w:r w:rsidRPr="004B63A3">
        <w:rPr>
          <w:rFonts w:eastAsia="Times New Roman"/>
          <w:spacing w:val="5"/>
          <w:kern w:val="1"/>
          <w:sz w:val="16"/>
          <w:szCs w:val="16"/>
        </w:rPr>
        <w:t xml:space="preserve"> ReLU and Sigmoid functions</w:t>
      </w:r>
    </w:p>
    <w:p w14:paraId="2153D257" w14:textId="77777777" w:rsidR="009F364A" w:rsidRDefault="009F364A" w:rsidP="009F364A">
      <w:pPr>
        <w:widowControl w:val="0"/>
        <w:autoSpaceDE w:val="0"/>
        <w:autoSpaceDN w:val="0"/>
        <w:adjustRightInd w:val="0"/>
        <w:spacing w:before="120" w:line="226" w:lineRule="auto"/>
        <w:jc w:val="both"/>
        <w:rPr>
          <w:spacing w:val="5"/>
          <w:kern w:val="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3"/>
        <w:gridCol w:w="25"/>
        <w:gridCol w:w="1863"/>
        <w:gridCol w:w="22"/>
        <w:gridCol w:w="1457"/>
      </w:tblGrid>
      <w:tr w:rsidR="009F364A" w:rsidRPr="009F364A" w14:paraId="1E11E84A" w14:textId="77777777" w:rsidTr="00585E9A">
        <w:tc>
          <w:tcPr>
            <w:tcW w:w="1400" w:type="dxa"/>
          </w:tcPr>
          <w:p w14:paraId="27B9194A" w14:textId="77777777" w:rsidR="009F364A" w:rsidRPr="009F364A" w:rsidRDefault="009F364A" w:rsidP="0023568A">
            <w:pPr>
              <w:widowControl w:val="0"/>
              <w:autoSpaceDE w:val="0"/>
              <w:autoSpaceDN w:val="0"/>
              <w:adjustRightInd w:val="0"/>
              <w:spacing w:line="226" w:lineRule="auto"/>
              <w:jc w:val="both"/>
              <w:rPr>
                <w:rFonts w:asciiTheme="majorBidi" w:hAnsiTheme="majorBidi" w:cstheme="majorBidi"/>
                <w:spacing w:val="5"/>
                <w:kern w:val="1"/>
              </w:rPr>
            </w:pPr>
          </w:p>
        </w:tc>
        <w:tc>
          <w:tcPr>
            <w:tcW w:w="1948" w:type="dxa"/>
            <w:gridSpan w:val="3"/>
          </w:tcPr>
          <w:p w14:paraId="030C02E1" w14:textId="77777777" w:rsidR="009F364A" w:rsidRPr="009F364A" w:rsidRDefault="009F364A" w:rsidP="0023568A">
            <w:pPr>
              <w:widowControl w:val="0"/>
              <w:autoSpaceDE w:val="0"/>
              <w:autoSpaceDN w:val="0"/>
              <w:adjustRightInd w:val="0"/>
              <w:spacing w:after="240" w:line="226" w:lineRule="auto"/>
              <w:jc w:val="both"/>
              <w:rPr>
                <w:rFonts w:asciiTheme="majorBidi" w:hAnsiTheme="majorBidi" w:cstheme="majorBidi"/>
                <w:spacing w:val="5"/>
                <w:kern w:val="1"/>
              </w:rPr>
            </w:pPr>
            <m:oMathPara>
              <m:oMath>
                <m:r>
                  <w:rPr>
                    <w:rFonts w:ascii="Cambria Math" w:hAnsi="Cambria Math" w:cstheme="majorBidi"/>
                    <w:spacing w:val="5"/>
                    <w:kern w:val="1"/>
                  </w:rPr>
                  <m:t>f</m:t>
                </m:r>
                <m:d>
                  <m:dPr>
                    <m:ctrlPr>
                      <w:rPr>
                        <w:rFonts w:ascii="Cambria Math" w:hAnsi="Cambria Math" w:cstheme="majorBidi"/>
                        <w:i/>
                        <w:spacing w:val="5"/>
                        <w:kern w:val="1"/>
                      </w:rPr>
                    </m:ctrlPr>
                  </m:dPr>
                  <m:e>
                    <m:r>
                      <w:rPr>
                        <w:rFonts w:ascii="Cambria Math" w:hAnsi="Cambria Math" w:cstheme="majorBidi"/>
                        <w:spacing w:val="5"/>
                        <w:kern w:val="1"/>
                      </w:rPr>
                      <m:t>x</m:t>
                    </m:r>
                  </m:e>
                </m:d>
                <m:r>
                  <w:rPr>
                    <w:rFonts w:ascii="Cambria Math" w:hAnsi="Cambria Math" w:cstheme="majorBidi"/>
                    <w:spacing w:val="5"/>
                    <w:kern w:val="1"/>
                  </w:rPr>
                  <m:t>=</m:t>
                </m:r>
                <m:r>
                  <m:rPr>
                    <m:sty m:val="p"/>
                  </m:rPr>
                  <w:rPr>
                    <w:rFonts w:ascii="Cambria Math" w:hAnsi="Cambria Math" w:cstheme="majorBidi"/>
                    <w:spacing w:val="5"/>
                    <w:kern w:val="1"/>
                  </w:rPr>
                  <m:t>max⁡</m:t>
                </m:r>
                <m:r>
                  <w:rPr>
                    <w:rFonts w:ascii="Cambria Math" w:hAnsi="Cambria Math" w:cstheme="majorBidi"/>
                    <w:spacing w:val="5"/>
                    <w:kern w:val="1"/>
                  </w:rPr>
                  <m:t>(0,x)</m:t>
                </m:r>
              </m:oMath>
            </m:oMathPara>
          </w:p>
        </w:tc>
        <w:tc>
          <w:tcPr>
            <w:tcW w:w="1518" w:type="dxa"/>
          </w:tcPr>
          <w:p w14:paraId="7ED720CA" w14:textId="77777777" w:rsidR="009F364A" w:rsidRPr="009F364A" w:rsidRDefault="009F364A" w:rsidP="0023568A">
            <w:pPr>
              <w:widowControl w:val="0"/>
              <w:autoSpaceDE w:val="0"/>
              <w:autoSpaceDN w:val="0"/>
              <w:adjustRightInd w:val="0"/>
              <w:spacing w:after="240" w:line="226" w:lineRule="auto"/>
              <w:jc w:val="right"/>
              <w:rPr>
                <w:rFonts w:asciiTheme="majorBidi" w:hAnsiTheme="majorBidi" w:cstheme="majorBidi"/>
                <w:spacing w:val="5"/>
                <w:kern w:val="1"/>
              </w:rPr>
            </w:pPr>
            <w:r w:rsidRPr="009F364A">
              <w:rPr>
                <w:rFonts w:asciiTheme="majorBidi" w:hAnsiTheme="majorBidi" w:cstheme="majorBidi"/>
              </w:rPr>
              <w:t>(</w:t>
            </w:r>
            <w:r w:rsidRPr="009F364A">
              <w:rPr>
                <w:rFonts w:asciiTheme="majorBidi" w:hAnsiTheme="majorBidi" w:cstheme="majorBidi"/>
              </w:rPr>
              <w:fldChar w:fldCharType="begin"/>
            </w:r>
            <w:r w:rsidRPr="009F364A">
              <w:rPr>
                <w:rFonts w:asciiTheme="majorBidi" w:hAnsiTheme="majorBidi" w:cstheme="majorBidi"/>
              </w:rPr>
              <w:instrText xml:space="preserve"> SEQ Equation \* ARABIC </w:instrText>
            </w:r>
            <w:r w:rsidRPr="009F364A">
              <w:rPr>
                <w:rFonts w:asciiTheme="majorBidi" w:hAnsiTheme="majorBidi" w:cstheme="majorBidi"/>
              </w:rPr>
              <w:fldChar w:fldCharType="separate"/>
            </w:r>
            <w:r w:rsidRPr="009F364A">
              <w:rPr>
                <w:rFonts w:asciiTheme="majorBidi" w:hAnsiTheme="majorBidi" w:cstheme="majorBidi"/>
                <w:noProof/>
              </w:rPr>
              <w:t>1</w:t>
            </w:r>
            <w:r w:rsidRPr="009F364A">
              <w:rPr>
                <w:rFonts w:asciiTheme="majorBidi" w:hAnsiTheme="majorBidi" w:cstheme="majorBidi"/>
              </w:rPr>
              <w:fldChar w:fldCharType="end"/>
            </w:r>
            <w:r w:rsidRPr="009F364A">
              <w:rPr>
                <w:rFonts w:asciiTheme="majorBidi" w:hAnsiTheme="majorBidi" w:cstheme="majorBidi"/>
              </w:rPr>
              <w:t>)</w:t>
            </w:r>
          </w:p>
        </w:tc>
      </w:tr>
      <w:tr w:rsidR="009F364A" w:rsidRPr="009F364A" w14:paraId="1BBF57CA" w14:textId="77777777" w:rsidTr="00585E9A">
        <w:tc>
          <w:tcPr>
            <w:tcW w:w="1426" w:type="dxa"/>
            <w:gridSpan w:val="2"/>
          </w:tcPr>
          <w:p w14:paraId="66A4EA02" w14:textId="77777777" w:rsidR="009F364A" w:rsidRPr="009F364A" w:rsidRDefault="009F364A" w:rsidP="0023568A">
            <w:pPr>
              <w:widowControl w:val="0"/>
              <w:autoSpaceDE w:val="0"/>
              <w:autoSpaceDN w:val="0"/>
              <w:adjustRightInd w:val="0"/>
              <w:spacing w:line="226" w:lineRule="auto"/>
              <w:jc w:val="both"/>
              <w:rPr>
                <w:rFonts w:asciiTheme="majorBidi" w:hAnsiTheme="majorBidi" w:cstheme="majorBidi"/>
                <w:spacing w:val="5"/>
                <w:kern w:val="1"/>
              </w:rPr>
            </w:pPr>
          </w:p>
        </w:tc>
        <w:tc>
          <w:tcPr>
            <w:tcW w:w="1899" w:type="dxa"/>
          </w:tcPr>
          <w:p w14:paraId="5FB22B43" w14:textId="77777777" w:rsidR="009F364A" w:rsidRPr="009F364A" w:rsidRDefault="009F364A" w:rsidP="0023568A">
            <w:pPr>
              <w:widowControl w:val="0"/>
              <w:autoSpaceDE w:val="0"/>
              <w:autoSpaceDN w:val="0"/>
              <w:adjustRightInd w:val="0"/>
              <w:spacing w:line="226" w:lineRule="auto"/>
              <w:jc w:val="both"/>
              <w:rPr>
                <w:rFonts w:asciiTheme="majorBidi" w:hAnsiTheme="majorBidi" w:cstheme="majorBidi"/>
                <w:spacing w:val="5"/>
                <w:kern w:val="1"/>
              </w:rPr>
            </w:pPr>
            <m:oMathPara>
              <m:oMath>
                <m:r>
                  <w:rPr>
                    <w:rFonts w:ascii="Cambria Math" w:hAnsi="Cambria Math" w:cstheme="majorBidi"/>
                    <w:spacing w:val="5"/>
                    <w:kern w:val="1"/>
                  </w:rPr>
                  <m:t>f</m:t>
                </m:r>
                <m:d>
                  <m:dPr>
                    <m:ctrlPr>
                      <w:rPr>
                        <w:rFonts w:ascii="Cambria Math" w:hAnsi="Cambria Math" w:cstheme="majorBidi"/>
                        <w:i/>
                        <w:spacing w:val="5"/>
                        <w:kern w:val="1"/>
                      </w:rPr>
                    </m:ctrlPr>
                  </m:dPr>
                  <m:e>
                    <m:r>
                      <w:rPr>
                        <w:rFonts w:ascii="Cambria Math" w:hAnsi="Cambria Math" w:cstheme="majorBidi"/>
                        <w:spacing w:val="5"/>
                        <w:kern w:val="1"/>
                      </w:rPr>
                      <m:t>x</m:t>
                    </m:r>
                  </m:e>
                </m:d>
                <m:r>
                  <w:rPr>
                    <w:rFonts w:ascii="Cambria Math" w:hAnsi="Cambria Math" w:cstheme="majorBidi"/>
                    <w:spacing w:val="5"/>
                    <w:kern w:val="1"/>
                  </w:rPr>
                  <m:t xml:space="preserve">= </m:t>
                </m:r>
                <m:f>
                  <m:fPr>
                    <m:ctrlPr>
                      <w:rPr>
                        <w:rFonts w:ascii="Cambria Math" w:hAnsi="Cambria Math" w:cstheme="majorBidi"/>
                        <w:i/>
                        <w:spacing w:val="5"/>
                        <w:kern w:val="1"/>
                      </w:rPr>
                    </m:ctrlPr>
                  </m:fPr>
                  <m:num>
                    <m:r>
                      <w:rPr>
                        <w:rFonts w:ascii="Cambria Math" w:hAnsi="Cambria Math" w:cstheme="majorBidi"/>
                        <w:spacing w:val="5"/>
                        <w:kern w:val="1"/>
                      </w:rPr>
                      <m:t>1</m:t>
                    </m:r>
                  </m:num>
                  <m:den>
                    <m:r>
                      <w:rPr>
                        <w:rFonts w:ascii="Cambria Math" w:hAnsi="Cambria Math" w:cstheme="majorBidi"/>
                        <w:spacing w:val="5"/>
                        <w:kern w:val="1"/>
                      </w:rPr>
                      <m:t xml:space="preserve">1+ </m:t>
                    </m:r>
                    <m:sSup>
                      <m:sSupPr>
                        <m:ctrlPr>
                          <w:rPr>
                            <w:rFonts w:ascii="Cambria Math" w:hAnsi="Cambria Math" w:cstheme="majorBidi"/>
                            <w:i/>
                            <w:spacing w:val="5"/>
                            <w:kern w:val="1"/>
                          </w:rPr>
                        </m:ctrlPr>
                      </m:sSupPr>
                      <m:e>
                        <m:r>
                          <w:rPr>
                            <w:rFonts w:ascii="Cambria Math" w:hAnsi="Cambria Math" w:cstheme="majorBidi"/>
                            <w:spacing w:val="5"/>
                            <w:kern w:val="1"/>
                          </w:rPr>
                          <m:t>e</m:t>
                        </m:r>
                      </m:e>
                      <m:sup>
                        <m:r>
                          <w:rPr>
                            <w:rFonts w:ascii="Cambria Math" w:hAnsi="Cambria Math" w:cstheme="majorBidi"/>
                            <w:spacing w:val="5"/>
                            <w:kern w:val="1"/>
                          </w:rPr>
                          <m:t>-x</m:t>
                        </m:r>
                      </m:sup>
                    </m:sSup>
                  </m:den>
                </m:f>
              </m:oMath>
            </m:oMathPara>
          </w:p>
        </w:tc>
        <w:tc>
          <w:tcPr>
            <w:tcW w:w="1541" w:type="dxa"/>
            <w:gridSpan w:val="2"/>
          </w:tcPr>
          <w:p w14:paraId="51328FB1" w14:textId="77777777" w:rsidR="009F364A" w:rsidRPr="009F364A" w:rsidRDefault="009F364A" w:rsidP="0023568A">
            <w:pPr>
              <w:widowControl w:val="0"/>
              <w:autoSpaceDE w:val="0"/>
              <w:autoSpaceDN w:val="0"/>
              <w:adjustRightInd w:val="0"/>
              <w:spacing w:line="226" w:lineRule="auto"/>
              <w:jc w:val="right"/>
              <w:rPr>
                <w:rFonts w:asciiTheme="majorBidi" w:hAnsiTheme="majorBidi" w:cstheme="majorBidi"/>
                <w:spacing w:val="5"/>
                <w:kern w:val="1"/>
              </w:rPr>
            </w:pPr>
            <w:r w:rsidRPr="009F364A">
              <w:rPr>
                <w:rFonts w:asciiTheme="majorBidi" w:hAnsiTheme="majorBidi" w:cstheme="majorBidi"/>
              </w:rPr>
              <w:t>(2)</w:t>
            </w:r>
          </w:p>
        </w:tc>
      </w:tr>
    </w:tbl>
    <w:p w14:paraId="62FA0F43" w14:textId="77777777" w:rsidR="0091081C" w:rsidRDefault="0091081C" w:rsidP="009F364A">
      <w:pPr>
        <w:widowControl w:val="0"/>
        <w:autoSpaceDE w:val="0"/>
        <w:autoSpaceDN w:val="0"/>
        <w:adjustRightInd w:val="0"/>
        <w:spacing w:before="120" w:line="226" w:lineRule="auto"/>
        <w:jc w:val="both"/>
        <w:rPr>
          <w:spacing w:val="5"/>
          <w:kern w:val="1"/>
        </w:rPr>
      </w:pPr>
    </w:p>
    <w:p w14:paraId="229A24C1" w14:textId="6AC49D98" w:rsidR="000534DE" w:rsidRDefault="000534DE" w:rsidP="000534DE">
      <w:pPr>
        <w:pStyle w:val="Heading2"/>
      </w:pPr>
      <w:r>
        <w:t>Evaluation Metrics</w:t>
      </w:r>
    </w:p>
    <w:p w14:paraId="21075D77" w14:textId="1E566544" w:rsidR="000534DE" w:rsidRDefault="000534DE" w:rsidP="000534DE">
      <w:pPr>
        <w:widowControl w:val="0"/>
        <w:autoSpaceDE w:val="0"/>
        <w:autoSpaceDN w:val="0"/>
        <w:adjustRightInd w:val="0"/>
        <w:spacing w:before="120" w:line="226" w:lineRule="auto"/>
        <w:ind w:firstLine="288"/>
        <w:jc w:val="both"/>
        <w:rPr>
          <w:spacing w:val="5"/>
          <w:kern w:val="1"/>
        </w:rPr>
      </w:pPr>
      <w:r>
        <w:rPr>
          <w:spacing w:val="5"/>
          <w:kern w:val="1"/>
        </w:rPr>
        <w:t>Since wind power forecasting contains continuous numbers, the work is on regression, and because of that, the evaluation metrics would be chosen. Two important metrics have been used in this work. The reason for having different metrics is that only concluding the best method based solely on one of them is not accurate, and the task should be trustworthy enough by considering different aspects of the evaluation for future works.</w:t>
      </w:r>
    </w:p>
    <w:p w14:paraId="3299511C" w14:textId="0CE74F82" w:rsidR="000534DE" w:rsidRDefault="000534DE" w:rsidP="000534DE">
      <w:pPr>
        <w:pStyle w:val="ListParagraph"/>
        <w:widowControl w:val="0"/>
        <w:numPr>
          <w:ilvl w:val="0"/>
          <w:numId w:val="27"/>
        </w:numPr>
        <w:autoSpaceDE w:val="0"/>
        <w:autoSpaceDN w:val="0"/>
        <w:adjustRightInd w:val="0"/>
        <w:spacing w:before="120" w:line="226" w:lineRule="auto"/>
        <w:jc w:val="both"/>
        <w:rPr>
          <w:spacing w:val="5"/>
          <w:kern w:val="1"/>
        </w:rPr>
      </w:pPr>
      <w:r w:rsidRPr="006D1D05">
        <w:rPr>
          <w:b/>
          <w:bCs/>
          <w:spacing w:val="5"/>
          <w:kern w:val="1"/>
        </w:rPr>
        <w:t>M</w:t>
      </w:r>
      <w:r>
        <w:rPr>
          <w:b/>
          <w:bCs/>
          <w:spacing w:val="5"/>
          <w:kern w:val="1"/>
        </w:rPr>
        <w:t>ean Squared</w:t>
      </w:r>
      <w:r w:rsidR="00CE761F">
        <w:rPr>
          <w:b/>
          <w:bCs/>
          <w:spacing w:val="5"/>
          <w:kern w:val="1"/>
        </w:rPr>
        <w:t xml:space="preserve"> Logarithmic</w:t>
      </w:r>
      <w:r>
        <w:rPr>
          <w:b/>
          <w:bCs/>
          <w:spacing w:val="5"/>
          <w:kern w:val="1"/>
        </w:rPr>
        <w:t xml:space="preserve"> Error:</w:t>
      </w:r>
      <w:r>
        <w:rPr>
          <w:spacing w:val="5"/>
          <w:kern w:val="1"/>
        </w:rPr>
        <w:t xml:space="preserve"> </w:t>
      </w:r>
      <w:r w:rsidR="00CE761F">
        <w:rPr>
          <w:spacing w:val="5"/>
          <w:kern w:val="1"/>
        </w:rPr>
        <w:t>This metric determines the ratio between the actual and predicted values after applying the natural logarithm to each. Unlike the Mean Squared Error (MSE), it is useful for the time that the goal is to penalize underestimations more than overestimations and also deal with numbers near zero, since as part of scaling inputs and outputs, number</w:t>
      </w:r>
      <w:r w:rsidR="009B4C9A">
        <w:rPr>
          <w:spacing w:val="5"/>
          <w:kern w:val="1"/>
        </w:rPr>
        <w:t>s</w:t>
      </w:r>
      <w:r w:rsidR="00CE761F">
        <w:rPr>
          <w:spacing w:val="5"/>
          <w:kern w:val="1"/>
        </w:rPr>
        <w:t xml:space="preserve"> would be transformed. The range of this metric is between 0 and 1, w</w:t>
      </w:r>
      <w:r w:rsidR="009B4C9A">
        <w:rPr>
          <w:spacing w:val="5"/>
          <w:kern w:val="1"/>
        </w:rPr>
        <w:t>it</w:t>
      </w:r>
      <w:r w:rsidR="00CE761F">
        <w:rPr>
          <w:spacing w:val="5"/>
          <w:kern w:val="1"/>
        </w:rPr>
        <w:t>h 0 indicat</w:t>
      </w:r>
      <w:r w:rsidR="009B4C9A">
        <w:rPr>
          <w:spacing w:val="5"/>
          <w:kern w:val="1"/>
        </w:rPr>
        <w:t>ing</w:t>
      </w:r>
      <w:r w:rsidR="00CE761F">
        <w:rPr>
          <w:spacing w:val="5"/>
          <w:kern w:val="1"/>
        </w:rPr>
        <w:t xml:space="preserve"> the perfect predictions.</w:t>
      </w:r>
    </w:p>
    <w:p w14:paraId="57AF55EF" w14:textId="77777777" w:rsidR="000B47E3" w:rsidRPr="006D1D05" w:rsidRDefault="000B47E3" w:rsidP="00837AB9">
      <w:pPr>
        <w:pStyle w:val="ListParagraph"/>
        <w:widowControl w:val="0"/>
        <w:autoSpaceDE w:val="0"/>
        <w:autoSpaceDN w:val="0"/>
        <w:adjustRightInd w:val="0"/>
        <w:spacing w:before="120" w:line="226" w:lineRule="auto"/>
        <w:ind w:left="770"/>
        <w:jc w:val="both"/>
        <w:rPr>
          <w:spacing w:val="5"/>
          <w:kern w:val="1"/>
        </w:rPr>
      </w:pPr>
    </w:p>
    <w:tbl>
      <w:tblPr>
        <w:tblStyle w:val="TableGrid"/>
        <w:tblW w:w="4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4230"/>
        <w:gridCol w:w="500"/>
      </w:tblGrid>
      <w:tr w:rsidR="000534DE" w14:paraId="73791B83" w14:textId="77777777" w:rsidTr="000534DE">
        <w:tc>
          <w:tcPr>
            <w:tcW w:w="265" w:type="dxa"/>
          </w:tcPr>
          <w:p w14:paraId="3EC95F76" w14:textId="77777777" w:rsidR="000534DE" w:rsidRDefault="000534DE" w:rsidP="000534DE">
            <w:pPr>
              <w:widowControl w:val="0"/>
              <w:autoSpaceDE w:val="0"/>
              <w:autoSpaceDN w:val="0"/>
              <w:adjustRightInd w:val="0"/>
              <w:spacing w:before="120" w:line="226" w:lineRule="auto"/>
              <w:ind w:right="3"/>
              <w:jc w:val="both"/>
              <w:rPr>
                <w:spacing w:val="5"/>
                <w:kern w:val="1"/>
              </w:rPr>
            </w:pPr>
          </w:p>
        </w:tc>
        <w:tc>
          <w:tcPr>
            <w:tcW w:w="4230" w:type="dxa"/>
          </w:tcPr>
          <w:p w14:paraId="4E6005DC" w14:textId="6B194839" w:rsidR="000534DE" w:rsidRDefault="000534DE" w:rsidP="000534DE">
            <w:pPr>
              <w:widowControl w:val="0"/>
              <w:autoSpaceDE w:val="0"/>
              <w:autoSpaceDN w:val="0"/>
              <w:adjustRightInd w:val="0"/>
              <w:spacing w:line="226" w:lineRule="auto"/>
              <w:jc w:val="both"/>
              <w:rPr>
                <w:spacing w:val="5"/>
                <w:kern w:val="1"/>
              </w:rPr>
            </w:pPr>
            <m:oMathPara>
              <m:oMath>
                <m:r>
                  <w:rPr>
                    <w:rFonts w:ascii="Cambria Math" w:hAnsi="Cambria Math"/>
                    <w:spacing w:val="5"/>
                    <w:kern w:val="1"/>
                  </w:rPr>
                  <m:t xml:space="preserve">MSLE= </m:t>
                </m:r>
                <m:f>
                  <m:fPr>
                    <m:ctrlPr>
                      <w:rPr>
                        <w:rFonts w:ascii="Cambria Math" w:hAnsi="Cambria Math"/>
                        <w:i/>
                        <w:spacing w:val="5"/>
                        <w:kern w:val="1"/>
                      </w:rPr>
                    </m:ctrlPr>
                  </m:fPr>
                  <m:num>
                    <m:r>
                      <w:rPr>
                        <w:rFonts w:ascii="Cambria Math" w:hAnsi="Cambria Math"/>
                        <w:spacing w:val="5"/>
                        <w:kern w:val="1"/>
                      </w:rPr>
                      <m:t>1</m:t>
                    </m:r>
                  </m:num>
                  <m:den>
                    <m:r>
                      <w:rPr>
                        <w:rFonts w:ascii="Cambria Math" w:hAnsi="Cambria Math"/>
                        <w:spacing w:val="5"/>
                        <w:kern w:val="1"/>
                      </w:rPr>
                      <m:t>n</m:t>
                    </m:r>
                  </m:den>
                </m:f>
                <m:r>
                  <w:rPr>
                    <w:rFonts w:ascii="Cambria Math" w:hAnsi="Cambria Math"/>
                    <w:spacing w:val="5"/>
                    <w:kern w:val="1"/>
                  </w:rPr>
                  <m:t xml:space="preserve"> </m:t>
                </m:r>
                <m:nary>
                  <m:naryPr>
                    <m:chr m:val="∑"/>
                    <m:limLoc m:val="subSup"/>
                    <m:ctrlPr>
                      <w:rPr>
                        <w:rFonts w:ascii="Cambria Math" w:hAnsi="Cambria Math"/>
                        <w:i/>
                        <w:spacing w:val="5"/>
                        <w:kern w:val="1"/>
                      </w:rPr>
                    </m:ctrlPr>
                  </m:naryPr>
                  <m:sub>
                    <m:r>
                      <w:rPr>
                        <w:rFonts w:ascii="Cambria Math" w:hAnsi="Cambria Math"/>
                        <w:spacing w:val="5"/>
                        <w:kern w:val="1"/>
                      </w:rPr>
                      <m:t>i=1</m:t>
                    </m:r>
                  </m:sub>
                  <m:sup>
                    <m:r>
                      <w:rPr>
                        <w:rFonts w:ascii="Cambria Math" w:hAnsi="Cambria Math"/>
                        <w:spacing w:val="5"/>
                        <w:kern w:val="1"/>
                      </w:rPr>
                      <m:t>n</m:t>
                    </m:r>
                  </m:sup>
                  <m:e>
                    <m:sSup>
                      <m:sSupPr>
                        <m:ctrlPr>
                          <w:rPr>
                            <w:rFonts w:ascii="Cambria Math" w:hAnsi="Cambria Math"/>
                            <w:i/>
                            <w:spacing w:val="5"/>
                            <w:kern w:val="1"/>
                          </w:rPr>
                        </m:ctrlPr>
                      </m:sSupPr>
                      <m:e>
                        <m:r>
                          <w:rPr>
                            <w:rFonts w:ascii="Cambria Math" w:hAnsi="Cambria Math"/>
                            <w:spacing w:val="5"/>
                            <w:kern w:val="1"/>
                          </w:rPr>
                          <m:t>(</m:t>
                        </m:r>
                        <m:func>
                          <m:funcPr>
                            <m:ctrlPr>
                              <w:rPr>
                                <w:rFonts w:ascii="Cambria Math" w:hAnsi="Cambria Math"/>
                                <w:i/>
                                <w:spacing w:val="5"/>
                                <w:kern w:val="1"/>
                              </w:rPr>
                            </m:ctrlPr>
                          </m:funcPr>
                          <m:fName>
                            <m:r>
                              <m:rPr>
                                <m:sty m:val="p"/>
                              </m:rPr>
                              <w:rPr>
                                <w:rFonts w:ascii="Cambria Math" w:hAnsi="Cambria Math"/>
                                <w:spacing w:val="5"/>
                                <w:kern w:val="1"/>
                              </w:rPr>
                              <m:t>log</m:t>
                            </m:r>
                          </m:fName>
                          <m:e>
                            <m:d>
                              <m:dPr>
                                <m:ctrlPr>
                                  <w:rPr>
                                    <w:rFonts w:ascii="Cambria Math" w:hAnsi="Cambria Math"/>
                                    <w:i/>
                                    <w:spacing w:val="5"/>
                                    <w:kern w:val="1"/>
                                  </w:rPr>
                                </m:ctrlPr>
                              </m:dPr>
                              <m:e>
                                <m:r>
                                  <w:rPr>
                                    <w:rFonts w:ascii="Cambria Math" w:hAnsi="Cambria Math"/>
                                    <w:spacing w:val="5"/>
                                    <w:kern w:val="1"/>
                                  </w:rPr>
                                  <m:t>1+</m:t>
                                </m:r>
                                <m:sSub>
                                  <m:sSubPr>
                                    <m:ctrlPr>
                                      <w:rPr>
                                        <w:rFonts w:ascii="Cambria Math" w:hAnsi="Cambria Math"/>
                                        <w:i/>
                                        <w:spacing w:val="5"/>
                                        <w:kern w:val="1"/>
                                      </w:rPr>
                                    </m:ctrlPr>
                                  </m:sSubPr>
                                  <m:e>
                                    <m:r>
                                      <w:rPr>
                                        <w:rFonts w:ascii="Cambria Math" w:hAnsi="Cambria Math"/>
                                        <w:spacing w:val="5"/>
                                        <w:kern w:val="1"/>
                                      </w:rPr>
                                      <m:t>y</m:t>
                                    </m:r>
                                  </m:e>
                                  <m:sub>
                                    <m:r>
                                      <w:rPr>
                                        <w:rFonts w:ascii="Cambria Math" w:hAnsi="Cambria Math"/>
                                        <w:spacing w:val="5"/>
                                        <w:kern w:val="1"/>
                                      </w:rPr>
                                      <m:t>i</m:t>
                                    </m:r>
                                  </m:sub>
                                </m:sSub>
                              </m:e>
                            </m:d>
                          </m:e>
                        </m:func>
                        <m:r>
                          <w:rPr>
                            <w:rFonts w:ascii="Cambria Math" w:hAnsi="Cambria Math"/>
                            <w:spacing w:val="5"/>
                            <w:kern w:val="1"/>
                          </w:rPr>
                          <m:t>-</m:t>
                        </m:r>
                        <m:func>
                          <m:funcPr>
                            <m:ctrlPr>
                              <w:rPr>
                                <w:rFonts w:ascii="Cambria Math" w:hAnsi="Cambria Math"/>
                                <w:spacing w:val="5"/>
                                <w:kern w:val="1"/>
                              </w:rPr>
                            </m:ctrlPr>
                          </m:funcPr>
                          <m:fName>
                            <m:r>
                              <m:rPr>
                                <m:sty m:val="p"/>
                              </m:rPr>
                              <w:rPr>
                                <w:rFonts w:ascii="Cambria Math" w:hAnsi="Cambria Math"/>
                                <w:spacing w:val="5"/>
                                <w:kern w:val="1"/>
                              </w:rPr>
                              <m:t>log</m:t>
                            </m:r>
                            <m:ctrlPr>
                              <w:rPr>
                                <w:rFonts w:ascii="Cambria Math" w:hAnsi="Cambria Math"/>
                                <w:i/>
                                <w:spacing w:val="5"/>
                                <w:kern w:val="1"/>
                              </w:rPr>
                            </m:ctrlPr>
                          </m:fName>
                          <m:e>
                            <m:d>
                              <m:dPr>
                                <m:ctrlPr>
                                  <w:rPr>
                                    <w:rFonts w:ascii="Cambria Math" w:hAnsi="Cambria Math"/>
                                    <w:i/>
                                    <w:spacing w:val="5"/>
                                    <w:kern w:val="1"/>
                                  </w:rPr>
                                </m:ctrlPr>
                              </m:dPr>
                              <m:e>
                                <m:r>
                                  <w:rPr>
                                    <w:rFonts w:ascii="Cambria Math" w:hAnsi="Cambria Math"/>
                                    <w:spacing w:val="5"/>
                                    <w:kern w:val="1"/>
                                  </w:rPr>
                                  <m:t xml:space="preserve">1+ </m:t>
                                </m:r>
                                <m:sSub>
                                  <m:sSubPr>
                                    <m:ctrlPr>
                                      <w:rPr>
                                        <w:rFonts w:ascii="Cambria Math" w:hAnsi="Cambria Math"/>
                                        <w:i/>
                                        <w:spacing w:val="5"/>
                                        <w:kern w:val="1"/>
                                      </w:rPr>
                                    </m:ctrlPr>
                                  </m:sSubPr>
                                  <m:e>
                                    <m:acc>
                                      <m:accPr>
                                        <m:chr m:val="̅"/>
                                        <m:ctrlPr>
                                          <w:rPr>
                                            <w:rFonts w:ascii="Cambria Math" w:hAnsi="Cambria Math"/>
                                            <w:i/>
                                            <w:spacing w:val="5"/>
                                            <w:kern w:val="1"/>
                                          </w:rPr>
                                        </m:ctrlPr>
                                      </m:accPr>
                                      <m:e>
                                        <m:r>
                                          <w:rPr>
                                            <w:rFonts w:ascii="Cambria Math" w:hAnsi="Cambria Math"/>
                                            <w:spacing w:val="5"/>
                                            <w:kern w:val="1"/>
                                          </w:rPr>
                                          <m:t>y</m:t>
                                        </m:r>
                                      </m:e>
                                    </m:acc>
                                  </m:e>
                                  <m:sub>
                                    <m:r>
                                      <w:rPr>
                                        <w:rFonts w:ascii="Cambria Math" w:hAnsi="Cambria Math"/>
                                        <w:spacing w:val="5"/>
                                        <w:kern w:val="1"/>
                                      </w:rPr>
                                      <m:t>i</m:t>
                                    </m:r>
                                  </m:sub>
                                </m:sSub>
                              </m:e>
                            </m:d>
                          </m:e>
                        </m:func>
                        <m:r>
                          <w:rPr>
                            <w:rFonts w:ascii="Cambria Math" w:hAnsi="Cambria Math"/>
                            <w:spacing w:val="5"/>
                            <w:kern w:val="1"/>
                          </w:rPr>
                          <m:t>)</m:t>
                        </m:r>
                      </m:e>
                      <m:sup>
                        <m:r>
                          <w:rPr>
                            <w:rFonts w:ascii="Cambria Math" w:hAnsi="Cambria Math"/>
                            <w:spacing w:val="5"/>
                            <w:kern w:val="1"/>
                          </w:rPr>
                          <m:t>2</m:t>
                        </m:r>
                      </m:sup>
                    </m:sSup>
                  </m:e>
                </m:nary>
              </m:oMath>
            </m:oMathPara>
          </w:p>
        </w:tc>
        <w:tc>
          <w:tcPr>
            <w:tcW w:w="500" w:type="dxa"/>
          </w:tcPr>
          <w:p w14:paraId="54CDBA83" w14:textId="77777777" w:rsidR="000534DE" w:rsidRDefault="000534DE" w:rsidP="000534DE">
            <w:pPr>
              <w:widowControl w:val="0"/>
              <w:autoSpaceDE w:val="0"/>
              <w:autoSpaceDN w:val="0"/>
              <w:adjustRightInd w:val="0"/>
              <w:spacing w:before="120" w:line="226" w:lineRule="auto"/>
              <w:jc w:val="right"/>
              <w:rPr>
                <w:spacing w:val="5"/>
                <w:kern w:val="1"/>
              </w:rPr>
            </w:pPr>
            <w:r>
              <w:t>(3)</w:t>
            </w:r>
          </w:p>
        </w:tc>
      </w:tr>
      <w:tr w:rsidR="000B47E3" w14:paraId="47B2BBD0" w14:textId="77777777" w:rsidTr="000534DE">
        <w:tc>
          <w:tcPr>
            <w:tcW w:w="265" w:type="dxa"/>
          </w:tcPr>
          <w:p w14:paraId="6A7B3D08" w14:textId="77777777" w:rsidR="000B47E3" w:rsidRDefault="000B47E3" w:rsidP="000534DE">
            <w:pPr>
              <w:widowControl w:val="0"/>
              <w:autoSpaceDE w:val="0"/>
              <w:autoSpaceDN w:val="0"/>
              <w:adjustRightInd w:val="0"/>
              <w:spacing w:before="120" w:line="226" w:lineRule="auto"/>
              <w:ind w:right="3"/>
              <w:jc w:val="both"/>
              <w:rPr>
                <w:spacing w:val="5"/>
                <w:kern w:val="1"/>
              </w:rPr>
            </w:pPr>
          </w:p>
        </w:tc>
        <w:tc>
          <w:tcPr>
            <w:tcW w:w="4230" w:type="dxa"/>
          </w:tcPr>
          <w:p w14:paraId="14E142C9" w14:textId="77777777" w:rsidR="000B47E3" w:rsidRDefault="000B47E3" w:rsidP="000534DE">
            <w:pPr>
              <w:widowControl w:val="0"/>
              <w:autoSpaceDE w:val="0"/>
              <w:autoSpaceDN w:val="0"/>
              <w:adjustRightInd w:val="0"/>
              <w:spacing w:line="226" w:lineRule="auto"/>
              <w:jc w:val="both"/>
              <w:rPr>
                <w:spacing w:val="5"/>
                <w:kern w:val="1"/>
              </w:rPr>
            </w:pPr>
          </w:p>
        </w:tc>
        <w:tc>
          <w:tcPr>
            <w:tcW w:w="500" w:type="dxa"/>
          </w:tcPr>
          <w:p w14:paraId="20CBDB8F" w14:textId="77777777" w:rsidR="000B47E3" w:rsidRDefault="000B47E3" w:rsidP="000534DE">
            <w:pPr>
              <w:widowControl w:val="0"/>
              <w:autoSpaceDE w:val="0"/>
              <w:autoSpaceDN w:val="0"/>
              <w:adjustRightInd w:val="0"/>
              <w:spacing w:before="120" w:line="226" w:lineRule="auto"/>
              <w:jc w:val="right"/>
            </w:pPr>
          </w:p>
        </w:tc>
      </w:tr>
    </w:tbl>
    <w:p w14:paraId="08216E53" w14:textId="4AA63336" w:rsidR="000534DE" w:rsidRDefault="000534DE" w:rsidP="000534DE">
      <w:pPr>
        <w:pStyle w:val="ListParagraph"/>
        <w:widowControl w:val="0"/>
        <w:numPr>
          <w:ilvl w:val="0"/>
          <w:numId w:val="27"/>
        </w:numPr>
        <w:autoSpaceDE w:val="0"/>
        <w:autoSpaceDN w:val="0"/>
        <w:adjustRightInd w:val="0"/>
        <w:spacing w:before="120" w:line="226" w:lineRule="auto"/>
        <w:rPr>
          <w:spacing w:val="5"/>
          <w:kern w:val="1"/>
        </w:rPr>
      </w:pPr>
      <w:r>
        <w:rPr>
          <w:b/>
          <w:bCs/>
          <w:spacing w:val="5"/>
          <w:kern w:val="1"/>
        </w:rPr>
        <w:t xml:space="preserve">R – </w:t>
      </w:r>
      <w:r w:rsidR="009B4C9A">
        <w:rPr>
          <w:b/>
          <w:bCs/>
          <w:spacing w:val="5"/>
          <w:kern w:val="1"/>
        </w:rPr>
        <w:t>R-</w:t>
      </w:r>
      <w:r>
        <w:rPr>
          <w:b/>
          <w:bCs/>
          <w:spacing w:val="5"/>
          <w:kern w:val="1"/>
        </w:rPr>
        <w:t xml:space="preserve">squared (Coefficient of Determination): </w:t>
      </w:r>
      <w:r>
        <w:rPr>
          <w:spacing w:val="5"/>
          <w:kern w:val="1"/>
        </w:rPr>
        <w:t>R</w:t>
      </w:r>
      <w:r w:rsidRPr="00974847">
        <w:rPr>
          <w:spacing w:val="5"/>
          <w:kern w:val="1"/>
          <w:vertAlign w:val="superscript"/>
        </w:rPr>
        <w:t>2</w:t>
      </w:r>
      <w:r>
        <w:rPr>
          <w:spacing w:val="5"/>
          <w:kern w:val="1"/>
          <w:vertAlign w:val="superscript"/>
        </w:rPr>
        <w:t xml:space="preserve"> </w:t>
      </w:r>
      <w:r>
        <w:rPr>
          <w:spacing w:val="5"/>
          <w:kern w:val="1"/>
        </w:rPr>
        <w:t xml:space="preserve">is another statistical metric that provides the quality of fit of a </w:t>
      </w:r>
      <w:r>
        <w:rPr>
          <w:spacing w:val="5"/>
          <w:kern w:val="1"/>
        </w:rPr>
        <w:lastRenderedPageBreak/>
        <w:t xml:space="preserve">regression model. It quantifies the proportion of variance in the output variable which can be explained by using input features. This metric represents the power of </w:t>
      </w:r>
      <w:r w:rsidR="009B4C9A">
        <w:rPr>
          <w:spacing w:val="5"/>
          <w:kern w:val="1"/>
        </w:rPr>
        <w:t xml:space="preserve">the </w:t>
      </w:r>
      <w:r>
        <w:rPr>
          <w:spacing w:val="5"/>
          <w:kern w:val="1"/>
        </w:rPr>
        <w:t>model in the attribute of capturing the variance in the target variable. The range is like the MSE, from 0 to 1 and the formula is at Equation (2). SSR is the sum of squared residuals, and SST is the total sum of squares.</w:t>
      </w:r>
    </w:p>
    <w:p w14:paraId="49836AD6" w14:textId="77777777" w:rsidR="000B47E3" w:rsidRPr="004B5815" w:rsidRDefault="000B47E3" w:rsidP="000B47E3">
      <w:pPr>
        <w:pStyle w:val="ListParagraph"/>
        <w:widowControl w:val="0"/>
        <w:autoSpaceDE w:val="0"/>
        <w:autoSpaceDN w:val="0"/>
        <w:adjustRightInd w:val="0"/>
        <w:spacing w:before="120" w:line="226" w:lineRule="auto"/>
        <w:ind w:left="770"/>
        <w:rPr>
          <w:spacing w:val="5"/>
          <w:kern w:val="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
        <w:gridCol w:w="4007"/>
        <w:gridCol w:w="453"/>
      </w:tblGrid>
      <w:tr w:rsidR="000534DE" w14:paraId="6ABFEEA8" w14:textId="77777777" w:rsidTr="001E5DB6">
        <w:tc>
          <w:tcPr>
            <w:tcW w:w="241" w:type="dxa"/>
          </w:tcPr>
          <w:p w14:paraId="059211D7" w14:textId="77777777" w:rsidR="000534DE" w:rsidRDefault="000534DE" w:rsidP="0023568A">
            <w:pPr>
              <w:widowControl w:val="0"/>
              <w:autoSpaceDE w:val="0"/>
              <w:autoSpaceDN w:val="0"/>
              <w:adjustRightInd w:val="0"/>
              <w:spacing w:before="120" w:line="226" w:lineRule="auto"/>
              <w:jc w:val="both"/>
              <w:rPr>
                <w:spacing w:val="5"/>
                <w:kern w:val="1"/>
              </w:rPr>
            </w:pPr>
          </w:p>
        </w:tc>
        <w:tc>
          <w:tcPr>
            <w:tcW w:w="4172" w:type="dxa"/>
          </w:tcPr>
          <w:p w14:paraId="4FC3149C" w14:textId="77777777" w:rsidR="000534DE" w:rsidRDefault="00000000" w:rsidP="0023568A">
            <w:pPr>
              <w:widowControl w:val="0"/>
              <w:autoSpaceDE w:val="0"/>
              <w:autoSpaceDN w:val="0"/>
              <w:adjustRightInd w:val="0"/>
              <w:spacing w:line="226" w:lineRule="auto"/>
              <w:jc w:val="both"/>
              <w:rPr>
                <w:spacing w:val="5"/>
                <w:kern w:val="1"/>
              </w:rPr>
            </w:pPr>
            <m:oMathPara>
              <m:oMath>
                <m:sSup>
                  <m:sSupPr>
                    <m:ctrlPr>
                      <w:rPr>
                        <w:rFonts w:ascii="Cambria Math" w:hAnsi="Cambria Math"/>
                        <w:i/>
                        <w:spacing w:val="5"/>
                        <w:kern w:val="1"/>
                      </w:rPr>
                    </m:ctrlPr>
                  </m:sSupPr>
                  <m:e>
                    <m:r>
                      <w:rPr>
                        <w:rFonts w:ascii="Cambria Math" w:hAnsi="Cambria Math"/>
                        <w:spacing w:val="5"/>
                        <w:kern w:val="1"/>
                      </w:rPr>
                      <m:t>R</m:t>
                    </m:r>
                  </m:e>
                  <m:sup>
                    <m:r>
                      <w:rPr>
                        <w:rFonts w:ascii="Cambria Math" w:hAnsi="Cambria Math"/>
                        <w:spacing w:val="5"/>
                        <w:kern w:val="1"/>
                      </w:rPr>
                      <m:t>2</m:t>
                    </m:r>
                  </m:sup>
                </m:sSup>
                <m:r>
                  <w:rPr>
                    <w:rFonts w:ascii="Cambria Math" w:hAnsi="Cambria Math"/>
                    <w:spacing w:val="5"/>
                    <w:kern w:val="1"/>
                  </w:rPr>
                  <m:t xml:space="preserve">=1- </m:t>
                </m:r>
                <m:f>
                  <m:fPr>
                    <m:ctrlPr>
                      <w:rPr>
                        <w:rFonts w:ascii="Cambria Math" w:hAnsi="Cambria Math"/>
                        <w:i/>
                        <w:spacing w:val="5"/>
                        <w:kern w:val="1"/>
                      </w:rPr>
                    </m:ctrlPr>
                  </m:fPr>
                  <m:num>
                    <m:r>
                      <w:rPr>
                        <w:rFonts w:ascii="Cambria Math" w:hAnsi="Cambria Math"/>
                        <w:spacing w:val="5"/>
                        <w:kern w:val="1"/>
                      </w:rPr>
                      <m:t>SSR</m:t>
                    </m:r>
                  </m:num>
                  <m:den>
                    <m:r>
                      <w:rPr>
                        <w:rFonts w:ascii="Cambria Math" w:hAnsi="Cambria Math"/>
                        <w:spacing w:val="5"/>
                        <w:kern w:val="1"/>
                      </w:rPr>
                      <m:t>SST</m:t>
                    </m:r>
                  </m:den>
                </m:f>
                <m:r>
                  <w:rPr>
                    <w:rFonts w:ascii="Cambria Math" w:hAnsi="Cambria Math"/>
                    <w:spacing w:val="5"/>
                    <w:kern w:val="1"/>
                  </w:rPr>
                  <m:t xml:space="preserve">=  1- </m:t>
                </m:r>
                <m:f>
                  <m:fPr>
                    <m:ctrlPr>
                      <w:rPr>
                        <w:rFonts w:ascii="Cambria Math" w:hAnsi="Cambria Math"/>
                        <w:i/>
                        <w:spacing w:val="5"/>
                        <w:kern w:val="1"/>
                      </w:rPr>
                    </m:ctrlPr>
                  </m:fPr>
                  <m:num>
                    <m:nary>
                      <m:naryPr>
                        <m:chr m:val="∑"/>
                        <m:limLoc m:val="subSup"/>
                        <m:ctrlPr>
                          <w:rPr>
                            <w:rFonts w:ascii="Cambria Math" w:hAnsi="Cambria Math"/>
                            <w:i/>
                            <w:spacing w:val="5"/>
                            <w:kern w:val="1"/>
                          </w:rPr>
                        </m:ctrlPr>
                      </m:naryPr>
                      <m:sub>
                        <m:r>
                          <w:rPr>
                            <w:rFonts w:ascii="Cambria Math" w:hAnsi="Cambria Math"/>
                            <w:spacing w:val="5"/>
                            <w:kern w:val="1"/>
                          </w:rPr>
                          <m:t>i=1</m:t>
                        </m:r>
                      </m:sub>
                      <m:sup>
                        <m:r>
                          <w:rPr>
                            <w:rFonts w:ascii="Cambria Math" w:hAnsi="Cambria Math"/>
                            <w:spacing w:val="5"/>
                            <w:kern w:val="1"/>
                          </w:rPr>
                          <m:t>n</m:t>
                        </m:r>
                      </m:sup>
                      <m:e>
                        <m:sSup>
                          <m:sSupPr>
                            <m:ctrlPr>
                              <w:rPr>
                                <w:rFonts w:ascii="Cambria Math" w:hAnsi="Cambria Math"/>
                                <w:i/>
                                <w:spacing w:val="5"/>
                                <w:kern w:val="1"/>
                              </w:rPr>
                            </m:ctrlPr>
                          </m:sSupPr>
                          <m:e>
                            <m:r>
                              <w:rPr>
                                <w:rFonts w:ascii="Cambria Math" w:hAnsi="Cambria Math"/>
                                <w:spacing w:val="5"/>
                                <w:kern w:val="1"/>
                              </w:rPr>
                              <m:t>(</m:t>
                            </m:r>
                            <m:sSub>
                              <m:sSubPr>
                                <m:ctrlPr>
                                  <w:rPr>
                                    <w:rFonts w:ascii="Cambria Math" w:hAnsi="Cambria Math"/>
                                    <w:i/>
                                    <w:spacing w:val="5"/>
                                    <w:kern w:val="1"/>
                                  </w:rPr>
                                </m:ctrlPr>
                              </m:sSubPr>
                              <m:e>
                                <m:r>
                                  <w:rPr>
                                    <w:rFonts w:ascii="Cambria Math" w:hAnsi="Cambria Math"/>
                                    <w:spacing w:val="5"/>
                                    <w:kern w:val="1"/>
                                  </w:rPr>
                                  <m:t>y</m:t>
                                </m:r>
                              </m:e>
                              <m:sub>
                                <m:r>
                                  <w:rPr>
                                    <w:rFonts w:ascii="Cambria Math" w:hAnsi="Cambria Math"/>
                                    <w:spacing w:val="5"/>
                                    <w:kern w:val="1"/>
                                  </w:rPr>
                                  <m:t>i</m:t>
                                </m:r>
                              </m:sub>
                            </m:sSub>
                            <m:r>
                              <w:rPr>
                                <w:rFonts w:ascii="Cambria Math" w:hAnsi="Cambria Math"/>
                                <w:spacing w:val="5"/>
                                <w:kern w:val="1"/>
                              </w:rPr>
                              <m:t xml:space="preserve">- </m:t>
                            </m:r>
                            <m:sSub>
                              <m:sSubPr>
                                <m:ctrlPr>
                                  <w:rPr>
                                    <w:rFonts w:ascii="Cambria Math" w:hAnsi="Cambria Math"/>
                                    <w:i/>
                                    <w:spacing w:val="5"/>
                                    <w:kern w:val="1"/>
                                  </w:rPr>
                                </m:ctrlPr>
                              </m:sSubPr>
                              <m:e>
                                <m:r>
                                  <w:rPr>
                                    <w:rFonts w:ascii="Cambria Math" w:hAnsi="Cambria Math"/>
                                    <w:spacing w:val="5"/>
                                    <w:kern w:val="1"/>
                                  </w:rPr>
                                  <m:t>ŷ</m:t>
                                </m:r>
                              </m:e>
                              <m:sub>
                                <m:r>
                                  <w:rPr>
                                    <w:rFonts w:ascii="Cambria Math" w:hAnsi="Cambria Math"/>
                                    <w:spacing w:val="5"/>
                                    <w:kern w:val="1"/>
                                  </w:rPr>
                                  <m:t>i</m:t>
                                </m:r>
                              </m:sub>
                            </m:sSub>
                            <m:r>
                              <w:rPr>
                                <w:rFonts w:ascii="Cambria Math" w:hAnsi="Cambria Math"/>
                                <w:spacing w:val="5"/>
                                <w:kern w:val="1"/>
                              </w:rPr>
                              <m:t>)</m:t>
                            </m:r>
                          </m:e>
                          <m:sup>
                            <m:r>
                              <w:rPr>
                                <w:rFonts w:ascii="Cambria Math" w:hAnsi="Cambria Math"/>
                                <w:spacing w:val="5"/>
                                <w:kern w:val="1"/>
                              </w:rPr>
                              <m:t>2</m:t>
                            </m:r>
                          </m:sup>
                        </m:sSup>
                      </m:e>
                    </m:nary>
                  </m:num>
                  <m:den>
                    <m:nary>
                      <m:naryPr>
                        <m:chr m:val="∑"/>
                        <m:limLoc m:val="subSup"/>
                        <m:ctrlPr>
                          <w:rPr>
                            <w:rFonts w:ascii="Cambria Math" w:hAnsi="Cambria Math"/>
                            <w:i/>
                            <w:spacing w:val="5"/>
                            <w:kern w:val="1"/>
                          </w:rPr>
                        </m:ctrlPr>
                      </m:naryPr>
                      <m:sub>
                        <m:r>
                          <w:rPr>
                            <w:rFonts w:ascii="Cambria Math" w:hAnsi="Cambria Math"/>
                            <w:spacing w:val="5"/>
                            <w:kern w:val="1"/>
                          </w:rPr>
                          <m:t>i=1</m:t>
                        </m:r>
                      </m:sub>
                      <m:sup>
                        <m:r>
                          <w:rPr>
                            <w:rFonts w:ascii="Cambria Math" w:hAnsi="Cambria Math"/>
                            <w:spacing w:val="5"/>
                            <w:kern w:val="1"/>
                          </w:rPr>
                          <m:t>n</m:t>
                        </m:r>
                      </m:sup>
                      <m:e>
                        <m:sSup>
                          <m:sSupPr>
                            <m:ctrlPr>
                              <w:rPr>
                                <w:rFonts w:ascii="Cambria Math" w:hAnsi="Cambria Math"/>
                                <w:i/>
                                <w:spacing w:val="5"/>
                                <w:kern w:val="1"/>
                              </w:rPr>
                            </m:ctrlPr>
                          </m:sSupPr>
                          <m:e>
                            <m:r>
                              <w:rPr>
                                <w:rFonts w:ascii="Cambria Math" w:hAnsi="Cambria Math"/>
                                <w:spacing w:val="5"/>
                                <w:kern w:val="1"/>
                              </w:rPr>
                              <m:t>(</m:t>
                            </m:r>
                            <m:sSub>
                              <m:sSubPr>
                                <m:ctrlPr>
                                  <w:rPr>
                                    <w:rFonts w:ascii="Cambria Math" w:hAnsi="Cambria Math"/>
                                    <w:i/>
                                    <w:spacing w:val="5"/>
                                    <w:kern w:val="1"/>
                                  </w:rPr>
                                </m:ctrlPr>
                              </m:sSubPr>
                              <m:e>
                                <m:r>
                                  <w:rPr>
                                    <w:rFonts w:ascii="Cambria Math" w:hAnsi="Cambria Math"/>
                                    <w:spacing w:val="5"/>
                                    <w:kern w:val="1"/>
                                  </w:rPr>
                                  <m:t>y</m:t>
                                </m:r>
                              </m:e>
                              <m:sub>
                                <m:r>
                                  <w:rPr>
                                    <w:rFonts w:ascii="Cambria Math" w:hAnsi="Cambria Math"/>
                                    <w:spacing w:val="5"/>
                                    <w:kern w:val="1"/>
                                  </w:rPr>
                                  <m:t>i</m:t>
                                </m:r>
                              </m:sub>
                            </m:sSub>
                            <m:r>
                              <w:rPr>
                                <w:rFonts w:ascii="Cambria Math" w:hAnsi="Cambria Math"/>
                                <w:spacing w:val="5"/>
                                <w:kern w:val="1"/>
                              </w:rPr>
                              <m:t xml:space="preserve">- </m:t>
                            </m:r>
                            <m:acc>
                              <m:accPr>
                                <m:chr m:val="̅"/>
                                <m:ctrlPr>
                                  <w:rPr>
                                    <w:rFonts w:ascii="Cambria Math" w:hAnsi="Cambria Math"/>
                                    <w:i/>
                                    <w:spacing w:val="5"/>
                                    <w:kern w:val="1"/>
                                  </w:rPr>
                                </m:ctrlPr>
                              </m:accPr>
                              <m:e>
                                <m:r>
                                  <w:rPr>
                                    <w:rFonts w:ascii="Cambria Math" w:hAnsi="Cambria Math"/>
                                    <w:spacing w:val="5"/>
                                    <w:kern w:val="1"/>
                                  </w:rPr>
                                  <m:t>y</m:t>
                                </m:r>
                              </m:e>
                            </m:acc>
                            <m:r>
                              <w:rPr>
                                <w:rFonts w:ascii="Cambria Math" w:hAnsi="Cambria Math"/>
                                <w:spacing w:val="5"/>
                                <w:kern w:val="1"/>
                              </w:rPr>
                              <m:t>)</m:t>
                            </m:r>
                          </m:e>
                          <m:sup>
                            <m:r>
                              <w:rPr>
                                <w:rFonts w:ascii="Cambria Math" w:hAnsi="Cambria Math"/>
                                <w:spacing w:val="5"/>
                                <w:kern w:val="1"/>
                              </w:rPr>
                              <m:t>2</m:t>
                            </m:r>
                          </m:sup>
                        </m:sSup>
                      </m:e>
                    </m:nary>
                  </m:den>
                </m:f>
              </m:oMath>
            </m:oMathPara>
          </w:p>
        </w:tc>
        <w:tc>
          <w:tcPr>
            <w:tcW w:w="453" w:type="dxa"/>
          </w:tcPr>
          <w:p w14:paraId="4E334D66" w14:textId="77777777" w:rsidR="000534DE" w:rsidRDefault="000534DE" w:rsidP="0023568A">
            <w:pPr>
              <w:widowControl w:val="0"/>
              <w:autoSpaceDE w:val="0"/>
              <w:autoSpaceDN w:val="0"/>
              <w:adjustRightInd w:val="0"/>
              <w:spacing w:before="120" w:line="226" w:lineRule="auto"/>
              <w:jc w:val="right"/>
            </w:pPr>
            <w:r>
              <w:t>(4)</w:t>
            </w:r>
          </w:p>
          <w:p w14:paraId="5C687CC8" w14:textId="77777777" w:rsidR="001E5DB6" w:rsidRDefault="001E5DB6" w:rsidP="0023568A">
            <w:pPr>
              <w:widowControl w:val="0"/>
              <w:autoSpaceDE w:val="0"/>
              <w:autoSpaceDN w:val="0"/>
              <w:adjustRightInd w:val="0"/>
              <w:spacing w:before="120" w:line="226" w:lineRule="auto"/>
              <w:jc w:val="right"/>
              <w:rPr>
                <w:spacing w:val="5"/>
                <w:kern w:val="1"/>
              </w:rPr>
            </w:pPr>
          </w:p>
          <w:p w14:paraId="09FA84A9" w14:textId="77777777" w:rsidR="001E5DB6" w:rsidRDefault="001E5DB6" w:rsidP="0023568A">
            <w:pPr>
              <w:widowControl w:val="0"/>
              <w:autoSpaceDE w:val="0"/>
              <w:autoSpaceDN w:val="0"/>
              <w:adjustRightInd w:val="0"/>
              <w:spacing w:before="120" w:line="226" w:lineRule="auto"/>
              <w:jc w:val="right"/>
              <w:rPr>
                <w:spacing w:val="5"/>
                <w:kern w:val="1"/>
              </w:rPr>
            </w:pPr>
          </w:p>
        </w:tc>
      </w:tr>
    </w:tbl>
    <w:p w14:paraId="17238EF3" w14:textId="339C7F19" w:rsidR="00CC5F13" w:rsidRPr="00CC5F13" w:rsidRDefault="001E5DB6" w:rsidP="00F21BAB">
      <w:pPr>
        <w:pStyle w:val="ListParagraph"/>
        <w:numPr>
          <w:ilvl w:val="0"/>
          <w:numId w:val="27"/>
        </w:numPr>
        <w:jc w:val="both"/>
        <w:rPr>
          <w:b/>
          <w:bCs/>
        </w:rPr>
      </w:pPr>
      <w:r w:rsidRPr="001E5DB6">
        <w:rPr>
          <w:b/>
          <w:bCs/>
          <w:spacing w:val="5"/>
          <w:kern w:val="1"/>
        </w:rPr>
        <w:t>K-fold cross-validation</w:t>
      </w:r>
      <w:r>
        <w:rPr>
          <w:b/>
          <w:bCs/>
          <w:spacing w:val="5"/>
          <w:kern w:val="1"/>
        </w:rPr>
        <w:t xml:space="preserve">: </w:t>
      </w:r>
      <w:r>
        <w:rPr>
          <w:spacing w:val="5"/>
          <w:kern w:val="1"/>
        </w:rPr>
        <w:t xml:space="preserve">This is a </w:t>
      </w:r>
      <w:r w:rsidR="00CC5F13">
        <w:rPr>
          <w:spacing w:val="5"/>
          <w:kern w:val="1"/>
        </w:rPr>
        <w:t>statistical</w:t>
      </w:r>
      <w:r>
        <w:rPr>
          <w:spacing w:val="5"/>
          <w:kern w:val="1"/>
        </w:rPr>
        <w:t xml:space="preserve"> method used to evaluate the skill of ML models. It involves partitioning the original dataset into ‘K’ equal subsets, using one subset for validation while the remaining ‘K-1’ subsets are used for training, and repeating the process for ‘K’ times with each subset serving as the validation once. </w:t>
      </w:r>
      <w:r w:rsidR="009B4C9A">
        <w:rPr>
          <w:spacing w:val="5"/>
          <w:kern w:val="1"/>
        </w:rPr>
        <w:t>In</w:t>
      </w:r>
      <w:r w:rsidR="00CC5F13">
        <w:rPr>
          <w:spacing w:val="5"/>
          <w:kern w:val="1"/>
        </w:rPr>
        <w:t xml:space="preserve"> the end, the </w:t>
      </w:r>
      <w:r w:rsidR="0056088B">
        <w:rPr>
          <w:spacing w:val="5"/>
          <w:kern w:val="1"/>
        </w:rPr>
        <w:t>means</w:t>
      </w:r>
      <w:r w:rsidR="00CC5F13">
        <w:rPr>
          <w:spacing w:val="5"/>
          <w:kern w:val="1"/>
        </w:rPr>
        <w:t xml:space="preserve"> of overall performance would be considered as the final evaluation</w:t>
      </w:r>
      <w:r w:rsidR="007A1777">
        <w:rPr>
          <w:spacing w:val="5"/>
          <w:kern w:val="1"/>
        </w:rPr>
        <w:fldChar w:fldCharType="begin"/>
      </w:r>
      <w:r w:rsidR="00F21BAB">
        <w:rPr>
          <w:spacing w:val="5"/>
          <w:kern w:val="1"/>
        </w:rPr>
        <w:instrText xml:space="preserve"> ADDIN ZOTERO_ITEM CSL_CITATION {"citationID":"G6gCZNfs","properties":{"formattedCitation":"[18]","plainCitation":"[18]","noteIndex":0},"citationItems":[{"id":421,"uris":["http://zotero.org/users/9870935/items/UEVZYRL5"],"itemData":{"id":421,"type":"article-journal","container-title":"Journal of Nonparametric Statistics","DOI":"10.1080/10485252.2015.1010532","ISSN":"1048-5252, 1029-0311","issue":"2","journalAbbreviation":"Journal of Nonparametric Statistics","language":"en","page":"167-179","source":"DOI.org (Crossref)","title":"A &lt;i&gt;K&lt;/i&gt; -fold averaging cross-validation procedure","volume":"27","author":[{"family":"Jung","given":"Yoonsuh"},{"family":"Hu","given":"Jianhua"}],"issued":{"date-parts":[["2015",4,3]]}}}],"schema":"https://github.com/citation-style-language/schema/raw/master/csl-citation.json"} </w:instrText>
      </w:r>
      <w:r w:rsidR="007A1777">
        <w:rPr>
          <w:spacing w:val="5"/>
          <w:kern w:val="1"/>
        </w:rPr>
        <w:fldChar w:fldCharType="separate"/>
      </w:r>
      <w:r w:rsidR="00F21BAB" w:rsidRPr="00F21BAB">
        <w:t>[18]</w:t>
      </w:r>
      <w:r w:rsidR="007A1777">
        <w:rPr>
          <w:spacing w:val="5"/>
          <w:kern w:val="1"/>
        </w:rPr>
        <w:fldChar w:fldCharType="end"/>
      </w:r>
      <w:r w:rsidR="00CC5F13">
        <w:rPr>
          <w:spacing w:val="5"/>
          <w:kern w:val="1"/>
        </w:rPr>
        <w:t>.</w:t>
      </w:r>
    </w:p>
    <w:p w14:paraId="617C4431" w14:textId="129271C7" w:rsidR="000534DE" w:rsidRPr="00CC5F13" w:rsidRDefault="00CC5F13" w:rsidP="00CC5F13">
      <w:pPr>
        <w:ind w:left="410"/>
        <w:jc w:val="both"/>
        <w:rPr>
          <w:b/>
          <w:bCs/>
        </w:rPr>
      </w:pPr>
      <w:r w:rsidRPr="00CC5F13">
        <w:rPr>
          <w:spacing w:val="5"/>
          <w:kern w:val="1"/>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
        <w:gridCol w:w="4007"/>
        <w:gridCol w:w="453"/>
      </w:tblGrid>
      <w:tr w:rsidR="00CC5F13" w14:paraId="4A34B416" w14:textId="77777777" w:rsidTr="00F23C35">
        <w:tc>
          <w:tcPr>
            <w:tcW w:w="241" w:type="dxa"/>
          </w:tcPr>
          <w:p w14:paraId="73F7ABEC" w14:textId="77777777" w:rsidR="00CC5F13" w:rsidRDefault="00CC5F13" w:rsidP="00F23C35">
            <w:pPr>
              <w:widowControl w:val="0"/>
              <w:autoSpaceDE w:val="0"/>
              <w:autoSpaceDN w:val="0"/>
              <w:adjustRightInd w:val="0"/>
              <w:spacing w:before="120" w:line="226" w:lineRule="auto"/>
              <w:jc w:val="both"/>
              <w:rPr>
                <w:spacing w:val="5"/>
                <w:kern w:val="1"/>
              </w:rPr>
            </w:pPr>
          </w:p>
        </w:tc>
        <w:tc>
          <w:tcPr>
            <w:tcW w:w="4172" w:type="dxa"/>
          </w:tcPr>
          <w:p w14:paraId="7F8B7C8F" w14:textId="503A1AB8" w:rsidR="00CC5F13" w:rsidRDefault="00CC5F13" w:rsidP="00F23C35">
            <w:pPr>
              <w:widowControl w:val="0"/>
              <w:autoSpaceDE w:val="0"/>
              <w:autoSpaceDN w:val="0"/>
              <w:adjustRightInd w:val="0"/>
              <w:spacing w:line="226" w:lineRule="auto"/>
              <w:jc w:val="both"/>
              <w:rPr>
                <w:spacing w:val="5"/>
                <w:kern w:val="1"/>
              </w:rPr>
            </w:pPr>
            <m:oMathPara>
              <m:oMath>
                <m:r>
                  <w:rPr>
                    <w:rFonts w:ascii="Cambria Math" w:hAnsi="Cambria Math"/>
                    <w:spacing w:val="5"/>
                    <w:kern w:val="1"/>
                  </w:rPr>
                  <m:t xml:space="preserve">P= </m:t>
                </m:r>
                <m:f>
                  <m:fPr>
                    <m:ctrlPr>
                      <w:rPr>
                        <w:rFonts w:ascii="Cambria Math" w:hAnsi="Cambria Math"/>
                        <w:i/>
                        <w:spacing w:val="5"/>
                        <w:kern w:val="1"/>
                      </w:rPr>
                    </m:ctrlPr>
                  </m:fPr>
                  <m:num>
                    <m:r>
                      <w:rPr>
                        <w:rFonts w:ascii="Cambria Math" w:hAnsi="Cambria Math"/>
                        <w:spacing w:val="5"/>
                        <w:kern w:val="1"/>
                      </w:rPr>
                      <m:t>1</m:t>
                    </m:r>
                  </m:num>
                  <m:den>
                    <m:r>
                      <w:rPr>
                        <w:rFonts w:ascii="Cambria Math" w:hAnsi="Cambria Math"/>
                        <w:spacing w:val="5"/>
                        <w:kern w:val="1"/>
                      </w:rPr>
                      <m:t>K</m:t>
                    </m:r>
                  </m:den>
                </m:f>
                <m:nary>
                  <m:naryPr>
                    <m:chr m:val="∑"/>
                    <m:limLoc m:val="undOvr"/>
                    <m:ctrlPr>
                      <w:rPr>
                        <w:rFonts w:ascii="Cambria Math" w:hAnsi="Cambria Math"/>
                        <w:i/>
                        <w:spacing w:val="5"/>
                        <w:kern w:val="1"/>
                      </w:rPr>
                    </m:ctrlPr>
                  </m:naryPr>
                  <m:sub>
                    <m:r>
                      <w:rPr>
                        <w:rFonts w:ascii="Cambria Math" w:hAnsi="Cambria Math"/>
                        <w:spacing w:val="5"/>
                        <w:kern w:val="1"/>
                      </w:rPr>
                      <m:t>i=1</m:t>
                    </m:r>
                  </m:sub>
                  <m:sup>
                    <m:r>
                      <w:rPr>
                        <w:rFonts w:ascii="Cambria Math" w:hAnsi="Cambria Math"/>
                        <w:spacing w:val="5"/>
                        <w:kern w:val="1"/>
                      </w:rPr>
                      <m:t>K</m:t>
                    </m:r>
                  </m:sup>
                  <m:e>
                    <m:sSub>
                      <m:sSubPr>
                        <m:ctrlPr>
                          <w:rPr>
                            <w:rFonts w:ascii="Cambria Math" w:hAnsi="Cambria Math"/>
                            <w:i/>
                            <w:spacing w:val="5"/>
                            <w:kern w:val="1"/>
                          </w:rPr>
                        </m:ctrlPr>
                      </m:sSubPr>
                      <m:e>
                        <m:r>
                          <w:rPr>
                            <w:rFonts w:ascii="Cambria Math" w:hAnsi="Cambria Math"/>
                            <w:spacing w:val="5"/>
                            <w:kern w:val="1"/>
                          </w:rPr>
                          <m:t>P</m:t>
                        </m:r>
                      </m:e>
                      <m:sub>
                        <m:r>
                          <w:rPr>
                            <w:rFonts w:ascii="Cambria Math" w:hAnsi="Cambria Math"/>
                            <w:spacing w:val="5"/>
                            <w:kern w:val="1"/>
                          </w:rPr>
                          <m:t>i</m:t>
                        </m:r>
                      </m:sub>
                    </m:sSub>
                  </m:e>
                </m:nary>
              </m:oMath>
            </m:oMathPara>
          </w:p>
        </w:tc>
        <w:tc>
          <w:tcPr>
            <w:tcW w:w="453" w:type="dxa"/>
          </w:tcPr>
          <w:p w14:paraId="253675A8" w14:textId="60830AE9" w:rsidR="00CC5F13" w:rsidRDefault="00CC5F13" w:rsidP="00F23C35">
            <w:pPr>
              <w:widowControl w:val="0"/>
              <w:autoSpaceDE w:val="0"/>
              <w:autoSpaceDN w:val="0"/>
              <w:adjustRightInd w:val="0"/>
              <w:spacing w:before="120" w:line="226" w:lineRule="auto"/>
              <w:jc w:val="right"/>
            </w:pPr>
            <w:r>
              <w:t>(5)</w:t>
            </w:r>
          </w:p>
          <w:p w14:paraId="354C83AD" w14:textId="77777777" w:rsidR="00CC5F13" w:rsidRDefault="00CC5F13" w:rsidP="00F23C35">
            <w:pPr>
              <w:widowControl w:val="0"/>
              <w:autoSpaceDE w:val="0"/>
              <w:autoSpaceDN w:val="0"/>
              <w:adjustRightInd w:val="0"/>
              <w:spacing w:before="120" w:line="226" w:lineRule="auto"/>
              <w:jc w:val="right"/>
              <w:rPr>
                <w:spacing w:val="5"/>
                <w:kern w:val="1"/>
              </w:rPr>
            </w:pPr>
          </w:p>
          <w:p w14:paraId="53644EED" w14:textId="77777777" w:rsidR="00CC5F13" w:rsidRDefault="00CC5F13" w:rsidP="00F23C35">
            <w:pPr>
              <w:widowControl w:val="0"/>
              <w:autoSpaceDE w:val="0"/>
              <w:autoSpaceDN w:val="0"/>
              <w:adjustRightInd w:val="0"/>
              <w:spacing w:before="120" w:line="226" w:lineRule="auto"/>
              <w:jc w:val="right"/>
              <w:rPr>
                <w:spacing w:val="5"/>
                <w:kern w:val="1"/>
              </w:rPr>
            </w:pPr>
          </w:p>
        </w:tc>
      </w:tr>
    </w:tbl>
    <w:p w14:paraId="523E82D9" w14:textId="0064F07F" w:rsidR="00997181" w:rsidRDefault="00997181" w:rsidP="00997181">
      <w:pPr>
        <w:pStyle w:val="Heading1"/>
      </w:pPr>
      <w:r>
        <w:t>model implementation and validation</w:t>
      </w:r>
    </w:p>
    <w:p w14:paraId="6C509715" w14:textId="65077C6D" w:rsidR="00FA5B86" w:rsidRDefault="00FA5B86" w:rsidP="00FA5B86">
      <w:pPr>
        <w:pStyle w:val="Heading2"/>
      </w:pPr>
      <w:r>
        <w:t>Data Prep</w:t>
      </w:r>
      <w:r w:rsidR="009B4C9A">
        <w:t>a</w:t>
      </w:r>
      <w:r>
        <w:t>ration and Preprocessing</w:t>
      </w:r>
    </w:p>
    <w:p w14:paraId="20DBD8CD" w14:textId="4FFB1325" w:rsidR="000D1292" w:rsidRDefault="00FA5B86" w:rsidP="00AF5C21">
      <w:pPr>
        <w:ind w:firstLine="288"/>
        <w:jc w:val="both"/>
      </w:pPr>
      <w:r>
        <w:t xml:space="preserve">The foundation of this model implementation began with </w:t>
      </w:r>
      <w:r w:rsidR="009B4C9A">
        <w:t xml:space="preserve">the </w:t>
      </w:r>
      <w:r>
        <w:t xml:space="preserve">data collection phase, where MERRA-2 </w:t>
      </w:r>
      <w:r w:rsidR="009B4C9A">
        <w:t>was</w:t>
      </w:r>
      <w:r>
        <w:t xml:space="preserve"> used by considering three different locations in Canada (Manitoba, </w:t>
      </w:r>
      <w:r w:rsidR="00FB6FA2">
        <w:t>Nova Scotia</w:t>
      </w:r>
      <w:r>
        <w:t xml:space="preserve">, </w:t>
      </w:r>
      <w:r w:rsidR="009B4C9A">
        <w:t xml:space="preserve">and </w:t>
      </w:r>
      <w:r w:rsidR="00FB6FA2">
        <w:t>British Colombia</w:t>
      </w:r>
      <w:r>
        <w:t xml:space="preserve">) </w:t>
      </w:r>
      <w:r w:rsidR="00274650">
        <w:t>spinning the years</w:t>
      </w:r>
      <w:r>
        <w:t xml:space="preserve"> 2017 to 2019</w:t>
      </w:r>
      <w:r w:rsidR="00274650">
        <w:t>.</w:t>
      </w:r>
      <w:r w:rsidR="00AB1C56">
        <w:t xml:space="preserve"> One hour</w:t>
      </w:r>
      <w:r w:rsidR="00AB1C56" w:rsidRPr="00AB1C56">
        <w:t xml:space="preserve"> time interval from the </w:t>
      </w:r>
      <w:r w:rsidR="00AB1C56">
        <w:t xml:space="preserve">MERRA-2 </w:t>
      </w:r>
      <w:r w:rsidR="00AB1C56" w:rsidRPr="00AB1C56">
        <w:t xml:space="preserve"> as inputs for network training</w:t>
      </w:r>
      <w:r w:rsidR="00055190">
        <w:t>,</w:t>
      </w:r>
      <w:r w:rsidR="00AB1C56" w:rsidRPr="00AB1C56">
        <w:t xml:space="preserve"> </w:t>
      </w:r>
      <w:r w:rsidR="00AB1C56">
        <w:t>10</w:t>
      </w:r>
      <w:r w:rsidR="00AB1C56" w:rsidRPr="00AB1C56">
        <w:t xml:space="preserve"> × </w:t>
      </w:r>
      <w:r w:rsidR="00055190">
        <w:t>236314 numbers of dataset with their within features</w:t>
      </w:r>
      <w:r w:rsidR="00AB1C56">
        <w:t>,</w:t>
      </w:r>
      <w:r w:rsidR="00055190">
        <w:t xml:space="preserve"> and wind generation </w:t>
      </w:r>
      <w:r w:rsidR="00AB1C56" w:rsidRPr="00AB1C56">
        <w:t xml:space="preserve">taken as the target data. </w:t>
      </w:r>
      <w:r w:rsidR="00055190">
        <w:t>They</w:t>
      </w:r>
      <w:r w:rsidR="00AB1C56" w:rsidRPr="00AB1C56">
        <w:t xml:space="preserve"> have divided into 70% for training, 15% for validation and the rest for testing.</w:t>
      </w:r>
      <w:r w:rsidR="00274650">
        <w:t xml:space="preserve"> The data characterized included metrics from three different turbines: </w:t>
      </w:r>
      <w:r>
        <w:t xml:space="preserve">Enercon E126 6500, Siemens SWT 3.6, </w:t>
      </w:r>
      <w:r w:rsidR="009B4C9A">
        <w:t xml:space="preserve">and </w:t>
      </w:r>
      <w:r>
        <w:t>V90 2000</w:t>
      </w:r>
      <w:r w:rsidR="00274650">
        <w:t>. The specifics of steps and input/output data can be seen in Fig 2 and Fig 3.</w:t>
      </w:r>
    </w:p>
    <w:p w14:paraId="64B13553" w14:textId="77777777" w:rsidR="00274650" w:rsidRDefault="00274650" w:rsidP="00274650">
      <w:pPr>
        <w:jc w:val="both"/>
      </w:pPr>
    </w:p>
    <w:p w14:paraId="456B4837" w14:textId="77777777" w:rsidR="000D1292" w:rsidRDefault="000D1292" w:rsidP="000D1292">
      <w:pPr>
        <w:keepNext/>
      </w:pPr>
      <w:r w:rsidRPr="000D1292">
        <w:rPr>
          <w:rFonts w:eastAsia="Times New Roman"/>
          <w:noProof/>
          <w:sz w:val="24"/>
          <w:szCs w:val="24"/>
          <w:lang w:val="en-CA" w:eastAsia="en-CA"/>
        </w:rPr>
        <w:drawing>
          <wp:inline distT="0" distB="0" distL="0" distR="0" wp14:anchorId="6B232239" wp14:editId="3AC8C5EA">
            <wp:extent cx="2709005" cy="3796589"/>
            <wp:effectExtent l="0" t="0" r="0" b="0"/>
            <wp:docPr id="158087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73536"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725384" cy="3819543"/>
                    </a:xfrm>
                    <a:prstGeom prst="rect">
                      <a:avLst/>
                    </a:prstGeom>
                    <a:noFill/>
                    <a:ln>
                      <a:noFill/>
                    </a:ln>
                  </pic:spPr>
                </pic:pic>
              </a:graphicData>
            </a:graphic>
          </wp:inline>
        </w:drawing>
      </w:r>
    </w:p>
    <w:p w14:paraId="3DE4E715" w14:textId="4B904323" w:rsidR="000D1292" w:rsidRPr="000D1292" w:rsidRDefault="000D1292" w:rsidP="000D1292">
      <w:pPr>
        <w:widowControl w:val="0"/>
        <w:autoSpaceDE w:val="0"/>
        <w:autoSpaceDN w:val="0"/>
        <w:adjustRightInd w:val="0"/>
        <w:spacing w:before="120" w:line="226" w:lineRule="auto"/>
        <w:rPr>
          <w:rFonts w:eastAsia="Times New Roman"/>
          <w:spacing w:val="5"/>
          <w:kern w:val="1"/>
          <w:sz w:val="16"/>
          <w:szCs w:val="16"/>
        </w:rPr>
      </w:pPr>
      <w:r w:rsidRPr="000D1292">
        <w:rPr>
          <w:rFonts w:eastAsia="Times New Roman"/>
          <w:spacing w:val="5"/>
          <w:kern w:val="1"/>
          <w:sz w:val="16"/>
          <w:szCs w:val="16"/>
        </w:rPr>
        <w:t xml:space="preserve">Figure </w:t>
      </w:r>
      <w:r w:rsidRPr="000D1292">
        <w:rPr>
          <w:rFonts w:eastAsia="Times New Roman"/>
          <w:spacing w:val="5"/>
          <w:kern w:val="1"/>
          <w:sz w:val="16"/>
          <w:szCs w:val="16"/>
        </w:rPr>
        <w:fldChar w:fldCharType="begin"/>
      </w:r>
      <w:r w:rsidRPr="000D1292">
        <w:rPr>
          <w:rFonts w:eastAsia="Times New Roman"/>
          <w:spacing w:val="5"/>
          <w:kern w:val="1"/>
          <w:sz w:val="16"/>
          <w:szCs w:val="16"/>
        </w:rPr>
        <w:instrText xml:space="preserve"> SEQ Figure \* ARABIC </w:instrText>
      </w:r>
      <w:r w:rsidRPr="000D1292">
        <w:rPr>
          <w:rFonts w:eastAsia="Times New Roman"/>
          <w:spacing w:val="5"/>
          <w:kern w:val="1"/>
          <w:sz w:val="16"/>
          <w:szCs w:val="16"/>
        </w:rPr>
        <w:fldChar w:fldCharType="separate"/>
      </w:r>
      <w:r w:rsidR="004B73AF">
        <w:rPr>
          <w:rFonts w:eastAsia="Times New Roman"/>
          <w:noProof/>
          <w:spacing w:val="5"/>
          <w:kern w:val="1"/>
          <w:sz w:val="16"/>
          <w:szCs w:val="16"/>
        </w:rPr>
        <w:t>3</w:t>
      </w:r>
      <w:r w:rsidRPr="000D1292">
        <w:rPr>
          <w:rFonts w:eastAsia="Times New Roman"/>
          <w:spacing w:val="5"/>
          <w:kern w:val="1"/>
          <w:sz w:val="16"/>
          <w:szCs w:val="16"/>
        </w:rPr>
        <w:fldChar w:fldCharType="end"/>
      </w:r>
      <w:r w:rsidRPr="000D1292">
        <w:rPr>
          <w:rFonts w:eastAsia="Times New Roman"/>
          <w:spacing w:val="5"/>
          <w:kern w:val="1"/>
          <w:sz w:val="16"/>
          <w:szCs w:val="16"/>
        </w:rPr>
        <w:t xml:space="preserve"> Model training steps</w:t>
      </w:r>
    </w:p>
    <w:p w14:paraId="2F0A71A8" w14:textId="77777777" w:rsidR="000D1292" w:rsidRPr="00FA5B86" w:rsidRDefault="000D1292" w:rsidP="00177309">
      <w:pPr>
        <w:jc w:val="both"/>
      </w:pPr>
    </w:p>
    <w:p w14:paraId="3E102431" w14:textId="77777777" w:rsidR="0091081C" w:rsidRPr="0091081C" w:rsidRDefault="0091081C" w:rsidP="00E7596C">
      <w:pPr>
        <w:pStyle w:val="BodyText"/>
        <w:rPr>
          <w:lang w:val="en-US"/>
        </w:rPr>
      </w:pPr>
    </w:p>
    <w:p w14:paraId="19326B3D" w14:textId="66BE532E" w:rsidR="00AF5C21" w:rsidRPr="00AF5C21" w:rsidRDefault="00AF5C21" w:rsidP="00E7596C">
      <w:pPr>
        <w:pStyle w:val="BodyText"/>
        <w:rPr>
          <w:lang w:val="en-US"/>
        </w:rPr>
      </w:pPr>
      <w:r>
        <w:rPr>
          <w:lang w:val="en-US"/>
        </w:rPr>
        <w:t xml:space="preserve">As the ML models should work with </w:t>
      </w:r>
      <w:r w:rsidR="009B4C9A">
        <w:rPr>
          <w:lang w:val="en-US"/>
        </w:rPr>
        <w:t xml:space="preserve">the </w:t>
      </w:r>
      <w:r>
        <w:rPr>
          <w:lang w:val="en-US"/>
        </w:rPr>
        <w:t>consistent data type, one-hot encoding transform has been used to convert the string files, like the location name, to the format that could be effectively used by models. Moreover, StandardScaler has been applied to standardi</w:t>
      </w:r>
      <w:r w:rsidR="009B4C9A">
        <w:rPr>
          <w:lang w:val="en-US"/>
        </w:rPr>
        <w:t>se</w:t>
      </w:r>
      <w:r>
        <w:rPr>
          <w:lang w:val="en-US"/>
        </w:rPr>
        <w:t xml:space="preserve"> the data to have a mean of zero and </w:t>
      </w:r>
      <w:r w:rsidR="009B4C9A">
        <w:rPr>
          <w:lang w:val="en-US"/>
        </w:rPr>
        <w:t xml:space="preserve">a </w:t>
      </w:r>
      <w:r>
        <w:rPr>
          <w:lang w:val="en-US"/>
        </w:rPr>
        <w:t xml:space="preserve">standard deviation of one ( Z-score ). </w:t>
      </w:r>
      <w:r w:rsidR="004338BC" w:rsidRPr="004338BC">
        <w:rPr>
          <w:lang w:val="en-US"/>
        </w:rPr>
        <w:t>This step was crucial, as it involved dealing with inputs and outputs in various formats, which could lead to the observation of differing numerical values.</w:t>
      </w:r>
    </w:p>
    <w:p w14:paraId="6A39C25B" w14:textId="134225E9" w:rsidR="009303D9" w:rsidRDefault="004338BC" w:rsidP="00ED0149">
      <w:pPr>
        <w:pStyle w:val="Heading2"/>
      </w:pPr>
      <w:r>
        <w:t>Model Architecture and Hybrid Model Formulation</w:t>
      </w:r>
    </w:p>
    <w:p w14:paraId="44E20E6D" w14:textId="7EF278F4" w:rsidR="009303D9" w:rsidRPr="003D21B5" w:rsidRDefault="004338BC" w:rsidP="003D21B5">
      <w:pPr>
        <w:pStyle w:val="BodyText"/>
        <w:rPr>
          <w:lang w:val="en-US"/>
        </w:rPr>
      </w:pPr>
      <w:r>
        <w:rPr>
          <w:lang w:val="en-US"/>
        </w:rPr>
        <w:t>The work offered the integration of two sophisticated neural network</w:t>
      </w:r>
      <w:r w:rsidR="009B4C9A">
        <w:rPr>
          <w:lang w:val="en-US"/>
        </w:rPr>
        <w:t>s</w:t>
      </w:r>
      <w:r>
        <w:rPr>
          <w:lang w:val="en-US"/>
        </w:rPr>
        <w:t xml:space="preserve">: the ANN and LSTM. The ANN component was designed with an input layer of 256 neurons, followed by two hidden layers each comprising 128 neurons, all in ReLU activation </w:t>
      </w:r>
      <w:r w:rsidR="003D21B5">
        <w:rPr>
          <w:lang w:val="en-US"/>
        </w:rPr>
        <w:t>function, and</w:t>
      </w:r>
      <w:r>
        <w:rPr>
          <w:lang w:val="en-US"/>
        </w:rPr>
        <w:t xml:space="preserve"> culminating in a linear activation function as an output layer. The aim was this structure was to capture the complex relationship among the features. </w:t>
      </w:r>
      <w:r w:rsidR="003D21B5">
        <w:rPr>
          <w:lang w:val="en-US"/>
        </w:rPr>
        <w:t>Parallelly</w:t>
      </w:r>
      <w:r>
        <w:rPr>
          <w:lang w:val="en-US"/>
        </w:rPr>
        <w:t xml:space="preserve">, the LSTM model has </w:t>
      </w:r>
      <w:r w:rsidR="00E70D5E">
        <w:rPr>
          <w:lang w:val="en-US"/>
        </w:rPr>
        <w:t xml:space="preserve">128 neurons as its first layer, followed by 64 neurons at another one, all in ReLU, and lastly finished by one linear activation function hidden layer. The usage of this model helped the model to modify the deep temporal dependencies among features. A novel aspect of this work was the integration of </w:t>
      </w:r>
      <w:r w:rsidR="009B4C9A">
        <w:rPr>
          <w:lang w:val="en-US"/>
        </w:rPr>
        <w:t xml:space="preserve">the </w:t>
      </w:r>
      <w:r w:rsidR="00E70D5E">
        <w:rPr>
          <w:lang w:val="en-US"/>
        </w:rPr>
        <w:t>last two mentioned models, serving as a composite input for the SV</w:t>
      </w:r>
      <w:r w:rsidR="00C75BB0">
        <w:rPr>
          <w:lang w:val="en-US"/>
        </w:rPr>
        <w:t>R</w:t>
      </w:r>
      <w:r w:rsidR="00E70D5E">
        <w:rPr>
          <w:lang w:val="en-US"/>
        </w:rPr>
        <w:t xml:space="preserve">.  This hybrid model </w:t>
      </w:r>
      <w:r w:rsidR="003D21B5">
        <w:rPr>
          <w:lang w:val="en-US"/>
        </w:rPr>
        <w:t>leverages</w:t>
      </w:r>
      <w:r w:rsidR="00E70D5E">
        <w:rPr>
          <w:lang w:val="en-US"/>
        </w:rPr>
        <w:t xml:space="preserve"> the strengths of both neural networks and SV</w:t>
      </w:r>
      <w:r w:rsidR="00C75BB0">
        <w:rPr>
          <w:lang w:val="en-US"/>
        </w:rPr>
        <w:t>R</w:t>
      </w:r>
      <w:r w:rsidR="00E70D5E">
        <w:rPr>
          <w:lang w:val="en-US"/>
        </w:rPr>
        <w:t>, for a synergic effect and elevated prediction accuracy.</w:t>
      </w:r>
      <w:r>
        <w:rPr>
          <w:lang w:val="en-US"/>
        </w:rPr>
        <w:t xml:space="preserve">  </w:t>
      </w:r>
    </w:p>
    <w:p w14:paraId="7AEFBDEE" w14:textId="77777777" w:rsidR="004643C6" w:rsidRDefault="004643C6" w:rsidP="004643C6">
      <w:pPr>
        <w:keepNext/>
      </w:pPr>
      <w:r w:rsidRPr="004643C6">
        <w:rPr>
          <w:rFonts w:eastAsia="Times New Roman"/>
          <w:noProof/>
          <w:sz w:val="24"/>
          <w:szCs w:val="24"/>
          <w:lang w:val="en-CA" w:eastAsia="en-CA"/>
        </w:rPr>
        <w:lastRenderedPageBreak/>
        <w:drawing>
          <wp:inline distT="0" distB="0" distL="0" distR="0" wp14:anchorId="13846ACD" wp14:editId="45215986">
            <wp:extent cx="2760342" cy="2238451"/>
            <wp:effectExtent l="0" t="0" r="2540" b="0"/>
            <wp:docPr id="1948502998" name="Picture 3" descr="A diagram of a machine learning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02998" name="Picture 3" descr="A diagram of a machine learning model&#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5724" cy="2259034"/>
                    </a:xfrm>
                    <a:prstGeom prst="rect">
                      <a:avLst/>
                    </a:prstGeom>
                    <a:noFill/>
                    <a:ln>
                      <a:noFill/>
                    </a:ln>
                  </pic:spPr>
                </pic:pic>
              </a:graphicData>
            </a:graphic>
          </wp:inline>
        </w:drawing>
      </w:r>
    </w:p>
    <w:p w14:paraId="5A0204CD" w14:textId="3C3CA510" w:rsidR="004643C6" w:rsidRPr="004643C6" w:rsidRDefault="004643C6" w:rsidP="004643C6">
      <w:pPr>
        <w:widowControl w:val="0"/>
        <w:autoSpaceDE w:val="0"/>
        <w:autoSpaceDN w:val="0"/>
        <w:adjustRightInd w:val="0"/>
        <w:spacing w:before="120" w:line="226" w:lineRule="auto"/>
        <w:rPr>
          <w:rFonts w:eastAsia="Times New Roman"/>
          <w:spacing w:val="5"/>
          <w:kern w:val="1"/>
          <w:sz w:val="16"/>
          <w:szCs w:val="16"/>
        </w:rPr>
      </w:pPr>
      <w:r w:rsidRPr="004643C6">
        <w:rPr>
          <w:rFonts w:eastAsia="Times New Roman"/>
          <w:spacing w:val="5"/>
          <w:kern w:val="1"/>
          <w:sz w:val="16"/>
          <w:szCs w:val="16"/>
        </w:rPr>
        <w:t xml:space="preserve">Figure </w:t>
      </w:r>
      <w:r w:rsidRPr="004643C6">
        <w:rPr>
          <w:rFonts w:eastAsia="Times New Roman"/>
          <w:spacing w:val="5"/>
          <w:kern w:val="1"/>
          <w:sz w:val="16"/>
          <w:szCs w:val="16"/>
        </w:rPr>
        <w:fldChar w:fldCharType="begin"/>
      </w:r>
      <w:r w:rsidRPr="004643C6">
        <w:rPr>
          <w:rFonts w:eastAsia="Times New Roman"/>
          <w:spacing w:val="5"/>
          <w:kern w:val="1"/>
          <w:sz w:val="16"/>
          <w:szCs w:val="16"/>
        </w:rPr>
        <w:instrText xml:space="preserve"> SEQ Figure \* ARABIC </w:instrText>
      </w:r>
      <w:r w:rsidRPr="004643C6">
        <w:rPr>
          <w:rFonts w:eastAsia="Times New Roman"/>
          <w:spacing w:val="5"/>
          <w:kern w:val="1"/>
          <w:sz w:val="16"/>
          <w:szCs w:val="16"/>
        </w:rPr>
        <w:fldChar w:fldCharType="separate"/>
      </w:r>
      <w:r w:rsidR="004B73AF">
        <w:rPr>
          <w:rFonts w:eastAsia="Times New Roman"/>
          <w:noProof/>
          <w:spacing w:val="5"/>
          <w:kern w:val="1"/>
          <w:sz w:val="16"/>
          <w:szCs w:val="16"/>
        </w:rPr>
        <w:t>4</w:t>
      </w:r>
      <w:r w:rsidRPr="004643C6">
        <w:rPr>
          <w:rFonts w:eastAsia="Times New Roman"/>
          <w:spacing w:val="5"/>
          <w:kern w:val="1"/>
          <w:sz w:val="16"/>
          <w:szCs w:val="16"/>
        </w:rPr>
        <w:fldChar w:fldCharType="end"/>
      </w:r>
      <w:r w:rsidRPr="004643C6">
        <w:rPr>
          <w:rFonts w:eastAsia="Times New Roman"/>
          <w:spacing w:val="5"/>
          <w:kern w:val="1"/>
          <w:sz w:val="16"/>
          <w:szCs w:val="16"/>
        </w:rPr>
        <w:t xml:space="preserve"> ML inputs and outputs</w:t>
      </w:r>
    </w:p>
    <w:p w14:paraId="0E1D430A" w14:textId="77777777" w:rsidR="004643C6" w:rsidRPr="005B520E" w:rsidRDefault="004643C6" w:rsidP="00E7596C">
      <w:pPr>
        <w:pStyle w:val="BodyText"/>
      </w:pPr>
    </w:p>
    <w:p w14:paraId="2F503E9F" w14:textId="38E95972" w:rsidR="009303D9" w:rsidRDefault="003D21B5" w:rsidP="00ED0149">
      <w:pPr>
        <w:pStyle w:val="Heading2"/>
      </w:pPr>
      <w:r>
        <w:t>Model Training and Validation</w:t>
      </w:r>
    </w:p>
    <w:p w14:paraId="0370B536" w14:textId="20201561" w:rsidR="009303D9" w:rsidRPr="005B520E" w:rsidRDefault="00680217" w:rsidP="00985809">
      <w:pPr>
        <w:pStyle w:val="bulletlist"/>
        <w:numPr>
          <w:ilvl w:val="0"/>
          <w:numId w:val="0"/>
        </w:numPr>
        <w:tabs>
          <w:tab w:val="clear" w:pos="288"/>
          <w:tab w:val="left" w:pos="720"/>
        </w:tabs>
        <w:ind w:firstLine="288"/>
      </w:pPr>
      <w:r>
        <w:rPr>
          <w:lang w:val="en-US"/>
        </w:rPr>
        <w:t>In this comprehensive ML approach, raw data first undergoes standardization using StandardScaler and it would be reshaped into three</w:t>
      </w:r>
      <w:r w:rsidR="009B4C9A">
        <w:rPr>
          <w:lang w:val="en-US"/>
        </w:rPr>
        <w:t>-</w:t>
      </w:r>
      <w:r>
        <w:rPr>
          <w:lang w:val="en-US"/>
        </w:rPr>
        <w:t xml:space="preserve">dimensional arrays to meet the LSTM model requirements, alongside the ANN, both would be trained on this </w:t>
      </w:r>
      <w:r w:rsidR="00985809">
        <w:rPr>
          <w:lang w:val="en-US"/>
        </w:rPr>
        <w:t>preprocessed</w:t>
      </w:r>
      <w:r>
        <w:rPr>
          <w:lang w:val="en-US"/>
        </w:rPr>
        <w:t xml:space="preserve"> data, </w:t>
      </w:r>
      <w:r w:rsidR="00985809" w:rsidRPr="00985809">
        <w:rPr>
          <w:lang w:val="en-US"/>
        </w:rPr>
        <w:t>reserving 20% as a validation set to guard against overfitting</w:t>
      </w:r>
      <w:r w:rsidR="00985809">
        <w:rPr>
          <w:lang w:val="en-US"/>
        </w:rPr>
        <w:t>. Post-training, predictions from both previous models are concatenated, forming a proper input for the SVR, which acts as a meta</w:t>
      </w:r>
      <w:r w:rsidR="009B4C9A">
        <w:rPr>
          <w:lang w:val="en-US"/>
        </w:rPr>
        <w:t>-</w:t>
      </w:r>
      <w:r w:rsidR="00985809">
        <w:rPr>
          <w:lang w:val="en-US"/>
        </w:rPr>
        <w:t xml:space="preserve">model. </w:t>
      </w:r>
      <w:r w:rsidR="009B4C9A">
        <w:rPr>
          <w:lang w:val="en-US"/>
        </w:rPr>
        <w:t>In</w:t>
      </w:r>
      <w:r w:rsidR="00985809">
        <w:rPr>
          <w:lang w:val="en-US"/>
        </w:rPr>
        <w:t xml:space="preserve"> the end, using this sophisticated, multi-staged training process w</w:t>
      </w:r>
      <w:r w:rsidR="009B4C9A">
        <w:rPr>
          <w:lang w:val="en-US"/>
        </w:rPr>
        <w:t>ill</w:t>
      </w:r>
      <w:r w:rsidR="00985809">
        <w:rPr>
          <w:lang w:val="en-US"/>
        </w:rPr>
        <w:t xml:space="preserve"> be evaluated in the next part to </w:t>
      </w:r>
      <w:r w:rsidR="009B4C9A">
        <w:rPr>
          <w:lang w:val="en-US"/>
        </w:rPr>
        <w:t>assess</w:t>
      </w:r>
      <w:r w:rsidR="00985809">
        <w:rPr>
          <w:lang w:val="en-US"/>
        </w:rPr>
        <w:t xml:space="preserve"> its value.</w:t>
      </w:r>
    </w:p>
    <w:p w14:paraId="15E48221" w14:textId="7289A94D" w:rsidR="009303D9" w:rsidRDefault="003D21B5" w:rsidP="00ED0149">
      <w:pPr>
        <w:pStyle w:val="Heading2"/>
      </w:pPr>
      <w:r>
        <w:t>Performance Evaluation</w:t>
      </w:r>
    </w:p>
    <w:p w14:paraId="3FEFB2BC" w14:textId="026DC7A9" w:rsidR="002A437C" w:rsidRDefault="00893D11" w:rsidP="00126452">
      <w:pPr>
        <w:ind w:firstLine="288"/>
        <w:jc w:val="both"/>
      </w:pPr>
      <w:r>
        <w:t>For the evaluation process, R</w:t>
      </w:r>
      <w:r w:rsidRPr="00893D11">
        <w:rPr>
          <w:vertAlign w:val="superscript"/>
        </w:rPr>
        <w:t>2</w:t>
      </w:r>
      <w:r>
        <w:t xml:space="preserve"> and MSLE as the principal metrics </w:t>
      </w:r>
      <w:r w:rsidR="00F11E14">
        <w:t>in a K-fold cross-validation framework to ass</w:t>
      </w:r>
      <w:r w:rsidR="00126452">
        <w:t>ess</w:t>
      </w:r>
      <w:r w:rsidR="00F11E14">
        <w:t xml:space="preserve"> the effectiveness of the model.</w:t>
      </w:r>
      <w:r w:rsidR="00126452">
        <w:t xml:space="preserve"> </w:t>
      </w:r>
      <w:r w:rsidR="00126452" w:rsidRPr="00126452">
        <w:t xml:space="preserve">R², the coefficient of determination, provided insights into the model by quantifying the variance in the dependent variable predictable from the independent variables, while MSLE, </w:t>
      </w:r>
      <w:r w:rsidR="009B4C9A">
        <w:t xml:space="preserve">is </w:t>
      </w:r>
      <w:r w:rsidR="00126452" w:rsidRPr="00126452">
        <w:t>sensitive to relative errors</w:t>
      </w:r>
      <w:r w:rsidR="002A437C">
        <w:t xml:space="preserve">. </w:t>
      </w:r>
      <w:r w:rsidR="00126452" w:rsidRPr="00126452">
        <w:t>Implementing K-fold cross-validation, where the dataset was divided into 'K' subsets, allow</w:t>
      </w:r>
      <w:r w:rsidR="009B4C9A">
        <w:t>ing</w:t>
      </w:r>
      <w:r w:rsidR="00126452" w:rsidRPr="00126452">
        <w:t xml:space="preserve"> for a comprehensive evaluation across diverse data segments, enhancing model validation by mitigating overfitting risks and ensuring robust performance estimates reflective of the model's behavio</w:t>
      </w:r>
      <w:r w:rsidR="009B4C9A">
        <w:t>u</w:t>
      </w:r>
      <w:r w:rsidR="00126452" w:rsidRPr="00126452">
        <w:t>r on unseen data.</w:t>
      </w:r>
      <w:r w:rsidR="002A437C">
        <w:t xml:space="preserve"> Using this robust assessment could help to </w:t>
      </w:r>
      <w:r w:rsidR="009B4C9A">
        <w:t>ensure</w:t>
      </w:r>
      <w:r w:rsidR="002A437C">
        <w:t xml:space="preserve"> the stability and reliability of this model across the different scenarios by having </w:t>
      </w:r>
      <w:r w:rsidR="009B4C9A">
        <w:t xml:space="preserve">a </w:t>
      </w:r>
      <w:r w:rsidR="002A437C">
        <w:t>vast amount of data.</w:t>
      </w:r>
    </w:p>
    <w:p w14:paraId="0B83DAE9" w14:textId="5AC0646F" w:rsidR="001D49CE" w:rsidRDefault="0077765E" w:rsidP="00F21BAB">
      <w:pPr>
        <w:ind w:firstLine="288"/>
        <w:jc w:val="both"/>
      </w:pPr>
      <w:r>
        <w:t xml:space="preserve">In the regression field, sensitivity </w:t>
      </w:r>
      <w:r w:rsidR="00BD63E0">
        <w:t>tests</w:t>
      </w:r>
      <w:r>
        <w:t xml:space="preserve"> play a crucial role in understanding the robustness of forecasting outcome</w:t>
      </w:r>
      <w:r w:rsidR="009B4C9A">
        <w:t>s</w:t>
      </w:r>
      <w:r>
        <w:t xml:space="preserve">. By, </w:t>
      </w:r>
      <w:r w:rsidR="00A85AB9">
        <w:t>systematically alternating the tolerance for input features, and the usage of other evaluation metrics, the effectiveness of these alters can be assessed</w:t>
      </w:r>
      <w:r w:rsidR="00A85AB9">
        <w:fldChar w:fldCharType="begin"/>
      </w:r>
      <w:r w:rsidR="00F21BAB">
        <w:instrText xml:space="preserve"> ADDIN ZOTERO_ITEM CSL_CITATION {"citationID":"3Fx1aV9u","properties":{"formattedCitation":"[19]","plainCitation":"[19]","noteIndex":0},"citationItems":[{"id":425,"uris":["http://zotero.org/users/9870935/items/QPMX2HIT"],"itemData":{"id":425,"type":"article-journal","abstract":"This work describes a versatile and readily-deployable sensitivity analysis of an ordinary least squares (OLS) inference with respect to possible endogeneity in the explanatory variables of the usual k-variate linear multiple regression model. This sensitivity analysis is based on a derivation of the sampling distribution of the OLS parameter estimator, extended to the setting where some, or all, of the explanatory variables are endogenous. In exchange for restricting attention to possible endogeneity which is solely linear in nature—the most typical case—no additional model assumptions must be made, beyond the usual ones for a model with stochastic regressors. The sensitivity analysis quantifies the sensitivity of hypothesis test rejection p-values and/or estimated confidence intervals to such endogeneity, enabling an informed judgment as to whether any selected inference is “robust” versus “fragile.” The usefulness of this sensitivity analysis—as a “screen” for potential endogeneity issues—is illustrated with an example from the empirical growth literature. This example is extended to an extremely large sample, so as to illustrate how this sensitivity analysis can be applied to parameter confidence intervals in the context of massive datasets, as in “big data”.","container-title":"Econometrics","DOI":"10.3390/econometrics8010011","ISSN":"2225-1146","issue":"1","journalAbbreviation":"Econometrics","language":"en","page":"11","source":"DOI.org (Crossref)","title":"Sensitivity Analysis of an OLS Multiple Regression Inference with Respect to Possible Linear Endogeneity in the Explanatory Variables, for Both Modest and for Extremely Large Samples","volume":"8","author":[{"family":"A. Ashley","given":"Richard"},{"family":"F. Parmeter","given":"Christopher"}],"issued":{"date-parts":[["2020",3,16]]}}}],"schema":"https://github.com/citation-style-language/schema/raw/master/csl-citation.json"} </w:instrText>
      </w:r>
      <w:r w:rsidR="00A85AB9">
        <w:fldChar w:fldCharType="separate"/>
      </w:r>
      <w:r w:rsidR="00F21BAB" w:rsidRPr="00F21BAB">
        <w:t>[19]</w:t>
      </w:r>
      <w:r w:rsidR="00A85AB9">
        <w:fldChar w:fldCharType="end"/>
      </w:r>
      <w:r w:rsidR="00A85AB9">
        <w:t xml:space="preserve">. In this work, this test </w:t>
      </w:r>
      <w:r w:rsidR="00BD63E0">
        <w:t>was</w:t>
      </w:r>
      <w:r w:rsidR="00A85AB9">
        <w:t xml:space="preserve"> done at the last stage, where the combination data would be injected into the SVR model, by considering three different numbers for </w:t>
      </w:r>
      <w:r w:rsidR="00AD6F35">
        <w:t>the ‘epsilon’ parameter in this SVR training model. This part manages the epsilon</w:t>
      </w:r>
      <w:r w:rsidR="009B4C9A">
        <w:t xml:space="preserve"> </w:t>
      </w:r>
      <w:r w:rsidR="00AD6F35">
        <w:t xml:space="preserve">tube within which no penalty is associated </w:t>
      </w:r>
      <w:r w:rsidR="009B4C9A">
        <w:t>with</w:t>
      </w:r>
      <w:r w:rsidR="00AD6F35">
        <w:t xml:space="preserve"> the training loss function within a distance epsilon. </w:t>
      </w:r>
      <w:r w:rsidR="00BD63E0">
        <w:t>Different values of this could help to control the width of the epsilon-insensitive tube, which modif</w:t>
      </w:r>
      <w:r w:rsidR="009B4C9A">
        <w:t>ies</w:t>
      </w:r>
      <w:r w:rsidR="00BD63E0">
        <w:t xml:space="preserve"> the number of </w:t>
      </w:r>
      <w:r w:rsidR="00BD63E0">
        <w:t>support vector</w:t>
      </w:r>
      <w:r w:rsidR="009B4C9A">
        <w:t>s</w:t>
      </w:r>
      <w:r w:rsidR="00BD63E0">
        <w:t xml:space="preserve"> and the degree of smoothness in the regression model results.</w:t>
      </w:r>
    </w:p>
    <w:p w14:paraId="5D900F1A" w14:textId="3E72D58E" w:rsidR="00126452" w:rsidRDefault="00126452" w:rsidP="00126452">
      <w:pPr>
        <w:ind w:firstLine="288"/>
        <w:jc w:val="both"/>
      </w:pPr>
      <w:r w:rsidRPr="00126452">
        <w:t xml:space="preserve"> </w:t>
      </w:r>
    </w:p>
    <w:p w14:paraId="51D76EDC" w14:textId="41CCDA16" w:rsidR="00A85E14" w:rsidRDefault="00A85E14" w:rsidP="00A85E14">
      <w:pPr>
        <w:pStyle w:val="Heading1"/>
      </w:pPr>
      <w:r>
        <w:t>Results</w:t>
      </w:r>
    </w:p>
    <w:p w14:paraId="28AE704F" w14:textId="6487F695" w:rsidR="00E2696F" w:rsidRDefault="005A7E52" w:rsidP="00E2696F">
      <w:pPr>
        <w:ind w:firstLine="360"/>
        <w:jc w:val="both"/>
      </w:pPr>
      <w:r>
        <w:t xml:space="preserve">The </w:t>
      </w:r>
      <w:r w:rsidR="001D49CE">
        <w:t>results</w:t>
      </w:r>
      <w:r>
        <w:t xml:space="preserve"> obtained from this model are presented in this section. Through a complete assessment, different aspects of this model have been observed.</w:t>
      </w:r>
      <w:r w:rsidR="00E2696F" w:rsidRPr="00E2696F">
        <w:t xml:space="preserve"> </w:t>
      </w:r>
      <w:r w:rsidR="00E2696F">
        <w:t>A comparative analysis was presented in Table 1 to illustrate the performance metrics, R</w:t>
      </w:r>
      <w:r w:rsidR="00E2696F" w:rsidRPr="002B7603">
        <w:rPr>
          <w:vertAlign w:val="superscript"/>
        </w:rPr>
        <w:t>2</w:t>
      </w:r>
      <w:r w:rsidR="00E2696F">
        <w:rPr>
          <w:vertAlign w:val="subscript"/>
        </w:rPr>
        <w:t xml:space="preserve"> </w:t>
      </w:r>
      <w:r w:rsidR="00E2696F">
        <w:t>and MLSE values, both integral for performance assessment. A</w:t>
      </w:r>
      <w:r w:rsidR="009B4C9A">
        <w:t>s</w:t>
      </w:r>
      <w:r w:rsidR="00E2696F">
        <w:t xml:space="preserve"> it can be seen, the usage of K-fold, while prov</w:t>
      </w:r>
      <w:r w:rsidR="009B4C9A">
        <w:t>ing</w:t>
      </w:r>
      <w:r w:rsidR="00E2696F">
        <w:t xml:space="preserve"> how robust the model is, demonstrated an improvement in the model execution. However, this progress is not sensible, yet it can be a proper reason </w:t>
      </w:r>
      <w:r w:rsidR="009B4C9A">
        <w:t xml:space="preserve">for </w:t>
      </w:r>
      <w:r w:rsidR="00E2696F">
        <w:t>to effectiveness of the hybrid model.</w:t>
      </w:r>
    </w:p>
    <w:p w14:paraId="49F59C6C" w14:textId="4F0B9E7A" w:rsidR="00C7232C" w:rsidRDefault="005A7E52" w:rsidP="00573A02">
      <w:pPr>
        <w:ind w:firstLine="360"/>
        <w:jc w:val="both"/>
      </w:pPr>
      <w:r>
        <w:t xml:space="preserve"> For the performance, the MSLE served as a vital metric, </w:t>
      </w:r>
      <w:r w:rsidR="001D49CE">
        <w:t>depicting</w:t>
      </w:r>
      <w:r>
        <w:t xml:space="preserve"> the discrepancies in predicted value versus the actual one during both training and validation. </w:t>
      </w:r>
      <w:r w:rsidR="001D49CE">
        <w:t>These processes</w:t>
      </w:r>
      <w:r>
        <w:t xml:space="preserve"> have been done through 50 epochs, that have been plotted in Figure </w:t>
      </w:r>
      <w:r w:rsidR="001D49CE">
        <w:t>4</w:t>
      </w:r>
      <w:r>
        <w:t xml:space="preserve">, revealing the constant reduction in error, thus understanding the </w:t>
      </w:r>
      <w:r w:rsidR="001D49CE">
        <w:t>model’s</w:t>
      </w:r>
      <w:r>
        <w:t xml:space="preserve"> ability to generalize and learn the data effectively.</w:t>
      </w:r>
    </w:p>
    <w:p w14:paraId="70E44894" w14:textId="5E8A99B0" w:rsidR="006D5FBE" w:rsidRDefault="006D5FBE" w:rsidP="00573A02">
      <w:pPr>
        <w:ind w:firstLine="360"/>
        <w:jc w:val="both"/>
      </w:pPr>
      <w:r>
        <w:t xml:space="preserve">For the sensitivity check of inputs, an analysis </w:t>
      </w:r>
      <w:r w:rsidR="001D49CE">
        <w:t>has</w:t>
      </w:r>
      <w:r>
        <w:t xml:space="preserve"> been performed to measure the model’s responsiveness to variation</w:t>
      </w:r>
      <w:r w:rsidR="009B4C9A">
        <w:t>s</w:t>
      </w:r>
      <w:r>
        <w:t xml:space="preserve"> in inputs. The visualization of three different sensitivities</w:t>
      </w:r>
      <w:r w:rsidR="001D49CE">
        <w:t xml:space="preserve">, 0.1, 0.2 and 0.3, </w:t>
      </w:r>
      <w:r w:rsidR="009B4C9A">
        <w:t>has</w:t>
      </w:r>
      <w:r>
        <w:t xml:space="preserve"> been demonstrated in Figure </w:t>
      </w:r>
      <w:r w:rsidR="001D49CE">
        <w:t>5</w:t>
      </w:r>
      <w:r>
        <w:t xml:space="preserve">, </w:t>
      </w:r>
      <w:r w:rsidR="009B4C9A">
        <w:t>which</w:t>
      </w:r>
      <w:r>
        <w:t xml:space="preserve"> shows the robustness and relative influence on the predictive outcome. The necessity of this experiment was </w:t>
      </w:r>
      <w:r w:rsidR="002B7603">
        <w:t>to identify</w:t>
      </w:r>
      <w:r>
        <w:t xml:space="preserve"> </w:t>
      </w:r>
      <w:r w:rsidR="00BD63E0">
        <w:t xml:space="preserve">how </w:t>
      </w:r>
      <w:r w:rsidR="00573A02">
        <w:t>varying</w:t>
      </w:r>
      <w:r w:rsidR="00BD63E0">
        <w:t xml:space="preserve"> the </w:t>
      </w:r>
      <w:r w:rsidR="00573A02">
        <w:t>sensitivity</w:t>
      </w:r>
      <w:r w:rsidR="00BD63E0">
        <w:t xml:space="preserve">, which here is the SVR, could impact the </w:t>
      </w:r>
      <w:r w:rsidR="00573A02">
        <w:t>prediction. Maintaining high R</w:t>
      </w:r>
      <w:r w:rsidR="00573A02" w:rsidRPr="00573A02">
        <w:rPr>
          <w:vertAlign w:val="superscript"/>
        </w:rPr>
        <w:t>2</w:t>
      </w:r>
      <w:r w:rsidR="00573A02">
        <w:t xml:space="preserve"> and small MLSE, yet slightly increasing during the sensitivity test, impacts the successful capturing of underlying data dynamics and model adoption at managing proportional divergences.</w:t>
      </w:r>
    </w:p>
    <w:p w14:paraId="030377D9" w14:textId="77777777" w:rsidR="00E2696F" w:rsidRDefault="00E2696F" w:rsidP="00573A02">
      <w:pPr>
        <w:ind w:firstLine="360"/>
        <w:jc w:val="both"/>
      </w:pPr>
    </w:p>
    <w:p w14:paraId="150B6F92" w14:textId="77777777" w:rsidR="00E2696F" w:rsidRDefault="00E2696F" w:rsidP="00E2696F">
      <w:pPr>
        <w:widowControl w:val="0"/>
        <w:autoSpaceDE w:val="0"/>
        <w:autoSpaceDN w:val="0"/>
        <w:adjustRightInd w:val="0"/>
        <w:spacing w:before="120" w:line="226" w:lineRule="auto"/>
        <w:rPr>
          <w:rFonts w:eastAsia="Times New Roman"/>
          <w:spacing w:val="5"/>
          <w:kern w:val="1"/>
          <w:sz w:val="16"/>
          <w:szCs w:val="16"/>
        </w:rPr>
      </w:pPr>
      <w:r w:rsidRPr="00DE54EA">
        <w:rPr>
          <w:rFonts w:eastAsia="Times New Roman"/>
          <w:spacing w:val="5"/>
          <w:kern w:val="1"/>
          <w:sz w:val="16"/>
          <w:szCs w:val="16"/>
        </w:rPr>
        <w:t xml:space="preserve">Table </w:t>
      </w:r>
      <w:r w:rsidRPr="00DE54EA">
        <w:rPr>
          <w:rFonts w:eastAsia="Times New Roman"/>
          <w:spacing w:val="5"/>
          <w:kern w:val="1"/>
          <w:sz w:val="16"/>
          <w:szCs w:val="16"/>
        </w:rPr>
        <w:fldChar w:fldCharType="begin"/>
      </w:r>
      <w:r w:rsidRPr="00DE54EA">
        <w:rPr>
          <w:rFonts w:eastAsia="Times New Roman"/>
          <w:spacing w:val="5"/>
          <w:kern w:val="1"/>
          <w:sz w:val="16"/>
          <w:szCs w:val="16"/>
        </w:rPr>
        <w:instrText xml:space="preserve"> SEQ Table \* ARABIC </w:instrText>
      </w:r>
      <w:r w:rsidRPr="00DE54EA">
        <w:rPr>
          <w:rFonts w:eastAsia="Times New Roman"/>
          <w:spacing w:val="5"/>
          <w:kern w:val="1"/>
          <w:sz w:val="16"/>
          <w:szCs w:val="16"/>
        </w:rPr>
        <w:fldChar w:fldCharType="separate"/>
      </w:r>
      <w:r w:rsidRPr="00DE54EA">
        <w:rPr>
          <w:rFonts w:eastAsia="Times New Roman"/>
          <w:spacing w:val="5"/>
          <w:kern w:val="1"/>
          <w:sz w:val="16"/>
          <w:szCs w:val="16"/>
        </w:rPr>
        <w:t>1</w:t>
      </w:r>
      <w:r w:rsidRPr="00DE54EA">
        <w:rPr>
          <w:rFonts w:eastAsia="Times New Roman"/>
          <w:spacing w:val="5"/>
          <w:kern w:val="1"/>
          <w:sz w:val="16"/>
          <w:szCs w:val="16"/>
        </w:rPr>
        <w:fldChar w:fldCharType="end"/>
      </w:r>
      <w:r w:rsidRPr="00DE54EA">
        <w:rPr>
          <w:rFonts w:eastAsia="Times New Roman"/>
          <w:spacing w:val="5"/>
          <w:kern w:val="1"/>
          <w:sz w:val="16"/>
          <w:szCs w:val="16"/>
        </w:rPr>
        <w:t xml:space="preserve"> Evaluation metrics for the model</w:t>
      </w:r>
    </w:p>
    <w:p w14:paraId="3550E8A4" w14:textId="77777777" w:rsidR="00A2619C" w:rsidRPr="00DE54EA" w:rsidRDefault="00A2619C" w:rsidP="00E2696F">
      <w:pPr>
        <w:widowControl w:val="0"/>
        <w:autoSpaceDE w:val="0"/>
        <w:autoSpaceDN w:val="0"/>
        <w:adjustRightInd w:val="0"/>
        <w:spacing w:before="120" w:line="226" w:lineRule="auto"/>
        <w:rPr>
          <w:rFonts w:eastAsia="Times New Roman"/>
          <w:spacing w:val="5"/>
          <w:kern w:val="1"/>
          <w:sz w:val="16"/>
          <w:szCs w:val="16"/>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257"/>
        <w:gridCol w:w="1803"/>
        <w:gridCol w:w="900"/>
      </w:tblGrid>
      <w:tr w:rsidR="00E2696F" w:rsidRPr="006B0AAC" w14:paraId="622DB242" w14:textId="77777777" w:rsidTr="00F23C35">
        <w:trPr>
          <w:gridAfter w:val="2"/>
          <w:wAfter w:w="2703" w:type="dxa"/>
          <w:cantSplit/>
          <w:trHeight w:val="184"/>
          <w:tblHeader/>
          <w:jc w:val="center"/>
        </w:trPr>
        <w:tc>
          <w:tcPr>
            <w:tcW w:w="1257" w:type="dxa"/>
            <w:vMerge w:val="restart"/>
            <w:vAlign w:val="center"/>
          </w:tcPr>
          <w:p w14:paraId="72C3F227" w14:textId="77777777" w:rsidR="00E2696F" w:rsidRPr="006B0AAC" w:rsidRDefault="00E2696F" w:rsidP="00F23C35">
            <w:pPr>
              <w:pStyle w:val="tablecolhead"/>
            </w:pPr>
            <w:r w:rsidRPr="006B0AAC">
              <w:t>Evaluation Metrics</w:t>
            </w:r>
          </w:p>
        </w:tc>
      </w:tr>
      <w:tr w:rsidR="00E2696F" w:rsidRPr="006B0AAC" w14:paraId="032F5700" w14:textId="77777777" w:rsidTr="00F23C35">
        <w:trPr>
          <w:cantSplit/>
          <w:trHeight w:val="240"/>
          <w:tblHeader/>
          <w:jc w:val="center"/>
        </w:trPr>
        <w:tc>
          <w:tcPr>
            <w:tcW w:w="1257" w:type="dxa"/>
            <w:vMerge/>
          </w:tcPr>
          <w:p w14:paraId="0E1C83FE" w14:textId="77777777" w:rsidR="00E2696F" w:rsidRPr="006B0AAC" w:rsidRDefault="00E2696F" w:rsidP="00F23C35">
            <w:pPr>
              <w:rPr>
                <w:b/>
                <w:bCs/>
                <w:sz w:val="16"/>
                <w:szCs w:val="16"/>
              </w:rPr>
            </w:pPr>
          </w:p>
        </w:tc>
        <w:tc>
          <w:tcPr>
            <w:tcW w:w="1803" w:type="dxa"/>
            <w:vAlign w:val="center"/>
          </w:tcPr>
          <w:p w14:paraId="77005DF8" w14:textId="77777777" w:rsidR="00E2696F" w:rsidRPr="006B0AAC" w:rsidRDefault="00E2696F" w:rsidP="00F23C35">
            <w:pPr>
              <w:pStyle w:val="tablecolsubhead"/>
            </w:pPr>
            <w:r w:rsidRPr="006B0AAC">
              <w:t>R</w:t>
            </w:r>
            <w:r w:rsidRPr="006B0AAC">
              <w:rPr>
                <w:vertAlign w:val="superscript"/>
              </w:rPr>
              <w:t>2</w:t>
            </w:r>
          </w:p>
        </w:tc>
        <w:tc>
          <w:tcPr>
            <w:tcW w:w="900" w:type="dxa"/>
            <w:vAlign w:val="center"/>
          </w:tcPr>
          <w:p w14:paraId="6421E3DC" w14:textId="77777777" w:rsidR="00E2696F" w:rsidRPr="006B0AAC" w:rsidRDefault="00E2696F" w:rsidP="00F23C35">
            <w:pPr>
              <w:pStyle w:val="tablecolsubhead"/>
            </w:pPr>
            <w:r w:rsidRPr="006B0AAC">
              <w:t>MSLE</w:t>
            </w:r>
          </w:p>
        </w:tc>
      </w:tr>
      <w:tr w:rsidR="00E2696F" w:rsidRPr="006B0AAC" w14:paraId="70E77B4D" w14:textId="77777777" w:rsidTr="00F23C35">
        <w:trPr>
          <w:trHeight w:val="320"/>
          <w:jc w:val="center"/>
        </w:trPr>
        <w:tc>
          <w:tcPr>
            <w:tcW w:w="1257" w:type="dxa"/>
            <w:vAlign w:val="center"/>
          </w:tcPr>
          <w:p w14:paraId="4A2959F1" w14:textId="77777777" w:rsidR="00E2696F" w:rsidRPr="006B0AAC" w:rsidRDefault="00E2696F" w:rsidP="00F23C35">
            <w:pPr>
              <w:pStyle w:val="tablecopy"/>
              <w:jc w:val="center"/>
              <w:rPr>
                <w:b/>
                <w:bCs/>
                <w:sz w:val="8"/>
                <w:szCs w:val="8"/>
              </w:rPr>
            </w:pPr>
            <w:r w:rsidRPr="006B0AAC">
              <w:rPr>
                <w:b/>
                <w:bCs/>
              </w:rPr>
              <w:t>Hy</w:t>
            </w:r>
            <w:r>
              <w:rPr>
                <w:b/>
                <w:bCs/>
              </w:rPr>
              <w:t>b</w:t>
            </w:r>
            <w:r w:rsidRPr="006B0AAC">
              <w:rPr>
                <w:b/>
                <w:bCs/>
              </w:rPr>
              <w:t>rid</w:t>
            </w:r>
          </w:p>
        </w:tc>
        <w:tc>
          <w:tcPr>
            <w:tcW w:w="1803" w:type="dxa"/>
            <w:vAlign w:val="center"/>
          </w:tcPr>
          <w:p w14:paraId="2F6C3C35" w14:textId="77777777" w:rsidR="00E2696F" w:rsidRPr="006B0AAC" w:rsidRDefault="00E2696F" w:rsidP="00F23C35">
            <w:pPr>
              <w:pStyle w:val="tablecopy"/>
              <w:jc w:val="center"/>
              <w:rPr>
                <w:b/>
                <w:bCs/>
              </w:rPr>
            </w:pPr>
            <w:r w:rsidRPr="006B0AAC">
              <w:rPr>
                <w:b/>
                <w:bCs/>
              </w:rPr>
              <w:t>0.9896</w:t>
            </w:r>
          </w:p>
        </w:tc>
        <w:tc>
          <w:tcPr>
            <w:tcW w:w="900" w:type="dxa"/>
            <w:vAlign w:val="center"/>
          </w:tcPr>
          <w:p w14:paraId="664E9CEF" w14:textId="77777777" w:rsidR="00E2696F" w:rsidRPr="006B0AAC" w:rsidRDefault="00E2696F" w:rsidP="00F23C35">
            <w:pPr>
              <w:rPr>
                <w:b/>
                <w:bCs/>
                <w:sz w:val="16"/>
                <w:szCs w:val="16"/>
              </w:rPr>
            </w:pPr>
            <w:r w:rsidRPr="006B0AAC">
              <w:rPr>
                <w:b/>
                <w:bCs/>
                <w:sz w:val="16"/>
                <w:szCs w:val="16"/>
              </w:rPr>
              <w:t>0.1724</w:t>
            </w:r>
          </w:p>
        </w:tc>
      </w:tr>
      <w:tr w:rsidR="00E2696F" w:rsidRPr="006B0AAC" w14:paraId="12D522B1" w14:textId="77777777" w:rsidTr="00F23C35">
        <w:trPr>
          <w:trHeight w:val="320"/>
          <w:jc w:val="center"/>
        </w:trPr>
        <w:tc>
          <w:tcPr>
            <w:tcW w:w="1257" w:type="dxa"/>
            <w:vAlign w:val="center"/>
          </w:tcPr>
          <w:p w14:paraId="7B722A30" w14:textId="038A0D39" w:rsidR="00E2696F" w:rsidRPr="006B0AAC" w:rsidRDefault="00E2696F" w:rsidP="00F23C35">
            <w:pPr>
              <w:pStyle w:val="tablecopy"/>
              <w:jc w:val="center"/>
              <w:rPr>
                <w:b/>
                <w:bCs/>
              </w:rPr>
            </w:pPr>
            <w:r w:rsidRPr="006B0AAC">
              <w:rPr>
                <w:b/>
                <w:bCs/>
              </w:rPr>
              <w:t>Hyb</w:t>
            </w:r>
            <w:r w:rsidR="009B4C9A">
              <w:rPr>
                <w:b/>
                <w:bCs/>
              </w:rPr>
              <w:t>ri</w:t>
            </w:r>
            <w:r w:rsidRPr="006B0AAC">
              <w:rPr>
                <w:b/>
                <w:bCs/>
              </w:rPr>
              <w:t>d-K fold</w:t>
            </w:r>
          </w:p>
        </w:tc>
        <w:tc>
          <w:tcPr>
            <w:tcW w:w="1803" w:type="dxa"/>
            <w:vAlign w:val="center"/>
          </w:tcPr>
          <w:p w14:paraId="65C95EF5" w14:textId="77777777" w:rsidR="00E2696F" w:rsidRPr="006B0AAC" w:rsidRDefault="00E2696F" w:rsidP="00F23C35">
            <w:pPr>
              <w:pStyle w:val="tablecopy"/>
              <w:jc w:val="center"/>
              <w:rPr>
                <w:b/>
                <w:bCs/>
              </w:rPr>
            </w:pPr>
            <w:r w:rsidRPr="006B0AAC">
              <w:rPr>
                <w:b/>
                <w:bCs/>
              </w:rPr>
              <w:t>0.9903</w:t>
            </w:r>
          </w:p>
        </w:tc>
        <w:tc>
          <w:tcPr>
            <w:tcW w:w="900" w:type="dxa"/>
            <w:vAlign w:val="center"/>
          </w:tcPr>
          <w:p w14:paraId="794CD004" w14:textId="77777777" w:rsidR="00E2696F" w:rsidRPr="006B0AAC" w:rsidRDefault="00E2696F" w:rsidP="00F23C35">
            <w:pPr>
              <w:rPr>
                <w:b/>
                <w:bCs/>
                <w:sz w:val="16"/>
                <w:szCs w:val="16"/>
              </w:rPr>
            </w:pPr>
            <w:r w:rsidRPr="006B0AAC">
              <w:rPr>
                <w:b/>
                <w:bCs/>
                <w:sz w:val="16"/>
                <w:szCs w:val="16"/>
              </w:rPr>
              <w:t>0.1690</w:t>
            </w:r>
          </w:p>
        </w:tc>
      </w:tr>
    </w:tbl>
    <w:p w14:paraId="68801751" w14:textId="77777777" w:rsidR="00E2696F" w:rsidRPr="00573A02" w:rsidRDefault="00E2696F" w:rsidP="00573A02">
      <w:pPr>
        <w:ind w:firstLine="360"/>
        <w:jc w:val="both"/>
      </w:pPr>
    </w:p>
    <w:p w14:paraId="5C534821" w14:textId="77777777" w:rsidR="00390774" w:rsidRPr="002B7603" w:rsidRDefault="00390774" w:rsidP="00573A02">
      <w:pPr>
        <w:ind w:firstLine="360"/>
        <w:jc w:val="both"/>
      </w:pPr>
    </w:p>
    <w:p w14:paraId="0A100525" w14:textId="77777777" w:rsidR="001D49CE" w:rsidRDefault="001D49CE" w:rsidP="001D49CE">
      <w:pPr>
        <w:keepNext/>
        <w:jc w:val="left"/>
      </w:pPr>
      <w:r w:rsidRPr="009009AE">
        <w:rPr>
          <w:rFonts w:eastAsia="Times New Roman"/>
          <w:noProof/>
          <w:spacing w:val="5"/>
          <w:kern w:val="1"/>
          <w:sz w:val="16"/>
          <w:szCs w:val="16"/>
        </w:rPr>
        <w:drawing>
          <wp:inline distT="0" distB="0" distL="0" distR="0" wp14:anchorId="37040972" wp14:editId="56A9A9B7">
            <wp:extent cx="2938106" cy="1603375"/>
            <wp:effectExtent l="0" t="0" r="0" b="0"/>
            <wp:docPr id="210232665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26654" name="Picture 1" descr="A graph with a li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38106" cy="1603375"/>
                    </a:xfrm>
                    <a:prstGeom prst="rect">
                      <a:avLst/>
                    </a:prstGeom>
                  </pic:spPr>
                </pic:pic>
              </a:graphicData>
            </a:graphic>
          </wp:inline>
        </w:drawing>
      </w:r>
    </w:p>
    <w:p w14:paraId="0CBA2567" w14:textId="5D02F0D0" w:rsidR="002B7603" w:rsidRPr="00180C49" w:rsidRDefault="001D49CE" w:rsidP="00180C49">
      <w:pPr>
        <w:widowControl w:val="0"/>
        <w:autoSpaceDE w:val="0"/>
        <w:autoSpaceDN w:val="0"/>
        <w:adjustRightInd w:val="0"/>
        <w:spacing w:before="120" w:line="226" w:lineRule="auto"/>
        <w:rPr>
          <w:rFonts w:eastAsia="Times New Roman"/>
          <w:spacing w:val="5"/>
          <w:kern w:val="1"/>
          <w:sz w:val="16"/>
          <w:szCs w:val="16"/>
        </w:rPr>
      </w:pPr>
      <w:r w:rsidRPr="00180C49">
        <w:rPr>
          <w:rFonts w:eastAsia="Times New Roman"/>
          <w:spacing w:val="5"/>
          <w:kern w:val="1"/>
          <w:sz w:val="16"/>
          <w:szCs w:val="16"/>
        </w:rPr>
        <w:t xml:space="preserve">Figure </w:t>
      </w:r>
      <w:r w:rsidRPr="00180C49">
        <w:rPr>
          <w:rFonts w:eastAsia="Times New Roman"/>
          <w:spacing w:val="5"/>
          <w:kern w:val="1"/>
          <w:sz w:val="16"/>
          <w:szCs w:val="16"/>
        </w:rPr>
        <w:fldChar w:fldCharType="begin"/>
      </w:r>
      <w:r w:rsidRPr="00180C49">
        <w:rPr>
          <w:rFonts w:eastAsia="Times New Roman"/>
          <w:spacing w:val="5"/>
          <w:kern w:val="1"/>
          <w:sz w:val="16"/>
          <w:szCs w:val="16"/>
        </w:rPr>
        <w:instrText xml:space="preserve"> SEQ Figure \* ARABIC </w:instrText>
      </w:r>
      <w:r w:rsidRPr="00180C49">
        <w:rPr>
          <w:rFonts w:eastAsia="Times New Roman"/>
          <w:spacing w:val="5"/>
          <w:kern w:val="1"/>
          <w:sz w:val="16"/>
          <w:szCs w:val="16"/>
        </w:rPr>
        <w:fldChar w:fldCharType="separate"/>
      </w:r>
      <w:r w:rsidR="004B73AF">
        <w:rPr>
          <w:rFonts w:eastAsia="Times New Roman"/>
          <w:noProof/>
          <w:spacing w:val="5"/>
          <w:kern w:val="1"/>
          <w:sz w:val="16"/>
          <w:szCs w:val="16"/>
        </w:rPr>
        <w:t>5</w:t>
      </w:r>
      <w:r w:rsidRPr="00180C49">
        <w:rPr>
          <w:rFonts w:eastAsia="Times New Roman"/>
          <w:spacing w:val="5"/>
          <w:kern w:val="1"/>
          <w:sz w:val="16"/>
          <w:szCs w:val="16"/>
        </w:rPr>
        <w:fldChar w:fldCharType="end"/>
      </w:r>
      <w:r w:rsidRPr="00180C49">
        <w:rPr>
          <w:rFonts w:eastAsia="Times New Roman"/>
          <w:spacing w:val="5"/>
          <w:kern w:val="1"/>
          <w:sz w:val="16"/>
          <w:szCs w:val="16"/>
        </w:rPr>
        <w:t xml:space="preserve"> Training and validation MSLE</w:t>
      </w:r>
    </w:p>
    <w:p w14:paraId="43C98907" w14:textId="77777777" w:rsidR="006D5FBE" w:rsidRPr="00C7232C" w:rsidRDefault="006D5FBE" w:rsidP="006D5FBE">
      <w:pPr>
        <w:ind w:firstLine="720"/>
        <w:jc w:val="left"/>
      </w:pPr>
    </w:p>
    <w:p w14:paraId="7B93653D" w14:textId="77777777" w:rsidR="00DC6CF8" w:rsidRDefault="00DC6CF8" w:rsidP="0041646F">
      <w:pPr>
        <w:keepNext/>
      </w:pPr>
      <w:r w:rsidRPr="00DC6CF8">
        <w:rPr>
          <w:noProof/>
        </w:rPr>
        <w:lastRenderedPageBreak/>
        <w:drawing>
          <wp:inline distT="0" distB="0" distL="0" distR="0" wp14:anchorId="39F44AE2" wp14:editId="233A77A7">
            <wp:extent cx="2762194" cy="1761714"/>
            <wp:effectExtent l="0" t="0" r="635" b="0"/>
            <wp:docPr id="60916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67447"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62194" cy="1761714"/>
                    </a:xfrm>
                    <a:prstGeom prst="rect">
                      <a:avLst/>
                    </a:prstGeom>
                  </pic:spPr>
                </pic:pic>
              </a:graphicData>
            </a:graphic>
          </wp:inline>
        </w:drawing>
      </w:r>
    </w:p>
    <w:p w14:paraId="736A5600" w14:textId="37A3A664" w:rsidR="00126452" w:rsidRDefault="00DC6CF8" w:rsidP="00DC6CF8">
      <w:pPr>
        <w:widowControl w:val="0"/>
        <w:autoSpaceDE w:val="0"/>
        <w:autoSpaceDN w:val="0"/>
        <w:adjustRightInd w:val="0"/>
        <w:spacing w:before="120" w:line="226" w:lineRule="auto"/>
        <w:rPr>
          <w:rFonts w:eastAsia="Times New Roman"/>
          <w:spacing w:val="5"/>
          <w:kern w:val="1"/>
          <w:sz w:val="16"/>
          <w:szCs w:val="16"/>
        </w:rPr>
      </w:pPr>
      <w:r w:rsidRPr="00DC6CF8">
        <w:rPr>
          <w:rFonts w:eastAsia="Times New Roman"/>
          <w:spacing w:val="5"/>
          <w:kern w:val="1"/>
          <w:sz w:val="16"/>
          <w:szCs w:val="16"/>
        </w:rPr>
        <w:t xml:space="preserve">Figure </w:t>
      </w:r>
      <w:r w:rsidRPr="00DC6CF8">
        <w:rPr>
          <w:rFonts w:eastAsia="Times New Roman"/>
          <w:spacing w:val="5"/>
          <w:kern w:val="1"/>
          <w:sz w:val="16"/>
          <w:szCs w:val="16"/>
        </w:rPr>
        <w:fldChar w:fldCharType="begin"/>
      </w:r>
      <w:r w:rsidRPr="00DC6CF8">
        <w:rPr>
          <w:rFonts w:eastAsia="Times New Roman"/>
          <w:spacing w:val="5"/>
          <w:kern w:val="1"/>
          <w:sz w:val="16"/>
          <w:szCs w:val="16"/>
        </w:rPr>
        <w:instrText xml:space="preserve"> SEQ Figure \* ARABIC </w:instrText>
      </w:r>
      <w:r w:rsidRPr="00DC6CF8">
        <w:rPr>
          <w:rFonts w:eastAsia="Times New Roman"/>
          <w:spacing w:val="5"/>
          <w:kern w:val="1"/>
          <w:sz w:val="16"/>
          <w:szCs w:val="16"/>
        </w:rPr>
        <w:fldChar w:fldCharType="separate"/>
      </w:r>
      <w:r w:rsidR="004B73AF">
        <w:rPr>
          <w:rFonts w:eastAsia="Times New Roman"/>
          <w:noProof/>
          <w:spacing w:val="5"/>
          <w:kern w:val="1"/>
          <w:sz w:val="16"/>
          <w:szCs w:val="16"/>
        </w:rPr>
        <w:t>6</w:t>
      </w:r>
      <w:r w:rsidRPr="00DC6CF8">
        <w:rPr>
          <w:rFonts w:eastAsia="Times New Roman"/>
          <w:spacing w:val="5"/>
          <w:kern w:val="1"/>
          <w:sz w:val="16"/>
          <w:szCs w:val="16"/>
        </w:rPr>
        <w:fldChar w:fldCharType="end"/>
      </w:r>
      <w:r w:rsidRPr="00DC6CF8">
        <w:rPr>
          <w:rFonts w:eastAsia="Times New Roman"/>
          <w:spacing w:val="5"/>
          <w:kern w:val="1"/>
          <w:sz w:val="16"/>
          <w:szCs w:val="16"/>
        </w:rPr>
        <w:t xml:space="preserve"> Final prediction vs actual values</w:t>
      </w:r>
    </w:p>
    <w:p w14:paraId="5ABFCA88" w14:textId="77777777" w:rsidR="00071BB1" w:rsidRDefault="00071BB1" w:rsidP="00DC6CF8">
      <w:pPr>
        <w:widowControl w:val="0"/>
        <w:autoSpaceDE w:val="0"/>
        <w:autoSpaceDN w:val="0"/>
        <w:adjustRightInd w:val="0"/>
        <w:spacing w:before="120" w:line="226" w:lineRule="auto"/>
        <w:rPr>
          <w:rFonts w:eastAsia="Times New Roman"/>
          <w:spacing w:val="5"/>
          <w:kern w:val="1"/>
          <w:sz w:val="16"/>
          <w:szCs w:val="16"/>
        </w:rPr>
      </w:pPr>
    </w:p>
    <w:p w14:paraId="6C32E501" w14:textId="77777777" w:rsidR="00DE54EA" w:rsidRDefault="00573A02" w:rsidP="00DE54EA">
      <w:pPr>
        <w:keepNext/>
        <w:widowControl w:val="0"/>
        <w:autoSpaceDE w:val="0"/>
        <w:autoSpaceDN w:val="0"/>
        <w:adjustRightInd w:val="0"/>
        <w:spacing w:before="120" w:line="226" w:lineRule="auto"/>
      </w:pPr>
      <w:r w:rsidRPr="004E30EC">
        <w:rPr>
          <w:rFonts w:eastAsia="Times New Roman"/>
          <w:noProof/>
          <w:spacing w:val="5"/>
          <w:kern w:val="1"/>
          <w:sz w:val="16"/>
          <w:szCs w:val="16"/>
        </w:rPr>
        <w:drawing>
          <wp:inline distT="0" distB="0" distL="0" distR="0" wp14:anchorId="34B84BC4" wp14:editId="4D3A4BF2">
            <wp:extent cx="2984500" cy="1963420"/>
            <wp:effectExtent l="0" t="0" r="6350" b="0"/>
            <wp:docPr id="1950676783" name="Picture 1"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76783" name="Picture 1" descr="A graph with a line and a line&#10;&#10;Description automatically generated"/>
                    <pic:cNvPicPr/>
                  </pic:nvPicPr>
                  <pic:blipFill>
                    <a:blip r:embed="rId15"/>
                    <a:stretch>
                      <a:fillRect/>
                    </a:stretch>
                  </pic:blipFill>
                  <pic:spPr>
                    <a:xfrm>
                      <a:off x="0" y="0"/>
                      <a:ext cx="2984500" cy="1963420"/>
                    </a:xfrm>
                    <a:prstGeom prst="rect">
                      <a:avLst/>
                    </a:prstGeom>
                  </pic:spPr>
                </pic:pic>
              </a:graphicData>
            </a:graphic>
          </wp:inline>
        </w:drawing>
      </w:r>
    </w:p>
    <w:p w14:paraId="0889B58C" w14:textId="11BD76B6" w:rsidR="00DC6CF8" w:rsidRDefault="00DE54EA" w:rsidP="00DE54EA">
      <w:pPr>
        <w:widowControl w:val="0"/>
        <w:autoSpaceDE w:val="0"/>
        <w:autoSpaceDN w:val="0"/>
        <w:adjustRightInd w:val="0"/>
        <w:spacing w:before="120" w:line="226" w:lineRule="auto"/>
        <w:rPr>
          <w:rFonts w:eastAsia="Times New Roman"/>
          <w:spacing w:val="5"/>
          <w:kern w:val="1"/>
          <w:sz w:val="16"/>
          <w:szCs w:val="16"/>
        </w:rPr>
      </w:pPr>
      <w:r w:rsidRPr="00DE54EA">
        <w:rPr>
          <w:rFonts w:eastAsia="Times New Roman"/>
          <w:spacing w:val="5"/>
          <w:kern w:val="1"/>
          <w:sz w:val="16"/>
          <w:szCs w:val="16"/>
        </w:rPr>
        <w:t xml:space="preserve">Figure </w:t>
      </w:r>
      <w:r w:rsidRPr="00DE54EA">
        <w:rPr>
          <w:rFonts w:eastAsia="Times New Roman"/>
          <w:spacing w:val="5"/>
          <w:kern w:val="1"/>
          <w:sz w:val="16"/>
          <w:szCs w:val="16"/>
        </w:rPr>
        <w:fldChar w:fldCharType="begin"/>
      </w:r>
      <w:r w:rsidRPr="00DE54EA">
        <w:rPr>
          <w:rFonts w:eastAsia="Times New Roman"/>
          <w:spacing w:val="5"/>
          <w:kern w:val="1"/>
          <w:sz w:val="16"/>
          <w:szCs w:val="16"/>
        </w:rPr>
        <w:instrText xml:space="preserve"> SEQ Figure \* ARABIC </w:instrText>
      </w:r>
      <w:r w:rsidRPr="00DE54EA">
        <w:rPr>
          <w:rFonts w:eastAsia="Times New Roman"/>
          <w:spacing w:val="5"/>
          <w:kern w:val="1"/>
          <w:sz w:val="16"/>
          <w:szCs w:val="16"/>
        </w:rPr>
        <w:fldChar w:fldCharType="separate"/>
      </w:r>
      <w:r w:rsidR="004B73AF">
        <w:rPr>
          <w:rFonts w:eastAsia="Times New Roman"/>
          <w:noProof/>
          <w:spacing w:val="5"/>
          <w:kern w:val="1"/>
          <w:sz w:val="16"/>
          <w:szCs w:val="16"/>
        </w:rPr>
        <w:t>7</w:t>
      </w:r>
      <w:r w:rsidRPr="00DE54EA">
        <w:rPr>
          <w:rFonts w:eastAsia="Times New Roman"/>
          <w:spacing w:val="5"/>
          <w:kern w:val="1"/>
          <w:sz w:val="16"/>
          <w:szCs w:val="16"/>
        </w:rPr>
        <w:fldChar w:fldCharType="end"/>
      </w:r>
      <w:r w:rsidRPr="00DE54EA">
        <w:rPr>
          <w:rFonts w:eastAsia="Times New Roman"/>
          <w:spacing w:val="5"/>
          <w:kern w:val="1"/>
          <w:sz w:val="16"/>
          <w:szCs w:val="16"/>
        </w:rPr>
        <w:t xml:space="preserve"> Sensitivity test </w:t>
      </w:r>
      <w:r w:rsidR="00BB7253" w:rsidRPr="00DE54EA">
        <w:rPr>
          <w:rFonts w:eastAsia="Times New Roman"/>
          <w:spacing w:val="5"/>
          <w:kern w:val="1"/>
          <w:sz w:val="16"/>
          <w:szCs w:val="16"/>
        </w:rPr>
        <w:t>results.</w:t>
      </w:r>
    </w:p>
    <w:p w14:paraId="5604A7BC" w14:textId="77777777" w:rsidR="00573A02" w:rsidRDefault="00573A02" w:rsidP="00DC6CF8">
      <w:pPr>
        <w:widowControl w:val="0"/>
        <w:autoSpaceDE w:val="0"/>
        <w:autoSpaceDN w:val="0"/>
        <w:adjustRightInd w:val="0"/>
        <w:spacing w:before="120" w:line="226" w:lineRule="auto"/>
        <w:rPr>
          <w:rFonts w:eastAsia="Times New Roman"/>
          <w:spacing w:val="5"/>
          <w:kern w:val="1"/>
          <w:sz w:val="16"/>
          <w:szCs w:val="16"/>
        </w:rPr>
      </w:pPr>
    </w:p>
    <w:p w14:paraId="1E31E7AE" w14:textId="742BBC5D" w:rsidR="004E30EC" w:rsidRPr="00DC6CF8" w:rsidRDefault="004E30EC" w:rsidP="00DC6CF8">
      <w:pPr>
        <w:widowControl w:val="0"/>
        <w:autoSpaceDE w:val="0"/>
        <w:autoSpaceDN w:val="0"/>
        <w:adjustRightInd w:val="0"/>
        <w:spacing w:before="120" w:line="226" w:lineRule="auto"/>
        <w:rPr>
          <w:rFonts w:eastAsia="Times New Roman"/>
          <w:spacing w:val="5"/>
          <w:kern w:val="1"/>
          <w:sz w:val="16"/>
          <w:szCs w:val="16"/>
        </w:rPr>
      </w:pPr>
    </w:p>
    <w:p w14:paraId="3B2EA172" w14:textId="6C58183B" w:rsidR="0041646F" w:rsidRDefault="0041646F" w:rsidP="0041646F">
      <w:pPr>
        <w:pStyle w:val="Heading1"/>
      </w:pPr>
      <w:r>
        <w:t>Conclusion and future works</w:t>
      </w:r>
    </w:p>
    <w:p w14:paraId="75438ABE" w14:textId="621C0DF2" w:rsidR="0041646F" w:rsidRDefault="009B4C9A" w:rsidP="009B4C9A">
      <w:pPr>
        <w:ind w:firstLine="288"/>
        <w:jc w:val="both"/>
      </w:pPr>
      <w:r>
        <w:t xml:space="preserve">The research undertaken presents a compelling narrative on enhancing wind power generation forecasting through an innovative hybrid ML framework, by integrating solar and other environmental factors and the comprehensive MERRA-2 dataset. </w:t>
      </w:r>
    </w:p>
    <w:p w14:paraId="387E09CF" w14:textId="7E05D37E" w:rsidR="009B4C9A" w:rsidRDefault="009B4C9A" w:rsidP="009B4C9A">
      <w:pPr>
        <w:ind w:firstLine="288"/>
        <w:jc w:val="both"/>
      </w:pPr>
      <w:r>
        <w:t>The architecture of the proposed model, combining the strength of ANN, LSTM, and SVR, leads to more reliable and precise forecasting. The results underscore the model’s robustness throughout this process. R</w:t>
      </w:r>
      <w:r w:rsidRPr="009B4C9A">
        <w:t>2</w:t>
      </w:r>
      <w:r>
        <w:t xml:space="preserve"> and MSLE have been used in this work, alongside the implementation of K-fold cross-validation. The sensitivity analysis, revealed the model's adaptability to varying input parameters, particularly within SVR, by considering different ‘epsilons’. Using this method, evaluate the model flexibility and responsiveness against the input variations. </w:t>
      </w:r>
    </w:p>
    <w:p w14:paraId="7F081B4F" w14:textId="343A3B55" w:rsidR="009B4C9A" w:rsidRDefault="009B4C9A" w:rsidP="009B4C9A">
      <w:pPr>
        <w:ind w:firstLine="288"/>
        <w:jc w:val="both"/>
      </w:pPr>
      <w:r>
        <w:t xml:space="preserve">Looking ahead, the foundation of this work could pave the way for several directions in RE forecasting. Future works could explore the integration of additional predictive features to elevate the model's accuracy. The exploration of alternative ML models, or various hybrid ones, could offer new perspectives on forecasting challenges. Moreover, the scalability of this study model invites investigation through different geographical locations and integration of other turbines, broadening the scope of RE management. </w:t>
      </w:r>
    </w:p>
    <w:p w14:paraId="5D94FA92" w14:textId="77777777" w:rsidR="006E4951" w:rsidRDefault="006E4951" w:rsidP="009B4C9A">
      <w:pPr>
        <w:ind w:firstLine="288"/>
        <w:jc w:val="both"/>
      </w:pPr>
    </w:p>
    <w:p w14:paraId="1B14E3DC" w14:textId="77777777" w:rsidR="006E4951" w:rsidRPr="009B4C9A" w:rsidRDefault="006E4951" w:rsidP="009B4C9A">
      <w:pPr>
        <w:ind w:firstLine="288"/>
        <w:jc w:val="both"/>
      </w:pPr>
    </w:p>
    <w:p w14:paraId="0C03AD70" w14:textId="77777777" w:rsidR="009303D9" w:rsidRDefault="009303D9" w:rsidP="00A059B3">
      <w:pPr>
        <w:pStyle w:val="Heading5"/>
      </w:pPr>
      <w:r w:rsidRPr="005B520E">
        <w:t>References</w:t>
      </w:r>
    </w:p>
    <w:p w14:paraId="0C66AB31" w14:textId="77777777" w:rsidR="00F21BAB" w:rsidRPr="00F21BAB" w:rsidRDefault="0041646F" w:rsidP="00F21BAB">
      <w:pPr>
        <w:pStyle w:val="Bibliography"/>
      </w:pPr>
      <w:r>
        <w:fldChar w:fldCharType="begin"/>
      </w:r>
      <w:r w:rsidR="00A203EF">
        <w:instrText xml:space="preserve"> ADDIN ZOTERO_BIBL {"uncited":[],"omitted":[],"custom":[]} CSL_BIBLIOGRAPHY </w:instrText>
      </w:r>
      <w:r>
        <w:fldChar w:fldCharType="separate"/>
      </w:r>
      <w:r w:rsidR="00F21BAB" w:rsidRPr="00F21BAB">
        <w:t>[1]</w:t>
      </w:r>
      <w:r w:rsidR="00F21BAB" w:rsidRPr="00F21BAB">
        <w:tab/>
        <w:t xml:space="preserve">G. Vishnu, D. Kaliyaperumal, P. B. Pati, A. Karthick, N. Subbanna, and A. Ghosh, “Short-Term Forecasting of Electric Vehicle Load Using Time Series, Machine Learning, and Deep Learning Techniques,” </w:t>
      </w:r>
      <w:r w:rsidR="00F21BAB" w:rsidRPr="00F21BAB">
        <w:rPr>
          <w:i/>
          <w:iCs/>
        </w:rPr>
        <w:t>WEVJ</w:t>
      </w:r>
      <w:r w:rsidR="00F21BAB" w:rsidRPr="00F21BAB">
        <w:t>, vol. 14, no. 9, p. 266, Sep. 2023, doi: 10.3390/wevj14090266.</w:t>
      </w:r>
    </w:p>
    <w:p w14:paraId="59C224CE" w14:textId="77777777" w:rsidR="00F21BAB" w:rsidRPr="00F21BAB" w:rsidRDefault="00F21BAB" w:rsidP="00F21BAB">
      <w:pPr>
        <w:pStyle w:val="Bibliography"/>
      </w:pPr>
      <w:r w:rsidRPr="00F21BAB">
        <w:t>[2]</w:t>
      </w:r>
      <w:r w:rsidRPr="00F21BAB">
        <w:tab/>
        <w:t xml:space="preserve">H. Rathore, H. K. Meena, and P. Jain, “Prediction of EV Energy consumption Using Random Forest And XGBoost,” in </w:t>
      </w:r>
      <w:r w:rsidRPr="00F21BAB">
        <w:rPr>
          <w:i/>
          <w:iCs/>
        </w:rPr>
        <w:t>2023 International Conference on Power Electronics and Energy (ICPEE)</w:t>
      </w:r>
      <w:r w:rsidRPr="00F21BAB">
        <w:t>, Bhubaneswar, India: IEEE, Jan. 2023, pp. 1–6. doi: 10.1109/ICPEE54198.2023.10060798.</w:t>
      </w:r>
    </w:p>
    <w:p w14:paraId="080AE0E9" w14:textId="77777777" w:rsidR="00F21BAB" w:rsidRPr="00F21BAB" w:rsidRDefault="00F21BAB" w:rsidP="00F21BAB">
      <w:pPr>
        <w:pStyle w:val="Bibliography"/>
      </w:pPr>
      <w:r w:rsidRPr="00F21BAB">
        <w:t>[3]</w:t>
      </w:r>
      <w:r w:rsidRPr="00F21BAB">
        <w:tab/>
        <w:t xml:space="preserve">N. E. Benti, M. D. Chaka, and A. G. Semie, “Forecasting Renewable Energy Generation with Machine Learning and Deep Learning: Current Advances and Future Prospects,” </w:t>
      </w:r>
      <w:r w:rsidRPr="00F21BAB">
        <w:rPr>
          <w:i/>
          <w:iCs/>
        </w:rPr>
        <w:t>Sustainability</w:t>
      </w:r>
      <w:r w:rsidRPr="00F21BAB">
        <w:t>, vol. 15, no. 9, p. 7087, Apr. 2023, doi: 10.3390/su15097087.</w:t>
      </w:r>
    </w:p>
    <w:p w14:paraId="2462F79B" w14:textId="77777777" w:rsidR="00F21BAB" w:rsidRPr="00F21BAB" w:rsidRDefault="00F21BAB" w:rsidP="00F21BAB">
      <w:pPr>
        <w:pStyle w:val="Bibliography"/>
      </w:pPr>
      <w:r w:rsidRPr="00F21BAB">
        <w:t>[4]</w:t>
      </w:r>
      <w:r w:rsidRPr="00F21BAB">
        <w:tab/>
        <w:t xml:space="preserve">S. Jumah, A. Elezab, O. Zayed, R. Ahmed, M. Narimani, and A. Emadi, “State of Charge Estimation for EV Batteries Using Support Vector Regression,” in </w:t>
      </w:r>
      <w:r w:rsidRPr="00F21BAB">
        <w:rPr>
          <w:i/>
          <w:iCs/>
        </w:rPr>
        <w:t>2022 IEEE Transportation Electrification Conference &amp; Expo (ITEC)</w:t>
      </w:r>
      <w:r w:rsidRPr="00F21BAB">
        <w:t>, Anaheim, CA, USA: IEEE, Jun. 2022, pp. 964–969. doi: 10.1109/ITEC53557.2022.9813811.</w:t>
      </w:r>
    </w:p>
    <w:p w14:paraId="03C1A830" w14:textId="77777777" w:rsidR="00F21BAB" w:rsidRPr="00F21BAB" w:rsidRDefault="00F21BAB" w:rsidP="00F21BAB">
      <w:pPr>
        <w:pStyle w:val="Bibliography"/>
      </w:pPr>
      <w:r w:rsidRPr="00F21BAB">
        <w:t>[5]</w:t>
      </w:r>
      <w:r w:rsidRPr="00F21BAB">
        <w:tab/>
        <w:t xml:space="preserve">H.-A. I. El-Azab, R. A. Swief, N. H. El-Amary, and H. K. Temraz, “Seasonal electric vehicle forecasting model based on machine learning and deep learning techniques,” </w:t>
      </w:r>
      <w:r w:rsidRPr="00F21BAB">
        <w:rPr>
          <w:i/>
          <w:iCs/>
        </w:rPr>
        <w:t>Energy and AI</w:t>
      </w:r>
      <w:r w:rsidRPr="00F21BAB">
        <w:t>, vol. 14, p. 100285, Oct. 2023, doi: 10.1016/j.egyai.2023.100285.</w:t>
      </w:r>
    </w:p>
    <w:p w14:paraId="375DF9BA" w14:textId="77777777" w:rsidR="00F21BAB" w:rsidRPr="00F21BAB" w:rsidRDefault="00F21BAB" w:rsidP="00F21BAB">
      <w:pPr>
        <w:pStyle w:val="Bibliography"/>
      </w:pPr>
      <w:r w:rsidRPr="00F21BAB">
        <w:t>[6]</w:t>
      </w:r>
      <w:r w:rsidRPr="00F21BAB">
        <w:tab/>
        <w:t xml:space="preserve">M. A. P. Mahmud and S. H. Farjana, “Comparative life cycle environmental impact assessment of renewable electricity generation systems: A practical approach towards Europe, North America and Oceania,” </w:t>
      </w:r>
      <w:r w:rsidRPr="00F21BAB">
        <w:rPr>
          <w:i/>
          <w:iCs/>
        </w:rPr>
        <w:t>Renewable Energy</w:t>
      </w:r>
      <w:r w:rsidRPr="00F21BAB">
        <w:t>, vol. 193, pp. 1106–1120, Jun. 2022, doi: 10.1016/j.renene.2022.05.031.</w:t>
      </w:r>
    </w:p>
    <w:p w14:paraId="2B422891" w14:textId="77777777" w:rsidR="00F21BAB" w:rsidRPr="00F21BAB" w:rsidRDefault="00F21BAB" w:rsidP="00F21BAB">
      <w:pPr>
        <w:pStyle w:val="Bibliography"/>
      </w:pPr>
      <w:r w:rsidRPr="00F21BAB">
        <w:t>[7]</w:t>
      </w:r>
      <w:r w:rsidRPr="00F21BAB">
        <w:tab/>
        <w:t xml:space="preserve">K. L. Jorgensen and H. R. Shaker, “Wind Power Forecasting Using Machine Learning: State of the Art, Trends and Challenges,” in </w:t>
      </w:r>
      <w:r w:rsidRPr="00F21BAB">
        <w:rPr>
          <w:i/>
          <w:iCs/>
        </w:rPr>
        <w:t>2020 IEEE 8th International Conference on Smart Energy Grid Engineering (SEGE)</w:t>
      </w:r>
      <w:r w:rsidRPr="00F21BAB">
        <w:t>, Oshawa, ON, Canada: IEEE, Aug. 2020, pp. 44–50. doi: 10.1109/SEGE49949.2020.9181870.</w:t>
      </w:r>
    </w:p>
    <w:p w14:paraId="241B0DE8" w14:textId="77777777" w:rsidR="00F21BAB" w:rsidRPr="00F21BAB" w:rsidRDefault="00F21BAB" w:rsidP="00F21BAB">
      <w:pPr>
        <w:pStyle w:val="Bibliography"/>
      </w:pPr>
      <w:r w:rsidRPr="00F21BAB">
        <w:t>[8]</w:t>
      </w:r>
      <w:r w:rsidRPr="00F21BAB">
        <w:tab/>
        <w:t xml:space="preserve">I. Rahimi, M. R. Nikoo, and A. H. Gandomi, “Techno-economic analysis for using hybrid wind and solar energies in Australia,” </w:t>
      </w:r>
      <w:r w:rsidRPr="00F21BAB">
        <w:rPr>
          <w:i/>
          <w:iCs/>
        </w:rPr>
        <w:t>Energy Strategy Reviews</w:t>
      </w:r>
      <w:r w:rsidRPr="00F21BAB">
        <w:t>, vol. 47, p. 101092, May 2023, doi: 10.1016/j.esr.2023.101092.</w:t>
      </w:r>
    </w:p>
    <w:p w14:paraId="3CF13ED8" w14:textId="77777777" w:rsidR="00F21BAB" w:rsidRPr="00F21BAB" w:rsidRDefault="00F21BAB" w:rsidP="00F21BAB">
      <w:pPr>
        <w:pStyle w:val="Bibliography"/>
      </w:pPr>
      <w:r w:rsidRPr="00F21BAB">
        <w:t>[9]</w:t>
      </w:r>
      <w:r w:rsidRPr="00F21BAB">
        <w:tab/>
        <w:t xml:space="preserve">F. Fattori, N. Anglani, I. Staffell, and S. Pfenninger, “High solar photovoltaic penetration in the absence of substantial wind capacity: Storage requirements and effects on capacity adequacy,” </w:t>
      </w:r>
      <w:r w:rsidRPr="00F21BAB">
        <w:rPr>
          <w:i/>
          <w:iCs/>
        </w:rPr>
        <w:t>Energy</w:t>
      </w:r>
      <w:r w:rsidRPr="00F21BAB">
        <w:t>, vol. 137, pp. 193–208, Oct. 2017, doi: 10.1016/j.energy.2017.07.007.</w:t>
      </w:r>
    </w:p>
    <w:p w14:paraId="0E04BBD7" w14:textId="77777777" w:rsidR="00F21BAB" w:rsidRPr="00F21BAB" w:rsidRDefault="00F21BAB" w:rsidP="00F21BAB">
      <w:pPr>
        <w:pStyle w:val="Bibliography"/>
      </w:pPr>
      <w:r w:rsidRPr="00F21BAB">
        <w:t>[10]</w:t>
      </w:r>
      <w:r w:rsidRPr="00F21BAB">
        <w:tab/>
        <w:t>“Renewable.ninja.” Jan. 27, 2024. Accessed: Jan. 27, 2024. [Online]. Available: https://www.renewables.ninja</w:t>
      </w:r>
    </w:p>
    <w:p w14:paraId="66A6D2A3" w14:textId="77777777" w:rsidR="00F21BAB" w:rsidRPr="00F21BAB" w:rsidRDefault="00F21BAB" w:rsidP="00F21BAB">
      <w:pPr>
        <w:pStyle w:val="Bibliography"/>
      </w:pPr>
      <w:r w:rsidRPr="00F21BAB">
        <w:t>[11]</w:t>
      </w:r>
      <w:r w:rsidRPr="00F21BAB">
        <w:tab/>
        <w:t xml:space="preserve">S. M. Valdivia-Bautista, J. A. Domínguez-Navarro, M. Pérez-Cisneros, C. J. Vega-Gómez, and B. Castillo-Téllez, “Artificial Intelligence in Wind </w:t>
      </w:r>
      <w:r w:rsidRPr="00F21BAB">
        <w:lastRenderedPageBreak/>
        <w:t xml:space="preserve">Speed Forecasting: A Review,” </w:t>
      </w:r>
      <w:r w:rsidRPr="00F21BAB">
        <w:rPr>
          <w:i/>
          <w:iCs/>
        </w:rPr>
        <w:t>Energies</w:t>
      </w:r>
      <w:r w:rsidRPr="00F21BAB">
        <w:t>, vol. 16, no. 5, p. 2457, Mar. 2023, doi: 10.3390/en16052457.</w:t>
      </w:r>
    </w:p>
    <w:p w14:paraId="28EBA583" w14:textId="77777777" w:rsidR="00F21BAB" w:rsidRPr="00F21BAB" w:rsidRDefault="00F21BAB" w:rsidP="00F21BAB">
      <w:pPr>
        <w:pStyle w:val="Bibliography"/>
      </w:pPr>
      <w:r w:rsidRPr="00F21BAB">
        <w:t>[12]</w:t>
      </w:r>
      <w:r w:rsidRPr="00F21BAB">
        <w:tab/>
        <w:t xml:space="preserve">L.-L. Li, X. Zhao, M.-L. Tseng, and R. R. Tan, “Short-term wind power forecasting based on support vector machine with improved dragonfly algorithm,” </w:t>
      </w:r>
      <w:r w:rsidRPr="00F21BAB">
        <w:rPr>
          <w:i/>
          <w:iCs/>
        </w:rPr>
        <w:t>Journal of Cleaner Production</w:t>
      </w:r>
      <w:r w:rsidRPr="00F21BAB">
        <w:t>, vol. 242, p. 118447, Jan. 2020, doi: 10.1016/j.jclepro.2019.118447.</w:t>
      </w:r>
    </w:p>
    <w:p w14:paraId="73395473" w14:textId="77777777" w:rsidR="00F21BAB" w:rsidRPr="00F21BAB" w:rsidRDefault="00F21BAB" w:rsidP="00F21BAB">
      <w:pPr>
        <w:pStyle w:val="Bibliography"/>
      </w:pPr>
      <w:r w:rsidRPr="00F21BAB">
        <w:t>[13]</w:t>
      </w:r>
      <w:r w:rsidRPr="00F21BAB">
        <w:tab/>
        <w:t xml:space="preserve">F. Shahid, A. Zameer, and M. Muneeb, “A novel genetic LSTM model for wind power forecast,” </w:t>
      </w:r>
      <w:r w:rsidRPr="00F21BAB">
        <w:rPr>
          <w:i/>
          <w:iCs/>
        </w:rPr>
        <w:t>Energy</w:t>
      </w:r>
      <w:r w:rsidRPr="00F21BAB">
        <w:t>, vol. 223, p. 120069, May 2021, doi: 10.1016/j.energy.2021.120069.</w:t>
      </w:r>
    </w:p>
    <w:p w14:paraId="7969B304" w14:textId="77777777" w:rsidR="00F21BAB" w:rsidRPr="00F21BAB" w:rsidRDefault="00F21BAB" w:rsidP="00F21BAB">
      <w:pPr>
        <w:pStyle w:val="Bibliography"/>
      </w:pPr>
      <w:r w:rsidRPr="00F21BAB">
        <w:t>[14]</w:t>
      </w:r>
      <w:r w:rsidRPr="00F21BAB">
        <w:tab/>
        <w:t xml:space="preserve">A. Bensalah, M. A. Benhamida, G. Barakat, and Y. Amara, “Large wind turbine generators: State-of-the-art review,” in </w:t>
      </w:r>
      <w:r w:rsidRPr="00F21BAB">
        <w:rPr>
          <w:i/>
          <w:iCs/>
        </w:rPr>
        <w:t>2018 XIII International Conference on Electrical Machines (ICEM)</w:t>
      </w:r>
      <w:r w:rsidRPr="00F21BAB">
        <w:t>, Alexandroupoli: IEEE, Sep. 2018, pp. 2205–2211. doi: 10.1109/ICELMACH.2018.8507165.</w:t>
      </w:r>
    </w:p>
    <w:p w14:paraId="67058860" w14:textId="77777777" w:rsidR="00F21BAB" w:rsidRPr="00F21BAB" w:rsidRDefault="00F21BAB" w:rsidP="00F21BAB">
      <w:pPr>
        <w:pStyle w:val="Bibliography"/>
      </w:pPr>
      <w:r w:rsidRPr="00F21BAB">
        <w:t>[15]</w:t>
      </w:r>
      <w:r w:rsidRPr="00F21BAB">
        <w:tab/>
        <w:t>Nasa, “Modern-Era Retrospective analysis for Research and Applications, Version 2.” Accessed: Feb. 04, 2024. [Online]. Available: https://gmao.gsfc.nasa.gov/reanalysis/MERRA-2/</w:t>
      </w:r>
    </w:p>
    <w:p w14:paraId="5A4DC8AE" w14:textId="77777777" w:rsidR="00F21BAB" w:rsidRPr="00F21BAB" w:rsidRDefault="00F21BAB" w:rsidP="00F21BAB">
      <w:pPr>
        <w:pStyle w:val="Bibliography"/>
      </w:pPr>
      <w:r w:rsidRPr="00F21BAB">
        <w:t>[16]</w:t>
      </w:r>
      <w:r w:rsidRPr="00F21BAB">
        <w:tab/>
        <w:t>ActiveState, “What Is Pandas In Python? Everything You Need To Know.” Accessed: Aug. 09, 2022. [Online]. Available: https://www.activestate.com/resources/quick-reads/what-is-pandas-in-python-everything-you-need-to-know/</w:t>
      </w:r>
    </w:p>
    <w:p w14:paraId="75189413" w14:textId="77777777" w:rsidR="00F21BAB" w:rsidRPr="00F21BAB" w:rsidRDefault="00F21BAB" w:rsidP="00F21BAB">
      <w:pPr>
        <w:pStyle w:val="Bibliography"/>
      </w:pPr>
      <w:r w:rsidRPr="00F21BAB">
        <w:t>[17]</w:t>
      </w:r>
      <w:r w:rsidRPr="00F21BAB">
        <w:tab/>
        <w:t xml:space="preserve">S. R. Dubey, S. K. Singh, and B. B. Chaudhuri, “Activation functions in deep learning: A comprehensive survey and benchmark,” </w:t>
      </w:r>
      <w:r w:rsidRPr="00F21BAB">
        <w:rPr>
          <w:i/>
          <w:iCs/>
        </w:rPr>
        <w:t>Neurocomputing</w:t>
      </w:r>
      <w:r w:rsidRPr="00F21BAB">
        <w:t>, vol. 503, pp. 92–108, Sep. 2022, doi: 10.1016/j.neucom.2022.06.111.</w:t>
      </w:r>
    </w:p>
    <w:p w14:paraId="4AF58713" w14:textId="77777777" w:rsidR="00F21BAB" w:rsidRPr="00F21BAB" w:rsidRDefault="00F21BAB" w:rsidP="00F21BAB">
      <w:pPr>
        <w:pStyle w:val="Bibliography"/>
      </w:pPr>
      <w:r w:rsidRPr="00F21BAB">
        <w:t>[18]</w:t>
      </w:r>
      <w:r w:rsidRPr="00F21BAB">
        <w:tab/>
        <w:t xml:space="preserve">Y. Jung and J. Hu, “A </w:t>
      </w:r>
      <w:r w:rsidRPr="00F21BAB">
        <w:rPr>
          <w:i/>
          <w:iCs/>
        </w:rPr>
        <w:t>K</w:t>
      </w:r>
      <w:r w:rsidRPr="00F21BAB">
        <w:t xml:space="preserve"> -fold averaging cross-validation procedure,” </w:t>
      </w:r>
      <w:r w:rsidRPr="00F21BAB">
        <w:rPr>
          <w:i/>
          <w:iCs/>
        </w:rPr>
        <w:t>Journal of Nonparametric Statistics</w:t>
      </w:r>
      <w:r w:rsidRPr="00F21BAB">
        <w:t>, vol. 27, no. 2, pp. 167–179, Apr. 2015, doi: 10.1080/10485252.2015.1010532.</w:t>
      </w:r>
    </w:p>
    <w:p w14:paraId="484BCC94" w14:textId="77777777" w:rsidR="00F21BAB" w:rsidRPr="00F21BAB" w:rsidRDefault="00F21BAB" w:rsidP="00F21BAB">
      <w:pPr>
        <w:pStyle w:val="Bibliography"/>
      </w:pPr>
      <w:r w:rsidRPr="00F21BAB">
        <w:t>[19]</w:t>
      </w:r>
      <w:r w:rsidRPr="00F21BAB">
        <w:tab/>
        <w:t xml:space="preserve">R. A. Ashley and C. F. Parmeter, “Sensitivity Analysis of an OLS Multiple Regression Inference with Respect to Possible Linear Endogeneity in the Explanatory Variables, for Both Modest and for Extremely Large Samples,” </w:t>
      </w:r>
      <w:r w:rsidRPr="00F21BAB">
        <w:rPr>
          <w:i/>
          <w:iCs/>
        </w:rPr>
        <w:t>Econometrics</w:t>
      </w:r>
      <w:r w:rsidRPr="00F21BAB">
        <w:t>, vol. 8, no. 1, p. 11, Mar. 2020, doi: 10.3390/econometrics8010011.</w:t>
      </w:r>
    </w:p>
    <w:p w14:paraId="47DF173A" w14:textId="44846875" w:rsidR="0041646F" w:rsidRPr="0041646F" w:rsidRDefault="0041646F" w:rsidP="0041646F">
      <w:pPr>
        <w:jc w:val="both"/>
      </w:pPr>
      <w:r>
        <w:fldChar w:fldCharType="end"/>
      </w:r>
    </w:p>
    <w:p w14:paraId="5F4DD88E" w14:textId="63B577EA" w:rsidR="009303D9" w:rsidRDefault="009303D9" w:rsidP="005B520E"/>
    <w:sectPr w:rsidR="009303D9" w:rsidSect="006528C6">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0C333" w14:textId="77777777" w:rsidR="006528C6" w:rsidRDefault="006528C6" w:rsidP="001A3B3D">
      <w:r>
        <w:separator/>
      </w:r>
    </w:p>
  </w:endnote>
  <w:endnote w:type="continuationSeparator" w:id="0">
    <w:p w14:paraId="4766844F" w14:textId="77777777" w:rsidR="006528C6" w:rsidRDefault="006528C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968FE"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38464" w14:textId="77777777" w:rsidR="006528C6" w:rsidRDefault="006528C6" w:rsidP="001A3B3D">
      <w:r>
        <w:separator/>
      </w:r>
    </w:p>
  </w:footnote>
  <w:footnote w:type="continuationSeparator" w:id="0">
    <w:p w14:paraId="328CA75D" w14:textId="77777777" w:rsidR="006528C6" w:rsidRDefault="006528C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35A27"/>
    <w:multiLevelType w:val="hybridMultilevel"/>
    <w:tmpl w:val="0478B398"/>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8661D9"/>
    <w:multiLevelType w:val="hybridMultilevel"/>
    <w:tmpl w:val="06204D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6ED10A2D"/>
    <w:multiLevelType w:val="hybridMultilevel"/>
    <w:tmpl w:val="078CF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33838602">
    <w:abstractNumId w:val="15"/>
  </w:num>
  <w:num w:numId="2" w16cid:durableId="2133398429">
    <w:abstractNumId w:val="21"/>
  </w:num>
  <w:num w:numId="3" w16cid:durableId="863009366">
    <w:abstractNumId w:val="14"/>
  </w:num>
  <w:num w:numId="4" w16cid:durableId="274214027">
    <w:abstractNumId w:val="17"/>
  </w:num>
  <w:num w:numId="5" w16cid:durableId="2080708861">
    <w:abstractNumId w:val="17"/>
  </w:num>
  <w:num w:numId="6" w16cid:durableId="1480031435">
    <w:abstractNumId w:val="17"/>
  </w:num>
  <w:num w:numId="7" w16cid:durableId="1521700156">
    <w:abstractNumId w:val="17"/>
  </w:num>
  <w:num w:numId="8" w16cid:durableId="1223297273">
    <w:abstractNumId w:val="20"/>
  </w:num>
  <w:num w:numId="9" w16cid:durableId="1562672330">
    <w:abstractNumId w:val="22"/>
  </w:num>
  <w:num w:numId="10" w16cid:durableId="385493303">
    <w:abstractNumId w:val="16"/>
  </w:num>
  <w:num w:numId="11" w16cid:durableId="1383408805">
    <w:abstractNumId w:val="13"/>
  </w:num>
  <w:num w:numId="12" w16cid:durableId="2102336862">
    <w:abstractNumId w:val="12"/>
  </w:num>
  <w:num w:numId="13" w16cid:durableId="1677223605">
    <w:abstractNumId w:val="0"/>
  </w:num>
  <w:num w:numId="14" w16cid:durableId="122895307">
    <w:abstractNumId w:val="10"/>
  </w:num>
  <w:num w:numId="15" w16cid:durableId="547378219">
    <w:abstractNumId w:val="8"/>
  </w:num>
  <w:num w:numId="16" w16cid:durableId="862597074">
    <w:abstractNumId w:val="7"/>
  </w:num>
  <w:num w:numId="17" w16cid:durableId="1231430429">
    <w:abstractNumId w:val="6"/>
  </w:num>
  <w:num w:numId="18" w16cid:durableId="1483501109">
    <w:abstractNumId w:val="5"/>
  </w:num>
  <w:num w:numId="19" w16cid:durableId="1041056288">
    <w:abstractNumId w:val="9"/>
  </w:num>
  <w:num w:numId="20" w16cid:durableId="72551571">
    <w:abstractNumId w:val="4"/>
  </w:num>
  <w:num w:numId="21" w16cid:durableId="104665320">
    <w:abstractNumId w:val="3"/>
  </w:num>
  <w:num w:numId="22" w16cid:durableId="1098601187">
    <w:abstractNumId w:val="2"/>
  </w:num>
  <w:num w:numId="23" w16cid:durableId="122891543">
    <w:abstractNumId w:val="1"/>
  </w:num>
  <w:num w:numId="24" w16cid:durableId="1967659390">
    <w:abstractNumId w:val="18"/>
  </w:num>
  <w:num w:numId="25" w16cid:durableId="62993042">
    <w:abstractNumId w:val="19"/>
  </w:num>
  <w:num w:numId="26" w16cid:durableId="474565586">
    <w:abstractNumId w:val="23"/>
  </w:num>
  <w:num w:numId="27" w16cid:durableId="10077540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3MzQ1tzQ0MjO0NDJV0lEKTi0uzszPAykwqwUAWqmG+CwAAAA="/>
  </w:docVars>
  <w:rsids>
    <w:rsidRoot w:val="009303D9"/>
    <w:rsid w:val="00034000"/>
    <w:rsid w:val="0004781E"/>
    <w:rsid w:val="000534DE"/>
    <w:rsid w:val="00055190"/>
    <w:rsid w:val="000616E3"/>
    <w:rsid w:val="00061922"/>
    <w:rsid w:val="00071BB1"/>
    <w:rsid w:val="0008758A"/>
    <w:rsid w:val="000A2421"/>
    <w:rsid w:val="000B47E3"/>
    <w:rsid w:val="000C1E68"/>
    <w:rsid w:val="000D1292"/>
    <w:rsid w:val="00126452"/>
    <w:rsid w:val="001532AD"/>
    <w:rsid w:val="00177309"/>
    <w:rsid w:val="00180C49"/>
    <w:rsid w:val="001A2EFD"/>
    <w:rsid w:val="001A3B3D"/>
    <w:rsid w:val="001B529B"/>
    <w:rsid w:val="001B67DC"/>
    <w:rsid w:val="001D49CE"/>
    <w:rsid w:val="001E3570"/>
    <w:rsid w:val="001E5DB6"/>
    <w:rsid w:val="002254A9"/>
    <w:rsid w:val="00233D97"/>
    <w:rsid w:val="002347A2"/>
    <w:rsid w:val="00273FE5"/>
    <w:rsid w:val="00274650"/>
    <w:rsid w:val="002850E3"/>
    <w:rsid w:val="002A437C"/>
    <w:rsid w:val="002B7603"/>
    <w:rsid w:val="002C004D"/>
    <w:rsid w:val="002D6153"/>
    <w:rsid w:val="00341DF6"/>
    <w:rsid w:val="00354FCF"/>
    <w:rsid w:val="0036675F"/>
    <w:rsid w:val="00390774"/>
    <w:rsid w:val="00393BED"/>
    <w:rsid w:val="003A19E2"/>
    <w:rsid w:val="003B4E04"/>
    <w:rsid w:val="003D1F04"/>
    <w:rsid w:val="003D21B5"/>
    <w:rsid w:val="003D7601"/>
    <w:rsid w:val="003F5A08"/>
    <w:rsid w:val="0041646F"/>
    <w:rsid w:val="00420716"/>
    <w:rsid w:val="00423123"/>
    <w:rsid w:val="004325FB"/>
    <w:rsid w:val="004338BC"/>
    <w:rsid w:val="004432BA"/>
    <w:rsid w:val="0044407E"/>
    <w:rsid w:val="00447BB9"/>
    <w:rsid w:val="0046031D"/>
    <w:rsid w:val="004643C6"/>
    <w:rsid w:val="004B63A3"/>
    <w:rsid w:val="004B73AF"/>
    <w:rsid w:val="004D72B5"/>
    <w:rsid w:val="004E30EC"/>
    <w:rsid w:val="004E7189"/>
    <w:rsid w:val="004F0BC8"/>
    <w:rsid w:val="00521E7B"/>
    <w:rsid w:val="00551B7F"/>
    <w:rsid w:val="0056088B"/>
    <w:rsid w:val="0056610F"/>
    <w:rsid w:val="00566989"/>
    <w:rsid w:val="00573A02"/>
    <w:rsid w:val="00575BCA"/>
    <w:rsid w:val="00585E9A"/>
    <w:rsid w:val="005930CC"/>
    <w:rsid w:val="005A3EA0"/>
    <w:rsid w:val="005A7E52"/>
    <w:rsid w:val="005B0344"/>
    <w:rsid w:val="005B3C4B"/>
    <w:rsid w:val="005B520E"/>
    <w:rsid w:val="005E238A"/>
    <w:rsid w:val="005E23F4"/>
    <w:rsid w:val="005E2800"/>
    <w:rsid w:val="005E3ED2"/>
    <w:rsid w:val="00605825"/>
    <w:rsid w:val="0062633E"/>
    <w:rsid w:val="00645D22"/>
    <w:rsid w:val="00651A08"/>
    <w:rsid w:val="006528C6"/>
    <w:rsid w:val="00654204"/>
    <w:rsid w:val="006609F5"/>
    <w:rsid w:val="00670434"/>
    <w:rsid w:val="00680217"/>
    <w:rsid w:val="0068404D"/>
    <w:rsid w:val="006843A7"/>
    <w:rsid w:val="006A0405"/>
    <w:rsid w:val="006A5E35"/>
    <w:rsid w:val="006B0AAC"/>
    <w:rsid w:val="006B65AC"/>
    <w:rsid w:val="006B6B66"/>
    <w:rsid w:val="006C4937"/>
    <w:rsid w:val="006D5D0F"/>
    <w:rsid w:val="006D5FBE"/>
    <w:rsid w:val="006E4951"/>
    <w:rsid w:val="006F6D3D"/>
    <w:rsid w:val="007057DC"/>
    <w:rsid w:val="00715BEA"/>
    <w:rsid w:val="00740EEA"/>
    <w:rsid w:val="007577E0"/>
    <w:rsid w:val="0077765E"/>
    <w:rsid w:val="00794804"/>
    <w:rsid w:val="007A1777"/>
    <w:rsid w:val="007A6FEF"/>
    <w:rsid w:val="007B33F1"/>
    <w:rsid w:val="007B6DDA"/>
    <w:rsid w:val="007C0308"/>
    <w:rsid w:val="007C2FF2"/>
    <w:rsid w:val="007D6232"/>
    <w:rsid w:val="007F1F99"/>
    <w:rsid w:val="007F768F"/>
    <w:rsid w:val="0080791D"/>
    <w:rsid w:val="00814C95"/>
    <w:rsid w:val="00832597"/>
    <w:rsid w:val="00836367"/>
    <w:rsid w:val="00837AB9"/>
    <w:rsid w:val="00856430"/>
    <w:rsid w:val="00873603"/>
    <w:rsid w:val="00893D11"/>
    <w:rsid w:val="008A2C7D"/>
    <w:rsid w:val="008A75D9"/>
    <w:rsid w:val="008C4B23"/>
    <w:rsid w:val="008D5A53"/>
    <w:rsid w:val="008E106B"/>
    <w:rsid w:val="008F6E2C"/>
    <w:rsid w:val="009009AE"/>
    <w:rsid w:val="009014BC"/>
    <w:rsid w:val="0091081C"/>
    <w:rsid w:val="0091448F"/>
    <w:rsid w:val="009303D9"/>
    <w:rsid w:val="00933C64"/>
    <w:rsid w:val="00943618"/>
    <w:rsid w:val="00966FF8"/>
    <w:rsid w:val="00972203"/>
    <w:rsid w:val="00985809"/>
    <w:rsid w:val="00997181"/>
    <w:rsid w:val="009A57ED"/>
    <w:rsid w:val="009B4C9A"/>
    <w:rsid w:val="009D70B3"/>
    <w:rsid w:val="009F1D79"/>
    <w:rsid w:val="009F364A"/>
    <w:rsid w:val="00A059B3"/>
    <w:rsid w:val="00A05CEA"/>
    <w:rsid w:val="00A13E84"/>
    <w:rsid w:val="00A203EF"/>
    <w:rsid w:val="00A2619C"/>
    <w:rsid w:val="00A30E52"/>
    <w:rsid w:val="00A4618D"/>
    <w:rsid w:val="00A702D3"/>
    <w:rsid w:val="00A85AB9"/>
    <w:rsid w:val="00A85E14"/>
    <w:rsid w:val="00A93929"/>
    <w:rsid w:val="00AB1C56"/>
    <w:rsid w:val="00AD6F35"/>
    <w:rsid w:val="00AE3158"/>
    <w:rsid w:val="00AE3409"/>
    <w:rsid w:val="00AF5C21"/>
    <w:rsid w:val="00B01919"/>
    <w:rsid w:val="00B11A60"/>
    <w:rsid w:val="00B2221D"/>
    <w:rsid w:val="00B22613"/>
    <w:rsid w:val="00B768D1"/>
    <w:rsid w:val="00BA1025"/>
    <w:rsid w:val="00BA232E"/>
    <w:rsid w:val="00BA6161"/>
    <w:rsid w:val="00BB7253"/>
    <w:rsid w:val="00BC3420"/>
    <w:rsid w:val="00BD63E0"/>
    <w:rsid w:val="00BD670B"/>
    <w:rsid w:val="00BE1F59"/>
    <w:rsid w:val="00BE7D3C"/>
    <w:rsid w:val="00BF5FF6"/>
    <w:rsid w:val="00C0207F"/>
    <w:rsid w:val="00C05B94"/>
    <w:rsid w:val="00C16117"/>
    <w:rsid w:val="00C3075A"/>
    <w:rsid w:val="00C456A5"/>
    <w:rsid w:val="00C7232C"/>
    <w:rsid w:val="00C73D67"/>
    <w:rsid w:val="00C75BB0"/>
    <w:rsid w:val="00C919A4"/>
    <w:rsid w:val="00CA4392"/>
    <w:rsid w:val="00CC393F"/>
    <w:rsid w:val="00CC5F13"/>
    <w:rsid w:val="00CE45EA"/>
    <w:rsid w:val="00CE6415"/>
    <w:rsid w:val="00CE761F"/>
    <w:rsid w:val="00CF1775"/>
    <w:rsid w:val="00D2176E"/>
    <w:rsid w:val="00D54A65"/>
    <w:rsid w:val="00D632BE"/>
    <w:rsid w:val="00D72D06"/>
    <w:rsid w:val="00D7522C"/>
    <w:rsid w:val="00D7536F"/>
    <w:rsid w:val="00D753E6"/>
    <w:rsid w:val="00D76668"/>
    <w:rsid w:val="00DA74CD"/>
    <w:rsid w:val="00DC6CF8"/>
    <w:rsid w:val="00DE54EA"/>
    <w:rsid w:val="00DF45C3"/>
    <w:rsid w:val="00E07383"/>
    <w:rsid w:val="00E165BC"/>
    <w:rsid w:val="00E207E0"/>
    <w:rsid w:val="00E2696F"/>
    <w:rsid w:val="00E33A55"/>
    <w:rsid w:val="00E61E12"/>
    <w:rsid w:val="00E70D5E"/>
    <w:rsid w:val="00E7596C"/>
    <w:rsid w:val="00E81A22"/>
    <w:rsid w:val="00E878F2"/>
    <w:rsid w:val="00E90CEA"/>
    <w:rsid w:val="00ED0149"/>
    <w:rsid w:val="00ED174F"/>
    <w:rsid w:val="00EF7DE3"/>
    <w:rsid w:val="00F03103"/>
    <w:rsid w:val="00F11E14"/>
    <w:rsid w:val="00F21BAB"/>
    <w:rsid w:val="00F271DE"/>
    <w:rsid w:val="00F627DA"/>
    <w:rsid w:val="00F7288F"/>
    <w:rsid w:val="00F8479B"/>
    <w:rsid w:val="00F847A6"/>
    <w:rsid w:val="00F9441B"/>
    <w:rsid w:val="00FA2CDC"/>
    <w:rsid w:val="00FA4C32"/>
    <w:rsid w:val="00FA5B86"/>
    <w:rsid w:val="00FB6FA2"/>
    <w:rsid w:val="00FE7114"/>
    <w:rsid w:val="00FF25E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000A9C"/>
  <w15:chartTrackingRefBased/>
  <w15:docId w15:val="{3CA2DD47-EA51-4A4B-BCB6-56250680E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4C95"/>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2Char">
    <w:name w:val="Heading 2 Char"/>
    <w:link w:val="Heading2"/>
    <w:rsid w:val="00943618"/>
    <w:rPr>
      <w:i/>
      <w:iCs/>
      <w:noProof/>
      <w:lang w:val="en-US" w:eastAsia="en-US"/>
    </w:rPr>
  </w:style>
  <w:style w:type="paragraph" w:styleId="ListParagraph">
    <w:name w:val="List Paragraph"/>
    <w:basedOn w:val="Normal"/>
    <w:uiPriority w:val="34"/>
    <w:qFormat/>
    <w:rsid w:val="00943618"/>
    <w:pPr>
      <w:ind w:left="720"/>
      <w:contextualSpacing/>
      <w:jc w:val="left"/>
    </w:pPr>
    <w:rPr>
      <w:rFonts w:eastAsia="Times New Roman"/>
    </w:rPr>
  </w:style>
  <w:style w:type="paragraph" w:styleId="Caption">
    <w:name w:val="caption"/>
    <w:basedOn w:val="Normal"/>
    <w:next w:val="Normal"/>
    <w:unhideWhenUsed/>
    <w:qFormat/>
    <w:rsid w:val="00423123"/>
    <w:rPr>
      <w:b/>
      <w:bCs/>
    </w:rPr>
  </w:style>
  <w:style w:type="table" w:styleId="TableGrid">
    <w:name w:val="Table Grid"/>
    <w:basedOn w:val="TableNormal"/>
    <w:uiPriority w:val="59"/>
    <w:rsid w:val="004B63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97181"/>
    <w:rPr>
      <w:smallCaps/>
      <w:noProof/>
      <w:lang w:val="en-US" w:eastAsia="en-US"/>
    </w:rPr>
  </w:style>
  <w:style w:type="paragraph" w:styleId="Bibliography">
    <w:name w:val="Bibliography"/>
    <w:basedOn w:val="Normal"/>
    <w:next w:val="Normal"/>
    <w:uiPriority w:val="37"/>
    <w:unhideWhenUsed/>
    <w:rsid w:val="0041646F"/>
    <w:pPr>
      <w:tabs>
        <w:tab w:val="left" w:pos="504"/>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6598586">
      <w:bodyDiv w:val="1"/>
      <w:marLeft w:val="0"/>
      <w:marRight w:val="0"/>
      <w:marTop w:val="0"/>
      <w:marBottom w:val="0"/>
      <w:divBdr>
        <w:top w:val="none" w:sz="0" w:space="0" w:color="auto"/>
        <w:left w:val="none" w:sz="0" w:space="0" w:color="auto"/>
        <w:bottom w:val="none" w:sz="0" w:space="0" w:color="auto"/>
        <w:right w:val="none" w:sz="0" w:space="0" w:color="auto"/>
      </w:divBdr>
    </w:div>
    <w:div w:id="1690370411">
      <w:bodyDiv w:val="1"/>
      <w:marLeft w:val="0"/>
      <w:marRight w:val="0"/>
      <w:marTop w:val="0"/>
      <w:marBottom w:val="0"/>
      <w:divBdr>
        <w:top w:val="none" w:sz="0" w:space="0" w:color="auto"/>
        <w:left w:val="none" w:sz="0" w:space="0" w:color="auto"/>
        <w:bottom w:val="none" w:sz="0" w:space="0" w:color="auto"/>
        <w:right w:val="none" w:sz="0" w:space="0" w:color="auto"/>
      </w:divBdr>
    </w:div>
    <w:div w:id="2005162742">
      <w:bodyDiv w:val="1"/>
      <w:marLeft w:val="0"/>
      <w:marRight w:val="0"/>
      <w:marTop w:val="0"/>
      <w:marBottom w:val="0"/>
      <w:divBdr>
        <w:top w:val="none" w:sz="0" w:space="0" w:color="auto"/>
        <w:left w:val="none" w:sz="0" w:space="0" w:color="auto"/>
        <w:bottom w:val="none" w:sz="0" w:space="0" w:color="auto"/>
        <w:right w:val="none" w:sz="0" w:space="0" w:color="auto"/>
      </w:divBdr>
    </w:div>
    <w:div w:id="200851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6555</TotalTime>
  <Pages>8</Pages>
  <Words>8353</Words>
  <Characters>47869</Characters>
  <Application>Microsoft Office Word</Application>
  <DocSecurity>0</DocSecurity>
  <Lines>839</Lines>
  <Paragraphs>207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Mahmoud Kiasari</cp:lastModifiedBy>
  <cp:revision>56</cp:revision>
  <dcterms:created xsi:type="dcterms:W3CDTF">2024-02-16T02:01:00Z</dcterms:created>
  <dcterms:modified xsi:type="dcterms:W3CDTF">2024-03-09T17:22:00Z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75ce3a044462cb1e9731d3953a55aa443553bb466225ee830ec4ae62b5b0d636</vt:lpwstr>
  </property>
  <property fmtid="{D5CDD505-2E9C-101B-9397-08002B2CF9AE}" pid="3" name="ZOTERO_PREF_1">
    <vt:lpwstr>&lt;data data-version="3" zotero-version="6.0.35"&gt;&lt;session id="kuC4m2PB"/&gt;&lt;style id="http://www.zotero.org/styles/ieee" locale="en-US" hasBibliography="1" bibliographyStyleHasBeenSet="1"/&gt;&lt;prefs&gt;&lt;pref name="fieldType" value="Field"/&gt;&lt;/prefs&gt;&lt;/data&gt;</vt:lpwstr>
  </property>
</Properties>
</file>