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80"/>
        <w:jc w:val="center"/>
      </w:pPr>
      <w:r>
        <w:rPr>
          <w:rFonts w:ascii="Times New Roman" w:hAnsi="Times New Roman"/>
          <w:b/>
          <w:i w:val="0"/>
          <w:sz w:val="40"/>
        </w:rPr>
        <w:t>Quantum-Inspired Differential Evolution for Multi-Stage</w:t>
        <w:br/>
        <w:t>Capacitor Bank Planning and Expansion</w:t>
        <w:br/>
        <w:t>in IEEE 118-Bus System</w:t>
      </w:r>
    </w:p>
    <w:p>
      <w:pPr>
        <w:spacing w:after="120"/>
        <w:jc w:val="center"/>
      </w:pPr>
      <w:r>
        <w:rPr>
          <w:rFonts w:ascii="Times New Roman" w:hAnsi="Times New Roman"/>
          <w:b w:val="0"/>
          <w:i w:val="0"/>
          <w:sz w:val="24"/>
        </w:rPr>
        <w:t>Author A. Researcher¹*, Co-Author B. Scholar², Collaborator C. Engineer¹</w:t>
      </w:r>
    </w:p>
    <w:p>
      <w:pPr>
        <w:spacing w:after="60"/>
        <w:jc w:val="center"/>
      </w:pPr>
      <w:r>
        <w:rPr>
          <w:rFonts w:ascii="Times New Roman" w:hAnsi="Times New Roman"/>
          <w:b w:val="0"/>
          <w:i w:val="0"/>
          <w:sz w:val="22"/>
        </w:rPr>
        <w:t>¹ Department of Electrical and Power Engineering, National University of Technology, City, Country</w:t>
      </w:r>
    </w:p>
    <w:p>
      <w:pPr>
        <w:spacing w:after="60"/>
        <w:jc w:val="center"/>
      </w:pPr>
      <w:r>
        <w:rPr>
          <w:rFonts w:ascii="Times New Roman" w:hAnsi="Times New Roman"/>
          <w:b w:val="0"/>
          <w:i w:val="0"/>
          <w:sz w:val="22"/>
        </w:rPr>
        <w:t>² Power Systems Optimization Research Center, International Institute of Engineering, City, Country</w:t>
      </w:r>
    </w:p>
    <w:p>
      <w:pPr>
        <w:spacing w:after="360"/>
        <w:jc w:val="center"/>
      </w:pPr>
      <w:r>
        <w:rPr>
          <w:rFonts w:ascii="Times New Roman" w:hAnsi="Times New Roman"/>
          <w:b w:val="0"/>
          <w:i w:val="0"/>
          <w:sz w:val="22"/>
        </w:rPr>
        <w:t>* Corresponding author: a.researcher@university.edu</w:t>
      </w:r>
    </w:p>
    <w:p>
      <w:pPr>
        <w:jc w:val="center"/>
      </w:pPr>
      <w:r>
        <w:rPr>
          <w:color w:val="969696"/>
          <w:sz w:val="16"/>
        </w:rPr>
        <w:t>────────────────────────────────────────────────────────────────────────────────</w:t>
      </w:r>
    </w:p>
    <w:p>
      <w:pPr>
        <w:spacing w:after="160"/>
        <w:jc w:val="center"/>
      </w:pPr>
      <w:r>
        <w:rPr>
          <w:rFonts w:ascii="Times New Roman" w:hAnsi="Times New Roman"/>
          <w:b/>
          <w:i w:val="0"/>
          <w:sz w:val="28"/>
        </w:rPr>
        <w:t>Abstract</w:t>
      </w:r>
    </w:p>
    <w:p>
      <w:pPr>
        <w:spacing w:after="200"/>
        <w:ind w:firstLine="0"/>
        <w:jc w:val="both"/>
      </w:pPr>
      <w:r>
        <w:rPr>
          <w:rFonts w:ascii="Times New Roman" w:hAnsi="Times New Roman"/>
          <w:b w:val="0"/>
          <w:i w:val="0"/>
          <w:sz w:val="24"/>
        </w:rPr>
        <w:t>A quantum-inspired differential evolution (QDE) algorithm is proposed in this paper for multi-stage capacitor bank planning and expansion in the IEEE 118-bus power system. The challenge of determining optimal capacitor bank locations, sizes, and installation schedules over a multi-year planning horizon is addressed through the integration of quantum computing principles—specifically quantum bits and rotation gates—into the classical differential evolution framework. A comprehensive multi-objective optimization formulation is developed that simultaneously minimizes power losses, improves voltage profiles, and reduces investment costs while satisfying operational constraints across a 10-year planning horizon divided into three stages. Annual load growth of 3% for active power and 3.5% for reactive power is assumed throughout the planning period. The quantum representation enables enhanced exploration of the solution space by encoding decision variables as probability amplitudes, thereby allowing simultaneous representation of multiple potential solutions. Comparative analyses against conventional differential evolution and particle swarm optimization demonstrate that the proposed QDE algorithm achieves superior solution quality, faster convergence, and greater consistency. Simulation results on the IEEE 118-bus system reveal a 12.67% reduction in active power losses, a 5.16% improvement in minimum voltage, and a 42.96% reduction in voltage deviation index. Economic analysis confirms the financial viability of the approach, yielding a net present value of $1,576,450, a payback period of 3.2 years, and a benefit-to-cost ratio of 2.79.</w:t>
      </w:r>
    </w:p>
    <w:p>
      <w:pPr>
        <w:spacing w:after="400"/>
        <w:jc w:val="both"/>
      </w:pPr>
      <w:r>
        <w:rPr>
          <w:rFonts w:ascii="Times New Roman" w:hAnsi="Times New Roman"/>
          <w:b w:val="0"/>
          <w:i/>
          <w:sz w:val="22"/>
        </w:rPr>
        <w:t>Keywords: Capacitor placement, differential evolution, multi-stage planning, quantum-inspired optimization, reactive power planning, voltage profile improvement, power loss minimization, IEEE 118-bus system</w:t>
      </w:r>
    </w:p>
    <w:p>
      <w:r>
        <w:br w:type="page"/>
      </w:r>
    </w:p>
    <w:p>
      <w:pPr>
        <w:pStyle w:val="Heading1"/>
      </w:pPr>
      <w:r>
        <w:t>1. Introduction</w:t>
      </w:r>
    </w:p>
    <w:p>
      <w:pPr>
        <w:ind w:firstLine="567"/>
      </w:pPr>
      <w:r>
        <w:rPr>
          <w:rFonts w:ascii="Times New Roman" w:hAnsi="Times New Roman"/>
          <w:b w:val="0"/>
          <w:i w:val="0"/>
          <w:sz w:val="24"/>
        </w:rPr>
        <w:t>Optimal reactive power planning through capacitor bank placement constitutes one of the most critical aspects of power system operations, providing substantial benefits including power loss reduction, voltage profile improvement, power factor correction, and system capacity release. The strategic installation of shunt capacitor banks at appropriate locations within transmission and distribution networks has long been recognized as an effective and economical means of enhancing system performance. As power systems continue to expand and load demands escalate, the importance of systematic and optimized capacitor planning methodologies becomes increasingly pronounced. Traditional approaches to capacitor placement have typically focused on single-period optimization without adequately considering the dynamic nature of power systems and the inevitability of load growth over extended planning horizons.</w:t>
      </w:r>
    </w:p>
    <w:p>
      <w:pPr>
        <w:ind w:firstLine="567"/>
      </w:pPr>
      <w:r>
        <w:rPr>
          <w:rFonts w:ascii="Times New Roman" w:hAnsi="Times New Roman"/>
          <w:b w:val="0"/>
          <w:i w:val="0"/>
          <w:sz w:val="24"/>
        </w:rPr>
        <w:t>The capacitor placement problem is inherently complex, involving the simultaneous determination of optimal locations, sizes, and types of capacitor banks to be installed across a power network. This combinatorial optimization problem is classified as NP-hard, and the computational complexity increases exponentially with the size of the network and the number of candidate installation sites. When the problem is extended to incorporate multi-stage planning—where decisions must be made regarding not only where and how large capacitor banks should be, but also when they should be installed over a multi-year horizon—the dimensionality and interdependencies of the search space are substantially amplified. Multi-stage planning introduces temporal coupling between decision variables, as investments made in earlier stages influence the optimal decisions for subsequent stages.</w:t>
      </w:r>
    </w:p>
    <w:p>
      <w:pPr>
        <w:ind w:firstLine="567"/>
      </w:pPr>
      <w:r>
        <w:rPr>
          <w:rFonts w:ascii="Times New Roman" w:hAnsi="Times New Roman"/>
          <w:b w:val="0"/>
          <w:i w:val="0"/>
          <w:sz w:val="24"/>
        </w:rPr>
        <w:t>Various optimization techniques have been applied to the capacitor placement problem over the past several decades. Classical methods such as mixed-integer programming, dynamic programming, and analytical approaches were among the earliest tools employed for this purpose. While these methods provide guaranteed optimality for certain problem formulations, they suffer from computational intractability when applied to large-scale systems with numerous discrete variables. More recently, metaheuristic algorithms—including genetic algorithms, particle swarm optimization, differential evolution, and various hybrid approaches—have been widely adopted due to their ability to navigate complex, non-convex solution spaces without requiring gradient information or problem-specific structural assumptions. However, conventional metaheuristics often struggle with the increased complexity of multi-stage planning problems, exhibiting premature convergence, sensitivity to parameter settings, and inadequate exploration of the expanded search space.</w:t>
      </w:r>
    </w:p>
    <w:p>
      <w:pPr>
        <w:ind w:firstLine="567"/>
      </w:pPr>
      <w:r>
        <w:rPr>
          <w:rFonts w:ascii="Times New Roman" w:hAnsi="Times New Roman"/>
          <w:b w:val="0"/>
          <w:i w:val="0"/>
          <w:sz w:val="24"/>
        </w:rPr>
        <w:t>Quantum computing principles have recently been integrated with metaheuristic algorithms to enhance their search capabilities for complex optimization problems. By leveraging concepts such as quantum bits (qubits) and superposition, quantum-inspired algorithms can represent multiple potential solutions simultaneously, potentially offering improved exploration of the solution space. The quantum-inspired evolutionary algorithm (QEA), first proposed by Han and Kim in 2002, demonstrated that quantum computing concepts could be effectively simulated on classical computers to improve optimization performance. Since then, quantum-inspired variants of numerous metaheuristics have been developed, including quantum particle swarm optimization, quantum genetic algorithms, and quantum differential evolution. These quantum-inspired approaches have shown promising results across a variety of engineering optimization problems, motivating their application to power system planning.</w:t>
      </w:r>
    </w:p>
    <w:p>
      <w:pPr>
        <w:ind w:firstLine="567"/>
      </w:pPr>
      <w:r>
        <w:rPr>
          <w:rFonts w:ascii="Times New Roman" w:hAnsi="Times New Roman"/>
          <w:b w:val="0"/>
          <w:i w:val="0"/>
          <w:sz w:val="24"/>
        </w:rPr>
        <w:t>Despite significant advances in both capacitor planning and quantum-inspired optimization, several notable gaps persist in the existing literature. First, most capacitor placement studies employing metaheuristic approaches have focused on single-stage planning, neglecting the multi-year investment perspective that is essential for utility decision-making. Second, quantum-inspired optimization algorithms have been rarely applied to the multi-stage capacitor planning problem, where the enhanced search capabilities afforded by quantum representation could be particularly beneficial given the expanded dimensionality of the decision space. Third, comprehensive economic analyses incorporating discount rates, net present value calculations, and benefit-to-cost ratios within the multi-stage framework remain insufficiently addressed in the literature. Fourth, the IEEE 118-bus system, which represents a medium-scale transmission network with realistic complexity, has been underutilized as a test bed for multi-stage capacitor planning studies.</w:t>
      </w:r>
    </w:p>
    <w:p>
      <w:pPr>
        <w:ind w:firstLine="567"/>
      </w:pPr>
      <w:r>
        <w:rPr>
          <w:rFonts w:ascii="Times New Roman" w:hAnsi="Times New Roman"/>
          <w:b w:val="0"/>
          <w:i w:val="0"/>
          <w:sz w:val="24"/>
        </w:rPr>
        <w:t>In this paper, a quantum-inspired differential evolution (QDE) algorithm is proposed for multi-stage capacitor bank planning and expansion in the IEEE 118-bus system. The main contributions of this research are fourfold: (1) a comprehensive multi-stage optimization framework is formulated for capacitor bank planning, considering both technical and economic objectives over a multi-year horizon; (2) a quantum-inspired differential evolution algorithm is developed that integrates quantum computing principles to enhance search efficiency and solution quality; (3) stage-wise investment strategies are implemented that optimize the timing of capacitor installations to maximize the net present value while satisfying technical constraints throughout the planning horizon; and (4) the proposed approach is validated through detailed case studies on the IEEE 118-bus system under various load growth scenarios, with comparative analysis against conventional optimization methods.</w:t>
      </w:r>
    </w:p>
    <w:p>
      <w:pPr>
        <w:ind w:firstLine="567"/>
      </w:pPr>
      <w:r>
        <w:rPr>
          <w:rFonts w:ascii="Times New Roman" w:hAnsi="Times New Roman"/>
          <w:b w:val="0"/>
          <w:i w:val="0"/>
          <w:sz w:val="24"/>
        </w:rPr>
        <w:t>The remainder of this paper is organized as follows. Section 2 presents a comprehensive literature review covering quantum-inspired optimization and capacitor planning methodologies. Section 3 details the problem formulation, including the multi-stage planning framework and multi-objective function. Section 4 describes the proposed QDE algorithm, including quantum representation, rotation gates, mutation, and crossover operations. Section 5 discusses the simulation setup and implementation details. Section 6 presents the validation results on the IEEE 118-bus system. Section 7 provides results and discussion, while Section 8 addresses counterarguments and limitations. Finally, Section 9 concludes the paper with a summary of findings and directions for future research.</w:t>
      </w:r>
    </w:p>
    <w:p>
      <w:pPr>
        <w:pStyle w:val="Heading1"/>
      </w:pPr>
      <w:r>
        <w:t>2. Literature Review</w:t>
      </w:r>
    </w:p>
    <w:p>
      <w:pPr>
        <w:pStyle w:val="Heading2"/>
      </w:pPr>
      <w:r>
        <w:t>2.1 Capacitor Placement and Reactive Power Planning</w:t>
      </w:r>
    </w:p>
    <w:p>
      <w:pPr>
        <w:ind w:firstLine="567"/>
      </w:pPr>
      <w:r>
        <w:rPr>
          <w:rFonts w:ascii="Times New Roman" w:hAnsi="Times New Roman"/>
          <w:b w:val="0"/>
          <w:i w:val="0"/>
          <w:sz w:val="24"/>
        </w:rPr>
        <w:t>The optimal placement of capacitor banks in power systems has been the subject of extensive research for over five decades. Early analytical methods developed by Neagle and Samson in 1956 established the fundamental principles for loss reduction through reactive power compensation. These methods were subsequently refined by Cook, Kaplan, and others, who introduced iterative procedures for determining optimal capacitor sizes and locations on radial distribution feeders. The analytical approach proposed by Baran and Wu in 1989 formulated the capacitor placement problem as a mixed-integer programming problem, providing a rigorous mathematical framework that influenced subsequent research. However, analytical methods were found to be limited in their ability to handle the discrete nature of capacitor sizes and the nonlinearity of power flow equations in large-scale systems.</w:t>
      </w:r>
    </w:p>
    <w:p>
      <w:pPr>
        <w:ind w:firstLine="567"/>
      </w:pPr>
      <w:r>
        <w:rPr>
          <w:rFonts w:ascii="Times New Roman" w:hAnsi="Times New Roman"/>
          <w:b w:val="0"/>
          <w:i w:val="0"/>
          <w:sz w:val="24"/>
        </w:rPr>
        <w:t>The application of heuristic and metaheuristic algorithms to capacitor placement problems gained significant momentum in the 1990s. Genetic algorithms (GAs) were among the first metaheuristics applied to this domain, with Sundhararajan and Pahwa demonstrating their effectiveness for optimal capacitor selection in radial distribution systems. Das further extended the GA-based approach to incorporate reactive power compensation for radial distribution networks, achieving notable loss reductions. Masoum et al. addressed the additional complexity of harmonic distortion by developing a GA-based method for optimal placement, replacement, and sizing of capacitor banks in distorted distribution networks. The success of GAs in this domain prompted the exploration of alternative metaheuristic approaches, each offering distinct advantages in terms of search mechanism, computational efficiency, and solution quality.</w:t>
      </w:r>
    </w:p>
    <w:p>
      <w:pPr>
        <w:ind w:firstLine="567"/>
      </w:pPr>
      <w:r>
        <w:rPr>
          <w:rFonts w:ascii="Times New Roman" w:hAnsi="Times New Roman"/>
          <w:b w:val="0"/>
          <w:i w:val="0"/>
          <w:sz w:val="24"/>
        </w:rPr>
        <w:t>Particle swarm optimization (PSO) emerged as another popular metaheuristic for capacitor placement, with Yoshida et al. applying PSO to reactive power and voltage control while considering voltage security assessment. Sirjani et al. proposed a novel global harmony search algorithm for optimal allocation of shunt VAR compensators, demonstrating competitive performance against established methods. El-Fergany and Abdelaziz applied the cuckoo search algorithm to capacitor allocations in radial distribution networks, achieving significant loss reductions with relatively few control parameters. The shuffled frog leaping algorithm, plant growth simulation algorithm, and bacterial foraging optimization have also been investigated for this problem, each contributing unique search mechanisms to the growing repertoire of solution approaches.</w:t>
      </w:r>
    </w:p>
    <w:p>
      <w:pPr>
        <w:ind w:firstLine="567"/>
      </w:pPr>
      <w:r>
        <w:rPr>
          <w:rFonts w:ascii="Times New Roman" w:hAnsi="Times New Roman"/>
          <w:b w:val="0"/>
          <w:i w:val="0"/>
          <w:sz w:val="24"/>
        </w:rPr>
        <w:t>Differential evolution (DE), introduced by Storn and Price in 1997, has been widely recognized as a powerful and robust optimization algorithm for continuous and mixed-integer problems. The simplicity of DE's mutation and crossover operations, combined with its effectiveness in navigating complex fitness landscapes, has motivated its application to numerous power system optimization problems. In the context of capacitor placement, DE has been employed both as a standalone optimizer and as a component of hybrid algorithms. Abul'Wafa developed a two-stage DE-based method for optimal capacitor allocation in radial distribution systems, while several researchers have combined DE with local search procedures to enhance convergence characteristics. The robustness of DE in handling mixed-integer variables and its relatively small number of control parameters make it a suitable candidate for quantum-inspired enhancement.</w:t>
      </w:r>
    </w:p>
    <w:p>
      <w:pPr>
        <w:pStyle w:val="Heading2"/>
      </w:pPr>
      <w:r>
        <w:t>2.2 Multi-Stage Planning Approaches</w:t>
      </w:r>
    </w:p>
    <w:p>
      <w:pPr>
        <w:ind w:firstLine="567"/>
      </w:pPr>
      <w:r>
        <w:rPr>
          <w:rFonts w:ascii="Times New Roman" w:hAnsi="Times New Roman"/>
          <w:b w:val="0"/>
          <w:i w:val="0"/>
          <w:sz w:val="24"/>
        </w:rPr>
        <w:t>Multi-stage planning represents a significant extension of the traditional single-period capacitor placement problem, introducing temporal dimensionality that reflects the realistic investment decision-making process of electric utilities. Gallego et al. were among the first to address multi-stage reactive power planning, formulating the problem as a mixed-integer linear program and solving it using a specialized branch-and-bound algorithm. Their work highlighted the importance of considering future load growth and system expansion when making current investment decisions, demonstrating that single-stage solutions are frequently suboptimal when evaluated over a multi-year horizon. The multi-stage formulation introduces additional complexity through temporal coupling of decision variables, as capacitor installations made in early stages affect the optimal decisions for subsequent stages through their impact on system state variables.</w:t>
      </w:r>
    </w:p>
    <w:p>
      <w:pPr>
        <w:ind w:firstLine="567"/>
      </w:pPr>
      <w:r>
        <w:rPr>
          <w:rFonts w:ascii="Times New Roman" w:hAnsi="Times New Roman"/>
          <w:b w:val="0"/>
          <w:i w:val="0"/>
          <w:sz w:val="24"/>
        </w:rPr>
        <w:t>Eusuff and Lansey extended the multi-stage planning concept to water distribution network design using the shuffled frog leaping algorithm, establishing methodological parallels with power system planning that influenced subsequent research. Srinivasa Rao and Narasimham applied the plant growth simulation algorithm to optimal capacitor placement in radial distribution systems, achieving competitive results with biologically inspired search mechanisms. The integration of economic factors such as discount rates, inflation, and time-varying energy costs into multi-stage planning frameworks has been addressed by several researchers, with the net present value (NPV) methodology emerging as the standard approach for evaluating long-term investment strategies. However, the incorporation of comprehensive economic analyses within metaheuristic-based multi-stage planning frameworks remains inadequately addressed, particularly for medium- and large-scale transmission systems.</w:t>
      </w:r>
    </w:p>
    <w:p>
      <w:pPr>
        <w:ind w:firstLine="567"/>
      </w:pPr>
      <w:r>
        <w:rPr>
          <w:rFonts w:ascii="Times New Roman" w:hAnsi="Times New Roman"/>
          <w:b w:val="0"/>
          <w:i w:val="0"/>
          <w:sz w:val="24"/>
        </w:rPr>
        <w:t>The dynamic nature of power systems, characterized by time-varying load patterns, generation dispatch changes, and network topology modifications, further complicates multi-stage planning. Levitin et al. proposed an approach that considers optimal capacitor allocation under varying loading conditions, recognizing that fixed capacitor installations may be suboptimal across the full range of operating scenarios. Switched capacitor banks offer operational flexibility but introduce additional complexity in terms of control coordination and switching transient management. The emergence of smart grid technologies and advanced metering infrastructure has enabled more sophisticated approaches to dynamic reactive power management, yet the fundamental challenge of optimizing long-term investment decisions under uncertainty remains a significant research frontier.</w:t>
      </w:r>
    </w:p>
    <w:p>
      <w:pPr>
        <w:pStyle w:val="Heading2"/>
      </w:pPr>
      <w:r>
        <w:t>2.3 Quantum-Inspired Optimization Algorithms</w:t>
      </w:r>
    </w:p>
    <w:p>
      <w:pPr>
        <w:ind w:firstLine="567"/>
      </w:pPr>
      <w:r>
        <w:rPr>
          <w:rFonts w:ascii="Times New Roman" w:hAnsi="Times New Roman"/>
          <w:b w:val="0"/>
          <w:i w:val="0"/>
          <w:sz w:val="24"/>
        </w:rPr>
        <w:t>The field of quantum-inspired optimization emerged from the recognition that certain principles of quantum mechanics—particularly superposition, entanglement, and interference—could be simulated on classical computers to enhance the search capabilities of evolutionary algorithms. Han and Kim's seminal work on the quantum-inspired evolutionary algorithm (QEA) in 2002 established the foundational framework by introducing the concept of Q-bit representation, where each variable is encoded as a probability amplitude rather than a deterministic value. This representation enables a single individual to represent a superposition of multiple states simultaneously, thereby increasing the population diversity without requiring larger population sizes. The QEA demonstrated superior performance on knapsack problems and other combinatorial optimization benchmarks, sparking widespread interest in quantum-inspired approaches across the optimization community.</w:t>
      </w:r>
    </w:p>
    <w:p>
      <w:pPr>
        <w:ind w:firstLine="567"/>
      </w:pPr>
      <w:r>
        <w:rPr>
          <w:rFonts w:ascii="Times New Roman" w:hAnsi="Times New Roman"/>
          <w:b w:val="0"/>
          <w:i w:val="0"/>
          <w:sz w:val="24"/>
        </w:rPr>
        <w:t>Zhang provided a comprehensive survey and empirical study of quantum-inspired evolutionary algorithms, categorizing the various quantum-inspired optimization approaches and evaluating their performance on standard benchmark problems. The survey identified several key design choices in quantum-inspired algorithms, including the rotation gate update strategy, the observation mechanism for converting quantum states to classical solutions, and the integration of quantum operations with conventional evolutionary operators. Subsequent developments have included quantum particle swarm optimization (QPSO), which combines the quantum delta potential well model with PSO's social learning mechanism, and quantum ant colony optimization, which leverages quantum probability amplitudes for pheromone representation. These approaches have demonstrated improved convergence characteristics and solution quality across a range of continuous and combinatorial optimization problems.</w:t>
      </w:r>
    </w:p>
    <w:p>
      <w:pPr>
        <w:ind w:firstLine="567"/>
      </w:pPr>
      <w:r>
        <w:rPr>
          <w:rFonts w:ascii="Times New Roman" w:hAnsi="Times New Roman"/>
          <w:b w:val="0"/>
          <w:i w:val="0"/>
          <w:sz w:val="24"/>
        </w:rPr>
        <w:t>The application of quantum-inspired optimization to power system problems has gained traction in recent years. Several researchers have applied QEA and its variants to economic dispatch, unit commitment, and reactive power optimization problems. The quantum representation is particularly well-suited for problems involving binary or discrete decision variables, such as the selection of capacitor installation locations, as the probability amplitude encoding naturally captures the uncertainty associated with binary choices. The rotation gate mechanism provides a principled approach to biasing the search toward promising regions of the solution space, while the observation process introduces stochastic exploration that helps escape local optima. Despite these advantages, the integration of quantum-inspired differential evolution with multi-stage capacitor planning has not been previously investigated, representing a significant gap that the present study aims to address.</w:t>
      </w:r>
    </w:p>
    <w:p>
      <w:pPr>
        <w:pStyle w:val="Heading2"/>
      </w:pPr>
      <w:r>
        <w:t>2.4 Differential Evolution and Its Variants</w:t>
      </w:r>
    </w:p>
    <w:p>
      <w:pPr>
        <w:ind w:firstLine="567"/>
      </w:pPr>
      <w:r>
        <w:rPr>
          <w:rFonts w:ascii="Times New Roman" w:hAnsi="Times New Roman"/>
          <w:b w:val="0"/>
          <w:i w:val="0"/>
          <w:sz w:val="24"/>
        </w:rPr>
        <w:t>Differential evolution (DE), introduced by Storn and Price, has become one of the most widely used metaheuristic algorithms for continuous optimization problems. The algorithm operates through a population of candidate solutions that evolve via mutation, crossover, and selection operations. The mutation strategy in DE creates donor vectors by adding weighted differences between randomly selected population members to a base vector, while the crossover operation generates trial vectors by combining components of the donor and target vectors. Selection is performed by comparing the fitness of trial and target vectors, retaining the superior solution for the next generation. Several DE variants have been proposed, differing primarily in their mutation strategies (DE/rand/1, DE/best/1, DE/current-to-best/1, etc.) and crossover mechanisms (binomial, exponential).</w:t>
      </w:r>
    </w:p>
    <w:p>
      <w:pPr>
        <w:ind w:firstLine="567"/>
      </w:pPr>
      <w:r>
        <w:rPr>
          <w:rFonts w:ascii="Times New Roman" w:hAnsi="Times New Roman"/>
          <w:b w:val="0"/>
          <w:i w:val="0"/>
          <w:sz w:val="24"/>
        </w:rPr>
        <w:t>Adaptive and self-adaptive DE variants have been developed to address the sensitivity of DE to control parameter settings. The JADE algorithm proposed by Zhang and Sanderson introduced an adaptive parameter control mechanism that adjusts the scaling factor and crossover rate based on the success rates of previous generations. The SHADE and L-SHADE algorithms further refined this approach, achieving state-of-the-art performance on benchmark optimization problems. In the context of power system applications, DE and its variants have been successfully applied to optimal power flow, reactive power dispatch, distribution system reconfiguration, and capacitor placement. However, the application of DE variants to multi-stage capacitor planning remains limited, and the integration of quantum-inspired mechanisms with DE for this specific application has not been previously explored.</w:t>
      </w:r>
    </w:p>
    <w:p>
      <w:pPr>
        <w:ind w:firstLine="567"/>
      </w:pPr>
      <w:r>
        <w:rPr>
          <w:rFonts w:ascii="Times New Roman" w:hAnsi="Times New Roman"/>
          <w:b w:val="0"/>
          <w:i w:val="0"/>
          <w:sz w:val="24"/>
        </w:rPr>
        <w:t>The convergence properties of DE have been analyzed extensively in the evolutionary computation literature. Zaharie demonstrated that DE exhibits a self-organizing property that maintains population diversity through the differential mutation operator, while Dasgupta and Das provided theoretical convergence guarantees under certain conditions. However, DE can still suffer from premature convergence, particularly when the population loses diversity in the later stages of optimization. The quantum-inspired enhancement proposed in this paper addresses this limitation by introducing probabilistic representation and rotation gate updates that maintain population diversity throughout the search process, thereby improving the algorithm's ability to escape local optima and discover high-quality solutions in the expanded search space of multi-stage planning problems.</w:t>
      </w:r>
    </w:p>
    <w:p>
      <w:pPr>
        <w:pStyle w:val="Heading2"/>
      </w:pPr>
      <w:r>
        <w:t>2.5 Research Gaps and Motivation</w:t>
      </w:r>
    </w:p>
    <w:p>
      <w:pPr>
        <w:ind w:firstLine="567"/>
      </w:pPr>
      <w:r>
        <w:rPr>
          <w:rFonts w:ascii="Times New Roman" w:hAnsi="Times New Roman"/>
          <w:b w:val="0"/>
          <w:i w:val="0"/>
          <w:sz w:val="24"/>
        </w:rPr>
        <w:t>Based on the foregoing literature review, several research gaps can be identified that motivate the present study. First, the majority of existing capacitor placement studies have focused on single-stage optimization, neglecting the multi-year investment perspective that is essential for utility decision-making. Second, quantum-inspired optimization algorithms, despite their demonstrated advantages for combinatorial problems, have not been applied to the multi-stage capacitor planning problem where their enhanced search capabilities could be particularly beneficial. Third, comprehensive economic analyses incorporating discount rates, net present value calculations, and benefit-to-cost ratios within the multi-stage framework remain underrepresented in the literature. Fourth, the IEEE 118-bus system, which represents a medium-scale transmission network with realistic complexity, has been insufficiently utilized for multi-stage capacitor planning studies. The present study addresses all of these gaps by developing a quantum-inspired differential evolution algorithm for multi-stage capacitor bank planning and validating it on the IEEE 118-bus system with comprehensive economic and technical performance analyses.</w:t>
      </w:r>
    </w:p>
    <w:p>
      <w:pPr>
        <w:pStyle w:val="Heading1"/>
      </w:pPr>
      <w:r>
        <w:t>3. Problem Formulation</w:t>
      </w:r>
    </w:p>
    <w:p>
      <w:pPr>
        <w:pStyle w:val="Heading2"/>
      </w:pPr>
      <w:r>
        <w:t>3.1 Multi-Stage Planning Framework</w:t>
      </w:r>
    </w:p>
    <w:p>
      <w:pPr>
        <w:ind w:firstLine="567"/>
      </w:pPr>
      <w:r>
        <w:rPr>
          <w:rFonts w:ascii="Times New Roman" w:hAnsi="Times New Roman"/>
          <w:b w:val="0"/>
          <w:i w:val="0"/>
          <w:sz w:val="24"/>
        </w:rPr>
        <w:t>The multi-stage capacitor bank planning problem involves determining the optimal locations, sizes, and installation timing of capacitor banks over a planning horizon of T years. The planning horizon is divided into multiple stages, each characterized by specific load profiles and system conditions. Let N denote the set of candidate buses for capacitor placement, S denote the set of standard capacitor sizes available, and T denote the set of planning stages. The decision variables for the optimization problem include: (1) a binary variable x(i,t) indicating whether a new capacitor bank is installed at bus i in stage t; (2) an integer variable y(i,t) representing the size index (from set S) of the capacitor bank installed at bus i in stage t. The interdependencies between stages are captured through the accumulation of capacitor installations, as banks installed in earlier stages remain operational throughout subsequent stages.</w:t>
      </w:r>
    </w:p>
    <w:p>
      <w:pPr>
        <w:ind w:firstLine="567"/>
      </w:pPr>
      <w:r>
        <w:rPr>
          <w:rFonts w:ascii="Times New Roman" w:hAnsi="Times New Roman"/>
          <w:b w:val="0"/>
          <w:i w:val="0"/>
          <w:sz w:val="24"/>
        </w:rPr>
        <w:t>The 10-year planning horizon adopted in this study is divided into three stages: Stage 1 (Years 1–3), Stage 2 (Years 4–6), and Stage 3 (Years 7–10). This division reflects a practical compromise between planning granularity and computational tractability, allowing utilities to make investment decisions at reasonable intervals while maintaining sufficient foresight for long-term planning. The three-stage structure also aligns with typical utility budgeting cycles and regulatory review periods, enhancing the practical applicability of the proposed approach.</w:t>
      </w:r>
    </w:p>
    <w:p>
      <w:pPr>
        <w:pStyle w:val="Heading2"/>
      </w:pPr>
      <w:r>
        <w:t>3.2 Multi-Objective Function</w:t>
      </w:r>
    </w:p>
    <w:p>
      <w:pPr>
        <w:ind w:firstLine="567"/>
      </w:pPr>
      <w:r>
        <w:rPr>
          <w:rFonts w:ascii="Times New Roman" w:hAnsi="Times New Roman"/>
          <w:b w:val="0"/>
          <w:i w:val="0"/>
          <w:sz w:val="24"/>
        </w:rPr>
        <w:t>The multi-objective function for the multi-stage capacitor planning problem integrates technical and economic considerations. The objective is formulated as the minimization of a weighted aggregate function that accounts for energy loss costs, investment costs, and benefits derived from capacitor installation over the planning horizon:</w:t>
      </w:r>
    </w:p>
    <w:p>
      <w:pPr>
        <w:spacing w:after="160"/>
        <w:jc w:val="center"/>
      </w:pPr>
      <w:r>
        <w:rPr>
          <w:rFonts w:ascii="Times New Roman" w:hAnsi="Times New Roman"/>
          <w:b w:val="0"/>
          <w:i/>
          <w:sz w:val="22"/>
        </w:rPr>
        <w:t>F = min(α₁ Σ(t=1..T) C_loss,t / (1+d)^t + α₂ Σ(t=1..T) Σ(i∈N) C_inv,i,t / (1+d)^St(t) − α₃ Σ(t=1..T) B_t / (1+d)^t)</w:t>
      </w:r>
    </w:p>
    <w:p>
      <w:pPr>
        <w:ind w:firstLine="567"/>
      </w:pPr>
      <w:r>
        <w:rPr>
          <w:rFonts w:ascii="Times New Roman" w:hAnsi="Times New Roman"/>
          <w:b w:val="0"/>
          <w:i w:val="0"/>
          <w:sz w:val="24"/>
        </w:rPr>
        <w:t>where C_loss,t is the cost of energy losses in stage t, C_inv,i,t is the investment cost for capacitor installation at bus i in stage t, B_t represents the benefits derived from capacitor installation in stage t, d is the discount rate, and α₁, α₂, and α₃ are weighting factors for the different objectives. The discount rate is applied to convert all future cash flows to their present values, enabling a consistent comparison of costs and benefits occurring at different points in time.</w:t>
      </w:r>
    </w:p>
    <w:p>
      <w:pPr>
        <w:pStyle w:val="Heading2"/>
      </w:pPr>
      <w:r>
        <w:t>3.3 Cost Components</w:t>
      </w:r>
    </w:p>
    <w:p>
      <w:pPr>
        <w:ind w:firstLine="567"/>
      </w:pPr>
      <w:r>
        <w:rPr>
          <w:rFonts w:ascii="Times New Roman" w:hAnsi="Times New Roman"/>
          <w:b w:val="0"/>
          <w:i w:val="0"/>
          <w:sz w:val="24"/>
        </w:rPr>
        <w:t>The cost of energy losses is calculated as the product of the energy cost per kilowatt-hour, the system power loss in the corresponding stage, and the number of operating hours per year:</w:t>
      </w:r>
    </w:p>
    <w:p>
      <w:pPr>
        <w:spacing w:after="160"/>
        <w:jc w:val="center"/>
      </w:pPr>
      <w:r>
        <w:rPr>
          <w:rFonts w:ascii="Times New Roman" w:hAnsi="Times New Roman"/>
          <w:b w:val="0"/>
          <w:i/>
          <w:sz w:val="22"/>
        </w:rPr>
        <w:t>C_loss,t = K_e · P_loss,t · T_h</w:t>
      </w:r>
    </w:p>
    <w:p>
      <w:pPr>
        <w:ind w:firstLine="567"/>
      </w:pPr>
      <w:r>
        <w:rPr>
          <w:rFonts w:ascii="Times New Roman" w:hAnsi="Times New Roman"/>
          <w:b w:val="0"/>
          <w:i w:val="0"/>
          <w:sz w:val="24"/>
        </w:rPr>
        <w:t>where K_e is the energy cost per kWh ($0.06/kWh), P_loss,t is the system power loss in stage t (MW), and T_h is the number of hours in one year (8,760 hours). The investment cost for capacitor installation is determined by a fixed installation cost plus a variable cost proportional to the capacitor size:</w:t>
      </w:r>
    </w:p>
    <w:p>
      <w:pPr>
        <w:spacing w:after="160"/>
        <w:jc w:val="center"/>
      </w:pPr>
      <w:r>
        <w:rPr>
          <w:rFonts w:ascii="Times New Roman" w:hAnsi="Times New Roman"/>
          <w:b w:val="0"/>
          <w:i/>
          <w:sz w:val="22"/>
        </w:rPr>
        <w:t>C_inv,i,t = C_f · x(i,t) + C_v · Q(i,t)</w:t>
      </w:r>
    </w:p>
    <w:p>
      <w:pPr>
        <w:ind w:firstLine="567"/>
      </w:pPr>
      <w:r>
        <w:rPr>
          <w:rFonts w:ascii="Times New Roman" w:hAnsi="Times New Roman"/>
          <w:b w:val="0"/>
          <w:i w:val="0"/>
          <w:sz w:val="24"/>
        </w:rPr>
        <w:t>where C_f is the fixed installation cost ($5,000 per location), C_v is the variable cost per kVAr ($10/kVAr), and Q(i,t) is the size of the capacitor bank installed at bus i in stage t. The benefits derived from capacitor installation encompass avoided energy losses, deferred system upgrades, and improved voltage performance, which are quantified through power flow analysis.</w:t>
      </w:r>
    </w:p>
    <w:p>
      <w:pPr>
        <w:pStyle w:val="Heading2"/>
      </w:pPr>
      <w:r>
        <w:t>3.4 Constraints</w:t>
      </w:r>
    </w:p>
    <w:p>
      <w:pPr>
        <w:ind w:firstLine="567"/>
      </w:pPr>
      <w:r>
        <w:rPr>
          <w:rFonts w:ascii="Times New Roman" w:hAnsi="Times New Roman"/>
          <w:b w:val="0"/>
          <w:i w:val="0"/>
          <w:sz w:val="24"/>
        </w:rPr>
        <w:t>The optimization problem is subject to various operational and technical constraints that must be satisfied throughout the planning horizon. Power flow constraints ensure that the system operates in accordance with Kirchhoff's laws at every stage:</w:t>
      </w:r>
    </w:p>
    <w:p>
      <w:pPr>
        <w:spacing w:after="80"/>
        <w:jc w:val="center"/>
      </w:pPr>
      <w:r>
        <w:rPr>
          <w:rFonts w:ascii="Times New Roman" w:hAnsi="Times New Roman"/>
          <w:b w:val="0"/>
          <w:i/>
          <w:sz w:val="22"/>
        </w:rPr>
        <w:t>P_i = V_i Σ(j=1..n) V_j (G_ij cos θ_ij + B_ij sin θ_ij)</w:t>
      </w:r>
    </w:p>
    <w:p>
      <w:pPr>
        <w:spacing w:after="160"/>
        <w:jc w:val="center"/>
      </w:pPr>
      <w:r>
        <w:rPr>
          <w:rFonts w:ascii="Times New Roman" w:hAnsi="Times New Roman"/>
          <w:b w:val="0"/>
          <w:i/>
          <w:sz w:val="22"/>
        </w:rPr>
        <w:t>Q_i = V_i Σ(j=1..n) V_j (G_ij sin θ_ij − B_ij cos θ_ij) − Q_C,i</w:t>
      </w:r>
    </w:p>
    <w:p>
      <w:pPr>
        <w:ind w:firstLine="567"/>
      </w:pPr>
      <w:r>
        <w:rPr>
          <w:rFonts w:ascii="Times New Roman" w:hAnsi="Times New Roman"/>
          <w:b w:val="0"/>
          <w:i w:val="0"/>
          <w:sz w:val="24"/>
        </w:rPr>
        <w:t>where P_i and Q_i are the active and reactive power injections at bus i, V_i is the voltage magnitude at bus i, G_ij and B_ij are the real and imaginary parts of the admittance matrix, θ_ij is the voltage angle difference between buses i and j, and Q_C,i is the reactive power injection from capacitor banks at bus i. Voltage limits constrain bus voltages within permissible bounds: V_min ≤ V_i ≤ V_max for all i ∈ N and all t ∈ T, where V_min = 0.90 p.u. and V_max = 1.10 p.u. Capacitor bank constraints ensure that the total reactive power injection at each bus does not exceed the installed capacity, that capacitor sizes are selected from the discrete set of standard sizes, and that at most one capacitor installation is permitted at each bus over the entire planning horizon: Σ(t=1..T) x(i,t) ≤ 1 for all i ∈ N.</w:t>
      </w:r>
    </w:p>
    <w:p>
      <w:pPr>
        <w:pStyle w:val="Heading1"/>
      </w:pPr>
      <w:r>
        <w:t>4. Methodology</w:t>
      </w:r>
    </w:p>
    <w:p>
      <w:pPr>
        <w:pStyle w:val="Heading2"/>
      </w:pPr>
      <w:r>
        <w:t>4.1 Quantum Computing Principles in Optimization</w:t>
      </w:r>
    </w:p>
    <w:p>
      <w:pPr>
        <w:ind w:firstLine="567"/>
      </w:pPr>
      <w:r>
        <w:rPr>
          <w:rFonts w:ascii="Times New Roman" w:hAnsi="Times New Roman"/>
          <w:b w:val="0"/>
          <w:i w:val="0"/>
          <w:sz w:val="24"/>
        </w:rPr>
        <w:t>Quantum computing leverages quantum mechanical phenomena such as superposition and entanglement to perform computations. In quantum-inspired optimization algorithms, classical computers simulate certain quantum behaviors to enhance search capabilities. The fundamental unit of quantum computing is the quantum bit (qubit), which, unlike classical bits that can only exist in states 0 or 1, can exist in a superposition of both states simultaneously. This property allows quantum-inspired algorithms to represent and manipulate multiple potential solutions concurrently. A qubit can be represented as: |ψ⟩ = α|0⟩ + β|1⟩, where |ψ⟩ denotes the qubit state, |0⟩ and |1⟩ are the basis states, and α and β are complex numbers satisfying |α|² + |β|² = 1. In quantum-inspired algorithms, |α|² represents the probability of observing state |0⟩ and |β|² represents the probability of observing state |1⟩.</w:t>
      </w:r>
    </w:p>
    <w:p>
      <w:pPr>
        <w:pStyle w:val="Heading2"/>
      </w:pPr>
      <w:r>
        <w:t>4.2 Quantum-Inspired Differential Evolution Algorithm</w:t>
      </w:r>
    </w:p>
    <w:p>
      <w:pPr>
        <w:ind w:firstLine="567"/>
      </w:pPr>
      <w:r>
        <w:rPr>
          <w:rFonts w:ascii="Times New Roman" w:hAnsi="Times New Roman"/>
          <w:b w:val="0"/>
          <w:i w:val="0"/>
          <w:sz w:val="24"/>
        </w:rPr>
        <w:t>Differential evolution is a population-based metaheuristic algorithm that uses vector differences for perturbing the vector population. The proposed Quantum-Inspired Differential Evolution (QDE) algorithm enhances traditional DE by incorporating quantum computing principles to improve exploration capabilities and convergence behavior. In QDE, each individual in the population is represented as a quantum individual consisting of qubits. For the multi-stage capacitor planning problem, each decision variable (location, size, and installation timing) is encoded using quantum representation. The key components of the QDE algorithm include quantum representation, quantum rotation gates, quantum mutation, quantum crossover, and solution evaluation with selection.</w:t>
      </w:r>
    </w:p>
    <w:p>
      <w:pPr>
        <w:pStyle w:val="Heading2"/>
      </w:pPr>
      <w:r>
        <w:t>4.3 Quantum Representation for Capacitor Planning</w:t>
      </w:r>
    </w:p>
    <w:p>
      <w:pPr>
        <w:ind w:firstLine="567"/>
      </w:pPr>
      <w:r>
        <w:rPr>
          <w:rFonts w:ascii="Times New Roman" w:hAnsi="Times New Roman"/>
          <w:b w:val="0"/>
          <w:i w:val="0"/>
          <w:sz w:val="24"/>
        </w:rPr>
        <w:t>For the multi-stage capacitor planning problem, a quantum representation is adopted where each decision variable is encoded using qubits. The quantum individual consists of three components: Q_ind = [L_q, S_q, T_q], where L_q represents the quantum encoding of capacitor locations, S_q represents the quantum encoding of capacitor sizes, and T_q represents the quantum encoding of installation timing. Each component is represented as a matrix of quantum probability amplitudes. For the location component, the representation takes the form of a 2×n matrix where n is the number of candidate buses, with the first row containing cosine values and the second row containing sine values of the phase angles. The quantities cos²(θ_{i,j}) and sin²(θ_{i,j}) represent the probabilities of selecting or not selecting bus j for capacitor placement, respectively.</w:t>
      </w:r>
    </w:p>
    <w:p>
      <w:pPr>
        <w:pStyle w:val="Heading2"/>
      </w:pPr>
      <w:r>
        <w:t>4.4 Quantum Operations</w:t>
      </w:r>
    </w:p>
    <w:p>
      <w:pPr>
        <w:ind w:firstLine="567"/>
      </w:pPr>
      <w:r>
        <w:rPr>
          <w:rFonts w:ascii="Times New Roman" w:hAnsi="Times New Roman"/>
          <w:b w:val="0"/>
          <w:i w:val="0"/>
          <w:sz w:val="24"/>
        </w:rPr>
        <w:t>The quantum operations in QDE include quantum rotation gates, quantum mutation, and quantum crossover. The quantum rotation gate is used to update the quantum individuals by rotating the qubit states in the complex plane. The rotation operation is expressed as a matrix multiplication that transforms the current probability amplitudes based on the rotation angle, which is determined by the fitness of the current solution and the best solution found so far. The rotation angle Δθ_{i,j} is computed adaptively based on the comparison between the current individual and the best individual, with larger rotation angles applied when the current solution is significantly inferior to the best solution.</w:t>
      </w:r>
    </w:p>
    <w:p>
      <w:pPr>
        <w:ind w:firstLine="567"/>
      </w:pPr>
      <w:r>
        <w:rPr>
          <w:rFonts w:ascii="Times New Roman" w:hAnsi="Times New Roman"/>
          <w:b w:val="0"/>
          <w:i w:val="0"/>
          <w:sz w:val="24"/>
        </w:rPr>
        <w:t>Quantum mutation is inspired by differential evolution, where the mutation operation creates a donor vector by combining quantum individuals: θ^v_{i,j} = θ^r_{i,j} + F · (θ^best_{i,j} − θ^r_{i,j}) + F · (θ^p_{i,j} − θ^q_{i,j}), where θ^v_{i,j} is the phase angle of the donor vector, θ^r, θ^p, and θ^q are phase angles from randomly selected quantum individuals, θ^best is the phase angle from the best solution found so far, and F is the scaling factor. Quantum crossover combines the donor vector with the target quantum individual to create the trial vector: θ^u_{i,j} = θ^v_{i,j} if rand(0,1) ≤ CR or j = j_rand, and θ^u_{i,j} = θ_{i,j} otherwise, where CR is the crossover rate and j_rand is a randomly chosen index ensuring that at least one dimension is inherited from the donor vector.</w:t>
      </w:r>
    </w:p>
    <w:p>
      <w:pPr>
        <w:pStyle w:val="Heading2"/>
      </w:pPr>
      <w:r>
        <w:t>4.5 Solution Evaluation and Selection</w:t>
      </w:r>
    </w:p>
    <w:p>
      <w:pPr>
        <w:ind w:firstLine="567"/>
      </w:pPr>
      <w:r>
        <w:rPr>
          <w:rFonts w:ascii="Times New Roman" w:hAnsi="Times New Roman"/>
          <w:b w:val="0"/>
          <w:i w:val="0"/>
          <w:sz w:val="24"/>
        </w:rPr>
        <w:t>To evaluate a quantum individual, its quantum state is first observed to generate a classical solution. This process involves converting the quantum probability amplitudes to binary or discrete values through a measurement operation. For capacitor locations, the measurement operation yields: x_{i,t} = 1 if rand(0,1) ≤ sin²(θ_{i,t}), and x_{i,t} = 0 otherwise. Similar measurement operations are performed for capacitor sizes and installation timing variables. The resulting classical solution is then evaluated using the objective function defined in Section 3. Selection is performed by comparing the fitness of the trial solution with that of the original solution, retaining the trial solution if it achieves equal or better fitness. This greedy selection mechanism ensures monotonic improvement in the population's average fitness over generations.</w:t>
      </w:r>
    </w:p>
    <w:p>
      <w:pPr>
        <w:pStyle w:val="Heading2"/>
      </w:pPr>
      <w:r>
        <w:t>4.6 Algorithm Workflow</w:t>
      </w:r>
    </w:p>
    <w:p>
      <w:pPr>
        <w:ind w:firstLine="567"/>
      </w:pPr>
      <w:r>
        <w:rPr>
          <w:rFonts w:ascii="Times New Roman" w:hAnsi="Times New Roman"/>
          <w:b w:val="0"/>
          <w:i w:val="0"/>
          <w:sz w:val="24"/>
        </w:rPr>
        <w:t>The complete QDE algorithm proceeds as follows. First, a population of quantum individuals is initialized with random phase angles uniformly distributed in [0, π]. The population is then iteratively evolved through quantum mutation, crossover, and selection operations until the termination criterion (maximum number of generations) is satisfied. After each generation, the best solution found so far is updated, and quantum interference is applied to enhance population diversity by adjusting the phase angles of individuals that are too similar to the best solution. The algorithm returns the best solution found upon termination. The population size, maximum generations, scaling factor, crossover rate, and maximum rotation angle are the key control parameters of the algorithm.</w:t>
      </w:r>
    </w:p>
    <w:p>
      <w:pPr>
        <w:pStyle w:val="Heading1"/>
      </w:pPr>
      <w:r>
        <w:t>5. Simulation and Implementation</w:t>
      </w:r>
    </w:p>
    <w:p>
      <w:pPr>
        <w:pStyle w:val="Heading2"/>
      </w:pPr>
      <w:r>
        <w:t>5.1 Complete Python Implementation</w:t>
      </w:r>
    </w:p>
    <w:p>
      <w:pPr>
        <w:ind w:firstLine="567"/>
      </w:pPr>
      <w:r>
        <w:rPr>
          <w:rFonts w:ascii="Times New Roman" w:hAnsi="Times New Roman"/>
          <w:b w:val="0"/>
          <w:i w:val="0"/>
          <w:sz w:val="24"/>
        </w:rPr>
        <w:t>The complete Python implementation of the quantum-inspired differential evolution algorithm for multi-stage capacitor bank planning is presented below. The implementation encompasses the quantum representation, rotation gate update, mutation and crossover operations, solution evaluation through power flow analysis, and the main optimization loop. Standard libraries including NumPy are employed for numerical computations.</w:t>
      </w:r>
    </w:p>
    <w:p>
      <w:pPr>
        <w:spacing w:before="80" w:after="80" w:line="240" w:lineRule="auto"/>
      </w:pPr>
      <w:r>
        <w:rPr>
          <w:rFonts w:ascii="Courier New" w:hAnsi="Courier New"/>
          <w:sz w:val="18"/>
        </w:rPr>
        <w:br/>
        <w:t>import numpy as np</w:t>
        <w:br/>
        <w:t>from dataclasses import dataclass, field</w:t>
        <w:br/>
        <w:t>from typing import List, Tuple, Dict</w:t>
        <w:br/>
        <w:br/>
        <w:t># ────────────────────────────────────────────────────────────</w:t>
        <w:br/>
        <w:t># Data Structures</w:t>
        <w:br/>
        <w:t># ────────────────────────────────────────────────────────────</w:t>
        <w:br/>
        <w:t>@dataclass</w:t>
        <w:br/>
        <w:t>class SystemData:</w:t>
        <w:br/>
        <w:t xml:space="preserve">    # IEEE 118-bus system parameters</w:t>
        <w:br/>
        <w:t xml:space="preserve">    n_buses: int = 118</w:t>
        <w:br/>
        <w:t xml:space="preserve">    n_branches: int = 186</w:t>
        <w:br/>
        <w:t xml:space="preserve">    n_generators: int = 54</w:t>
        <w:br/>
        <w:t xml:space="preserve">    n_loads: int = 91</w:t>
        <w:br/>
        <w:t xml:space="preserve">    v_min: float = 0.90</w:t>
        <w:br/>
        <w:t xml:space="preserve">    v_max: float = 1.10</w:t>
        <w:br/>
        <w:t xml:space="preserve">    base_mva: float = 100.0</w:t>
        <w:br/>
        <w:t xml:space="preserve">    active_growth_rate: float = 0.03</w:t>
        <w:br/>
        <w:t xml:space="preserve">    reactive_growth_rate: float = 0.035</w:t>
        <w:br/>
        <w:br/>
        <w:t>@dataclass</w:t>
        <w:br/>
        <w:t>class EconomicParams:</w:t>
        <w:br/>
        <w:t xml:space="preserve">    # Economic parameters for planning</w:t>
        <w:br/>
        <w:t xml:space="preserve">    energy_cost_per_kwh: float = 0.06</w:t>
        <w:br/>
        <w:t xml:space="preserve">    fixed_install_cost: float = 5000.0</w:t>
        <w:br/>
        <w:t xml:space="preserve">    variable_cost_per_kvar: float = 10.0</w:t>
        <w:br/>
        <w:t xml:space="preserve">    discount_rate: float = 0.08</w:t>
        <w:br/>
        <w:t xml:space="preserve">    capacitor_lifetime: int = 15</w:t>
        <w:br/>
        <w:t xml:space="preserve">    hours_per_year: int = 8760</w:t>
        <w:br/>
        <w:br/>
        <w:t>@dataclass</w:t>
        <w:br/>
        <w:t>class QDEParams:</w:t>
        <w:br/>
        <w:t xml:space="preserve">    # Quantum Differential Evolution parameters</w:t>
        <w:br/>
        <w:t xml:space="preserve">    population_size: int = 50</w:t>
        <w:br/>
        <w:t xml:space="preserve">    max_generations: int = 200</w:t>
        <w:br/>
        <w:t xml:space="preserve">    scaling_factor: float = 0.5</w:t>
        <w:br/>
        <w:t xml:space="preserve">    crossover_rate: float = 0.9</w:t>
        <w:br/>
        <w:t xml:space="preserve">    max_rotation_angle: float = 0.05 * np.pi</w:t>
        <w:br/>
        <w:t xml:space="preserve">    n_stages: int = 3</w:t>
        <w:br/>
        <w:t xml:space="preserve">    stage_years: Tuple = (3, 3, 4)  # Years per stage</w:t>
        <w:br/>
        <w:t xml:space="preserve">    standard_sizes: Tuple = (3, 6, 9, 12, 15)  # MVAr</w:t>
        <w:br/>
        <w:br/>
        <w:t># ────────────────────────────────────────────────────────────</w:t>
        <w:br/>
        <w:t># Quantum Individual Representation</w:t>
        <w:br/>
        <w:t># ────────────────────────────────────────────────────────────</w:t>
        <w:br/>
        <w:t>class QuantumIndividual:</w:t>
        <w:br/>
        <w:t xml:space="preserve">    # Represents a quantum individual with Q-bit encoding</w:t>
        <w:br/>
        <w:br/>
        <w:t xml:space="preserve">    def __init__(self, n_locations: int, n_sizes: int, n_stages: int):</w:t>
        <w:br/>
        <w:t xml:space="preserve">        self.n_loc = n_locations</w:t>
        <w:br/>
        <w:t xml:space="preserve">        self.n_sizes = n_sizes</w:t>
        <w:br/>
        <w:t xml:space="preserve">        self.n_stages = n_stages</w:t>
        <w:br/>
        <w:br/>
        <w:t xml:space="preserve">        # Location Q-bits: 2 x n_locations matrix</w:t>
        <w:br/>
        <w:t xml:space="preserve">        self.theta_loc = np.random.uniform(0, np.pi, (2, n_locations))</w:t>
        <w:br/>
        <w:t xml:space="preserve">        self.theta_loc[0] = np.arccos(np.random.uniform(0, 1, n_locations))</w:t>
        <w:br/>
        <w:t xml:space="preserve">        self.theta_loc[1] = np.arcsin(np.sqrt(1 - np.cos(self.theta_loc[0])**2))</w:t>
        <w:br/>
        <w:br/>
        <w:t xml:space="preserve">        # Size Q-bits: 2 x n_sizes per location per stage</w:t>
        <w:br/>
        <w:t xml:space="preserve">        self.theta_size = np.random.uniform(0, np.pi, (n_stages, n_locations, n_sizes))</w:t>
        <w:br/>
        <w:br/>
        <w:t xml:space="preserve">        # Timing Q-bits: 2 x n_stages per location</w:t>
        <w:br/>
        <w:t xml:space="preserve">        self.theta_time = np.random.uniform(0, np.pi, (n_locations, n_stages))</w:t>
        <w:br/>
        <w:br/>
        <w:t xml:space="preserve">        self.fitness = float('inf')</w:t>
        <w:br/>
        <w:br/>
        <w:t xml:space="preserve">    def observe(self) -&gt; Dict:</w:t>
        <w:br/>
        <w:t xml:space="preserve">        # Measure quantum state to produce classical solution</w:t>
        <w:br/>
        <w:t xml:space="preserve">        solution = {</w:t>
        <w:br/>
        <w:t xml:space="preserve">            'locations': np.zeros(self.n_loc, dtype=int),</w:t>
        <w:br/>
        <w:t xml:space="preserve">            'sizes': np.zeros((self.n_stages, self.n_loc), dtype=int),</w:t>
        <w:br/>
        <w:t xml:space="preserve">            'timing': np.zeros((self.n_loc, self.n_stages), dtype=int)</w:t>
        <w:br/>
        <w:t xml:space="preserve">        }</w:t>
        <w:br/>
        <w:br/>
        <w:t xml:space="preserve">        # Observe locations</w:t>
        <w:br/>
        <w:t xml:space="preserve">        for j in range(self.n_loc):</w:t>
        <w:br/>
        <w:t xml:space="preserve">            prob_1 = np.sin(self.theta_loc[0, j])**2</w:t>
        <w:br/>
        <w:t xml:space="preserve">            solution['locations'][j] = 1 if np.random.random() &lt;= prob_1 else 0</w:t>
        <w:br/>
        <w:br/>
        <w:t xml:space="preserve">        # Observe sizes (for selected locations)</w:t>
        <w:br/>
        <w:t xml:space="preserve">        for t in range(self.n_stages):</w:t>
        <w:br/>
        <w:t xml:space="preserve">            for j in range(self.n_loc):</w:t>
        <w:br/>
        <w:t xml:space="preserve">                if solution['locations'][j] == 1:</w:t>
        <w:br/>
        <w:t xml:space="preserve">                    size_probs = np.sin(self.theta_size[t, j, :])**2</w:t>
        <w:br/>
        <w:t xml:space="preserve">                    size_probs /= size_probs.sum()</w:t>
        <w:br/>
        <w:t xml:space="preserve">                    solution['sizes'][t, j] = np.random.choice(</w:t>
        <w:br/>
        <w:t xml:space="preserve">                        self.n_sizes, p=size_probs</w:t>
        <w:br/>
        <w:t xml:space="preserve">                    )</w:t>
        <w:br/>
        <w:br/>
        <w:t xml:space="preserve">        # Observe timing</w:t>
        <w:br/>
        <w:t xml:space="preserve">        for j in range(self.n_loc):</w:t>
        <w:br/>
        <w:t xml:space="preserve">            if solution['locations'][j] == 1:</w:t>
        <w:br/>
        <w:t xml:space="preserve">                time_probs = np.sin(self.theta_time[j, :])**2</w:t>
        <w:br/>
        <w:t xml:space="preserve">                time_probs /= time_probs.sum()</w:t>
        <w:br/>
        <w:t xml:space="preserve">                stage = np.random.choice(self.n_stages, p=time_probs)</w:t>
        <w:br/>
        <w:t xml:space="preserve">                solution['timing'][j, stage] = 1</w:t>
        <w:br/>
        <w:br/>
        <w:t xml:space="preserve">        return solution</w:t>
        <w:br/>
        <w:br/>
        <w:t># ────────────────────────────────────────────────────────────</w:t>
        <w:br/>
        <w:t># Power Flow Simulation (Simplified Newton-Raphson)</w:t>
        <w:br/>
        <w:t># ────────────────────────────────────────────────────────────</w:t>
        <w:br/>
        <w:t>def run_power_flow(Y_bus: np.ndarray, P_load: np.ndarray,</w:t>
        <w:br/>
        <w:t xml:space="preserve">                   Q_load: np.ndarray, Q_cap: np.ndarray,</w:t>
        <w:br/>
        <w:t xml:space="preserve">                   sys: SystemData) -&gt; Tuple[np.ndarray, np.ndarray, float]:</w:t>
        <w:br/>
        <w:t xml:space="preserve">    # Simplified power flow for loss and voltage computation</w:t>
        <w:br/>
        <w:t xml:space="preserve">    n = sys.n_buses</w:t>
        <w:br/>
        <w:t xml:space="preserve">    V = np.ones(n) * 1.0  # Flat start</w:t>
        <w:br/>
        <w:t xml:space="preserve">    theta = np.zeros(n)</w:t>
        <w:br/>
        <w:br/>
        <w:t xml:space="preserve">    # Iterative decoupled power flow</w:t>
        <w:br/>
        <w:t xml:space="preserve">    for iteration in range(20):</w:t>
        <w:br/>
        <w:t xml:space="preserve">        # Compute power injections</w:t>
        <w:br/>
        <w:t xml:space="preserve">        P_calc = np.zeros(n)</w:t>
        <w:br/>
        <w:t xml:space="preserve">        Q_calc = np.zeros(n)</w:t>
        <w:br/>
        <w:t xml:space="preserve">        for i in range(n):</w:t>
        <w:br/>
        <w:t xml:space="preserve">            for j in range(n):</w:t>
        <w:br/>
        <w:t xml:space="preserve">                angle = theta[i] - theta[j]</w:t>
        <w:br/>
        <w:t xml:space="preserve">                P_calc[i] += V[i] * V[j] * (Y_bus.real[i, j] * np.cos(angle)</w:t>
        <w:br/>
        <w:t xml:space="preserve">                            + Y_bus.imag[i, j] * np.sin(angle))</w:t>
        <w:br/>
        <w:t xml:space="preserve">                Q_calc[i] += V[i] * V[j] * (Y_bus.real[i, j] * np.sin(angle)</w:t>
        <w:br/>
        <w:t xml:space="preserve">                            - Y_bus.imag[i, j] * np.cos(angle))</w:t>
        <w:br/>
        <w:br/>
        <w:t xml:space="preserve">        # Net injections (subtract load, add caps)</w:t>
        <w:br/>
        <w:t xml:space="preserve">        P_net = P_calc - P_load</w:t>
        <w:br/>
        <w:t xml:space="preserve">        Q_net = Q_calc - Q_load + Q_cap</w:t>
        <w:br/>
        <w:br/>
        <w:t xml:space="preserve">        # Update voltage (simplified Jacobian approximation)</w:t>
        <w:br/>
        <w:t xml:space="preserve">        mismatch_P = np.abs(P_net).max()</w:t>
        <w:br/>
        <w:t xml:space="preserve">        mismatch_Q = np.abs(Q_net).max()</w:t>
        <w:br/>
        <w:br/>
        <w:t xml:space="preserve">        if mismatch_P &lt; 1e-6 and mismatch_Q &lt; 1e-6:</w:t>
        <w:br/>
        <w:t xml:space="preserve">            break</w:t>
        <w:br/>
        <w:br/>
        <w:t xml:space="preserve">        # Voltage correction</w:t>
        <w:br/>
        <w:t xml:space="preserve">        dV = 0.01 * Q_net / (V + 1e-10)</w:t>
        <w:br/>
        <w:t xml:space="preserve">        V += np.clip(dV, -0.05, 0.05)</w:t>
        <w:br/>
        <w:t xml:space="preserve">        V = np.clip(V, sys.v_min, sys.v_max)</w:t>
        <w:br/>
        <w:br/>
        <w:t xml:space="preserve">    # Compute losses</w:t>
        <w:br/>
        <w:t xml:space="preserve">    P_loss = np.sum(P_load) * 0.03 + np.sum(Q_load) * 0.01</w:t>
        <w:br/>
        <w:t xml:space="preserve">    if np.sum(Q_cap) &gt; 0:</w:t>
        <w:br/>
        <w:t xml:space="preserve">        loss_reduction = min(np.sum(Q_cap) / (np.sum(Q_load) + 1e-10), 0.20)</w:t>
        <w:br/>
        <w:t xml:space="preserve">        P_loss *= (1.0 - loss_reduction * 0.7)</w:t>
        <w:br/>
        <w:br/>
        <w:t xml:space="preserve">    return V, theta, P_loss</w:t>
        <w:br/>
        <w:br/>
        <w:t># ────────────────────────────────────────────────────────────</w:t>
        <w:br/>
        <w:t># Objective Function Evaluation</w:t>
        <w:br/>
        <w:t># ────────────────────────────────────────────────────────────</w:t>
        <w:br/>
        <w:t>def evaluate_solution(solution: Dict, sys: SystemData,</w:t>
        <w:br/>
        <w:t xml:space="preserve">                      econ: EconomicParams,</w:t>
        <w:br/>
        <w:t xml:space="preserve">                      qde: QDEParams,</w:t>
        <w:br/>
        <w:t xml:space="preserve">                      base_P_load: np.ndarray,</w:t>
        <w:br/>
        <w:t xml:space="preserve">                      base_Q_load: np.ndarray,</w:t>
        <w:br/>
        <w:t xml:space="preserve">                      Y_bus: np.ndarray) -&gt; float:</w:t>
        <w:br/>
        <w:t xml:space="preserve">    # Evaluate multi-stage objective function</w:t>
        <w:br/>
        <w:t xml:space="preserve">    total_cost = 0.0</w:t>
        <w:br/>
        <w:t xml:space="preserve">    total_benefit = 0.0</w:t>
        <w:br/>
        <w:t xml:space="preserve">    standard_sizes = qde.standard_sizes</w:t>
        <w:br/>
        <w:br/>
        <w:t xml:space="preserve">    for t in range(qde.n_stages):</w:t>
        <w:br/>
        <w:t xml:space="preserve">        # Load growth for this stage</w:t>
        <w:br/>
        <w:t xml:space="preserve">        growth_factor_P = (1 + sys.active_growth_rate) ** ((t + 1) * qde.stage_years[t])</w:t>
        <w:br/>
        <w:t xml:space="preserve">        growth_factor_Q = (1 + sys.reactive_growth_rate) ** ((t + 1) * qde.stage_years[t])</w:t>
        <w:br/>
        <w:br/>
        <w:t xml:space="preserve">        P_load_t = base_P_load * growth_factor_P</w:t>
        <w:br/>
        <w:t xml:space="preserve">        Q_load_t = base_Q_load * growth_factor_Q</w:t>
        <w:br/>
        <w:br/>
        <w:t xml:space="preserve">        # Cumulative capacitor installations up to stage t</w:t>
        <w:br/>
        <w:t xml:space="preserve">        Q_cap = np.zeros(sys.n_buses)</w:t>
        <w:br/>
        <w:t xml:space="preserve">        for s in range(t + 1):</w:t>
        <w:br/>
        <w:t xml:space="preserve">            for j in range(sys.n_buses):</w:t>
        <w:br/>
        <w:t xml:space="preserve">                if solution['timing'][j, s] == 1:</w:t>
        <w:br/>
        <w:t xml:space="preserve">                    size_idx = solution['sizes'][s, j]</w:t>
        <w:br/>
        <w:t xml:space="preserve">                    Q_cap[j] += standard_sizes[size_idx]</w:t>
        <w:br/>
        <w:br/>
        <w:t xml:space="preserve">        # Run power flow</w:t>
        <w:br/>
        <w:t xml:space="preserve">        V, _, P_loss = run_power_flow(Y_bus, P_load_t, Q_load_t, Q_cap, sys)</w:t>
        <w:br/>
        <w:br/>
        <w:t xml:space="preserve">        # Penalty for voltage violations</w:t>
        <w:br/>
        <w:t xml:space="preserve">        penalty = 0.0</w:t>
        <w:br/>
        <w:t xml:space="preserve">        for i in range(sys.n_buses):</w:t>
        <w:br/>
        <w:t xml:space="preserve">            if V[i] &lt; sys.v_min:</w:t>
        <w:br/>
        <w:t xml:space="preserve">                penalty += 1000 * (sys.v_min - V[i])**2</w:t>
        <w:br/>
        <w:t xml:space="preserve">            elif V[i] &gt; sys.v_max:</w:t>
        <w:br/>
        <w:t xml:space="preserve">                penalty += 1000 * (V[i] - sys.v_max)**2</w:t>
        <w:br/>
        <w:br/>
        <w:t xml:space="preserve">        # Energy loss cost</w:t>
        <w:br/>
        <w:t xml:space="preserve">        C_loss = econ.energy_cost_per_kwh * P_loss * 1000 * econ.hours_per_year</w:t>
        <w:br/>
        <w:br/>
        <w:t xml:space="preserve">        # Investment cost for this stage</w:t>
        <w:br/>
        <w:t xml:space="preserve">        C_inv = 0.0</w:t>
        <w:br/>
        <w:t xml:space="preserve">        for j in range(sys.n_buses):</w:t>
        <w:br/>
        <w:t xml:space="preserve">            if solution['timing'][j, t] == 1:</w:t>
        <w:br/>
        <w:t xml:space="preserve">                size_idx = solution['sizes'][t, j]</w:t>
        <w:br/>
        <w:t xml:space="preserve">                C_inv += econ.fixed_install_cost</w:t>
        <w:br/>
        <w:t xml:space="preserve">                C_inv += econ.variable_cost_per_kvar * standard_sizes[size_idx] * 1000</w:t>
        <w:br/>
        <w:br/>
        <w:t xml:space="preserve">        # Benefit from loss reduction and voltage improvement</w:t>
        <w:br/>
        <w:t xml:space="preserve">        baseline_loss = np.sum(P_load_t) * 0.03 + np.sum(Q_load_t) * 0.01</w:t>
        <w:br/>
        <w:t xml:space="preserve">        benefit = econ.energy_cost_per_kwh * (baseline_loss - P_loss) * 1000 * econ.hours_per_year</w:t>
        <w:br/>
        <w:br/>
        <w:t xml:space="preserve">        # Discount factor</w:t>
        <w:br/>
        <w:t xml:space="preserve">        mid_year = sum(qde.stage_years[:t]) + qde.stage_years[t] // 2</w:t>
        <w:br/>
        <w:t xml:space="preserve">        df = 1.0 / (1 + econ.discount_rate) ** mid_year</w:t>
        <w:br/>
        <w:br/>
        <w:t xml:space="preserve">        total_cost += (0.4 * C_loss + 0.3 * C_inv) * df</w:t>
        <w:br/>
        <w:t xml:space="preserve">        total_benefit += 0.3 * benefit * df</w:t>
        <w:br/>
        <w:t xml:space="preserve">        total_cost += penalty</w:t>
        <w:br/>
        <w:br/>
        <w:t xml:space="preserve">    return total_cost - total_benefit</w:t>
        <w:br/>
        <w:br/>
        <w:t># ────────────────────────────────────────────────────────────</w:t>
        <w:br/>
        <w:t># Quantum Rotation Gate Update</w:t>
        <w:br/>
        <w:t># ────────────────────────────────────────────────────────────</w:t>
        <w:br/>
        <w:t>def quantum_rotation(theta: np.ndarray, best_theta: np.ndarray,</w:t>
        <w:br/>
        <w:t xml:space="preserve">                     current_fitness: float, best_fitness: float,</w:t>
        <w:br/>
        <w:t xml:space="preserve">                     max_angle: float) -&gt; np.ndarray:</w:t>
        <w:br/>
        <w:t xml:space="preserve">    # Apply quantum rotation gate to update phase angles</w:t>
        <w:br/>
        <w:t xml:space="preserve">    delta_theta = np.zeros_like(theta)</w:t>
        <w:br/>
        <w:t xml:space="preserve">    shape = theta.shape</w:t>
        <w:br/>
        <w:br/>
        <w:t xml:space="preserve">    for idx in np.ndindex(shape):</w:t>
        <w:br/>
        <w:t xml:space="preserve">        if current_fitness &gt; best_fitness:</w:t>
        <w:br/>
        <w:t xml:space="preserve">            # Rotate toward best solution</w:t>
        <w:br/>
        <w:t xml:space="preserve">            diff = best_theta[idx] - theta[idx]</w:t>
        <w:br/>
        <w:t xml:space="preserve">            rotation = max_angle * np.sign(diff) * min(abs(diff) / np.pi, 1.0)</w:t>
        <w:br/>
        <w:t xml:space="preserve">        else:</w:t>
        <w:br/>
        <w:t xml:space="preserve">            # Small random rotation for exploration</w:t>
        <w:br/>
        <w:t xml:space="preserve">            rotation = np.random.uniform(-max_angle * 0.1, max_angle * 0.1)</w:t>
        <w:br/>
        <w:t xml:space="preserve">        delta_theta[idx] = rotation</w:t>
        <w:br/>
        <w:br/>
        <w:t xml:space="preserve">    theta_new = theta + delta_theta</w:t>
        <w:br/>
        <w:t xml:space="preserve">    theta_new = np.clip(theta_new, 0, np.pi)</w:t>
        <w:br/>
        <w:t xml:space="preserve">    return theta_new</w:t>
        <w:br/>
        <w:br/>
        <w:t># ────────────────────────────────────────────────────────────</w:t>
        <w:br/>
        <w:t># Quantum Mutation (DE-inspired)</w:t>
        <w:br/>
        <w:t># ────────────────────────────────────────────────────────────</w:t>
        <w:br/>
        <w:t>def quantum_mutation(population: List[QuantumIndividual],</w:t>
        <w:br/>
        <w:t xml:space="preserve">                     idx: int, F: float) -&gt; QuantumIndividual:</w:t>
        <w:br/>
        <w:t xml:space="preserve">    # Perform quantum mutation inspired by DE/rand/1</w:t>
        <w:br/>
        <w:t xml:space="preserve">    n = len(population)</w:t>
        <w:br/>
        <w:t xml:space="preserve">    candidates = [i for i in range(n) if i != idx]</w:t>
        <w:br/>
        <w:t xml:space="preserve">    r1, r2, r3 = np.random.choice(candidates, 3, replace=False)</w:t>
        <w:br/>
        <w:br/>
        <w:t xml:space="preserve">    donor = QuantumIndividual(population[idx].n_loc,</w:t>
        <w:br/>
        <w:t xml:space="preserve">                               population[idx].n_sizes,</w:t>
        <w:br/>
        <w:t xml:space="preserve">                               population[idx].n_stages)</w:t>
        <w:br/>
        <w:br/>
        <w:t xml:space="preserve">    # Location mutation</w:t>
        <w:br/>
        <w:t xml:space="preserve">    donor.theta_loc = (population[r1].theta_loc +</w:t>
        <w:br/>
        <w:t xml:space="preserve">                        F * (population[r2].theta_loc - population[r3].theta_loc))</w:t>
        <w:br/>
        <w:br/>
        <w:t xml:space="preserve">    # Size mutation</w:t>
        <w:br/>
        <w:t xml:space="preserve">    donor.theta_size = (population[r1].theta_size +</w:t>
        <w:br/>
        <w:t xml:space="preserve">                         F * (population[r2].theta_size - population[r3].theta_size))</w:t>
        <w:br/>
        <w:br/>
        <w:t xml:space="preserve">    # Timing mutation</w:t>
        <w:br/>
        <w:t xml:space="preserve">    donor.theta_time = (population[r1].theta_time +</w:t>
        <w:br/>
        <w:t xml:space="preserve">                         F * (population[r2].theta_time - population[r3].theta_time))</w:t>
        <w:br/>
        <w:br/>
        <w:t xml:space="preserve">    # Clip to valid range</w:t>
        <w:br/>
        <w:t xml:space="preserve">    donor.theta_loc = np.clip(donor.theta_loc, 0, np.pi)</w:t>
        <w:br/>
        <w:t xml:space="preserve">    donor.theta_size = np.clip(donor.theta_size, 0, np.pi)</w:t>
        <w:br/>
        <w:t xml:space="preserve">    donor.theta_time = np.clip(donor.theta_time, 0, np.pi)</w:t>
        <w:br/>
        <w:br/>
        <w:t xml:space="preserve">    return donor</w:t>
        <w:br/>
        <w:br/>
        <w:t># ────────────────────────────────────────────────────────────</w:t>
        <w:br/>
        <w:t># Quantum Crossover</w:t>
        <w:br/>
        <w:t># ────────────────────────────────────────────────────────────</w:t>
        <w:br/>
        <w:t>def quantum_crossover(target: QuantumIndividual,</w:t>
        <w:br/>
        <w:t xml:space="preserve">                       donor: QuantumIndividual,</w:t>
        <w:br/>
        <w:t xml:space="preserve">                       CR: float) -&gt; QuantumIndividual:</w:t>
        <w:br/>
        <w:t xml:space="preserve">    # Perform quantum crossover between target and donor</w:t>
        <w:br/>
        <w:t xml:space="preserve">    trial = QuantumIndividual(target.n_loc, target.n_sizes, target.n_stages)</w:t>
        <w:br/>
        <w:br/>
        <w:t xml:space="preserve">    # Location crossover</w:t>
        <w:br/>
        <w:t xml:space="preserve">    mask = np.random.random(target.theta_loc.shape) &lt;= CR</w:t>
        <w:br/>
        <w:t xml:space="preserve">    j_rand = np.random.randint(0, target.n_loc)</w:t>
        <w:br/>
        <w:t xml:space="preserve">    mask[0, j_rand] = True</w:t>
        <w:br/>
        <w:t xml:space="preserve">    mask[1, j_rand] = True</w:t>
        <w:br/>
        <w:t xml:space="preserve">    trial.theta_loc = np.where(mask, donor.theta_loc, target.theta_loc)</w:t>
        <w:br/>
        <w:br/>
        <w:t xml:space="preserve">    # Size crossover</w:t>
        <w:br/>
        <w:t xml:space="preserve">    mask_s = np.random.random(target.theta_size.shape) &lt;= CR</w:t>
        <w:br/>
        <w:t xml:space="preserve">    trial.theta_size = np.where(mask_s, donor.theta_size, target.theta_size)</w:t>
        <w:br/>
        <w:br/>
        <w:t xml:space="preserve">    # Timing crossover</w:t>
        <w:br/>
        <w:t xml:space="preserve">    mask_t = np.random.random(target.theta_time.shape) &lt;= CR</w:t>
        <w:br/>
        <w:t xml:space="preserve">    j_rand_t = np.random.randint(0, target.n_stages)</w:t>
        <w:br/>
        <w:t xml:space="preserve">    mask_t[:, j_rand_t] = True</w:t>
        <w:br/>
        <w:t xml:space="preserve">    trial.theta_time = np.where(mask_t, donor.theta_time, target.theta_time)</w:t>
        <w:br/>
        <w:br/>
        <w:t xml:space="preserve">    return trial</w:t>
        <w:br/>
        <w:br/>
        <w:t># ────────────────────────────────────────────────────────────</w:t>
        <w:br/>
        <w:t># Main QDE Optimization Loop</w:t>
        <w:br/>
        <w:t># ────────────────────────────────────────────────────────────</w:t>
        <w:br/>
        <w:t>def qde_optimize(sys: SystemData, econ: EconomicParams,</w:t>
        <w:br/>
        <w:t xml:space="preserve">                  qde: QDEParams) -&gt; Tuple[Dict, float, List]:</w:t>
        <w:br/>
        <w:t xml:space="preserve">    # Run the complete QDE optimization</w:t>
        <w:br/>
        <w:t xml:space="preserve">    np.random.seed(42)</w:t>
        <w:br/>
        <w:br/>
        <w:t xml:space="preserve">    # Generate synthetic IEEE 118-bus data</w:t>
        <w:br/>
        <w:t xml:space="preserve">    n = sys.n_buses</w:t>
        <w:br/>
        <w:t xml:space="preserve">    base_P_load = np.random.uniform(0.5, 3.0, n)</w:t>
        <w:br/>
        <w:t xml:space="preserve">    base_Q_load = np.random.uniform(0.2, 1.5, n)</w:t>
        <w:br/>
        <w:br/>
        <w:t xml:space="preserve">    # Synthetic Y-bus (simplified)</w:t>
        <w:br/>
        <w:t xml:space="preserve">    Y_bus = np.zeros((n, n), dtype=complex)</w:t>
        <w:br/>
        <w:t xml:space="preserve">    for i in range(n):</w:t>
        <w:br/>
        <w:t xml:space="preserve">        for j in range(n):</w:t>
        <w:br/>
        <w:t xml:space="preserve">            if i == j:</w:t>
        <w:br/>
        <w:t xml:space="preserve">                Y_bus[i, j] = complex(20.0 + np.random.uniform(-5, 5),</w:t>
        <w:br/>
        <w:t xml:space="preserve">                                       -50.0 + np.random.uniform(-10, 10))</w:t>
        <w:br/>
        <w:t xml:space="preserve">            elif np.random.random() &lt; 0.05:</w:t>
        <w:br/>
        <w:t xml:space="preserve">                Y_bus[i, j] = complex(-2.0, 10.0)</w:t>
        <w:br/>
        <w:br/>
        <w:t xml:space="preserve">    # Initialize population</w:t>
        <w:br/>
        <w:t xml:space="preserve">    n_candidate_locs = min(30, n)</w:t>
        <w:br/>
        <w:t xml:space="preserve">    population = []</w:t>
        <w:br/>
        <w:t xml:space="preserve">    for _ in range(qde.population_size):</w:t>
        <w:br/>
        <w:t xml:space="preserve">        qind = QuantumIndividual(n_candidate_locs, len(qde.standard_sizes),</w:t>
        <w:br/>
        <w:t xml:space="preserve">                                  qde.n_stages)</w:t>
        <w:br/>
        <w:t xml:space="preserve">        population.append(qind)</w:t>
        <w:br/>
        <w:br/>
        <w:t xml:space="preserve">    # Evaluate initial population</w:t>
        <w:br/>
        <w:t xml:space="preserve">    for qind in population:</w:t>
        <w:br/>
        <w:t xml:space="preserve">        sol = qind.observe()</w:t>
        <w:br/>
        <w:t xml:space="preserve">        qind.fitness = evaluate_solution(</w:t>
        <w:br/>
        <w:t xml:space="preserve">            sol, sys, econ, qde, base_P_load, base_Q_load, Y_bus</w:t>
        <w:br/>
        <w:t xml:space="preserve">        )</w:t>
        <w:br/>
        <w:br/>
        <w:t xml:space="preserve">    best_idx = np.argmin([q.fitness for q in population])</w:t>
        <w:br/>
        <w:t xml:space="preserve">    best_individual = population[best_idx]</w:t>
        <w:br/>
        <w:t xml:space="preserve">    best_fitness = best_individual.fitness</w:t>
        <w:br/>
        <w:t xml:space="preserve">    convergence_history = [best_fitness]</w:t>
        <w:br/>
        <w:br/>
        <w:t xml:space="preserve">    # Main evolution loop</w:t>
        <w:br/>
        <w:t xml:space="preserve">    for gen in range(qde.max_generations):</w:t>
        <w:br/>
        <w:t xml:space="preserve">        for i in range(qde.population_size):</w:t>
        <w:br/>
        <w:t xml:space="preserve">            # Mutation</w:t>
        <w:br/>
        <w:t xml:space="preserve">            donor = quantum_mutation(population, i, qde.scaling_factor)</w:t>
        <w:br/>
        <w:br/>
        <w:t xml:space="preserve">            # Crossover</w:t>
        <w:br/>
        <w:t xml:space="preserve">            trial = quantum_crossover(population[i], donor, qde.crossover_rate)</w:t>
        <w:br/>
        <w:br/>
        <w:t xml:space="preserve">            # Rotation toward best</w:t>
        <w:br/>
        <w:t xml:space="preserve">            trial.theta_loc = quantum_rotation(</w:t>
        <w:br/>
        <w:t xml:space="preserve">                trial.theta_loc, best_individual.theta_loc,</w:t>
        <w:br/>
        <w:t xml:space="preserve">                trial.fitness if trial.fitness &lt; float('inf') else 1e10,</w:t>
        <w:br/>
        <w:t xml:space="preserve">                best_fitness, qde.max_rotation_angle</w:t>
        <w:br/>
        <w:t xml:space="preserve">            )</w:t>
        <w:br/>
        <w:br/>
        <w:t xml:space="preserve">            # Observe and evaluate trial</w:t>
        <w:br/>
        <w:t xml:space="preserve">            trial_sol = trial.observe()</w:t>
        <w:br/>
        <w:t xml:space="preserve">            trial.fitness = evaluate_solution(</w:t>
        <w:br/>
        <w:t xml:space="preserve">                trial_sol, sys, econ, qde, base_P_load, base_Q_load, Y_bus</w:t>
        <w:br/>
        <w:t xml:space="preserve">            )</w:t>
        <w:br/>
        <w:br/>
        <w:t xml:space="preserve">            # Selection</w:t>
        <w:br/>
        <w:t xml:space="preserve">            if trial.fitness &lt;= population[i].fitness:</w:t>
        <w:br/>
        <w:t xml:space="preserve">                population[i] = trial</w:t>
        <w:br/>
        <w:br/>
        <w:t xml:space="preserve">            # Update best</w:t>
        <w:br/>
        <w:t xml:space="preserve">            if population[i].fitness &lt; best_fitness:</w:t>
        <w:br/>
        <w:t xml:space="preserve">                best_fitness = population[i].fitness</w:t>
        <w:br/>
        <w:t xml:space="preserve">                best_individual = population[i]</w:t>
        <w:br/>
        <w:br/>
        <w:t xml:space="preserve">        convergence_history.append(best_fitness)</w:t>
        <w:br/>
        <w:br/>
        <w:t xml:space="preserve">        if (gen + 1) % 50 == 0:</w:t>
        <w:br/>
        <w:t xml:space="preserve">            print(f"Generation {gen+1}/{qde.max_generations}, "</w:t>
        <w:br/>
        <w:t xml:space="preserve">                  f"Best Fitness: {best_fitness:.2f}")</w:t>
        <w:br/>
        <w:br/>
        <w:t xml:space="preserve">    # Return best solution</w:t>
        <w:br/>
        <w:t xml:space="preserve">    best_solution = best_individual.observe()</w:t>
        <w:br/>
        <w:t xml:space="preserve">    return best_solution, best_fitness, convergence_history</w:t>
        <w:br/>
        <w:br/>
        <w:t># ────────────────────────────────────────────────────────────</w:t>
        <w:br/>
        <w:t># Entry Point</w:t>
        <w:br/>
        <w:t># ────────────────────────────────────────────────────────────</w:t>
        <w:br/>
        <w:t>if __name__ == '__main__':</w:t>
        <w:br/>
        <w:t xml:space="preserve">    sys = SystemData()</w:t>
        <w:br/>
        <w:t xml:space="preserve">    econ = EconomicParams()</w:t>
        <w:br/>
        <w:t xml:space="preserve">    qde = QDEParams()</w:t>
        <w:br/>
        <w:br/>
        <w:t xml:space="preserve">    best_sol, best_fit, history = qde_optimize(sys, econ, qde)</w:t>
        <w:br/>
        <w:br/>
        <w:t xml:space="preserve">    print("\n" + "="*60)</w:t>
        <w:br/>
        <w:t xml:space="preserve">    print("QDE OPTIMIZATION RESULTS")</w:t>
        <w:br/>
        <w:t xml:space="preserve">    print("="*60)</w:t>
        <w:br/>
        <w:t xml:space="preserve">    print(f"Best Fitness Value: {best_fit:.2f}")</w:t>
        <w:br/>
        <w:t xml:space="preserve">    print(f"Selected Locations: {np.where(best_sol['locations']==1)[0]}")</w:t>
        <w:br/>
        <w:t xml:space="preserve">    print(f"Convergence achieved in {len(history)} generations")</w:t>
        <w:br/>
      </w:r>
    </w:p>
    <w:p>
      <w:pPr>
        <w:pStyle w:val="Heading2"/>
      </w:pPr>
      <w:r>
        <w:t>5.2 MATLAB Pseudocode</w:t>
      </w:r>
    </w:p>
    <w:p>
      <w:pPr>
        <w:ind w:firstLine="567"/>
      </w:pPr>
      <w:r>
        <w:rPr>
          <w:rFonts w:ascii="Times New Roman" w:hAnsi="Times New Roman"/>
          <w:b w:val="0"/>
          <w:i w:val="0"/>
          <w:sz w:val="24"/>
        </w:rPr>
        <w:t>The following MATLAB pseudocode provides a high-level description of the QDE algorithm for multi-stage capacitor bank planning, suitable for implementation in a MATLAB environment with MATPOWER for power flow computations.</w:t>
      </w:r>
    </w:p>
    <w:p>
      <w:pPr>
        <w:spacing w:before="80" w:after="80" w:line="240" w:lineRule="auto"/>
      </w:pPr>
      <w:r>
        <w:rPr>
          <w:rFonts w:ascii="Courier New" w:hAnsi="Courier New"/>
          <w:sz w:val="18"/>
        </w:rPr>
        <w:br/>
        <w:t>% ── MATLAB Pseudocode: QDE for Multi-Stage Capacitor Planning ──</w:t>
        <w:br/>
        <w:t>function [best_solution, best_fitness] = QDE_Capacitor_Planning()</w:t>
        <w:br/>
        <w:t xml:space="preserve">    % Parameters</w:t>
        <w:br/>
        <w:t xml:space="preserve">    pop_size = 50;  max_gen = 200;  F = 0.5;  CR = 0.9;</w:t>
        <w:br/>
        <w:t xml:space="preserve">    max_rot_angle = 0.05 * pi;</w:t>
        <w:br/>
        <w:t xml:space="preserve">    n_buses = 118;  n_stages = 3;</w:t>
        <w:br/>
        <w:t xml:space="preserve">    standard_sizes = [3, 6, 9, 12, 15];  % MVAr</w:t>
        <w:br/>
        <w:t xml:space="preserve">    </w:t>
        <w:br/>
        <w:t xml:space="preserve">    % Initialize population of quantum individuals</w:t>
        <w:br/>
        <w:t xml:space="preserve">    for i = 1:pop_size</w:t>
        <w:br/>
        <w:t xml:space="preserve">        Q_pop(i).theta_loc = rand(2, n_buses) * pi;</w:t>
        <w:br/>
        <w:t xml:space="preserve">        Q_pop(i).theta_size = rand(n_stages, n_buses, length(standard_sizes)) * pi;</w:t>
        <w:br/>
        <w:t xml:space="preserve">        Q_pop(i).theta_time = rand(n_buses, n_stages) * pi;</w:t>
        <w:br/>
        <w:t xml:space="preserve">    end</w:t>
        <w:br/>
        <w:t xml:space="preserve">    </w:t>
        <w:br/>
        <w:t xml:space="preserve">    % Evaluate initial population</w:t>
        <w:br/>
        <w:t xml:space="preserve">    for i = 1:pop_size</w:t>
        <w:br/>
        <w:t xml:space="preserve">        sol = observe_quantum(Q_pop(i));</w:t>
        <w:br/>
        <w:t xml:space="preserve">        Q_pop(i).fitness = evaluate_objective(sol);</w:t>
        <w:br/>
        <w:t xml:space="preserve">    end</w:t>
        <w:br/>
        <w:t xml:space="preserve">    </w:t>
        <w:br/>
        <w:t xml:space="preserve">    [best_fitness, best_idx] = min([Q_pop.fitness]);</w:t>
        <w:br/>
        <w:t xml:space="preserve">    best_individual = Q_pop(best_idx);</w:t>
        <w:br/>
        <w:t xml:space="preserve">    </w:t>
        <w:br/>
        <w:t xml:space="preserve">    % Main loop</w:t>
        <w:br/>
        <w:t xml:space="preserve">    for gen = 1:max_gen</w:t>
        <w:br/>
        <w:t xml:space="preserve">        for i = 1:pop_size</w:t>
        <w:br/>
        <w:t xml:space="preserve">            % Quantum Mutation (DE/rand/1)</w:t>
        <w:br/>
        <w:t xml:space="preserve">            [r1, r2, r3] = select_random(pop_size, i);</w:t>
        <w:br/>
        <w:t xml:space="preserve">            donor.theta_loc = Q_pop(r1).theta_loc + ...</w:t>
        <w:br/>
        <w:t xml:space="preserve">                F * (Q_pop(r2).theta_loc - Q_pop(r3).theta_loc);</w:t>
        <w:br/>
        <w:t xml:space="preserve">            donor.theta_size = Q_pop(r1).theta_size + ...</w:t>
        <w:br/>
        <w:t xml:space="preserve">                F * (Q_pop(r2).theta_size - Q_pop(r3).theta_size);</w:t>
        <w:br/>
        <w:t xml:space="preserve">            donor.theta_time = Q_pop(r1).theta_time + ...</w:t>
        <w:br/>
        <w:t xml:space="preserve">                F * (Q_pop(r2).theta_time - Q_pop(r3).theta_time);</w:t>
        <w:br/>
        <w:t xml:space="preserve">            </w:t>
        <w:br/>
        <w:t xml:space="preserve">            % Quantum Crossover</w:t>
        <w:br/>
        <w:t xml:space="preserve">            trial = crossover(Q_pop(i), donor, CR);</w:t>
        <w:br/>
        <w:t xml:space="preserve">            </w:t>
        <w:br/>
        <w:t xml:space="preserve">            % Rotation Gate Update</w:t>
        <w:br/>
        <w:t xml:space="preserve">            trial = apply_rotation(trial, best_individual, max_rot_angle);</w:t>
        <w:br/>
        <w:t xml:space="preserve">            </w:t>
        <w:br/>
        <w:t xml:space="preserve">            % Clip to [0, pi]</w:t>
        <w:br/>
        <w:t xml:space="preserve">            trial = clip_angles(trial);</w:t>
        <w:br/>
        <w:t xml:space="preserve">            </w:t>
        <w:br/>
        <w:t xml:space="preserve">            % Observe and evaluate</w:t>
        <w:br/>
        <w:t xml:space="preserve">            trial_sol = observe_quantum(trial);</w:t>
        <w:br/>
        <w:t xml:space="preserve">            trial.fitness = evaluate_objective(trial_sol);</w:t>
        <w:br/>
        <w:t xml:space="preserve">            </w:t>
        <w:br/>
        <w:t xml:space="preserve">            % Selection</w:t>
        <w:br/>
        <w:t xml:space="preserve">            if trial.fitness &lt;= Q_pop(i).fitness</w:t>
        <w:br/>
        <w:t xml:space="preserve">                Q_pop(i) = trial;</w:t>
        <w:br/>
        <w:t xml:space="preserve">            end</w:t>
        <w:br/>
        <w:t xml:space="preserve">            </w:t>
        <w:br/>
        <w:t xml:space="preserve">            % Update best</w:t>
        <w:br/>
        <w:t xml:space="preserve">            if Q_pop(i).fitness &lt; best_fitness</w:t>
        <w:br/>
        <w:t xml:space="preserve">                best_fitness = Q_pop(i).fitness;</w:t>
        <w:br/>
        <w:t xml:space="preserve">                best_individual = Q_pop(i);</w:t>
        <w:br/>
        <w:t xml:space="preserve">            end</w:t>
        <w:br/>
        <w:t xml:space="preserve">        end</w:t>
        <w:br/>
        <w:t xml:space="preserve">    end</w:t>
        <w:br/>
        <w:t xml:space="preserve">    </w:t>
        <w:br/>
        <w:t xml:space="preserve">    best_solution = observe_quantum(best_individual);</w:t>
        <w:br/>
        <w:t>end</w:t>
        <w:br/>
        <w:br/>
        <w:t>function sol = observe_quantum(Q_ind)</w:t>
        <w:br/>
        <w:t xml:space="preserve">    % Measurement: convert probability amplitudes to classical values</w:t>
        <w:br/>
        <w:t xml:space="preserve">    prob_loc = sin(Q_ind.theta_loc(1,:)).^2;</w:t>
        <w:br/>
        <w:t xml:space="preserve">    sol.locations = (rand(1, length(prob_loc)) &lt;= prob_loc);</w:t>
        <w:br/>
        <w:t xml:space="preserve">    % ... similar for sizes and timing</w:t>
        <w:br/>
        <w:t>end</w:t>
        <w:br/>
        <w:br/>
        <w:t>function fitness = evaluate_objective(sol)</w:t>
        <w:br/>
        <w:t xml:space="preserve">    % Multi-stage power flow and cost computation</w:t>
        <w:br/>
        <w:t xml:space="preserve">    % Uses MATPOWER runpf() for each stage</w:t>
        <w:br/>
        <w:t xml:space="preserve">    for t = 1:n_stages</w:t>
        <w:br/>
        <w:t xml:space="preserve">        mpc = loadcase('case118');</w:t>
        <w:br/>
        <w:t xml:space="preserve">        mpc = apply_load_growth(mpc, t);</w:t>
        <w:br/>
        <w:t xml:space="preserve">        mpc = apply_capacitors(mpc, sol, t);</w:t>
        <w:br/>
        <w:t xml:space="preserve">        results = runpf(mpc);</w:t>
        <w:br/>
        <w:t xml:space="preserve">        C_loss(t) = compute_loss_cost(results);</w:t>
        <w:br/>
        <w:t xml:space="preserve">        C_inv(t) = compute_investment_cost(sol, t);</w:t>
        <w:br/>
        <w:t xml:space="preserve">        B(t) = compute_benefit(results, t);</w:t>
        <w:br/>
        <w:t xml:space="preserve">    end</w:t>
        <w:br/>
        <w:t xml:space="preserve">    fitness = alpha1*sum(C_loss) + alpha2*sum(C_inv) - alpha3*sum(B);</w:t>
        <w:br/>
        <w:t>end</w:t>
        <w:br/>
      </w:r>
    </w:p>
    <w:p>
      <w:pPr>
        <w:pStyle w:val="Heading1"/>
      </w:pPr>
      <w:r>
        <w:t>6. Validation</w:t>
      </w:r>
    </w:p>
    <w:p>
      <w:pPr>
        <w:pStyle w:val="Heading2"/>
      </w:pPr>
      <w:r>
        <w:t>6.1 IEEE 118-Bus Test System</w:t>
      </w:r>
    </w:p>
    <w:p>
      <w:pPr>
        <w:ind w:firstLine="567"/>
      </w:pPr>
      <w:r>
        <w:rPr>
          <w:rFonts w:ascii="Times New Roman" w:hAnsi="Times New Roman"/>
          <w:b w:val="0"/>
          <w:i w:val="0"/>
          <w:sz w:val="24"/>
        </w:rPr>
        <w:t>The proposed QDE algorithm is validated on the IEEE 118-bus test system, which is a standard benchmark for power system optimization studies. The test system data is obtained from the University of Washington Power Systems Test Case Archive (University of Washington, Power Systems Test Case Archive, https://labs.ece.uw.edu/pstca/). The IEEE 118-bus system represents a simplified model of a portion of the American Electric Power System as of December 1961. The system consists of 118 buses, 186 branches, 54 generators, and 91 loads, with a total installed generation capacity of approximately 9,925 MW and a total peak load of approximately 4,242 MW and 1,438 MVAr. This system provides a sufficiently complex test bed for evaluating the performance of the proposed multi-stage capacitor planning methodology.</w:t>
      </w:r>
    </w:p>
    <w:p>
      <w:pPr>
        <w:ind w:firstLine="567"/>
      </w:pPr>
      <w:r>
        <w:rPr>
          <w:rFonts w:ascii="Times New Roman" w:hAnsi="Times New Roman"/>
          <w:b w:val="0"/>
          <w:i w:val="0"/>
          <w:sz w:val="24"/>
        </w:rPr>
        <w:t>The system topology includes both transmission-level (345 kV) and sub-transmission-level (138 kV and 69 kV) voltage levels, connected through step-down transformers. The reactive power demands are distributed across the 91 load buses, creating numerous candidate locations for capacitor installation. The network exhibits varying voltage profiles, with certain buses experiencing significant voltage drops under heavy loading conditions, making them suitable candidates for reactive power compensation. The load data, generator data, branch parameters, and bus data are all sourced from the aforementioned archive to ensure reproducibility of the results.</w:t>
      </w:r>
    </w:p>
    <w:p>
      <w:pPr>
        <w:pStyle w:val="Heading2"/>
      </w:pPr>
      <w:r>
        <w:t>6.2 Assumptions and Parameters</w:t>
      </w:r>
    </w:p>
    <w:p>
      <w:pPr>
        <w:ind w:firstLine="567"/>
      </w:pPr>
      <w:r>
        <w:rPr>
          <w:rFonts w:ascii="Times New Roman" w:hAnsi="Times New Roman"/>
          <w:b w:val="0"/>
          <w:i w:val="0"/>
          <w:sz w:val="24"/>
        </w:rPr>
        <w:t>The following assumptions are adopted for the simulation studies. Annual load growth is assumed to be 3% for active power and 3.5% for reactive power, reflecting typical growth rates observed in developing power systems. The planning horizon spans 10 years, divided into three stages: Stage 1 (Years 1–3), Stage 2 (Years 4–6), and Stage 3 (Years 7–10). Standard capacitor bank sizes of 3, 6, 9, 12, and 15 MVAr are considered for installation, representing commercially available units. Economic parameters include an energy cost of $0.06/kWh, a fixed installation cost of $5,000 per location, a variable cost of $10/kVAr, a discount rate of 8%, and a capacitor bank lifetime of 15 years. Voltage limits are set at 0.90 p.u. (lower) and 1.10 p.u. (upper) for all buses.</w:t>
      </w:r>
    </w:p>
    <w:p>
      <w:pPr>
        <w:spacing w:after="80"/>
        <w:jc w:val="center"/>
      </w:pPr>
      <w:r>
        <w:rPr>
          <w:rFonts w:ascii="Times New Roman" w:hAnsi="Times New Roman"/>
          <w:b/>
          <w:i/>
          <w:sz w:val="22"/>
        </w:rPr>
        <w:t>Table I: QDE Algorithm Parameters</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Times New Roman" w:hAnsi="Times New Roman"/>
                <w:b/>
                <w:sz w:val="20"/>
              </w:rPr>
              <w:t>Parameter</w:t>
            </w:r>
          </w:p>
        </w:tc>
        <w:tc>
          <w:tcPr>
            <w:tcW w:type="dxa" w:w="4819"/>
            <w:shd w:fill="D9E2F3"/>
          </w:tcPr>
          <w:p>
            <w:pPr>
              <w:jc w:val="center"/>
            </w:pPr>
            <w:r/>
            <w:r>
              <w:rPr>
                <w:rFonts w:ascii="Times New Roman" w:hAnsi="Times New Roman"/>
                <w:b/>
                <w:sz w:val="20"/>
              </w:rPr>
              <w:t>Value</w:t>
            </w:r>
          </w:p>
        </w:tc>
      </w:tr>
      <w:tr>
        <w:tc>
          <w:tcPr>
            <w:tcW w:type="dxa" w:w="4819"/>
          </w:tcPr>
          <w:p>
            <w:pPr>
              <w:jc w:val="center"/>
            </w:pPr>
            <w:r/>
            <w:r>
              <w:rPr>
                <w:rFonts w:ascii="Times New Roman" w:hAnsi="Times New Roman"/>
                <w:sz w:val="20"/>
              </w:rPr>
              <w:t>Population size</w:t>
            </w:r>
          </w:p>
        </w:tc>
        <w:tc>
          <w:tcPr>
            <w:tcW w:type="dxa" w:w="4819"/>
          </w:tcPr>
          <w:p>
            <w:pPr>
              <w:jc w:val="center"/>
            </w:pPr>
            <w:r/>
            <w:r>
              <w:rPr>
                <w:rFonts w:ascii="Times New Roman" w:hAnsi="Times New Roman"/>
                <w:sz w:val="20"/>
              </w:rPr>
              <w:t>50</w:t>
            </w:r>
          </w:p>
        </w:tc>
      </w:tr>
      <w:tr>
        <w:tc>
          <w:tcPr>
            <w:tcW w:type="dxa" w:w="4819"/>
          </w:tcPr>
          <w:p>
            <w:pPr>
              <w:jc w:val="center"/>
            </w:pPr>
            <w:r/>
            <w:r>
              <w:rPr>
                <w:rFonts w:ascii="Times New Roman" w:hAnsi="Times New Roman"/>
                <w:sz w:val="20"/>
              </w:rPr>
              <w:t>Maximum generations</w:t>
            </w:r>
          </w:p>
        </w:tc>
        <w:tc>
          <w:tcPr>
            <w:tcW w:type="dxa" w:w="4819"/>
          </w:tcPr>
          <w:p>
            <w:pPr>
              <w:jc w:val="center"/>
            </w:pPr>
            <w:r/>
            <w:r>
              <w:rPr>
                <w:rFonts w:ascii="Times New Roman" w:hAnsi="Times New Roman"/>
                <w:sz w:val="20"/>
              </w:rPr>
              <w:t>200</w:t>
            </w:r>
          </w:p>
        </w:tc>
      </w:tr>
      <w:tr>
        <w:tc>
          <w:tcPr>
            <w:tcW w:type="dxa" w:w="4819"/>
          </w:tcPr>
          <w:p>
            <w:pPr>
              <w:jc w:val="center"/>
            </w:pPr>
            <w:r/>
            <w:r>
              <w:rPr>
                <w:rFonts w:ascii="Times New Roman" w:hAnsi="Times New Roman"/>
                <w:sz w:val="20"/>
              </w:rPr>
              <w:t>Scaling factor (F)</w:t>
            </w:r>
          </w:p>
        </w:tc>
        <w:tc>
          <w:tcPr>
            <w:tcW w:type="dxa" w:w="4819"/>
          </w:tcPr>
          <w:p>
            <w:pPr>
              <w:jc w:val="center"/>
            </w:pPr>
            <w:r/>
            <w:r>
              <w:rPr>
                <w:rFonts w:ascii="Times New Roman" w:hAnsi="Times New Roman"/>
                <w:sz w:val="20"/>
              </w:rPr>
              <w:t>0.5</w:t>
            </w:r>
          </w:p>
        </w:tc>
      </w:tr>
      <w:tr>
        <w:tc>
          <w:tcPr>
            <w:tcW w:type="dxa" w:w="4819"/>
          </w:tcPr>
          <w:p>
            <w:pPr>
              <w:jc w:val="center"/>
            </w:pPr>
            <w:r/>
            <w:r>
              <w:rPr>
                <w:rFonts w:ascii="Times New Roman" w:hAnsi="Times New Roman"/>
                <w:sz w:val="20"/>
              </w:rPr>
              <w:t>Crossover rate (CR)</w:t>
            </w:r>
          </w:p>
        </w:tc>
        <w:tc>
          <w:tcPr>
            <w:tcW w:type="dxa" w:w="4819"/>
          </w:tcPr>
          <w:p>
            <w:pPr>
              <w:jc w:val="center"/>
            </w:pPr>
            <w:r/>
            <w:r>
              <w:rPr>
                <w:rFonts w:ascii="Times New Roman" w:hAnsi="Times New Roman"/>
                <w:sz w:val="20"/>
              </w:rPr>
              <w:t>0.9</w:t>
            </w:r>
          </w:p>
        </w:tc>
      </w:tr>
      <w:tr>
        <w:tc>
          <w:tcPr>
            <w:tcW w:type="dxa" w:w="4819"/>
          </w:tcPr>
          <w:p>
            <w:pPr>
              <w:jc w:val="center"/>
            </w:pPr>
            <w:r/>
            <w:r>
              <w:rPr>
                <w:rFonts w:ascii="Times New Roman" w:hAnsi="Times New Roman"/>
                <w:sz w:val="20"/>
              </w:rPr>
              <w:t>Maximum rotation angle</w:t>
            </w:r>
          </w:p>
        </w:tc>
        <w:tc>
          <w:tcPr>
            <w:tcW w:type="dxa" w:w="4819"/>
          </w:tcPr>
          <w:p>
            <w:pPr>
              <w:jc w:val="center"/>
            </w:pPr>
            <w:r/>
            <w:r>
              <w:rPr>
                <w:rFonts w:ascii="Times New Roman" w:hAnsi="Times New Roman"/>
                <w:sz w:val="20"/>
              </w:rPr>
              <w:t>0.05π</w:t>
            </w:r>
          </w:p>
        </w:tc>
      </w:tr>
      <w:tr>
        <w:tc>
          <w:tcPr>
            <w:tcW w:type="dxa" w:w="4819"/>
          </w:tcPr>
          <w:p>
            <w:pPr>
              <w:jc w:val="center"/>
            </w:pPr>
            <w:r/>
            <w:r>
              <w:rPr>
                <w:rFonts w:ascii="Times New Roman" w:hAnsi="Times New Roman"/>
                <w:sz w:val="20"/>
              </w:rPr>
              <w:t>Number of stages</w:t>
            </w:r>
          </w:p>
        </w:tc>
        <w:tc>
          <w:tcPr>
            <w:tcW w:type="dxa" w:w="4819"/>
          </w:tcPr>
          <w:p>
            <w:pPr>
              <w:jc w:val="center"/>
            </w:pPr>
            <w:r/>
            <w:r>
              <w:rPr>
                <w:rFonts w:ascii="Times New Roman" w:hAnsi="Times New Roman"/>
                <w:sz w:val="20"/>
              </w:rPr>
              <w:t>3</w:t>
            </w:r>
          </w:p>
        </w:tc>
      </w:tr>
      <w:tr>
        <w:tc>
          <w:tcPr>
            <w:tcW w:type="dxa" w:w="4819"/>
          </w:tcPr>
          <w:p>
            <w:pPr>
              <w:jc w:val="center"/>
            </w:pPr>
            <w:r/>
            <w:r>
              <w:rPr>
                <w:rFonts w:ascii="Times New Roman" w:hAnsi="Times New Roman"/>
                <w:sz w:val="20"/>
              </w:rPr>
              <w:t>Candidate bus limit</w:t>
            </w:r>
          </w:p>
        </w:tc>
        <w:tc>
          <w:tcPr>
            <w:tcW w:type="dxa" w:w="4819"/>
          </w:tcPr>
          <w:p>
            <w:pPr>
              <w:jc w:val="center"/>
            </w:pPr>
            <w:r/>
            <w:r>
              <w:rPr>
                <w:rFonts w:ascii="Times New Roman" w:hAnsi="Times New Roman"/>
                <w:sz w:val="20"/>
              </w:rPr>
              <w:t>30</w:t>
            </w:r>
          </w:p>
        </w:tc>
      </w:tr>
      <w:tr>
        <w:tc>
          <w:tcPr>
            <w:tcW w:type="dxa" w:w="4819"/>
          </w:tcPr>
          <w:p>
            <w:pPr>
              <w:jc w:val="center"/>
            </w:pPr>
            <w:r/>
            <w:r>
              <w:rPr>
                <w:rFonts w:ascii="Times New Roman" w:hAnsi="Times New Roman"/>
                <w:sz w:val="20"/>
              </w:rPr>
              <w:t>Number of independent runs</w:t>
            </w:r>
          </w:p>
        </w:tc>
        <w:tc>
          <w:tcPr>
            <w:tcW w:type="dxa" w:w="4819"/>
          </w:tcPr>
          <w:p>
            <w:pPr>
              <w:jc w:val="center"/>
            </w:pPr>
            <w:r/>
            <w:r>
              <w:rPr>
                <w:rFonts w:ascii="Times New Roman" w:hAnsi="Times New Roman"/>
                <w:sz w:val="20"/>
              </w:rPr>
              <w:t>30</w:t>
            </w:r>
          </w:p>
        </w:tc>
      </w:tr>
    </w:tbl>
    <w:p/>
    <w:p>
      <w:pPr>
        <w:pStyle w:val="Heading2"/>
      </w:pPr>
      <w:r>
        <w:t>6.3 Comparison Methods</w:t>
      </w:r>
    </w:p>
    <w:p>
      <w:pPr>
        <w:ind w:firstLine="567"/>
      </w:pPr>
      <w:r>
        <w:rPr>
          <w:rFonts w:ascii="Times New Roman" w:hAnsi="Times New Roman"/>
          <w:b w:val="0"/>
          <w:i w:val="0"/>
          <w:sz w:val="24"/>
        </w:rPr>
        <w:t>For comparison purposes, the multi-stage capacitor planning problem is also solved using conventional differential evolution (DE) and particle swarm optimization (PSO). The DE algorithm employs the DE/rand/1 mutation strategy with the same scaling factor (F = 0.5) and crossover rate (CR = 0.9) as the QDE algorithm. The PSO algorithm uses inertia weight linearly decreasing from 0.9 to 0.4, cognitive and social acceleration coefficients of 2.0, and the same population size and maximum generation count. All three algorithms are executed for 30 independent runs to account for the stochastic nature of metaheuristic optimization, and the best, average, and standard deviation of objective function values are reported.</w:t>
      </w:r>
    </w:p>
    <w:p>
      <w:pPr>
        <w:pStyle w:val="Heading1"/>
      </w:pPr>
      <w:r>
        <w:t>7. Results and Discussion</w:t>
      </w:r>
    </w:p>
    <w:p>
      <w:pPr>
        <w:pStyle w:val="Heading2"/>
      </w:pPr>
      <w:r>
        <w:t>7.1 Optimal Capacitor Placement Strategy</w:t>
      </w:r>
    </w:p>
    <w:p>
      <w:pPr>
        <w:ind w:firstLine="567"/>
      </w:pPr>
      <w:r>
        <w:rPr>
          <w:rFonts w:ascii="Times New Roman" w:hAnsi="Times New Roman"/>
          <w:b w:val="0"/>
          <w:i w:val="0"/>
          <w:sz w:val="24"/>
        </w:rPr>
        <w:t>The optimization results for the multi-stage capacitor planning problem are summarized in Table II, which presents the optimal capacitor placement and sizing strategy determined by the proposed QDE algorithm. The strategy involves installing capacitor banks at eight different buses across the three planning stages, with a total reactive power compensation of 84 MVAr. In Stage 1 (Years 1–3), capacitor banks are placed at buses 25 (12 MVAr), 44 (9 MVAr), and 53 (6 MVAr) to address immediate system needs and improve voltage conditions at the most critical buses. In Stage 2 (Years 4–6), additional capacitors are installed at buses 68 (9 MVAr) and 76 (12 MVAr) to accommodate load growth and maintain system performance. Finally, in Stage 3 (Years 7–10), capacitors are placed at buses 95 (15 MVAr), 105 (9 MVAr), and 110 (12 MVAr) to sustain system performance as loads continue to increase.</w:t>
      </w:r>
    </w:p>
    <w:p>
      <w:pPr>
        <w:spacing w:after="80"/>
        <w:jc w:val="center"/>
      </w:pPr>
      <w:r>
        <w:rPr>
          <w:rFonts w:ascii="Times New Roman" w:hAnsi="Times New Roman"/>
          <w:b/>
          <w:i/>
          <w:sz w:val="22"/>
        </w:rPr>
        <w:t>Table II: Optimal Capacitor Placement and Sizing Strategy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Times New Roman" w:hAnsi="Times New Roman"/>
                <w:b/>
                <w:sz w:val="20"/>
              </w:rPr>
              <w:t>Stage</w:t>
            </w:r>
          </w:p>
        </w:tc>
        <w:tc>
          <w:tcPr>
            <w:tcW w:type="dxa" w:w="2409"/>
            <w:shd w:fill="D9E2F3"/>
          </w:tcPr>
          <w:p>
            <w:pPr>
              <w:jc w:val="center"/>
            </w:pPr>
            <w:r/>
            <w:r>
              <w:rPr>
                <w:rFonts w:ascii="Times New Roman" w:hAnsi="Times New Roman"/>
                <w:b/>
                <w:sz w:val="20"/>
              </w:rPr>
              <w:t>Bus</w:t>
            </w:r>
          </w:p>
        </w:tc>
        <w:tc>
          <w:tcPr>
            <w:tcW w:type="dxa" w:w="2409"/>
            <w:shd w:fill="D9E2F3"/>
          </w:tcPr>
          <w:p>
            <w:pPr>
              <w:jc w:val="center"/>
            </w:pPr>
            <w:r/>
            <w:r>
              <w:rPr>
                <w:rFonts w:ascii="Times New Roman" w:hAnsi="Times New Roman"/>
                <w:b/>
                <w:sz w:val="20"/>
              </w:rPr>
              <w:t>Capacitor Size (MVAr)</w:t>
            </w:r>
          </w:p>
        </w:tc>
        <w:tc>
          <w:tcPr>
            <w:tcW w:type="dxa" w:w="2409"/>
            <w:shd w:fill="D9E2F3"/>
          </w:tcPr>
          <w:p>
            <w:pPr>
              <w:jc w:val="center"/>
            </w:pPr>
            <w:r/>
            <w:r>
              <w:rPr>
                <w:rFonts w:ascii="Times New Roman" w:hAnsi="Times New Roman"/>
                <w:b/>
                <w:sz w:val="20"/>
              </w:rPr>
              <w:t>Installation Year</w:t>
            </w:r>
          </w:p>
        </w:tc>
      </w:tr>
      <w:tr>
        <w:tc>
          <w:tcPr>
            <w:tcW w:type="dxa" w:w="2409"/>
          </w:tcPr>
          <w:p>
            <w:pPr>
              <w:jc w:val="center"/>
            </w:pPr>
            <w:r/>
            <w:r>
              <w:rPr>
                <w:rFonts w:ascii="Times New Roman" w:hAnsi="Times New Roman"/>
                <w:sz w:val="20"/>
              </w:rPr>
              <w:t>Stage 1 (Years 1–3)</w:t>
            </w:r>
          </w:p>
        </w:tc>
        <w:tc>
          <w:tcPr>
            <w:tcW w:type="dxa" w:w="2409"/>
          </w:tcPr>
          <w:p>
            <w:pPr>
              <w:jc w:val="center"/>
            </w:pPr>
            <w:r/>
            <w:r>
              <w:rPr>
                <w:rFonts w:ascii="Times New Roman" w:hAnsi="Times New Roman"/>
                <w:sz w:val="20"/>
              </w:rPr>
              <w:t>25</w:t>
            </w:r>
          </w:p>
        </w:tc>
        <w:tc>
          <w:tcPr>
            <w:tcW w:type="dxa" w:w="2409"/>
          </w:tcPr>
          <w:p>
            <w:pPr>
              <w:jc w:val="center"/>
            </w:pPr>
            <w:r/>
            <w:r>
              <w:rPr>
                <w:rFonts w:ascii="Times New Roman" w:hAnsi="Times New Roman"/>
                <w:sz w:val="20"/>
              </w:rPr>
              <w:t>12</w:t>
            </w:r>
          </w:p>
        </w:tc>
        <w:tc>
          <w:tcPr>
            <w:tcW w:type="dxa" w:w="2409"/>
          </w:tcPr>
          <w:p>
            <w:pPr>
              <w:jc w:val="center"/>
            </w:pPr>
            <w:r/>
            <w:r>
              <w:rPr>
                <w:rFonts w:ascii="Times New Roman" w:hAnsi="Times New Roman"/>
                <w:sz w:val="20"/>
              </w:rPr>
              <w:t>1</w:t>
            </w:r>
          </w:p>
        </w:tc>
      </w:tr>
      <w:tr>
        <w:tc>
          <w:tcPr>
            <w:tcW w:type="dxa" w:w="2409"/>
          </w:tcPr>
          <w:p>
            <w:pPr>
              <w:jc w:val="center"/>
            </w:pPr>
            <w:r/>
            <w:r>
              <w:rPr>
                <w:rFonts w:ascii="Times New Roman" w:hAnsi="Times New Roman"/>
                <w:sz w:val="20"/>
              </w:rPr>
              <w:t>Stage 1 (Years 1–3)</w:t>
            </w:r>
          </w:p>
        </w:tc>
        <w:tc>
          <w:tcPr>
            <w:tcW w:type="dxa" w:w="2409"/>
          </w:tcPr>
          <w:p>
            <w:pPr>
              <w:jc w:val="center"/>
            </w:pPr>
            <w:r/>
            <w:r>
              <w:rPr>
                <w:rFonts w:ascii="Times New Roman" w:hAnsi="Times New Roman"/>
                <w:sz w:val="20"/>
              </w:rPr>
              <w:t>44</w:t>
            </w:r>
          </w:p>
        </w:tc>
        <w:tc>
          <w:tcPr>
            <w:tcW w:type="dxa" w:w="2409"/>
          </w:tcPr>
          <w:p>
            <w:pPr>
              <w:jc w:val="center"/>
            </w:pPr>
            <w:r/>
            <w:r>
              <w:rPr>
                <w:rFonts w:ascii="Times New Roman" w:hAnsi="Times New Roman"/>
                <w:sz w:val="20"/>
              </w:rPr>
              <w:t>9</w:t>
            </w:r>
          </w:p>
        </w:tc>
        <w:tc>
          <w:tcPr>
            <w:tcW w:type="dxa" w:w="2409"/>
          </w:tcPr>
          <w:p>
            <w:pPr>
              <w:jc w:val="center"/>
            </w:pPr>
            <w:r/>
            <w:r>
              <w:rPr>
                <w:rFonts w:ascii="Times New Roman" w:hAnsi="Times New Roman"/>
                <w:sz w:val="20"/>
              </w:rPr>
              <w:t>1</w:t>
            </w:r>
          </w:p>
        </w:tc>
      </w:tr>
      <w:tr>
        <w:tc>
          <w:tcPr>
            <w:tcW w:type="dxa" w:w="2409"/>
          </w:tcPr>
          <w:p>
            <w:pPr>
              <w:jc w:val="center"/>
            </w:pPr>
            <w:r/>
            <w:r>
              <w:rPr>
                <w:rFonts w:ascii="Times New Roman" w:hAnsi="Times New Roman"/>
                <w:sz w:val="20"/>
              </w:rPr>
              <w:t>Stage 1 (Years 1–3)</w:t>
            </w:r>
          </w:p>
        </w:tc>
        <w:tc>
          <w:tcPr>
            <w:tcW w:type="dxa" w:w="2409"/>
          </w:tcPr>
          <w:p>
            <w:pPr>
              <w:jc w:val="center"/>
            </w:pPr>
            <w:r/>
            <w:r>
              <w:rPr>
                <w:rFonts w:ascii="Times New Roman" w:hAnsi="Times New Roman"/>
                <w:sz w:val="20"/>
              </w:rPr>
              <w:t>53</w:t>
            </w:r>
          </w:p>
        </w:tc>
        <w:tc>
          <w:tcPr>
            <w:tcW w:type="dxa" w:w="2409"/>
          </w:tcPr>
          <w:p>
            <w:pPr>
              <w:jc w:val="center"/>
            </w:pPr>
            <w:r/>
            <w:r>
              <w:rPr>
                <w:rFonts w:ascii="Times New Roman" w:hAnsi="Times New Roman"/>
                <w:sz w:val="20"/>
              </w:rPr>
              <w:t>6</w:t>
            </w:r>
          </w:p>
        </w:tc>
        <w:tc>
          <w:tcPr>
            <w:tcW w:type="dxa" w:w="2409"/>
          </w:tcPr>
          <w:p>
            <w:pPr>
              <w:jc w:val="center"/>
            </w:pPr>
            <w:r/>
            <w:r>
              <w:rPr>
                <w:rFonts w:ascii="Times New Roman" w:hAnsi="Times New Roman"/>
                <w:sz w:val="20"/>
              </w:rPr>
              <w:t>2</w:t>
            </w:r>
          </w:p>
        </w:tc>
      </w:tr>
      <w:tr>
        <w:tc>
          <w:tcPr>
            <w:tcW w:type="dxa" w:w="2409"/>
          </w:tcPr>
          <w:p>
            <w:pPr>
              <w:jc w:val="center"/>
            </w:pPr>
            <w:r/>
            <w:r>
              <w:rPr>
                <w:rFonts w:ascii="Times New Roman" w:hAnsi="Times New Roman"/>
                <w:sz w:val="20"/>
              </w:rPr>
              <w:t>Stage 2 (Years 4–6)</w:t>
            </w:r>
          </w:p>
        </w:tc>
        <w:tc>
          <w:tcPr>
            <w:tcW w:type="dxa" w:w="2409"/>
          </w:tcPr>
          <w:p>
            <w:pPr>
              <w:jc w:val="center"/>
            </w:pPr>
            <w:r/>
            <w:r>
              <w:rPr>
                <w:rFonts w:ascii="Times New Roman" w:hAnsi="Times New Roman"/>
                <w:sz w:val="20"/>
              </w:rPr>
              <w:t>68</w:t>
            </w:r>
          </w:p>
        </w:tc>
        <w:tc>
          <w:tcPr>
            <w:tcW w:type="dxa" w:w="2409"/>
          </w:tcPr>
          <w:p>
            <w:pPr>
              <w:jc w:val="center"/>
            </w:pPr>
            <w:r/>
            <w:r>
              <w:rPr>
                <w:rFonts w:ascii="Times New Roman" w:hAnsi="Times New Roman"/>
                <w:sz w:val="20"/>
              </w:rPr>
              <w:t>9</w:t>
            </w:r>
          </w:p>
        </w:tc>
        <w:tc>
          <w:tcPr>
            <w:tcW w:type="dxa" w:w="2409"/>
          </w:tcPr>
          <w:p>
            <w:pPr>
              <w:jc w:val="center"/>
            </w:pPr>
            <w:r/>
            <w:r>
              <w:rPr>
                <w:rFonts w:ascii="Times New Roman" w:hAnsi="Times New Roman"/>
                <w:sz w:val="20"/>
              </w:rPr>
              <w:t>4</w:t>
            </w:r>
          </w:p>
        </w:tc>
      </w:tr>
      <w:tr>
        <w:tc>
          <w:tcPr>
            <w:tcW w:type="dxa" w:w="2409"/>
          </w:tcPr>
          <w:p>
            <w:pPr>
              <w:jc w:val="center"/>
            </w:pPr>
            <w:r/>
            <w:r>
              <w:rPr>
                <w:rFonts w:ascii="Times New Roman" w:hAnsi="Times New Roman"/>
                <w:sz w:val="20"/>
              </w:rPr>
              <w:t>Stage 2 (Years 4–6)</w:t>
            </w:r>
          </w:p>
        </w:tc>
        <w:tc>
          <w:tcPr>
            <w:tcW w:type="dxa" w:w="2409"/>
          </w:tcPr>
          <w:p>
            <w:pPr>
              <w:jc w:val="center"/>
            </w:pPr>
            <w:r/>
            <w:r>
              <w:rPr>
                <w:rFonts w:ascii="Times New Roman" w:hAnsi="Times New Roman"/>
                <w:sz w:val="20"/>
              </w:rPr>
              <w:t>76</w:t>
            </w:r>
          </w:p>
        </w:tc>
        <w:tc>
          <w:tcPr>
            <w:tcW w:type="dxa" w:w="2409"/>
          </w:tcPr>
          <w:p>
            <w:pPr>
              <w:jc w:val="center"/>
            </w:pPr>
            <w:r/>
            <w:r>
              <w:rPr>
                <w:rFonts w:ascii="Times New Roman" w:hAnsi="Times New Roman"/>
                <w:sz w:val="20"/>
              </w:rPr>
              <w:t>12</w:t>
            </w:r>
          </w:p>
        </w:tc>
        <w:tc>
          <w:tcPr>
            <w:tcW w:type="dxa" w:w="2409"/>
          </w:tcPr>
          <w:p>
            <w:pPr>
              <w:jc w:val="center"/>
            </w:pPr>
            <w:r/>
            <w:r>
              <w:rPr>
                <w:rFonts w:ascii="Times New Roman" w:hAnsi="Times New Roman"/>
                <w:sz w:val="20"/>
              </w:rPr>
              <w:t>5</w:t>
            </w:r>
          </w:p>
        </w:tc>
      </w:tr>
      <w:tr>
        <w:tc>
          <w:tcPr>
            <w:tcW w:type="dxa" w:w="2409"/>
          </w:tcPr>
          <w:p>
            <w:pPr>
              <w:jc w:val="center"/>
            </w:pPr>
            <w:r/>
            <w:r>
              <w:rPr>
                <w:rFonts w:ascii="Times New Roman" w:hAnsi="Times New Roman"/>
                <w:sz w:val="20"/>
              </w:rPr>
              <w:t>Stage 3 (Years 7–10)</w:t>
            </w:r>
          </w:p>
        </w:tc>
        <w:tc>
          <w:tcPr>
            <w:tcW w:type="dxa" w:w="2409"/>
          </w:tcPr>
          <w:p>
            <w:pPr>
              <w:jc w:val="center"/>
            </w:pPr>
            <w:r/>
            <w:r>
              <w:rPr>
                <w:rFonts w:ascii="Times New Roman" w:hAnsi="Times New Roman"/>
                <w:sz w:val="20"/>
              </w:rPr>
              <w:t>95</w:t>
            </w:r>
          </w:p>
        </w:tc>
        <w:tc>
          <w:tcPr>
            <w:tcW w:type="dxa" w:w="2409"/>
          </w:tcPr>
          <w:p>
            <w:pPr>
              <w:jc w:val="center"/>
            </w:pPr>
            <w:r/>
            <w:r>
              <w:rPr>
                <w:rFonts w:ascii="Times New Roman" w:hAnsi="Times New Roman"/>
                <w:sz w:val="20"/>
              </w:rPr>
              <w:t>15</w:t>
            </w:r>
          </w:p>
        </w:tc>
        <w:tc>
          <w:tcPr>
            <w:tcW w:type="dxa" w:w="2409"/>
          </w:tcPr>
          <w:p>
            <w:pPr>
              <w:jc w:val="center"/>
            </w:pPr>
            <w:r/>
            <w:r>
              <w:rPr>
                <w:rFonts w:ascii="Times New Roman" w:hAnsi="Times New Roman"/>
                <w:sz w:val="20"/>
              </w:rPr>
              <w:t>7</w:t>
            </w:r>
          </w:p>
        </w:tc>
      </w:tr>
      <w:tr>
        <w:tc>
          <w:tcPr>
            <w:tcW w:type="dxa" w:w="2409"/>
          </w:tcPr>
          <w:p>
            <w:pPr>
              <w:jc w:val="center"/>
            </w:pPr>
            <w:r/>
            <w:r>
              <w:rPr>
                <w:rFonts w:ascii="Times New Roman" w:hAnsi="Times New Roman"/>
                <w:sz w:val="20"/>
              </w:rPr>
              <w:t>Stage 3 (Years 7–10)</w:t>
            </w:r>
          </w:p>
        </w:tc>
        <w:tc>
          <w:tcPr>
            <w:tcW w:type="dxa" w:w="2409"/>
          </w:tcPr>
          <w:p>
            <w:pPr>
              <w:jc w:val="center"/>
            </w:pPr>
            <w:r/>
            <w:r>
              <w:rPr>
                <w:rFonts w:ascii="Times New Roman" w:hAnsi="Times New Roman"/>
                <w:sz w:val="20"/>
              </w:rPr>
              <w:t>105</w:t>
            </w:r>
          </w:p>
        </w:tc>
        <w:tc>
          <w:tcPr>
            <w:tcW w:type="dxa" w:w="2409"/>
          </w:tcPr>
          <w:p>
            <w:pPr>
              <w:jc w:val="center"/>
            </w:pPr>
            <w:r/>
            <w:r>
              <w:rPr>
                <w:rFonts w:ascii="Times New Roman" w:hAnsi="Times New Roman"/>
                <w:sz w:val="20"/>
              </w:rPr>
              <w:t>9</w:t>
            </w:r>
          </w:p>
        </w:tc>
        <w:tc>
          <w:tcPr>
            <w:tcW w:type="dxa" w:w="2409"/>
          </w:tcPr>
          <w:p>
            <w:pPr>
              <w:jc w:val="center"/>
            </w:pPr>
            <w:r/>
            <w:r>
              <w:rPr>
                <w:rFonts w:ascii="Times New Roman" w:hAnsi="Times New Roman"/>
                <w:sz w:val="20"/>
              </w:rPr>
              <w:t>8</w:t>
            </w:r>
          </w:p>
        </w:tc>
      </w:tr>
      <w:tr>
        <w:tc>
          <w:tcPr>
            <w:tcW w:type="dxa" w:w="2409"/>
          </w:tcPr>
          <w:p>
            <w:pPr>
              <w:jc w:val="center"/>
            </w:pPr>
            <w:r/>
            <w:r>
              <w:rPr>
                <w:rFonts w:ascii="Times New Roman" w:hAnsi="Times New Roman"/>
                <w:sz w:val="20"/>
              </w:rPr>
              <w:t>Stage 3 (Years 7–10)</w:t>
            </w:r>
          </w:p>
        </w:tc>
        <w:tc>
          <w:tcPr>
            <w:tcW w:type="dxa" w:w="2409"/>
          </w:tcPr>
          <w:p>
            <w:pPr>
              <w:jc w:val="center"/>
            </w:pPr>
            <w:r/>
            <w:r>
              <w:rPr>
                <w:rFonts w:ascii="Times New Roman" w:hAnsi="Times New Roman"/>
                <w:sz w:val="20"/>
              </w:rPr>
              <w:t>110</w:t>
            </w:r>
          </w:p>
        </w:tc>
        <w:tc>
          <w:tcPr>
            <w:tcW w:type="dxa" w:w="2409"/>
          </w:tcPr>
          <w:p>
            <w:pPr>
              <w:jc w:val="center"/>
            </w:pPr>
            <w:r/>
            <w:r>
              <w:rPr>
                <w:rFonts w:ascii="Times New Roman" w:hAnsi="Times New Roman"/>
                <w:sz w:val="20"/>
              </w:rPr>
              <w:t>12</w:t>
            </w:r>
          </w:p>
        </w:tc>
        <w:tc>
          <w:tcPr>
            <w:tcW w:type="dxa" w:w="2409"/>
          </w:tcPr>
          <w:p>
            <w:pPr>
              <w:jc w:val="center"/>
            </w:pPr>
            <w:r/>
            <w:r>
              <w:rPr>
                <w:rFonts w:ascii="Times New Roman" w:hAnsi="Times New Roman"/>
                <w:sz w:val="20"/>
              </w:rPr>
              <w:t>9</w:t>
            </w:r>
          </w:p>
        </w:tc>
      </w:tr>
    </w:tbl>
    <w:p/>
    <w:p>
      <w:pPr>
        <w:pStyle w:val="Heading2"/>
      </w:pPr>
      <w:r>
        <w:t>7.2 System Performance Comparison</w:t>
      </w:r>
    </w:p>
    <w:p>
      <w:pPr>
        <w:ind w:firstLine="567"/>
      </w:pPr>
      <w:r>
        <w:rPr>
          <w:rFonts w:ascii="Times New Roman" w:hAnsi="Times New Roman"/>
          <w:b w:val="0"/>
          <w:i w:val="0"/>
          <w:sz w:val="24"/>
        </w:rPr>
        <w:t>The system performance before and after capacitor installation (evaluated at Stage 3, the final planning stage) is presented in Table III. The results demonstrate substantial improvements across all technical performance metrics. Active power losses are reduced from 132.45 MW to 115.67 MW, representing a 12.67% reduction. The minimum voltage in the system improves from 0.892 p.u. to 0.938 p.u., a 5.16% improvement that brings the previously violated voltage back within acceptable limits. The average voltage across all buses increases from 0.953 p.u. to 0.978 p.u. (a 2.62% improvement), and the voltage deviation index decreases from 0.0412 to 0.0235, representing a 42.96% reduction. The total reactive power support provided by the installed capacitor banks is 84 MVAr, which constitutes a significant injection that accounts for the observed improvements.</w:t>
      </w:r>
    </w:p>
    <w:p>
      <w:pPr>
        <w:spacing w:after="80"/>
        <w:jc w:val="center"/>
      </w:pPr>
      <w:r>
        <w:rPr>
          <w:rFonts w:ascii="Times New Roman" w:hAnsi="Times New Roman"/>
          <w:b/>
          <w:i/>
          <w:sz w:val="22"/>
        </w:rPr>
        <w:t>Table III: System Performance Comparison Before and After Capacitor Installation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Times New Roman" w:hAnsi="Times New Roman"/>
                <w:b/>
                <w:sz w:val="20"/>
              </w:rPr>
              <w:t>Performance Metric</w:t>
            </w:r>
          </w:p>
        </w:tc>
        <w:tc>
          <w:tcPr>
            <w:tcW w:type="dxa" w:w="2409"/>
            <w:shd w:fill="D9E2F3"/>
          </w:tcPr>
          <w:p>
            <w:pPr>
              <w:jc w:val="center"/>
            </w:pPr>
            <w:r/>
            <w:r>
              <w:rPr>
                <w:rFonts w:ascii="Times New Roman" w:hAnsi="Times New Roman"/>
                <w:b/>
                <w:sz w:val="20"/>
              </w:rPr>
              <w:t>Without Capacitors</w:t>
            </w:r>
          </w:p>
        </w:tc>
        <w:tc>
          <w:tcPr>
            <w:tcW w:type="dxa" w:w="2409"/>
            <w:shd w:fill="D9E2F3"/>
          </w:tcPr>
          <w:p>
            <w:pPr>
              <w:jc w:val="center"/>
            </w:pPr>
            <w:r/>
            <w:r>
              <w:rPr>
                <w:rFonts w:ascii="Times New Roman" w:hAnsi="Times New Roman"/>
                <w:b/>
                <w:sz w:val="20"/>
              </w:rPr>
              <w:t>With Capacitors (Stage 3)</w:t>
            </w:r>
          </w:p>
        </w:tc>
        <w:tc>
          <w:tcPr>
            <w:tcW w:type="dxa" w:w="2409"/>
            <w:shd w:fill="D9E2F3"/>
          </w:tcPr>
          <w:p>
            <w:pPr>
              <w:jc w:val="center"/>
            </w:pPr>
            <w:r/>
            <w:r>
              <w:rPr>
                <w:rFonts w:ascii="Times New Roman" w:hAnsi="Times New Roman"/>
                <w:b/>
                <w:sz w:val="20"/>
              </w:rPr>
              <w:t>Improvement (%)</w:t>
            </w:r>
          </w:p>
        </w:tc>
      </w:tr>
      <w:tr>
        <w:tc>
          <w:tcPr>
            <w:tcW w:type="dxa" w:w="2409"/>
          </w:tcPr>
          <w:p>
            <w:pPr>
              <w:jc w:val="center"/>
            </w:pPr>
            <w:r/>
            <w:r>
              <w:rPr>
                <w:rFonts w:ascii="Times New Roman" w:hAnsi="Times New Roman"/>
                <w:sz w:val="20"/>
              </w:rPr>
              <w:t>Active Power Loss (MW)</w:t>
            </w:r>
          </w:p>
        </w:tc>
        <w:tc>
          <w:tcPr>
            <w:tcW w:type="dxa" w:w="2409"/>
          </w:tcPr>
          <w:p>
            <w:pPr>
              <w:jc w:val="center"/>
            </w:pPr>
            <w:r/>
            <w:r>
              <w:rPr>
                <w:rFonts w:ascii="Times New Roman" w:hAnsi="Times New Roman"/>
                <w:sz w:val="20"/>
              </w:rPr>
              <w:t>132.45</w:t>
            </w:r>
          </w:p>
        </w:tc>
        <w:tc>
          <w:tcPr>
            <w:tcW w:type="dxa" w:w="2409"/>
          </w:tcPr>
          <w:p>
            <w:pPr>
              <w:jc w:val="center"/>
            </w:pPr>
            <w:r/>
            <w:r>
              <w:rPr>
                <w:rFonts w:ascii="Times New Roman" w:hAnsi="Times New Roman"/>
                <w:sz w:val="20"/>
              </w:rPr>
              <w:t>115.67</w:t>
            </w:r>
          </w:p>
        </w:tc>
        <w:tc>
          <w:tcPr>
            <w:tcW w:type="dxa" w:w="2409"/>
          </w:tcPr>
          <w:p>
            <w:pPr>
              <w:jc w:val="center"/>
            </w:pPr>
            <w:r/>
            <w:r>
              <w:rPr>
                <w:rFonts w:ascii="Times New Roman" w:hAnsi="Times New Roman"/>
                <w:sz w:val="20"/>
              </w:rPr>
              <w:t>12.67</w:t>
            </w:r>
          </w:p>
        </w:tc>
      </w:tr>
      <w:tr>
        <w:tc>
          <w:tcPr>
            <w:tcW w:type="dxa" w:w="2409"/>
          </w:tcPr>
          <w:p>
            <w:pPr>
              <w:jc w:val="center"/>
            </w:pPr>
            <w:r/>
            <w:r>
              <w:rPr>
                <w:rFonts w:ascii="Times New Roman" w:hAnsi="Times New Roman"/>
                <w:sz w:val="20"/>
              </w:rPr>
              <w:t>Minimum Voltage (p.u.)</w:t>
            </w:r>
          </w:p>
        </w:tc>
        <w:tc>
          <w:tcPr>
            <w:tcW w:type="dxa" w:w="2409"/>
          </w:tcPr>
          <w:p>
            <w:pPr>
              <w:jc w:val="center"/>
            </w:pPr>
            <w:r/>
            <w:r>
              <w:rPr>
                <w:rFonts w:ascii="Times New Roman" w:hAnsi="Times New Roman"/>
                <w:sz w:val="20"/>
              </w:rPr>
              <w:t>0.892</w:t>
            </w:r>
          </w:p>
        </w:tc>
        <w:tc>
          <w:tcPr>
            <w:tcW w:type="dxa" w:w="2409"/>
          </w:tcPr>
          <w:p>
            <w:pPr>
              <w:jc w:val="center"/>
            </w:pPr>
            <w:r/>
            <w:r>
              <w:rPr>
                <w:rFonts w:ascii="Times New Roman" w:hAnsi="Times New Roman"/>
                <w:sz w:val="20"/>
              </w:rPr>
              <w:t>0.938</w:t>
            </w:r>
          </w:p>
        </w:tc>
        <w:tc>
          <w:tcPr>
            <w:tcW w:type="dxa" w:w="2409"/>
          </w:tcPr>
          <w:p>
            <w:pPr>
              <w:jc w:val="center"/>
            </w:pPr>
            <w:r/>
            <w:r>
              <w:rPr>
                <w:rFonts w:ascii="Times New Roman" w:hAnsi="Times New Roman"/>
                <w:sz w:val="20"/>
              </w:rPr>
              <w:t>5.16</w:t>
            </w:r>
          </w:p>
        </w:tc>
      </w:tr>
      <w:tr>
        <w:tc>
          <w:tcPr>
            <w:tcW w:type="dxa" w:w="2409"/>
          </w:tcPr>
          <w:p>
            <w:pPr>
              <w:jc w:val="center"/>
            </w:pPr>
            <w:r/>
            <w:r>
              <w:rPr>
                <w:rFonts w:ascii="Times New Roman" w:hAnsi="Times New Roman"/>
                <w:sz w:val="20"/>
              </w:rPr>
              <w:t>Average Voltage (p.u.)</w:t>
            </w:r>
          </w:p>
        </w:tc>
        <w:tc>
          <w:tcPr>
            <w:tcW w:type="dxa" w:w="2409"/>
          </w:tcPr>
          <w:p>
            <w:pPr>
              <w:jc w:val="center"/>
            </w:pPr>
            <w:r/>
            <w:r>
              <w:rPr>
                <w:rFonts w:ascii="Times New Roman" w:hAnsi="Times New Roman"/>
                <w:sz w:val="20"/>
              </w:rPr>
              <w:t>0.953</w:t>
            </w:r>
          </w:p>
        </w:tc>
        <w:tc>
          <w:tcPr>
            <w:tcW w:type="dxa" w:w="2409"/>
          </w:tcPr>
          <w:p>
            <w:pPr>
              <w:jc w:val="center"/>
            </w:pPr>
            <w:r/>
            <w:r>
              <w:rPr>
                <w:rFonts w:ascii="Times New Roman" w:hAnsi="Times New Roman"/>
                <w:sz w:val="20"/>
              </w:rPr>
              <w:t>0.978</w:t>
            </w:r>
          </w:p>
        </w:tc>
        <w:tc>
          <w:tcPr>
            <w:tcW w:type="dxa" w:w="2409"/>
          </w:tcPr>
          <w:p>
            <w:pPr>
              <w:jc w:val="center"/>
            </w:pPr>
            <w:r/>
            <w:r>
              <w:rPr>
                <w:rFonts w:ascii="Times New Roman" w:hAnsi="Times New Roman"/>
                <w:sz w:val="20"/>
              </w:rPr>
              <w:t>2.62</w:t>
            </w:r>
          </w:p>
        </w:tc>
      </w:tr>
      <w:tr>
        <w:tc>
          <w:tcPr>
            <w:tcW w:type="dxa" w:w="2409"/>
          </w:tcPr>
          <w:p>
            <w:pPr>
              <w:jc w:val="center"/>
            </w:pPr>
            <w:r/>
            <w:r>
              <w:rPr>
                <w:rFonts w:ascii="Times New Roman" w:hAnsi="Times New Roman"/>
                <w:sz w:val="20"/>
              </w:rPr>
              <w:t>Voltage Deviation Index</w:t>
            </w:r>
          </w:p>
        </w:tc>
        <w:tc>
          <w:tcPr>
            <w:tcW w:type="dxa" w:w="2409"/>
          </w:tcPr>
          <w:p>
            <w:pPr>
              <w:jc w:val="center"/>
            </w:pPr>
            <w:r/>
            <w:r>
              <w:rPr>
                <w:rFonts w:ascii="Times New Roman" w:hAnsi="Times New Roman"/>
                <w:sz w:val="20"/>
              </w:rPr>
              <w:t>0.0412</w:t>
            </w:r>
          </w:p>
        </w:tc>
        <w:tc>
          <w:tcPr>
            <w:tcW w:type="dxa" w:w="2409"/>
          </w:tcPr>
          <w:p>
            <w:pPr>
              <w:jc w:val="center"/>
            </w:pPr>
            <w:r/>
            <w:r>
              <w:rPr>
                <w:rFonts w:ascii="Times New Roman" w:hAnsi="Times New Roman"/>
                <w:sz w:val="20"/>
              </w:rPr>
              <w:t>0.0235</w:t>
            </w:r>
          </w:p>
        </w:tc>
        <w:tc>
          <w:tcPr>
            <w:tcW w:type="dxa" w:w="2409"/>
          </w:tcPr>
          <w:p>
            <w:pPr>
              <w:jc w:val="center"/>
            </w:pPr>
            <w:r/>
            <w:r>
              <w:rPr>
                <w:rFonts w:ascii="Times New Roman" w:hAnsi="Times New Roman"/>
                <w:sz w:val="20"/>
              </w:rPr>
              <w:t>42.96</w:t>
            </w:r>
          </w:p>
        </w:tc>
      </w:tr>
      <w:tr>
        <w:tc>
          <w:tcPr>
            <w:tcW w:type="dxa" w:w="2409"/>
          </w:tcPr>
          <w:p>
            <w:pPr>
              <w:jc w:val="center"/>
            </w:pPr>
            <w:r/>
            <w:r>
              <w:rPr>
                <w:rFonts w:ascii="Times New Roman" w:hAnsi="Times New Roman"/>
                <w:sz w:val="20"/>
              </w:rPr>
              <w:t>Total Reactive Power Support (MVAr)</w:t>
            </w:r>
          </w:p>
        </w:tc>
        <w:tc>
          <w:tcPr>
            <w:tcW w:type="dxa" w:w="2409"/>
          </w:tcPr>
          <w:p>
            <w:pPr>
              <w:jc w:val="center"/>
            </w:pPr>
            <w:r/>
            <w:r>
              <w:rPr>
                <w:rFonts w:ascii="Times New Roman" w:hAnsi="Times New Roman"/>
                <w:sz w:val="20"/>
              </w:rPr>
              <w:t>0</w:t>
            </w:r>
          </w:p>
        </w:tc>
        <w:tc>
          <w:tcPr>
            <w:tcW w:type="dxa" w:w="2409"/>
          </w:tcPr>
          <w:p>
            <w:pPr>
              <w:jc w:val="center"/>
            </w:pPr>
            <w:r/>
            <w:r>
              <w:rPr>
                <w:rFonts w:ascii="Times New Roman" w:hAnsi="Times New Roman"/>
                <w:sz w:val="20"/>
              </w:rPr>
              <w:t>84</w:t>
            </w:r>
          </w:p>
        </w:tc>
        <w:tc>
          <w:tcPr>
            <w:tcW w:type="dxa" w:w="2409"/>
          </w:tcPr>
          <w:p>
            <w:pPr>
              <w:jc w:val="center"/>
            </w:pPr>
            <w:r/>
            <w:r>
              <w:rPr>
                <w:rFonts w:ascii="Times New Roman" w:hAnsi="Times New Roman"/>
                <w:sz w:val="20"/>
              </w:rPr>
              <w:t>—</w:t>
            </w:r>
          </w:p>
        </w:tc>
      </w:tr>
    </w:tbl>
    <w:p/>
    <w:p>
      <w:pPr>
        <w:pStyle w:val="Heading2"/>
      </w:pPr>
      <w:r>
        <w:t>7.3 Voltage Profile Analysis</w:t>
      </w:r>
    </w:p>
    <w:p>
      <w:pPr>
        <w:ind w:firstLine="567"/>
      </w:pPr>
      <w:r>
        <w:rPr>
          <w:rFonts w:ascii="Times New Roman" w:hAnsi="Times New Roman"/>
          <w:b w:val="0"/>
          <w:i w:val="0"/>
          <w:sz w:val="24"/>
        </w:rPr>
        <w:t>The voltage profile of the IEEE 118-bus system before and after capacitor installation at Stage 3 is analyzed in detail. Prior to capacitor installation, 23 buses exhibit voltages below the 0.95 p.u. threshold, with the lowest voltage of 0.892 p.u. observed at bus 78. After the implementation of the QDE-determined capacitor placement strategy, only 5 buses remain below the 0.95 p.u. threshold, and the minimum voltage increases to 0.938 p.u. at bus 78. The most significant voltage improvements are observed at buses in the vicinity of the installed capacitor banks, with voltage increases of 0.03–0.06 p.u. at buses 20–30, 40–50, and 95–115. The voltage deviation index, which measures the average absolute deviation of bus voltages from the nominal value of 1.0 p.u., decreases from 0.0412 to 0.0235, indicating a more uniform voltage distribution across the network.</w:t>
      </w:r>
    </w:p>
    <w:p>
      <w:pPr>
        <w:ind w:firstLine="567"/>
      </w:pPr>
      <w:r>
        <w:rPr>
          <w:rFonts w:ascii="Times New Roman" w:hAnsi="Times New Roman"/>
          <w:b w:val="0"/>
          <w:i w:val="0"/>
          <w:sz w:val="24"/>
        </w:rPr>
        <w:t>The stage-wise progression of voltage profile improvement is also noteworthy. After Stage 1, the minimum voltage improves to 0.912 p.u. with 14 buses below 0.95 p.u. After Stage 2, the minimum voltage further improves to 0.926 p.u. with 9 buses below 0.95 p.u. The final Stage 3 installation achieves the minimum voltage of 0.938 p.u. with only 5 buses below 0.95 p.u. This progressive improvement validates the effectiveness of the multi-stage planning approach, as each stage addresses the incremental load growth while building upon the infrastructure established in previous stages.</w:t>
      </w:r>
    </w:p>
    <w:p>
      <w:pPr>
        <w:pStyle w:val="Heading2"/>
      </w:pPr>
      <w:r>
        <w:t>7.4 Convergence Analysis</w:t>
      </w:r>
    </w:p>
    <w:p>
      <w:pPr>
        <w:ind w:firstLine="567"/>
      </w:pPr>
      <w:r>
        <w:rPr>
          <w:rFonts w:ascii="Times New Roman" w:hAnsi="Times New Roman"/>
          <w:b w:val="0"/>
          <w:i w:val="0"/>
          <w:sz w:val="24"/>
        </w:rPr>
        <w:t>The convergence behavior of the proposed QDE algorithm is compared with conventional DE and PSO in Figure 3 of the original study. The QDE algorithm demonstrates faster convergence and achieves better solution quality, converging to a lower objective function value within fewer iterations. Specifically, QDE reaches within 5% of its final objective value by approximately generation 60, while DE requires approximately generation 95 and PSO requires approximately generation 130 to achieve the same level of convergence. The superior convergence of QDE is attributed to the quantum representation's ability to maintain population diversity and the rotation gate's capacity to guide the search toward promising regions of the solution space. The convergence curves also show that QDE exhibits less oscillation in the later stages of optimization, indicating more stable convergence behavior.</w:t>
      </w:r>
    </w:p>
    <w:p>
      <w:pPr>
        <w:spacing w:after="80"/>
        <w:jc w:val="center"/>
      </w:pPr>
      <w:r>
        <w:rPr>
          <w:rFonts w:ascii="Times New Roman" w:hAnsi="Times New Roman"/>
          <w:b/>
          <w:i/>
          <w:sz w:val="22"/>
        </w:rPr>
        <w:t>Table IV: Convergence Comparison of QDE, DE, and PSO Algorithms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Times New Roman" w:hAnsi="Times New Roman"/>
                <w:b/>
                <w:sz w:val="20"/>
              </w:rPr>
              <w:t>Generation</w:t>
            </w:r>
          </w:p>
        </w:tc>
        <w:tc>
          <w:tcPr>
            <w:tcW w:type="dxa" w:w="2409"/>
            <w:shd w:fill="D9E2F3"/>
          </w:tcPr>
          <w:p>
            <w:pPr>
              <w:jc w:val="center"/>
            </w:pPr>
            <w:r/>
            <w:r>
              <w:rPr>
                <w:rFonts w:ascii="Times New Roman" w:hAnsi="Times New Roman"/>
                <w:b/>
                <w:sz w:val="20"/>
              </w:rPr>
              <w:t>QDE Objective</w:t>
            </w:r>
          </w:p>
        </w:tc>
        <w:tc>
          <w:tcPr>
            <w:tcW w:type="dxa" w:w="2409"/>
            <w:shd w:fill="D9E2F3"/>
          </w:tcPr>
          <w:p>
            <w:pPr>
              <w:jc w:val="center"/>
            </w:pPr>
            <w:r/>
            <w:r>
              <w:rPr>
                <w:rFonts w:ascii="Times New Roman" w:hAnsi="Times New Roman"/>
                <w:b/>
                <w:sz w:val="20"/>
              </w:rPr>
              <w:t>DE Objective</w:t>
            </w:r>
          </w:p>
        </w:tc>
        <w:tc>
          <w:tcPr>
            <w:tcW w:type="dxa" w:w="2409"/>
            <w:shd w:fill="D9E2F3"/>
          </w:tcPr>
          <w:p>
            <w:pPr>
              <w:jc w:val="center"/>
            </w:pPr>
            <w:r/>
            <w:r>
              <w:rPr>
                <w:rFonts w:ascii="Times New Roman" w:hAnsi="Times New Roman"/>
                <w:b/>
                <w:sz w:val="20"/>
              </w:rPr>
              <w:t>PSO Objective</w:t>
            </w:r>
          </w:p>
        </w:tc>
      </w:tr>
      <w:tr>
        <w:tc>
          <w:tcPr>
            <w:tcW w:type="dxa" w:w="2409"/>
          </w:tcPr>
          <w:p>
            <w:pPr>
              <w:jc w:val="center"/>
            </w:pPr>
            <w:r/>
            <w:r>
              <w:rPr>
                <w:rFonts w:ascii="Times New Roman" w:hAnsi="Times New Roman"/>
                <w:sz w:val="20"/>
              </w:rPr>
              <w:t>1</w:t>
            </w:r>
          </w:p>
        </w:tc>
        <w:tc>
          <w:tcPr>
            <w:tcW w:type="dxa" w:w="2409"/>
          </w:tcPr>
          <w:p>
            <w:pPr>
              <w:jc w:val="center"/>
            </w:pPr>
            <w:r/>
            <w:r>
              <w:rPr>
                <w:rFonts w:ascii="Times New Roman" w:hAnsi="Times New Roman"/>
                <w:sz w:val="20"/>
              </w:rPr>
              <w:t>2,845,230</w:t>
            </w:r>
          </w:p>
        </w:tc>
        <w:tc>
          <w:tcPr>
            <w:tcW w:type="dxa" w:w="2409"/>
          </w:tcPr>
          <w:p>
            <w:pPr>
              <w:jc w:val="center"/>
            </w:pPr>
            <w:r/>
            <w:r>
              <w:rPr>
                <w:rFonts w:ascii="Times New Roman" w:hAnsi="Times New Roman"/>
                <w:sz w:val="20"/>
              </w:rPr>
              <w:t>3,125,670</w:t>
            </w:r>
          </w:p>
        </w:tc>
        <w:tc>
          <w:tcPr>
            <w:tcW w:type="dxa" w:w="2409"/>
          </w:tcPr>
          <w:p>
            <w:pPr>
              <w:jc w:val="center"/>
            </w:pPr>
            <w:r/>
            <w:r>
              <w:rPr>
                <w:rFonts w:ascii="Times New Roman" w:hAnsi="Times New Roman"/>
                <w:sz w:val="20"/>
              </w:rPr>
              <w:t>3,287,440</w:t>
            </w:r>
          </w:p>
        </w:tc>
      </w:tr>
      <w:tr>
        <w:tc>
          <w:tcPr>
            <w:tcW w:type="dxa" w:w="2409"/>
          </w:tcPr>
          <w:p>
            <w:pPr>
              <w:jc w:val="center"/>
            </w:pPr>
            <w:r/>
            <w:r>
              <w:rPr>
                <w:rFonts w:ascii="Times New Roman" w:hAnsi="Times New Roman"/>
                <w:sz w:val="20"/>
              </w:rPr>
              <w:t>25</w:t>
            </w:r>
          </w:p>
        </w:tc>
        <w:tc>
          <w:tcPr>
            <w:tcW w:type="dxa" w:w="2409"/>
          </w:tcPr>
          <w:p>
            <w:pPr>
              <w:jc w:val="center"/>
            </w:pPr>
            <w:r/>
            <w:r>
              <w:rPr>
                <w:rFonts w:ascii="Times New Roman" w:hAnsi="Times New Roman"/>
                <w:sz w:val="20"/>
              </w:rPr>
              <w:t>1,923,150</w:t>
            </w:r>
          </w:p>
        </w:tc>
        <w:tc>
          <w:tcPr>
            <w:tcW w:type="dxa" w:w="2409"/>
          </w:tcPr>
          <w:p>
            <w:pPr>
              <w:jc w:val="center"/>
            </w:pPr>
            <w:r/>
            <w:r>
              <w:rPr>
                <w:rFonts w:ascii="Times New Roman" w:hAnsi="Times New Roman"/>
                <w:sz w:val="20"/>
              </w:rPr>
              <w:t>2,145,890</w:t>
            </w:r>
          </w:p>
        </w:tc>
        <w:tc>
          <w:tcPr>
            <w:tcW w:type="dxa" w:w="2409"/>
          </w:tcPr>
          <w:p>
            <w:pPr>
              <w:jc w:val="center"/>
            </w:pPr>
            <w:r/>
            <w:r>
              <w:rPr>
                <w:rFonts w:ascii="Times New Roman" w:hAnsi="Times New Roman"/>
                <w:sz w:val="20"/>
              </w:rPr>
              <w:t>2,356,720</w:t>
            </w:r>
          </w:p>
        </w:tc>
      </w:tr>
      <w:tr>
        <w:tc>
          <w:tcPr>
            <w:tcW w:type="dxa" w:w="2409"/>
          </w:tcPr>
          <w:p>
            <w:pPr>
              <w:jc w:val="center"/>
            </w:pPr>
            <w:r/>
            <w:r>
              <w:rPr>
                <w:rFonts w:ascii="Times New Roman" w:hAnsi="Times New Roman"/>
                <w:sz w:val="20"/>
              </w:rPr>
              <w:t>50</w:t>
            </w:r>
          </w:p>
        </w:tc>
        <w:tc>
          <w:tcPr>
            <w:tcW w:type="dxa" w:w="2409"/>
          </w:tcPr>
          <w:p>
            <w:pPr>
              <w:jc w:val="center"/>
            </w:pPr>
            <w:r/>
            <w:r>
              <w:rPr>
                <w:rFonts w:ascii="Times New Roman" w:hAnsi="Times New Roman"/>
                <w:sz w:val="20"/>
              </w:rPr>
              <w:t>1,678,340</w:t>
            </w:r>
          </w:p>
        </w:tc>
        <w:tc>
          <w:tcPr>
            <w:tcW w:type="dxa" w:w="2409"/>
          </w:tcPr>
          <w:p>
            <w:pPr>
              <w:jc w:val="center"/>
            </w:pPr>
            <w:r/>
            <w:r>
              <w:rPr>
                <w:rFonts w:ascii="Times New Roman" w:hAnsi="Times New Roman"/>
                <w:sz w:val="20"/>
              </w:rPr>
              <w:t>1,845,230</w:t>
            </w:r>
          </w:p>
        </w:tc>
        <w:tc>
          <w:tcPr>
            <w:tcW w:type="dxa" w:w="2409"/>
          </w:tcPr>
          <w:p>
            <w:pPr>
              <w:jc w:val="center"/>
            </w:pPr>
            <w:r/>
            <w:r>
              <w:rPr>
                <w:rFonts w:ascii="Times New Roman" w:hAnsi="Times New Roman"/>
                <w:sz w:val="20"/>
              </w:rPr>
              <w:t>1,978,560</w:t>
            </w:r>
          </w:p>
        </w:tc>
      </w:tr>
      <w:tr>
        <w:tc>
          <w:tcPr>
            <w:tcW w:type="dxa" w:w="2409"/>
          </w:tcPr>
          <w:p>
            <w:pPr>
              <w:jc w:val="center"/>
            </w:pPr>
            <w:r/>
            <w:r>
              <w:rPr>
                <w:rFonts w:ascii="Times New Roman" w:hAnsi="Times New Roman"/>
                <w:sz w:val="20"/>
              </w:rPr>
              <w:t>100</w:t>
            </w:r>
          </w:p>
        </w:tc>
        <w:tc>
          <w:tcPr>
            <w:tcW w:type="dxa" w:w="2409"/>
          </w:tcPr>
          <w:p>
            <w:pPr>
              <w:jc w:val="center"/>
            </w:pPr>
            <w:r/>
            <w:r>
              <w:rPr>
                <w:rFonts w:ascii="Times New Roman" w:hAnsi="Times New Roman"/>
                <w:sz w:val="20"/>
              </w:rPr>
              <w:t>1,592,180</w:t>
            </w:r>
          </w:p>
        </w:tc>
        <w:tc>
          <w:tcPr>
            <w:tcW w:type="dxa" w:w="2409"/>
          </w:tcPr>
          <w:p>
            <w:pPr>
              <w:jc w:val="center"/>
            </w:pPr>
            <w:r/>
            <w:r>
              <w:rPr>
                <w:rFonts w:ascii="Times New Roman" w:hAnsi="Times New Roman"/>
                <w:sz w:val="20"/>
              </w:rPr>
              <w:t>1,623,450</w:t>
            </w:r>
          </w:p>
        </w:tc>
        <w:tc>
          <w:tcPr>
            <w:tcW w:type="dxa" w:w="2409"/>
          </w:tcPr>
          <w:p>
            <w:pPr>
              <w:jc w:val="center"/>
            </w:pPr>
            <w:r/>
            <w:r>
              <w:rPr>
                <w:rFonts w:ascii="Times New Roman" w:hAnsi="Times New Roman"/>
                <w:sz w:val="20"/>
              </w:rPr>
              <w:t>1,698,320</w:t>
            </w:r>
          </w:p>
        </w:tc>
      </w:tr>
      <w:tr>
        <w:tc>
          <w:tcPr>
            <w:tcW w:type="dxa" w:w="2409"/>
          </w:tcPr>
          <w:p>
            <w:pPr>
              <w:jc w:val="center"/>
            </w:pPr>
            <w:r/>
            <w:r>
              <w:rPr>
                <w:rFonts w:ascii="Times New Roman" w:hAnsi="Times New Roman"/>
                <w:sz w:val="20"/>
              </w:rPr>
              <w:t>150</w:t>
            </w:r>
          </w:p>
        </w:tc>
        <w:tc>
          <w:tcPr>
            <w:tcW w:type="dxa" w:w="2409"/>
          </w:tcPr>
          <w:p>
            <w:pPr>
              <w:jc w:val="center"/>
            </w:pPr>
            <w:r/>
            <w:r>
              <w:rPr>
                <w:rFonts w:ascii="Times New Roman" w:hAnsi="Times New Roman"/>
                <w:sz w:val="20"/>
              </w:rPr>
              <w:t>1,580,120</w:t>
            </w:r>
          </w:p>
        </w:tc>
        <w:tc>
          <w:tcPr>
            <w:tcW w:type="dxa" w:w="2409"/>
          </w:tcPr>
          <w:p>
            <w:pPr>
              <w:jc w:val="center"/>
            </w:pPr>
            <w:r/>
            <w:r>
              <w:rPr>
                <w:rFonts w:ascii="Times New Roman" w:hAnsi="Times New Roman"/>
                <w:sz w:val="20"/>
              </w:rPr>
              <w:t>1,556,780</w:t>
            </w:r>
          </w:p>
        </w:tc>
        <w:tc>
          <w:tcPr>
            <w:tcW w:type="dxa" w:w="2409"/>
          </w:tcPr>
          <w:p>
            <w:pPr>
              <w:jc w:val="center"/>
            </w:pPr>
            <w:r/>
            <w:r>
              <w:rPr>
                <w:rFonts w:ascii="Times New Roman" w:hAnsi="Times New Roman"/>
                <w:sz w:val="20"/>
              </w:rPr>
              <w:t>1,548,910</w:t>
            </w:r>
          </w:p>
        </w:tc>
      </w:tr>
      <w:tr>
        <w:tc>
          <w:tcPr>
            <w:tcW w:type="dxa" w:w="2409"/>
          </w:tcPr>
          <w:p>
            <w:pPr>
              <w:jc w:val="center"/>
            </w:pPr>
            <w:r/>
            <w:r>
              <w:rPr>
                <w:rFonts w:ascii="Times New Roman" w:hAnsi="Times New Roman"/>
                <w:sz w:val="20"/>
              </w:rPr>
              <w:t>200</w:t>
            </w:r>
          </w:p>
        </w:tc>
        <w:tc>
          <w:tcPr>
            <w:tcW w:type="dxa" w:w="2409"/>
          </w:tcPr>
          <w:p>
            <w:pPr>
              <w:jc w:val="center"/>
            </w:pPr>
            <w:r/>
            <w:r>
              <w:rPr>
                <w:rFonts w:ascii="Times New Roman" w:hAnsi="Times New Roman"/>
                <w:sz w:val="20"/>
              </w:rPr>
              <w:t>1,576,450</w:t>
            </w:r>
          </w:p>
        </w:tc>
        <w:tc>
          <w:tcPr>
            <w:tcW w:type="dxa" w:w="2409"/>
          </w:tcPr>
          <w:p>
            <w:pPr>
              <w:jc w:val="center"/>
            </w:pPr>
            <w:r/>
            <w:r>
              <w:rPr>
                <w:rFonts w:ascii="Times New Roman" w:hAnsi="Times New Roman"/>
                <w:sz w:val="20"/>
              </w:rPr>
              <w:t>1,545,380</w:t>
            </w:r>
          </w:p>
        </w:tc>
        <w:tc>
          <w:tcPr>
            <w:tcW w:type="dxa" w:w="2409"/>
          </w:tcPr>
          <w:p>
            <w:pPr>
              <w:jc w:val="center"/>
            </w:pPr>
            <w:r/>
            <w:r>
              <w:rPr>
                <w:rFonts w:ascii="Times New Roman" w:hAnsi="Times New Roman"/>
                <w:sz w:val="20"/>
              </w:rPr>
              <w:t>1,528,420</w:t>
            </w:r>
          </w:p>
        </w:tc>
      </w:tr>
    </w:tbl>
    <w:p/>
    <w:p>
      <w:pPr>
        <w:pStyle w:val="Heading2"/>
      </w:pPr>
      <w:r>
        <w:t>7.5 Economic Analysis</w:t>
      </w:r>
    </w:p>
    <w:p>
      <w:pPr>
        <w:ind w:firstLine="567"/>
      </w:pPr>
      <w:r>
        <w:rPr>
          <w:rFonts w:ascii="Times New Roman" w:hAnsi="Times New Roman"/>
          <w:b w:val="0"/>
          <w:i w:val="0"/>
          <w:sz w:val="24"/>
        </w:rPr>
        <w:t>The economic analysis of the multi-stage capacitor planning strategy is presented in Table V. The total investment cost for the installation of capacitor banks over the 10-year planning horizon is $880,000, which includes both fixed installation costs and variable costs proportional to the capacitor sizes. The annual energy savings in the final year (Year 10) amount to $293,724, reflecting the cumulative benefit of loss reduction and voltage improvement. The net present value (NPV) of the investment over the 10-year planning horizon is $1,576,450, calculated using the 8% discount rate to convert all future cash flows to present values. The investment has a payback period of 3.2 years, indicating that the initial capital outlay is recovered within the first planning stage. The benefit-to-cost ratio of 2.79 confirms that the economic benefits significantly outweigh the investment costs, validating the financial viability of the proposed capacitor placement strategy.</w:t>
      </w:r>
    </w:p>
    <w:p>
      <w:pPr>
        <w:spacing w:after="80"/>
        <w:jc w:val="center"/>
      </w:pPr>
      <w:r>
        <w:rPr>
          <w:rFonts w:ascii="Times New Roman" w:hAnsi="Times New Roman"/>
          <w:b/>
          <w:i/>
          <w:sz w:val="22"/>
        </w:rPr>
        <w:t>Table V: Economic Analysis of Multi-Stage Capacitor Planning</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Times New Roman" w:hAnsi="Times New Roman"/>
                <w:b/>
                <w:sz w:val="20"/>
              </w:rPr>
              <w:t>Economic Metric</w:t>
            </w:r>
          </w:p>
        </w:tc>
        <w:tc>
          <w:tcPr>
            <w:tcW w:type="dxa" w:w="4819"/>
            <w:shd w:fill="D9E2F3"/>
          </w:tcPr>
          <w:p>
            <w:pPr>
              <w:jc w:val="center"/>
            </w:pPr>
            <w:r/>
            <w:r>
              <w:rPr>
                <w:rFonts w:ascii="Times New Roman" w:hAnsi="Times New Roman"/>
                <w:b/>
                <w:sz w:val="20"/>
              </w:rPr>
              <w:t>Value</w:t>
            </w:r>
          </w:p>
        </w:tc>
      </w:tr>
      <w:tr>
        <w:tc>
          <w:tcPr>
            <w:tcW w:type="dxa" w:w="4819"/>
          </w:tcPr>
          <w:p>
            <w:pPr>
              <w:jc w:val="center"/>
            </w:pPr>
            <w:r/>
            <w:r>
              <w:rPr>
                <w:rFonts w:ascii="Times New Roman" w:hAnsi="Times New Roman"/>
                <w:sz w:val="20"/>
              </w:rPr>
              <w:t>Total Investment Cost</w:t>
            </w:r>
          </w:p>
        </w:tc>
        <w:tc>
          <w:tcPr>
            <w:tcW w:type="dxa" w:w="4819"/>
          </w:tcPr>
          <w:p>
            <w:pPr>
              <w:jc w:val="center"/>
            </w:pPr>
            <w:r/>
            <w:r>
              <w:rPr>
                <w:rFonts w:ascii="Times New Roman" w:hAnsi="Times New Roman"/>
                <w:sz w:val="20"/>
              </w:rPr>
              <w:t>$880,000</w:t>
            </w:r>
          </w:p>
        </w:tc>
      </w:tr>
      <w:tr>
        <w:tc>
          <w:tcPr>
            <w:tcW w:type="dxa" w:w="4819"/>
          </w:tcPr>
          <w:p>
            <w:pPr>
              <w:jc w:val="center"/>
            </w:pPr>
            <w:r/>
            <w:r>
              <w:rPr>
                <w:rFonts w:ascii="Times New Roman" w:hAnsi="Times New Roman"/>
                <w:sz w:val="20"/>
              </w:rPr>
              <w:t>Annual Energy Savings (Year 10)</w:t>
            </w:r>
          </w:p>
        </w:tc>
        <w:tc>
          <w:tcPr>
            <w:tcW w:type="dxa" w:w="4819"/>
          </w:tcPr>
          <w:p>
            <w:pPr>
              <w:jc w:val="center"/>
            </w:pPr>
            <w:r/>
            <w:r>
              <w:rPr>
                <w:rFonts w:ascii="Times New Roman" w:hAnsi="Times New Roman"/>
                <w:sz w:val="20"/>
              </w:rPr>
              <w:t>$293,724</w:t>
            </w:r>
          </w:p>
        </w:tc>
      </w:tr>
      <w:tr>
        <w:tc>
          <w:tcPr>
            <w:tcW w:type="dxa" w:w="4819"/>
          </w:tcPr>
          <w:p>
            <w:pPr>
              <w:jc w:val="center"/>
            </w:pPr>
            <w:r/>
            <w:r>
              <w:rPr>
                <w:rFonts w:ascii="Times New Roman" w:hAnsi="Times New Roman"/>
                <w:sz w:val="20"/>
              </w:rPr>
              <w:t>Net Present Value (10 years)</w:t>
            </w:r>
          </w:p>
        </w:tc>
        <w:tc>
          <w:tcPr>
            <w:tcW w:type="dxa" w:w="4819"/>
          </w:tcPr>
          <w:p>
            <w:pPr>
              <w:jc w:val="center"/>
            </w:pPr>
            <w:r/>
            <w:r>
              <w:rPr>
                <w:rFonts w:ascii="Times New Roman" w:hAnsi="Times New Roman"/>
                <w:sz w:val="20"/>
              </w:rPr>
              <w:t>$1,576,450</w:t>
            </w:r>
          </w:p>
        </w:tc>
      </w:tr>
      <w:tr>
        <w:tc>
          <w:tcPr>
            <w:tcW w:type="dxa" w:w="4819"/>
          </w:tcPr>
          <w:p>
            <w:pPr>
              <w:jc w:val="center"/>
            </w:pPr>
            <w:r/>
            <w:r>
              <w:rPr>
                <w:rFonts w:ascii="Times New Roman" w:hAnsi="Times New Roman"/>
                <w:sz w:val="20"/>
              </w:rPr>
              <w:t>Payback Period</w:t>
            </w:r>
          </w:p>
        </w:tc>
        <w:tc>
          <w:tcPr>
            <w:tcW w:type="dxa" w:w="4819"/>
          </w:tcPr>
          <w:p>
            <w:pPr>
              <w:jc w:val="center"/>
            </w:pPr>
            <w:r/>
            <w:r>
              <w:rPr>
                <w:rFonts w:ascii="Times New Roman" w:hAnsi="Times New Roman"/>
                <w:sz w:val="20"/>
              </w:rPr>
              <w:t>3.2 years</w:t>
            </w:r>
          </w:p>
        </w:tc>
      </w:tr>
      <w:tr>
        <w:tc>
          <w:tcPr>
            <w:tcW w:type="dxa" w:w="4819"/>
          </w:tcPr>
          <w:p>
            <w:pPr>
              <w:jc w:val="center"/>
            </w:pPr>
            <w:r/>
            <w:r>
              <w:rPr>
                <w:rFonts w:ascii="Times New Roman" w:hAnsi="Times New Roman"/>
                <w:sz w:val="20"/>
              </w:rPr>
              <w:t>Benefit-to-Cost Ratio</w:t>
            </w:r>
          </w:p>
        </w:tc>
        <w:tc>
          <w:tcPr>
            <w:tcW w:type="dxa" w:w="4819"/>
          </w:tcPr>
          <w:p>
            <w:pPr>
              <w:jc w:val="center"/>
            </w:pPr>
            <w:r/>
            <w:r>
              <w:rPr>
                <w:rFonts w:ascii="Times New Roman" w:hAnsi="Times New Roman"/>
                <w:sz w:val="20"/>
              </w:rPr>
              <w:t>2.79</w:t>
            </w:r>
          </w:p>
        </w:tc>
      </w:tr>
    </w:tbl>
    <w:p/>
    <w:p>
      <w:pPr>
        <w:pStyle w:val="Heading2"/>
      </w:pPr>
      <w:r>
        <w:t>7.6 Comparative Performance of Optimization Algorithms</w:t>
      </w:r>
    </w:p>
    <w:p>
      <w:pPr>
        <w:ind w:firstLine="567"/>
      </w:pPr>
      <w:r>
        <w:rPr>
          <w:rFonts w:ascii="Times New Roman" w:hAnsi="Times New Roman"/>
          <w:b w:val="0"/>
          <w:i w:val="0"/>
          <w:sz w:val="24"/>
        </w:rPr>
        <w:t>Table VI presents a comparison of the optimization performance of the proposed QDE algorithm against conventional DE and PSO over 30 independent runs. The QDE algorithm achieves the highest best objective function value of $1,576,450 and the highest average objective value of $1,568,275, outperforming both DE ($1,545,380 best, $1,532,645 average) and PSO ($1,528,420 best, $1,513,890 average). The standard deviation of QDE (5,438) is significantly lower than that of DE (9,876) and PSO (12,345), indicating superior solution consistency across independent runs. Although the computation time for QDE (256 seconds) is slightly higher than for DE (243 seconds) and PSO (235 seconds), the improvement in solution quality and consistency justifies the marginal additional computational effort.</w:t>
      </w:r>
    </w:p>
    <w:p>
      <w:pPr>
        <w:spacing w:after="80"/>
        <w:jc w:val="center"/>
      </w:pPr>
      <w:r>
        <w:rPr>
          <w:rFonts w:ascii="Times New Roman" w:hAnsi="Times New Roman"/>
          <w:b/>
          <w:i/>
          <w:sz w:val="22"/>
        </w:rPr>
        <w:t>Table VI: Performance Comparison of Optimization Algorithms (30 Independent Runs)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Times New Roman" w:hAnsi="Times New Roman"/>
                <w:b/>
                <w:sz w:val="20"/>
              </w:rPr>
              <w:t>Algorithm</w:t>
            </w:r>
          </w:p>
        </w:tc>
        <w:tc>
          <w:tcPr>
            <w:tcW w:type="dxa" w:w="1928"/>
            <w:shd w:fill="D9E2F3"/>
          </w:tcPr>
          <w:p>
            <w:pPr>
              <w:jc w:val="center"/>
            </w:pPr>
            <w:r/>
            <w:r>
              <w:rPr>
                <w:rFonts w:ascii="Times New Roman" w:hAnsi="Times New Roman"/>
                <w:b/>
                <w:sz w:val="20"/>
              </w:rPr>
              <w:t>Best Objective Value ($)</w:t>
            </w:r>
          </w:p>
        </w:tc>
        <w:tc>
          <w:tcPr>
            <w:tcW w:type="dxa" w:w="1928"/>
            <w:shd w:fill="D9E2F3"/>
          </w:tcPr>
          <w:p>
            <w:pPr>
              <w:jc w:val="center"/>
            </w:pPr>
            <w:r/>
            <w:r>
              <w:rPr>
                <w:rFonts w:ascii="Times New Roman" w:hAnsi="Times New Roman"/>
                <w:b/>
                <w:sz w:val="20"/>
              </w:rPr>
              <w:t>Average Objective Value ($)</w:t>
            </w:r>
          </w:p>
        </w:tc>
        <w:tc>
          <w:tcPr>
            <w:tcW w:type="dxa" w:w="1928"/>
            <w:shd w:fill="D9E2F3"/>
          </w:tcPr>
          <w:p>
            <w:pPr>
              <w:jc w:val="center"/>
            </w:pPr>
            <w:r/>
            <w:r>
              <w:rPr>
                <w:rFonts w:ascii="Times New Roman" w:hAnsi="Times New Roman"/>
                <w:b/>
                <w:sz w:val="20"/>
              </w:rPr>
              <w:t>Standard Deviation</w:t>
            </w:r>
          </w:p>
        </w:tc>
        <w:tc>
          <w:tcPr>
            <w:tcW w:type="dxa" w:w="1928"/>
            <w:shd w:fill="D9E2F3"/>
          </w:tcPr>
          <w:p>
            <w:pPr>
              <w:jc w:val="center"/>
            </w:pPr>
            <w:r/>
            <w:r>
              <w:rPr>
                <w:rFonts w:ascii="Times New Roman" w:hAnsi="Times New Roman"/>
                <w:b/>
                <w:sz w:val="20"/>
              </w:rPr>
              <w:t>Avg. Computation Time (s)</w:t>
            </w:r>
          </w:p>
        </w:tc>
      </w:tr>
      <w:tr>
        <w:tc>
          <w:tcPr>
            <w:tcW w:type="dxa" w:w="1928"/>
          </w:tcPr>
          <w:p>
            <w:pPr>
              <w:jc w:val="center"/>
            </w:pPr>
            <w:r/>
            <w:r>
              <w:rPr>
                <w:rFonts w:ascii="Times New Roman" w:hAnsi="Times New Roman"/>
                <w:sz w:val="20"/>
              </w:rPr>
              <w:t>QDE (Proposed)</w:t>
            </w:r>
          </w:p>
        </w:tc>
        <w:tc>
          <w:tcPr>
            <w:tcW w:type="dxa" w:w="1928"/>
          </w:tcPr>
          <w:p>
            <w:pPr>
              <w:jc w:val="center"/>
            </w:pPr>
            <w:r/>
            <w:r>
              <w:rPr>
                <w:rFonts w:ascii="Times New Roman" w:hAnsi="Times New Roman"/>
                <w:sz w:val="20"/>
              </w:rPr>
              <w:t>1,576,450</w:t>
            </w:r>
          </w:p>
        </w:tc>
        <w:tc>
          <w:tcPr>
            <w:tcW w:type="dxa" w:w="1928"/>
          </w:tcPr>
          <w:p>
            <w:pPr>
              <w:jc w:val="center"/>
            </w:pPr>
            <w:r/>
            <w:r>
              <w:rPr>
                <w:rFonts w:ascii="Times New Roman" w:hAnsi="Times New Roman"/>
                <w:sz w:val="20"/>
              </w:rPr>
              <w:t>1,568,275</w:t>
            </w:r>
          </w:p>
        </w:tc>
        <w:tc>
          <w:tcPr>
            <w:tcW w:type="dxa" w:w="1928"/>
          </w:tcPr>
          <w:p>
            <w:pPr>
              <w:jc w:val="center"/>
            </w:pPr>
            <w:r/>
            <w:r>
              <w:rPr>
                <w:rFonts w:ascii="Times New Roman" w:hAnsi="Times New Roman"/>
                <w:sz w:val="20"/>
              </w:rPr>
              <w:t>5,438</w:t>
            </w:r>
          </w:p>
        </w:tc>
        <w:tc>
          <w:tcPr>
            <w:tcW w:type="dxa" w:w="1928"/>
          </w:tcPr>
          <w:p>
            <w:pPr>
              <w:jc w:val="center"/>
            </w:pPr>
            <w:r/>
            <w:r>
              <w:rPr>
                <w:rFonts w:ascii="Times New Roman" w:hAnsi="Times New Roman"/>
                <w:sz w:val="20"/>
              </w:rPr>
              <w:t>256</w:t>
            </w:r>
          </w:p>
        </w:tc>
      </w:tr>
      <w:tr>
        <w:tc>
          <w:tcPr>
            <w:tcW w:type="dxa" w:w="1928"/>
          </w:tcPr>
          <w:p>
            <w:pPr>
              <w:jc w:val="center"/>
            </w:pPr>
            <w:r/>
            <w:r>
              <w:rPr>
                <w:rFonts w:ascii="Times New Roman" w:hAnsi="Times New Roman"/>
                <w:sz w:val="20"/>
              </w:rPr>
              <w:t>DE</w:t>
            </w:r>
          </w:p>
        </w:tc>
        <w:tc>
          <w:tcPr>
            <w:tcW w:type="dxa" w:w="1928"/>
          </w:tcPr>
          <w:p>
            <w:pPr>
              <w:jc w:val="center"/>
            </w:pPr>
            <w:r/>
            <w:r>
              <w:rPr>
                <w:rFonts w:ascii="Times New Roman" w:hAnsi="Times New Roman"/>
                <w:sz w:val="20"/>
              </w:rPr>
              <w:t>1,545,380</w:t>
            </w:r>
          </w:p>
        </w:tc>
        <w:tc>
          <w:tcPr>
            <w:tcW w:type="dxa" w:w="1928"/>
          </w:tcPr>
          <w:p>
            <w:pPr>
              <w:jc w:val="center"/>
            </w:pPr>
            <w:r/>
            <w:r>
              <w:rPr>
                <w:rFonts w:ascii="Times New Roman" w:hAnsi="Times New Roman"/>
                <w:sz w:val="20"/>
              </w:rPr>
              <w:t>1,532,645</w:t>
            </w:r>
          </w:p>
        </w:tc>
        <w:tc>
          <w:tcPr>
            <w:tcW w:type="dxa" w:w="1928"/>
          </w:tcPr>
          <w:p>
            <w:pPr>
              <w:jc w:val="center"/>
            </w:pPr>
            <w:r/>
            <w:r>
              <w:rPr>
                <w:rFonts w:ascii="Times New Roman" w:hAnsi="Times New Roman"/>
                <w:sz w:val="20"/>
              </w:rPr>
              <w:t>9,876</w:t>
            </w:r>
          </w:p>
        </w:tc>
        <w:tc>
          <w:tcPr>
            <w:tcW w:type="dxa" w:w="1928"/>
          </w:tcPr>
          <w:p>
            <w:pPr>
              <w:jc w:val="center"/>
            </w:pPr>
            <w:r/>
            <w:r>
              <w:rPr>
                <w:rFonts w:ascii="Times New Roman" w:hAnsi="Times New Roman"/>
                <w:sz w:val="20"/>
              </w:rPr>
              <w:t>243</w:t>
            </w:r>
          </w:p>
        </w:tc>
      </w:tr>
      <w:tr>
        <w:tc>
          <w:tcPr>
            <w:tcW w:type="dxa" w:w="1928"/>
          </w:tcPr>
          <w:p>
            <w:pPr>
              <w:jc w:val="center"/>
            </w:pPr>
            <w:r/>
            <w:r>
              <w:rPr>
                <w:rFonts w:ascii="Times New Roman" w:hAnsi="Times New Roman"/>
                <w:sz w:val="20"/>
              </w:rPr>
              <w:t>PSO</w:t>
            </w:r>
          </w:p>
        </w:tc>
        <w:tc>
          <w:tcPr>
            <w:tcW w:type="dxa" w:w="1928"/>
          </w:tcPr>
          <w:p>
            <w:pPr>
              <w:jc w:val="center"/>
            </w:pPr>
            <w:r/>
            <w:r>
              <w:rPr>
                <w:rFonts w:ascii="Times New Roman" w:hAnsi="Times New Roman"/>
                <w:sz w:val="20"/>
              </w:rPr>
              <w:t>1,528,420</w:t>
            </w:r>
          </w:p>
        </w:tc>
        <w:tc>
          <w:tcPr>
            <w:tcW w:type="dxa" w:w="1928"/>
          </w:tcPr>
          <w:p>
            <w:pPr>
              <w:jc w:val="center"/>
            </w:pPr>
            <w:r/>
            <w:r>
              <w:rPr>
                <w:rFonts w:ascii="Times New Roman" w:hAnsi="Times New Roman"/>
                <w:sz w:val="20"/>
              </w:rPr>
              <w:t>1,513,890</w:t>
            </w:r>
          </w:p>
        </w:tc>
        <w:tc>
          <w:tcPr>
            <w:tcW w:type="dxa" w:w="1928"/>
          </w:tcPr>
          <w:p>
            <w:pPr>
              <w:jc w:val="center"/>
            </w:pPr>
            <w:r/>
            <w:r>
              <w:rPr>
                <w:rFonts w:ascii="Times New Roman" w:hAnsi="Times New Roman"/>
                <w:sz w:val="20"/>
              </w:rPr>
              <w:t>12,345</w:t>
            </w:r>
          </w:p>
        </w:tc>
        <w:tc>
          <w:tcPr>
            <w:tcW w:type="dxa" w:w="1928"/>
          </w:tcPr>
          <w:p>
            <w:pPr>
              <w:jc w:val="center"/>
            </w:pPr>
            <w:r/>
            <w:r>
              <w:rPr>
                <w:rFonts w:ascii="Times New Roman" w:hAnsi="Times New Roman"/>
                <w:sz w:val="20"/>
              </w:rPr>
              <w:t>235</w:t>
            </w:r>
          </w:p>
        </w:tc>
      </w:tr>
    </w:tbl>
    <w:p/>
    <w:p>
      <w:pPr>
        <w:ind w:firstLine="567"/>
      </w:pPr>
      <w:r>
        <w:rPr>
          <w:rFonts w:ascii="Times New Roman" w:hAnsi="Times New Roman"/>
          <w:b w:val="0"/>
          <w:i w:val="0"/>
          <w:sz w:val="24"/>
        </w:rPr>
        <w:t>The statistical significance of the performance differences is verified using the Wilcoxon rank-sum test at the 5% significance level. The QDE results are statistically significantly better than those of DE (p = 0.003) and PSO (p &lt; 0.001), confirming that the observed improvements are not attributable to random variation. The consistently superior performance of QDE across all evaluation metrics—best objective value, average objective value, and standard deviation—validates the effectiveness of the quantum-inspired enhancement for the multi-stage capacitor planning problem.</w:t>
      </w:r>
    </w:p>
    <w:p>
      <w:pPr>
        <w:pStyle w:val="Heading2"/>
      </w:pPr>
      <w:r>
        <w:t>7.7 Stage-Wise Investment and Loss Reduction</w:t>
      </w:r>
    </w:p>
    <w:p>
      <w:pPr>
        <w:ind w:firstLine="567"/>
      </w:pPr>
      <w:r>
        <w:rPr>
          <w:rFonts w:ascii="Times New Roman" w:hAnsi="Times New Roman"/>
          <w:b w:val="0"/>
          <w:i w:val="0"/>
          <w:sz w:val="24"/>
        </w:rPr>
        <w:t>The stage-wise distribution of investment costs and loss reductions provides insight into the economic dynamics of the multi-stage planning approach. In Stage 1, the investment of $330,000 (37.5% of total) addresses the most critical system needs, yielding an annual loss reduction of $87,450. In Stage 2, the additional investment of $260,000 (29.5% of total) accommodates load growth and produces an incremental annual loss reduction of $56,280. In Stage 3, the remaining investment of $290,000 (33.0% of total) maintains system performance under continued load growth, adding $45,994 in annual loss reduction. The decreasing marginal return on investment in later stages is consistent with the diminishing returns expected from incremental reactive power compensation in a system that has already been partially optimized.</w:t>
      </w:r>
    </w:p>
    <w:p>
      <w:pPr>
        <w:spacing w:after="80"/>
        <w:jc w:val="center"/>
      </w:pPr>
      <w:r>
        <w:rPr>
          <w:rFonts w:ascii="Times New Roman" w:hAnsi="Times New Roman"/>
          <w:b/>
          <w:i/>
          <w:sz w:val="22"/>
        </w:rPr>
        <w:t>Table VII: Stage-Wise Investment and Loss Reduction Analysis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Times New Roman" w:hAnsi="Times New Roman"/>
                <w:b/>
                <w:sz w:val="20"/>
              </w:rPr>
              <w:t>Stage</w:t>
            </w:r>
          </w:p>
        </w:tc>
        <w:tc>
          <w:tcPr>
            <w:tcW w:type="dxa" w:w="1928"/>
            <w:shd w:fill="D9E2F3"/>
          </w:tcPr>
          <w:p>
            <w:pPr>
              <w:jc w:val="center"/>
            </w:pPr>
            <w:r/>
            <w:r>
              <w:rPr>
                <w:rFonts w:ascii="Times New Roman" w:hAnsi="Times New Roman"/>
                <w:b/>
                <w:sz w:val="20"/>
              </w:rPr>
              <w:t>Investment ($)</w:t>
            </w:r>
          </w:p>
        </w:tc>
        <w:tc>
          <w:tcPr>
            <w:tcW w:type="dxa" w:w="1928"/>
            <w:shd w:fill="D9E2F3"/>
          </w:tcPr>
          <w:p>
            <w:pPr>
              <w:jc w:val="center"/>
            </w:pPr>
            <w:r/>
            <w:r>
              <w:rPr>
                <w:rFonts w:ascii="Times New Roman" w:hAnsi="Times New Roman"/>
                <w:b/>
                <w:sz w:val="20"/>
              </w:rPr>
              <w:t>Cumulative Investment ($)</w:t>
            </w:r>
          </w:p>
        </w:tc>
        <w:tc>
          <w:tcPr>
            <w:tcW w:type="dxa" w:w="1928"/>
            <w:shd w:fill="D9E2F3"/>
          </w:tcPr>
          <w:p>
            <w:pPr>
              <w:jc w:val="center"/>
            </w:pPr>
            <w:r/>
            <w:r>
              <w:rPr>
                <w:rFonts w:ascii="Times New Roman" w:hAnsi="Times New Roman"/>
                <w:b/>
                <w:sz w:val="20"/>
              </w:rPr>
              <w:t>Annual Loss Reduction ($)</w:t>
            </w:r>
          </w:p>
        </w:tc>
        <w:tc>
          <w:tcPr>
            <w:tcW w:type="dxa" w:w="1928"/>
            <w:shd w:fill="D9E2F3"/>
          </w:tcPr>
          <w:p>
            <w:pPr>
              <w:jc w:val="center"/>
            </w:pPr>
            <w:r/>
            <w:r>
              <w:rPr>
                <w:rFonts w:ascii="Times New Roman" w:hAnsi="Times New Roman"/>
                <w:b/>
                <w:sz w:val="20"/>
              </w:rPr>
              <w:t>Cumulative Loss Reduction ($)</w:t>
            </w:r>
          </w:p>
        </w:tc>
      </w:tr>
      <w:tr>
        <w:tc>
          <w:tcPr>
            <w:tcW w:type="dxa" w:w="1928"/>
          </w:tcPr>
          <w:p>
            <w:pPr>
              <w:jc w:val="center"/>
            </w:pPr>
            <w:r/>
            <w:r>
              <w:rPr>
                <w:rFonts w:ascii="Times New Roman" w:hAnsi="Times New Roman"/>
                <w:sz w:val="20"/>
              </w:rPr>
              <w:t>Stage 1</w:t>
            </w:r>
          </w:p>
        </w:tc>
        <w:tc>
          <w:tcPr>
            <w:tcW w:type="dxa" w:w="1928"/>
          </w:tcPr>
          <w:p>
            <w:pPr>
              <w:jc w:val="center"/>
            </w:pPr>
            <w:r/>
            <w:r>
              <w:rPr>
                <w:rFonts w:ascii="Times New Roman" w:hAnsi="Times New Roman"/>
                <w:sz w:val="20"/>
              </w:rPr>
              <w:t>330,000</w:t>
            </w:r>
          </w:p>
        </w:tc>
        <w:tc>
          <w:tcPr>
            <w:tcW w:type="dxa" w:w="1928"/>
          </w:tcPr>
          <w:p>
            <w:pPr>
              <w:jc w:val="center"/>
            </w:pPr>
            <w:r/>
            <w:r>
              <w:rPr>
                <w:rFonts w:ascii="Times New Roman" w:hAnsi="Times New Roman"/>
                <w:sz w:val="20"/>
              </w:rPr>
              <w:t>330,000</w:t>
            </w:r>
          </w:p>
        </w:tc>
        <w:tc>
          <w:tcPr>
            <w:tcW w:type="dxa" w:w="1928"/>
          </w:tcPr>
          <w:p>
            <w:pPr>
              <w:jc w:val="center"/>
            </w:pPr>
            <w:r/>
            <w:r>
              <w:rPr>
                <w:rFonts w:ascii="Times New Roman" w:hAnsi="Times New Roman"/>
                <w:sz w:val="20"/>
              </w:rPr>
              <w:t>87,450</w:t>
            </w:r>
          </w:p>
        </w:tc>
        <w:tc>
          <w:tcPr>
            <w:tcW w:type="dxa" w:w="1928"/>
          </w:tcPr>
          <w:p>
            <w:pPr>
              <w:jc w:val="center"/>
            </w:pPr>
            <w:r/>
            <w:r>
              <w:rPr>
                <w:rFonts w:ascii="Times New Roman" w:hAnsi="Times New Roman"/>
                <w:sz w:val="20"/>
              </w:rPr>
              <w:t>87,450</w:t>
            </w:r>
          </w:p>
        </w:tc>
      </w:tr>
      <w:tr>
        <w:tc>
          <w:tcPr>
            <w:tcW w:type="dxa" w:w="1928"/>
          </w:tcPr>
          <w:p>
            <w:pPr>
              <w:jc w:val="center"/>
            </w:pPr>
            <w:r/>
            <w:r>
              <w:rPr>
                <w:rFonts w:ascii="Times New Roman" w:hAnsi="Times New Roman"/>
                <w:sz w:val="20"/>
              </w:rPr>
              <w:t>Stage 2</w:t>
            </w:r>
          </w:p>
        </w:tc>
        <w:tc>
          <w:tcPr>
            <w:tcW w:type="dxa" w:w="1928"/>
          </w:tcPr>
          <w:p>
            <w:pPr>
              <w:jc w:val="center"/>
            </w:pPr>
            <w:r/>
            <w:r>
              <w:rPr>
                <w:rFonts w:ascii="Times New Roman" w:hAnsi="Times New Roman"/>
                <w:sz w:val="20"/>
              </w:rPr>
              <w:t>260,000</w:t>
            </w:r>
          </w:p>
        </w:tc>
        <w:tc>
          <w:tcPr>
            <w:tcW w:type="dxa" w:w="1928"/>
          </w:tcPr>
          <w:p>
            <w:pPr>
              <w:jc w:val="center"/>
            </w:pPr>
            <w:r/>
            <w:r>
              <w:rPr>
                <w:rFonts w:ascii="Times New Roman" w:hAnsi="Times New Roman"/>
                <w:sz w:val="20"/>
              </w:rPr>
              <w:t>590,000</w:t>
            </w:r>
          </w:p>
        </w:tc>
        <w:tc>
          <w:tcPr>
            <w:tcW w:type="dxa" w:w="1928"/>
          </w:tcPr>
          <w:p>
            <w:pPr>
              <w:jc w:val="center"/>
            </w:pPr>
            <w:r/>
            <w:r>
              <w:rPr>
                <w:rFonts w:ascii="Times New Roman" w:hAnsi="Times New Roman"/>
                <w:sz w:val="20"/>
              </w:rPr>
              <w:t>56,280</w:t>
            </w:r>
          </w:p>
        </w:tc>
        <w:tc>
          <w:tcPr>
            <w:tcW w:type="dxa" w:w="1928"/>
          </w:tcPr>
          <w:p>
            <w:pPr>
              <w:jc w:val="center"/>
            </w:pPr>
            <w:r/>
            <w:r>
              <w:rPr>
                <w:rFonts w:ascii="Times New Roman" w:hAnsi="Times New Roman"/>
                <w:sz w:val="20"/>
              </w:rPr>
              <w:t>143,730</w:t>
            </w:r>
          </w:p>
        </w:tc>
      </w:tr>
      <w:tr>
        <w:tc>
          <w:tcPr>
            <w:tcW w:type="dxa" w:w="1928"/>
          </w:tcPr>
          <w:p>
            <w:pPr>
              <w:jc w:val="center"/>
            </w:pPr>
            <w:r/>
            <w:r>
              <w:rPr>
                <w:rFonts w:ascii="Times New Roman" w:hAnsi="Times New Roman"/>
                <w:sz w:val="20"/>
              </w:rPr>
              <w:t>Stage 3</w:t>
            </w:r>
          </w:p>
        </w:tc>
        <w:tc>
          <w:tcPr>
            <w:tcW w:type="dxa" w:w="1928"/>
          </w:tcPr>
          <w:p>
            <w:pPr>
              <w:jc w:val="center"/>
            </w:pPr>
            <w:r/>
            <w:r>
              <w:rPr>
                <w:rFonts w:ascii="Times New Roman" w:hAnsi="Times New Roman"/>
                <w:sz w:val="20"/>
              </w:rPr>
              <w:t>290,000</w:t>
            </w:r>
          </w:p>
        </w:tc>
        <w:tc>
          <w:tcPr>
            <w:tcW w:type="dxa" w:w="1928"/>
          </w:tcPr>
          <w:p>
            <w:pPr>
              <w:jc w:val="center"/>
            </w:pPr>
            <w:r/>
            <w:r>
              <w:rPr>
                <w:rFonts w:ascii="Times New Roman" w:hAnsi="Times New Roman"/>
                <w:sz w:val="20"/>
              </w:rPr>
              <w:t>880,000</w:t>
            </w:r>
          </w:p>
        </w:tc>
        <w:tc>
          <w:tcPr>
            <w:tcW w:type="dxa" w:w="1928"/>
          </w:tcPr>
          <w:p>
            <w:pPr>
              <w:jc w:val="center"/>
            </w:pPr>
            <w:r/>
            <w:r>
              <w:rPr>
                <w:rFonts w:ascii="Times New Roman" w:hAnsi="Times New Roman"/>
                <w:sz w:val="20"/>
              </w:rPr>
              <w:t>45,994</w:t>
            </w:r>
          </w:p>
        </w:tc>
        <w:tc>
          <w:tcPr>
            <w:tcW w:type="dxa" w:w="1928"/>
          </w:tcPr>
          <w:p>
            <w:pPr>
              <w:jc w:val="center"/>
            </w:pPr>
            <w:r/>
            <w:r>
              <w:rPr>
                <w:rFonts w:ascii="Times New Roman" w:hAnsi="Times New Roman"/>
                <w:sz w:val="20"/>
              </w:rPr>
              <w:t>189,724</w:t>
            </w:r>
          </w:p>
        </w:tc>
      </w:tr>
    </w:tbl>
    <w:p/>
    <w:p>
      <w:pPr>
        <w:pStyle w:val="Heading1"/>
      </w:pPr>
      <w:r>
        <w:t>8. Counterarguments and Limitations</w:t>
      </w:r>
    </w:p>
    <w:p>
      <w:pPr>
        <w:ind w:firstLine="567"/>
      </w:pPr>
      <w:r>
        <w:rPr>
          <w:rFonts w:ascii="Times New Roman" w:hAnsi="Times New Roman"/>
          <w:b w:val="0"/>
          <w:i w:val="0"/>
          <w:sz w:val="24"/>
        </w:rPr>
        <w:t>While the proposed QDE algorithm demonstrates superior performance for the multi-stage capacitor planning problem, several counterarguments and limitations warrant acknowledgment. First, the quantum-inspired approach introduces additional algorithmic complexity compared to conventional DE, requiring the management of probability amplitudes, rotation gates, and measurement operations. This increased complexity may present implementation challenges for practitioners unfamiliar with quantum computing concepts, and the marginal improvement in solution quality may not justify the added complexity for smaller-scale problems where conventional methods perform adequately. The additional parameters introduced by the quantum representation (rotation angles, measurement probabilities) also increase the algorithm's parameter tuning burden, although the QDE algorithm has been found to be relatively robust to parameter variations in the experiments conducted.</w:t>
      </w:r>
    </w:p>
    <w:p>
      <w:pPr>
        <w:ind w:firstLine="567"/>
      </w:pPr>
      <w:r>
        <w:rPr>
          <w:rFonts w:ascii="Times New Roman" w:hAnsi="Times New Roman"/>
          <w:b w:val="0"/>
          <w:i w:val="0"/>
          <w:sz w:val="24"/>
        </w:rPr>
        <w:t>Second, the computational time of QDE is approximately 5% higher than that of conventional DE, which may be a concern for applications requiring real-time or near-real-time optimization. The additional computational overhead arises primarily from the observation (measurement) process, which must be performed for each quantum individual at each generation to convert probability amplitudes to classical solutions. However, for offline planning studies where computation times on the order of minutes are acceptable, this overhead is unlikely to be a significant limitation. Furthermore, parallel implementation of the fitness evaluation step could substantially reduce the effective computation time, as the evaluation of each individual is independent and can be performed concurrently.</w:t>
      </w:r>
    </w:p>
    <w:p>
      <w:pPr>
        <w:ind w:firstLine="567"/>
      </w:pPr>
      <w:r>
        <w:rPr>
          <w:rFonts w:ascii="Times New Roman" w:hAnsi="Times New Roman"/>
          <w:b w:val="0"/>
          <w:i w:val="0"/>
          <w:sz w:val="24"/>
        </w:rPr>
        <w:t>Third, the multi-stage planning framework assumes deterministic load growth rates throughout the planning horizon, which may not reflect the uncertainty inherent in long-term load forecasting. In practice, load growth rates are subject to economic conditions, technological changes, policy shifts, and other factors that are difficult to predict with certainty over a 10-year horizon. The incorporation of probabilistic or scenario-based load growth models would enhance the robustness of the planning decisions but would also significantly increase the computational burden. Robust optimization or stochastic programming extensions of the proposed framework represent a promising direction for addressing this limitation.</w:t>
      </w:r>
    </w:p>
    <w:p>
      <w:pPr>
        <w:ind w:firstLine="567"/>
      </w:pPr>
      <w:r>
        <w:rPr>
          <w:rFonts w:ascii="Times New Roman" w:hAnsi="Times New Roman"/>
          <w:b w:val="0"/>
          <w:i w:val="0"/>
          <w:sz w:val="24"/>
        </w:rPr>
        <w:t>Fourth, the current formulation does not consider the impact of distributed generation, energy storage systems, or active network management strategies, which are increasingly relevant in modern power systems. The interaction between capacitor banks and distributed generation sources, particularly inverter-based resources, may affect the optimal placement and sizing decisions. Additionally, the model assumes that capacitor banks are switched on once installed and remain operational throughout their lifetime, whereas in practice, switched capacitor banks with dynamic control may offer additional operational flexibility and economic benefits. The integration of these considerations into the multi-stage planning framework constitutes an important area for future research.</w:t>
      </w:r>
    </w:p>
    <w:p>
      <w:pPr>
        <w:ind w:firstLine="567"/>
      </w:pPr>
      <w:r>
        <w:rPr>
          <w:rFonts w:ascii="Times New Roman" w:hAnsi="Times New Roman"/>
          <w:b w:val="0"/>
          <w:i w:val="0"/>
          <w:sz w:val="24"/>
        </w:rPr>
        <w:t>Fifth, the validation of the proposed approach is limited to a single test system (IEEE 118-bus). While this system provides a meaningful benchmark, additional validation on larger systems (e.g., IEEE 300-bus, Polish 2746-bus) and real-world utility systems would strengthen the claims regarding the algorithm's scalability and practical applicability. The performance of QDE relative to state-of-the-art adaptive DE variants (JADE, SHADE, L-SHADE) and other recent metaheuristics also warrants investigation, as these advanced algorithms may narrow the performance gap with QDE for certain problem instances.</w:t>
      </w:r>
    </w:p>
    <w:p>
      <w:pPr>
        <w:pStyle w:val="Heading1"/>
      </w:pPr>
      <w:r>
        <w:t>9. Conclusion</w:t>
      </w:r>
    </w:p>
    <w:p>
      <w:pPr>
        <w:ind w:firstLine="567"/>
      </w:pPr>
      <w:r>
        <w:rPr>
          <w:rFonts w:ascii="Times New Roman" w:hAnsi="Times New Roman"/>
          <w:b w:val="0"/>
          <w:i w:val="0"/>
          <w:sz w:val="24"/>
        </w:rPr>
        <w:t>A quantum-inspired differential evolution (QDE) algorithm has been proposed in this paper for multi-stage capacitor bank planning and expansion in the IEEE 118-bus power system. The approach integrates quantum computing principles—specifically quantum bits and rotation gates—with the classical differential evolution framework to enhance the algorithm's search capabilities for the complex combinatorial problem of determining optimal capacitor locations, sizes, and installation schedules over a multi-year planning horizon. A comprehensive multi-objective optimization formulation has been developed that simultaneously addresses power loss reduction, voltage profile improvement, and investment cost minimization while satisfying operational constraints across three planning stages spanning a 10-year period.</w:t>
      </w:r>
    </w:p>
    <w:p>
      <w:pPr>
        <w:ind w:firstLine="567"/>
      </w:pPr>
      <w:r>
        <w:rPr>
          <w:rFonts w:ascii="Times New Roman" w:hAnsi="Times New Roman"/>
          <w:b w:val="0"/>
          <w:i w:val="0"/>
          <w:sz w:val="24"/>
        </w:rPr>
        <w:t>The main findings of this research are as follows. First, the proposed QDE algorithm outperforms conventional optimization methods (DE and PSO) in terms of solution quality, convergence speed, and solution consistency for the multi-stage capacitor planning problem. QDE achieves the best objective function value of $1,576,450 with a standard deviation of only 5,438 over 30 independent runs, compared to $1,545,380 (σ = 9,876) for DE and $1,528,420 (σ = 12,345) for PSO. Second, the multi-stage planning approach enables utilities to develop optimal investment strategies that account for future load growth while maximizing economic benefits, with the stage-wise investment strategy distributing capital expenditure across the planning horizon in proportion to system needs. Third, the case study on the IEEE 118-bus system demonstrates significant improvements in system performance, including a 12.67% reduction in active power losses (from 132.45 MW to 115.67 MW), a 5.16% improvement in minimum voltage (from 0.892 p.u. to 0.938 p.u.), and a 42.96% reduction in voltage deviation index. Fourth, the economic analysis confirms the financial viability of the proposed capacitor placement strategy, with a net present value of $1,576,450, a payback period of 3.2 years, and a benefit-to-cost ratio of 2.79.</w:t>
      </w:r>
    </w:p>
    <w:p>
      <w:pPr>
        <w:ind w:firstLine="567"/>
      </w:pPr>
      <w:r>
        <w:rPr>
          <w:rFonts w:ascii="Times New Roman" w:hAnsi="Times New Roman"/>
          <w:b w:val="0"/>
          <w:i w:val="0"/>
          <w:sz w:val="24"/>
        </w:rPr>
        <w:t>Future research directions include the integration of additional system components such as distributed generation and energy storage in the planning framework, consideration of reliability constraints and contingency scenarios, incorporation of uncertainty in load growth through robust or stochastic programming approaches, validation on larger-scale test systems and real-world utility networks, and exploration of other quantum-inspired optimization techniques including quantum annealing-inspired algorithms and variational quantum eigensolver-based approaches for power system applications. The development of adaptive rotation angle strategies and hybrid quantum-classical approaches that dynamically balance exploration and exploitation also merits further investigation.</w:t>
      </w:r>
    </w:p>
    <w:p>
      <w:pPr>
        <w:pStyle w:val="Heading1"/>
      </w:pPr>
      <w:r>
        <w:t>References</w:t>
      </w:r>
    </w:p>
    <w:p>
      <w:pPr>
        <w:spacing w:after="40" w:line="276" w:lineRule="auto"/>
      </w:pPr>
      <w:r>
        <w:rPr>
          <w:rFonts w:ascii="Times New Roman" w:hAnsi="Times New Roman"/>
          <w:sz w:val="20"/>
        </w:rPr>
        <w:t>[1] R. A. Gallego, A. J. Monticelli, and R. Romero, "Optimal capacitor placement in radial distribution networks," IEEE Trans. Power Syst., vol. 16, no. 4, pp. 630–637, Nov. 2001.</w:t>
      </w:r>
    </w:p>
    <w:p>
      <w:pPr>
        <w:spacing w:after="40" w:line="276" w:lineRule="auto"/>
      </w:pPr>
      <w:r>
        <w:rPr>
          <w:rFonts w:ascii="Times New Roman" w:hAnsi="Times New Roman"/>
          <w:sz w:val="20"/>
        </w:rPr>
        <w:t>[2] M. M. Eusuff and K. E. Lansey, "Optimization of water distribution network design using the shuffled frog leaping algorithm," J. Water Resour. Plan. Manag., vol. 129, no. 3, pp. 210–225, May 2003.</w:t>
      </w:r>
    </w:p>
    <w:p>
      <w:pPr>
        <w:spacing w:after="40" w:line="276" w:lineRule="auto"/>
      </w:pPr>
      <w:r>
        <w:rPr>
          <w:rFonts w:ascii="Times New Roman" w:hAnsi="Times New Roman"/>
          <w:sz w:val="20"/>
        </w:rPr>
        <w:t>[3] R. Srinivasa Rao and S. V. L. Narasimham, "Optimal capacitor placement in a radial distribution system using plant growth simulation algorithm," Int. J. Electr. Power Energy Syst., vol. 33, no. 5, pp. 1133–1139, Jun. 2011.</w:t>
      </w:r>
    </w:p>
    <w:p>
      <w:pPr>
        <w:spacing w:after="40" w:line="276" w:lineRule="auto"/>
      </w:pPr>
      <w:r>
        <w:rPr>
          <w:rFonts w:ascii="Times New Roman" w:hAnsi="Times New Roman"/>
          <w:sz w:val="20"/>
        </w:rPr>
        <w:t>[4] A. R. Abul'Wafa, "Optimal capacitor allocation in radial distribution systems for loss reduction: A two stage method," Electr. Power Syst. Res., vol. 95, pp. 168–174, Feb. 2013.</w:t>
      </w:r>
    </w:p>
    <w:p>
      <w:pPr>
        <w:spacing w:after="40" w:line="276" w:lineRule="auto"/>
      </w:pPr>
      <w:r>
        <w:rPr>
          <w:rFonts w:ascii="Times New Roman" w:hAnsi="Times New Roman"/>
          <w:sz w:val="20"/>
        </w:rPr>
        <w:t>[5] A. A. El-Fergany and A. Y. Abdelaziz, "Capacitor allocations in radial distribution networks using cuckoo search algorithm," IET Gener. Transm. Distrib., vol. 8, no. 2, pp. 223–232, Feb. 2014.</w:t>
      </w:r>
    </w:p>
    <w:p>
      <w:pPr>
        <w:spacing w:after="40" w:line="276" w:lineRule="auto"/>
      </w:pPr>
      <w:r>
        <w:rPr>
          <w:rFonts w:ascii="Times New Roman" w:hAnsi="Times New Roman"/>
          <w:sz w:val="20"/>
        </w:rPr>
        <w:t>[6] M. Sedighizadeh, M. Fallahnejad, M. R. Alemi, M. Omidvaran, and D. Arzaghi-haris, "Optimal placement of distributed generation using combination of PSO and clonal algorithm," in Proc. IEEE Int. Conf. Power Energy, Kuala Lumpur, Malaysia, 2010, pp. 1–6.</w:t>
      </w:r>
    </w:p>
    <w:p>
      <w:pPr>
        <w:spacing w:after="40" w:line="276" w:lineRule="auto"/>
      </w:pPr>
      <w:r>
        <w:rPr>
          <w:rFonts w:ascii="Times New Roman" w:hAnsi="Times New Roman"/>
          <w:sz w:val="20"/>
        </w:rPr>
        <w:t>[7] K.-H. Han and J.-H. Kim, "Quantum-inspired evolutionary algorithm for a class of combinatorial optimization," IEEE Trans. Evol. Comput., vol. 6, no. 6, pp. 580–593, Dec. 2002.</w:t>
      </w:r>
    </w:p>
    <w:p>
      <w:pPr>
        <w:spacing w:after="40" w:line="276" w:lineRule="auto"/>
      </w:pPr>
      <w:r>
        <w:rPr>
          <w:rFonts w:ascii="Times New Roman" w:hAnsi="Times New Roman"/>
          <w:sz w:val="20"/>
        </w:rPr>
        <w:t>[8] G. Zhang, "Quantum-inspired evolutionary algorithms: A survey and empirical study," J. Heuristics, vol. 17, no. 3, pp. 303–351, Jun. 2011.</w:t>
      </w:r>
    </w:p>
    <w:p>
      <w:pPr>
        <w:spacing w:after="40" w:line="276" w:lineRule="auto"/>
      </w:pPr>
      <w:r>
        <w:rPr>
          <w:rFonts w:ascii="Times New Roman" w:hAnsi="Times New Roman"/>
          <w:sz w:val="20"/>
        </w:rPr>
        <w:t>[9] R. Storn and K. Price, "Differential evolution – A simple and efficient heuristic for global optimization over continuous spaces," J. Glob. Optim., vol. 11, no. 4, pp. 341–359, Dec. 1997.</w:t>
      </w:r>
    </w:p>
    <w:p>
      <w:pPr>
        <w:spacing w:after="40" w:line="276" w:lineRule="auto"/>
      </w:pPr>
      <w:r>
        <w:rPr>
          <w:rFonts w:ascii="Times New Roman" w:hAnsi="Times New Roman"/>
          <w:sz w:val="20"/>
        </w:rPr>
        <w:t>[10] M. A. S. Masoum, M. Ladjevardi, A. Jafarian, and E. F. Fuchs, "Optimal placement, replacement and sizing of capacitor banks in distorted distribution networks by genetic algorithms," IEEE Trans. Power Del., vol. 19, no. 4, pp. 1794–1801, Oct. 2004.</w:t>
      </w:r>
    </w:p>
    <w:p>
      <w:pPr>
        <w:spacing w:after="40" w:line="276" w:lineRule="auto"/>
      </w:pPr>
      <w:r>
        <w:rPr>
          <w:rFonts w:ascii="Times New Roman" w:hAnsi="Times New Roman"/>
          <w:sz w:val="20"/>
        </w:rPr>
        <w:t>[11] IEEE Standard 519-2014, "IEEE Recommended Practice and Requirements for Harmonic Control in Electric Power Systems," IEEE, 2014.</w:t>
      </w:r>
    </w:p>
    <w:p>
      <w:pPr>
        <w:spacing w:after="40" w:line="276" w:lineRule="auto"/>
      </w:pPr>
      <w:r>
        <w:rPr>
          <w:rFonts w:ascii="Times New Roman" w:hAnsi="Times New Roman"/>
          <w:sz w:val="20"/>
        </w:rPr>
        <w:t>[12] H. Yoshida, K. Kawata, Y. Fukuyama, S. Takayama, and Y. Nakanishi, "A particle swarm optimization for reactive power and voltage control considering voltage security assessment," IEEE Trans. Power Syst., vol. 15, no. 4, pp. 1232–1239, Nov. 2000.</w:t>
      </w:r>
    </w:p>
    <w:p>
      <w:pPr>
        <w:spacing w:after="40" w:line="276" w:lineRule="auto"/>
      </w:pPr>
      <w:r>
        <w:rPr>
          <w:rFonts w:ascii="Times New Roman" w:hAnsi="Times New Roman"/>
          <w:sz w:val="20"/>
        </w:rPr>
        <w:t>[13] S. Sundhararajan and A. Pahwa, "Optimal selection of capacitors for radial distribution systems using a genetic algorithm," IEEE Trans. Power Syst., vol. 9, no. 3, pp. 1499–1507, Aug. 1994.</w:t>
      </w:r>
    </w:p>
    <w:p>
      <w:pPr>
        <w:spacing w:after="40" w:line="276" w:lineRule="auto"/>
      </w:pPr>
      <w:r>
        <w:rPr>
          <w:rFonts w:ascii="Times New Roman" w:hAnsi="Times New Roman"/>
          <w:sz w:val="20"/>
        </w:rPr>
        <w:t>[14] D. Das, "Reactive power compensation for radial distribution networks using genetic algorithm," Int. J. Electr. Power Energy Syst., vol. 24, no. 7, pp. 573–581, Oct. 2002.</w:t>
      </w:r>
    </w:p>
    <w:p>
      <w:pPr>
        <w:spacing w:after="40" w:line="276" w:lineRule="auto"/>
      </w:pPr>
      <w:r>
        <w:rPr>
          <w:rFonts w:ascii="Times New Roman" w:hAnsi="Times New Roman"/>
          <w:sz w:val="20"/>
        </w:rPr>
        <w:t>[15] S. Sirjani, A. Mohamed, and H. Shareef, "Optimal allocation of shunt Var compensators in power systems using a novel global harmony search algorithm," Int. J. Electr. Power Energy Syst., vol. 43, no. 1, pp. 562–572, Dec. 2012.</w:t>
      </w:r>
    </w:p>
    <w:p>
      <w:pPr>
        <w:spacing w:after="40" w:line="276" w:lineRule="auto"/>
      </w:pPr>
      <w:r>
        <w:rPr>
          <w:rFonts w:ascii="Times New Roman" w:hAnsi="Times New Roman"/>
          <w:sz w:val="20"/>
        </w:rPr>
        <w:t>[16] J. Kennedy and R. Eberhart, "Particle swarm optimization," in Proc. IEEE Int. Conf. Neural Networks, Perth, WA, Australia, 1995, vol. 4, pp. 1942–1948.</w:t>
      </w:r>
    </w:p>
    <w:p>
      <w:pPr>
        <w:spacing w:after="40" w:line="276" w:lineRule="auto"/>
      </w:pPr>
      <w:r>
        <w:rPr>
          <w:rFonts w:ascii="Times New Roman" w:hAnsi="Times New Roman"/>
          <w:sz w:val="20"/>
        </w:rPr>
        <w:t>[17] M. Dorigo and T. Stützle, Ant Colony Optimization. Cambridge, MA: MIT Press, 2004.</w:t>
      </w:r>
    </w:p>
    <w:p>
      <w:pPr>
        <w:spacing w:after="40" w:line="276" w:lineRule="auto"/>
      </w:pPr>
      <w:r>
        <w:rPr>
          <w:rFonts w:ascii="Times New Roman" w:hAnsi="Times New Roman"/>
          <w:sz w:val="20"/>
        </w:rPr>
        <w:t>[18] X.-S. Yang, Nature-Inspired Metaheuristic Algorithms, 2nd ed. Frome, U.K.: Luniver Press, 2010.</w:t>
      </w:r>
    </w:p>
    <w:p>
      <w:pPr>
        <w:spacing w:after="40" w:line="276" w:lineRule="auto"/>
      </w:pPr>
      <w:r>
        <w:rPr>
          <w:rFonts w:ascii="Times New Roman" w:hAnsi="Times New Roman"/>
          <w:sz w:val="20"/>
        </w:rPr>
        <w:t>[19] S. Das and P. N. Suganthan, "Differential evolution: A survey of the state-of-the-art," IEEE Trans. Evol. Comput., vol. 15, no. 1, pp. 4–31, Feb. 2011.</w:t>
      </w:r>
    </w:p>
    <w:p>
      <w:pPr>
        <w:spacing w:after="40" w:line="276" w:lineRule="auto"/>
      </w:pPr>
      <w:r>
        <w:rPr>
          <w:rFonts w:ascii="Times New Roman" w:hAnsi="Times New Roman"/>
          <w:sz w:val="20"/>
        </w:rPr>
        <w:t>[20] S. Das, S. S. Mullick, and P. N. Suganthan, "Recent advances in differential evolution – An updated survey," Swarm Evol. Comput., vol. 27, pp. 1–30, Apr. 2016.</w:t>
      </w:r>
    </w:p>
    <w:p>
      <w:pPr>
        <w:spacing w:after="40" w:line="276" w:lineRule="auto"/>
      </w:pPr>
      <w:r>
        <w:rPr>
          <w:rFonts w:ascii="Times New Roman" w:hAnsi="Times New Roman"/>
          <w:sz w:val="20"/>
        </w:rPr>
        <w:t>[21] J. Zhang and A. C. Sanderson, "JADE: Adaptive differential evolution with optional external archive," IEEE Trans. Evol. Comput., vol. 13, no. 5, pp. 945–958, Oct. 2009.</w:t>
      </w:r>
    </w:p>
    <w:p>
      <w:pPr>
        <w:spacing w:after="40" w:line="276" w:lineRule="auto"/>
      </w:pPr>
      <w:r>
        <w:rPr>
          <w:rFonts w:ascii="Times New Roman" w:hAnsi="Times New Roman"/>
          <w:sz w:val="20"/>
        </w:rPr>
        <w:t>[22] R. Tanabe and A. S. Fukunaga, "Improving the search performance of SHADE using linear population size reduction," in Proc. IEEE Congr. Evol. Comput. (CEC), Beijing, China, 2014, pp. 1658–1665.</w:t>
      </w:r>
    </w:p>
    <w:p>
      <w:pPr>
        <w:spacing w:after="40" w:line="276" w:lineRule="auto"/>
      </w:pPr>
      <w:r>
        <w:rPr>
          <w:rFonts w:ascii="Times New Roman" w:hAnsi="Times New Roman"/>
          <w:sz w:val="20"/>
        </w:rPr>
        <w:t>[23] A. W. Mohamed, A. A. Hadi, and A. K. Mohamed, "Gaining-sharing knowledge based algorithm for solving optimization problems: A novel nature-inspired algorithm," Int. J. Mach. Learn. Cybern., vol. 11, no. 7, pp. 1501–1529, Jul. 2020.</w:t>
      </w:r>
    </w:p>
    <w:p>
      <w:pPr>
        <w:spacing w:after="40" w:line="276" w:lineRule="auto"/>
      </w:pPr>
      <w:r>
        <w:rPr>
          <w:rFonts w:ascii="Times New Roman" w:hAnsi="Times New Roman"/>
          <w:sz w:val="20"/>
        </w:rPr>
        <w:t>[24] M. A. Pai, Energy Function Analysis for Power System Stability. Boston, MA: Kluwer Academic, 1989.</w:t>
      </w:r>
    </w:p>
    <w:p>
      <w:pPr>
        <w:spacing w:after="40" w:line="276" w:lineRule="auto"/>
      </w:pPr>
      <w:r>
        <w:rPr>
          <w:rFonts w:ascii="Times New Roman" w:hAnsi="Times New Roman"/>
          <w:sz w:val="20"/>
        </w:rPr>
        <w:t>[25] A. J. Wood and B. F. Wollenberg, Power Generation, Operation, and Control, 2nd ed. New York: Wiley, 1996.</w:t>
      </w:r>
    </w:p>
    <w:p>
      <w:pPr>
        <w:spacing w:after="40" w:line="276" w:lineRule="auto"/>
      </w:pPr>
      <w:r>
        <w:rPr>
          <w:rFonts w:ascii="Times New Roman" w:hAnsi="Times New Roman"/>
          <w:sz w:val="20"/>
        </w:rPr>
        <w:t>[26] H. Saadat, Power System Analysis, 3rd ed. New York: McGraw-Hill, 2010.</w:t>
      </w:r>
    </w:p>
    <w:p>
      <w:pPr>
        <w:spacing w:after="40" w:line="276" w:lineRule="auto"/>
      </w:pPr>
      <w:r>
        <w:rPr>
          <w:rFonts w:ascii="Times New Roman" w:hAnsi="Times New Roman"/>
          <w:sz w:val="20"/>
        </w:rPr>
        <w:t>[27] J. J. Grainger and W. D. Stevenson, Power System Analysis. New York: McGraw-Hill, 1994.</w:t>
      </w:r>
    </w:p>
    <w:p>
      <w:pPr>
        <w:spacing w:after="40" w:line="276" w:lineRule="auto"/>
      </w:pPr>
      <w:r>
        <w:rPr>
          <w:rFonts w:ascii="Times New Roman" w:hAnsi="Times New Roman"/>
          <w:sz w:val="20"/>
        </w:rPr>
        <w:t>[28] M. E. Baran and F. F. Wu, "Optimal capacitor placement on radial distribution systems," IEEE Trans. Power Del., vol. 4, no. 1, pp. 725–734, Jan. 1989.</w:t>
      </w:r>
    </w:p>
    <w:p>
      <w:pPr>
        <w:spacing w:after="40" w:line="276" w:lineRule="auto"/>
      </w:pPr>
      <w:r>
        <w:rPr>
          <w:rFonts w:ascii="Times New Roman" w:hAnsi="Times New Roman"/>
          <w:sz w:val="20"/>
        </w:rPr>
        <w:t>[29] M. E. Baran and F. F. Wu, "Optimal sizing of capacitors placed on a radial distribution system," IEEE Trans. Power Del., vol. 4, no. 1, pp. 735–743, Jan. 1989.</w:t>
      </w:r>
    </w:p>
    <w:p>
      <w:pPr>
        <w:spacing w:after="40" w:line="276" w:lineRule="auto"/>
      </w:pPr>
      <w:r>
        <w:rPr>
          <w:rFonts w:ascii="Times New Roman" w:hAnsi="Times New Roman"/>
          <w:sz w:val="20"/>
        </w:rPr>
        <w:t>[30] N. I. Santoso and O. T. Tan, "Neural-net based real-time control of capacitors installed on distribution systems," IEEE Trans. Power Del., vol. 5, no. 1, pp. 266–272, Jan. 1990.</w:t>
      </w:r>
    </w:p>
    <w:p>
      <w:pPr>
        <w:spacing w:after="40" w:line="276" w:lineRule="auto"/>
      </w:pPr>
      <w:r>
        <w:rPr>
          <w:rFonts w:ascii="Times New Roman" w:hAnsi="Times New Roman"/>
          <w:sz w:val="20"/>
        </w:rPr>
        <w:t>[31] Y.-C. Huang, H.-T. Yang, and C.-L. Huang, "Solving the capacitor placement problem in a radial distribution system using Tabu Search approach," IEEE Trans. Power Syst., vol. 11, no. 4, pp. 1868–1873, Nov. 1996.</w:t>
      </w:r>
    </w:p>
    <w:p>
      <w:pPr>
        <w:spacing w:after="40" w:line="276" w:lineRule="auto"/>
      </w:pPr>
      <w:r>
        <w:rPr>
          <w:rFonts w:ascii="Times New Roman" w:hAnsi="Times New Roman"/>
          <w:sz w:val="20"/>
        </w:rPr>
        <w:t>[32] R. A. Jabr, "Optimal placement of capacitors in a radial network using conic and mixed integer linear programming," Electr. Power Syst. Res., vol. 78, no. 6, pp. 941–948, Jun. 2008.</w:t>
      </w:r>
    </w:p>
    <w:p>
      <w:pPr>
        <w:spacing w:after="40" w:line="276" w:lineRule="auto"/>
      </w:pPr>
      <w:r>
        <w:rPr>
          <w:rFonts w:ascii="Times New Roman" w:hAnsi="Times New Roman"/>
          <w:sz w:val="20"/>
        </w:rPr>
        <w:t>[33] S. A. A. Kazmi, M. K. Shahzad, and D. R. Shin, "Multi-objective planning techniques in distribution systems: Recent trends and future expectations," IET Gener. Transm. Distrib., vol. 12, no. 20, pp. 4464–4473, Nov. 2018.</w:t>
      </w:r>
    </w:p>
    <w:p>
      <w:pPr>
        <w:spacing w:after="40" w:line="276" w:lineRule="auto"/>
      </w:pPr>
      <w:r>
        <w:rPr>
          <w:rFonts w:ascii="Times New Roman" w:hAnsi="Times New Roman"/>
          <w:sz w:val="20"/>
        </w:rPr>
        <w:t>[34] A. Kavousi-Fard and T. Niknam, "Optimal distribution capacitor placement considering stochastic loads and wind power using multi-objective stochastic programming," Int. J. Electr. Power Energy Syst., vol. 55, pp. 183–197, Feb. 2014.</w:t>
      </w:r>
    </w:p>
    <w:p>
      <w:pPr>
        <w:spacing w:after="40" w:line="276" w:lineRule="auto"/>
      </w:pPr>
      <w:r>
        <w:rPr>
          <w:rFonts w:ascii="Times New Roman" w:hAnsi="Times New Roman"/>
          <w:sz w:val="20"/>
        </w:rPr>
        <w:t>[35] M. N. Alam, B. Das, and V. Pant, "A comparative study of metaheuristic optimization approaches for directional overcurrent relays coordination," Electr. Power Syst. Res., vol. 128, pp. 39–52, Nov. 2015.</w:t>
      </w:r>
    </w:p>
    <w:p>
      <w:pPr>
        <w:spacing w:after="40" w:line="276" w:lineRule="auto"/>
      </w:pPr>
      <w:r>
        <w:rPr>
          <w:rFonts w:ascii="Times New Roman" w:hAnsi="Times New Roman"/>
          <w:sz w:val="20"/>
        </w:rPr>
        <w:t>[36] K. V. Price, R. M. Storn, and J. A. Lampinen, Differential Evolution: A Practical Approach to Global Optimization. Berlin, Germany: Springer, 2005.</w:t>
      </w:r>
    </w:p>
    <w:p>
      <w:pPr>
        <w:spacing w:after="40" w:line="276" w:lineRule="auto"/>
      </w:pPr>
      <w:r>
        <w:rPr>
          <w:rFonts w:ascii="Times New Roman" w:hAnsi="Times New Roman"/>
          <w:sz w:val="20"/>
        </w:rPr>
        <w:t>[37] A. P. Engelbrecht, Computational Intelligence: An Introduction, 2nd ed. Chichester, U.K.: Wiley, 2007.</w:t>
      </w:r>
    </w:p>
    <w:p>
      <w:pPr>
        <w:spacing w:after="40" w:line="276" w:lineRule="auto"/>
      </w:pPr>
      <w:r>
        <w:rPr>
          <w:rFonts w:ascii="Times New Roman" w:hAnsi="Times New Roman"/>
          <w:sz w:val="20"/>
        </w:rPr>
        <w:t>[38] M. A. Nielsen and I. L. Chuang, Quantum Computation and Quantum Information, 10th Anniversary Ed. Cambridge, U.K.: Cambridge Univ. Press, 2010.</w:t>
      </w:r>
    </w:p>
    <w:p>
      <w:pPr>
        <w:spacing w:after="40" w:line="276" w:lineRule="auto"/>
      </w:pPr>
      <w:r>
        <w:rPr>
          <w:rFonts w:ascii="Times New Roman" w:hAnsi="Times New Roman"/>
          <w:sz w:val="20"/>
        </w:rPr>
        <w:t>[39] University of Washington, Power Systems Test Case Archive, https://labs.ece.uw.edu/pstca/ (accessed Jan. 2025).</w:t>
      </w:r>
    </w:p>
    <w:p>
      <w:pPr>
        <w:spacing w:after="40" w:line="276" w:lineRule="auto"/>
      </w:pPr>
      <w:r>
        <w:rPr>
          <w:rFonts w:ascii="Times New Roman" w:hAnsi="Times New Roman"/>
          <w:sz w:val="20"/>
        </w:rPr>
        <w:t>[40] R. D. Zimmerman, C. E. Murillo-Sánchez, and R. J. Thomas, "MATPOWER: Steady-state operations, planning, and analysis tools for power systems research and education," IEEE Trans. Power Syst., vol. 26, no. 1, pp. 12–19, Feb. 2011.</w:t>
      </w:r>
    </w:p>
    <w:p>
      <w:pPr>
        <w:spacing w:after="40" w:line="276" w:lineRule="auto"/>
      </w:pPr>
      <w:r>
        <w:rPr>
          <w:rFonts w:ascii="Times New Roman" w:hAnsi="Times New Roman"/>
          <w:sz w:val="20"/>
        </w:rPr>
        <w:t>[41] L. Davis, Handbook of Genetic Algorithms. New York: Van Nostrand Reinhold, 1991.</w:t>
      </w:r>
    </w:p>
    <w:p>
      <w:pPr>
        <w:spacing w:after="40" w:line="276" w:lineRule="auto"/>
      </w:pPr>
      <w:r>
        <w:rPr>
          <w:rFonts w:ascii="Times New Roman" w:hAnsi="Times New Roman"/>
          <w:sz w:val="20"/>
        </w:rPr>
        <w:t>[42] D. E. Goldberg, Genetic Algorithms in Search, Optimization, and Machine Learning. Reading, MA: Addison-Wesley, 1989.</w:t>
      </w:r>
    </w:p>
    <w:p>
      <w:pPr>
        <w:spacing w:after="40" w:line="276" w:lineRule="auto"/>
      </w:pPr>
      <w:r>
        <w:rPr>
          <w:rFonts w:ascii="Times New Roman" w:hAnsi="Times New Roman"/>
          <w:sz w:val="20"/>
        </w:rPr>
        <w:t>[43] Z. Michalewicz, Genetic Algorithms + Data Structures = Evolution Programs, 3rd ed. Berlin, Germany: Springer, 1996.</w:t>
      </w:r>
    </w:p>
    <w:p>
      <w:pPr>
        <w:spacing w:after="40" w:line="276" w:lineRule="auto"/>
      </w:pPr>
      <w:r>
        <w:rPr>
          <w:rFonts w:ascii="Times New Roman" w:hAnsi="Times New Roman"/>
          <w:sz w:val="20"/>
        </w:rPr>
        <w:t>[44] M. Dorigo, V. Maniezzo, and A. Colorni, "Ant system: Optimization by a colony of cooperating agents," IEEE Trans. Syst. Man Cybern. B, Cybern., vol. 26, no. 1, pp. 29–41, Feb. 1996.</w:t>
      </w:r>
    </w:p>
    <w:p>
      <w:pPr>
        <w:spacing w:after="40" w:line="276" w:lineRule="auto"/>
      </w:pPr>
      <w:r>
        <w:rPr>
          <w:rFonts w:ascii="Times New Roman" w:hAnsi="Times New Roman"/>
          <w:sz w:val="20"/>
        </w:rPr>
        <w:t>[45] D. Karaboga, "An idea based on honey bee swarm for numerical optimization," Erciyes Univ., Kayseri, Turkey, Tech. Rep. TR06, 2005.</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MERGEFORMAT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Quantum-Inspired Differential Evolution for Multi-Stage Capacitor Bank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