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4B35" w14:textId="46EC3BB6" w:rsidR="00AE5CA6" w:rsidRDefault="0067065D">
      <w:r>
        <w:t>Road to 15:</w:t>
      </w:r>
    </w:p>
    <w:p w14:paraId="0C5C1CAB" w14:textId="77777777" w:rsidR="0067065D" w:rsidRDefault="0067065D"/>
    <w:p w14:paraId="72E3EAAC" w14:textId="77777777" w:rsidR="0067065D" w:rsidRDefault="0067065D" w:rsidP="0067065D">
      <w:r>
        <w:t>Below is a **step-by-step roadmap** for each of the 15 specialized IEEE journal topics, designed to guide you from conceptualization to publication. Each roadmap includes **critical phases**, **technical milestones**, **tools/data**, and **IEEE alignment strategies**. Let’s dive in:</w:t>
      </w:r>
    </w:p>
    <w:p w14:paraId="2CAEC312" w14:textId="77777777" w:rsidR="0067065D" w:rsidRDefault="0067065D" w:rsidP="0067065D"/>
    <w:p w14:paraId="477E434F" w14:textId="77777777" w:rsidR="0067065D" w:rsidRDefault="0067065D" w:rsidP="0067065D">
      <w:r>
        <w:t>---</w:t>
      </w:r>
    </w:p>
    <w:p w14:paraId="51E90943" w14:textId="77777777" w:rsidR="0067065D" w:rsidRDefault="0067065D" w:rsidP="0067065D"/>
    <w:p w14:paraId="741527D4" w14:textId="77777777" w:rsidR="0067065D" w:rsidRDefault="0067065D" w:rsidP="0067065D">
      <w:r>
        <w:t xml:space="preserve">### **1. "Pareto-Optimal FACTS Deployment in Hybrid AC/DC Grids: A Multi-Objective NSGA-III Framework for Transient Stability Margin and Loss Minimization"**  </w:t>
      </w:r>
    </w:p>
    <w:p w14:paraId="6AA5DDB5" w14:textId="77777777" w:rsidR="0067065D" w:rsidRDefault="0067065D" w:rsidP="0067065D">
      <w:r>
        <w:t xml:space="preserve">**Roadmap**:  </w:t>
      </w:r>
    </w:p>
    <w:p w14:paraId="783765F5" w14:textId="77777777" w:rsidR="0067065D" w:rsidRDefault="0067065D" w:rsidP="0067065D">
      <w:r>
        <w:t xml:space="preserve">1. **Literature Review**:  </w:t>
      </w:r>
    </w:p>
    <w:p w14:paraId="004F55DA" w14:textId="77777777" w:rsidR="0067065D" w:rsidRDefault="0067065D" w:rsidP="0067065D">
      <w:r>
        <w:t xml:space="preserve">   - Survey NSGA-II/III applications in FACTS placement and hybrid grid optimization.  </w:t>
      </w:r>
    </w:p>
    <w:p w14:paraId="7E9D4AC2" w14:textId="77777777" w:rsidR="0067065D" w:rsidRDefault="0067065D" w:rsidP="0067065D">
      <w:r>
        <w:t xml:space="preserve">   - Identify gaps in transient stability vs. loss trade-off analysis.  </w:t>
      </w:r>
    </w:p>
    <w:p w14:paraId="7349E804" w14:textId="77777777" w:rsidR="0067065D" w:rsidRDefault="0067065D" w:rsidP="0067065D">
      <w:r>
        <w:t xml:space="preserve">2. **Methodology**:  </w:t>
      </w:r>
    </w:p>
    <w:p w14:paraId="7556CD1F" w14:textId="77777777" w:rsidR="0067065D" w:rsidRDefault="0067065D" w:rsidP="0067065D">
      <w:r>
        <w:t xml:space="preserve">   - Develop a hybrid AC/DC grid model (IEEE 39-bus + HVDC links) in MATLAB/Simulink.  </w:t>
      </w:r>
    </w:p>
    <w:p w14:paraId="1E081F37" w14:textId="77777777" w:rsidR="0067065D" w:rsidRDefault="0067065D" w:rsidP="0067065D">
      <w:r>
        <w:t xml:space="preserve">   - Define objectives: TVSI (Transient Voltage Stability Index), active power loss, and FACTS cost.  </w:t>
      </w:r>
    </w:p>
    <w:p w14:paraId="38A24BAF" w14:textId="77777777" w:rsidR="0067065D" w:rsidRDefault="0067065D" w:rsidP="0067065D">
      <w:r>
        <w:t xml:space="preserve">3. **Simulation**:  </w:t>
      </w:r>
    </w:p>
    <w:p w14:paraId="453E5616" w14:textId="77777777" w:rsidR="0067065D" w:rsidRDefault="0067065D" w:rsidP="0067065D">
      <w:r>
        <w:t xml:space="preserve">   - Run NSGA-III optimization and compare results with NSGA-II and MILP.  </w:t>
      </w:r>
    </w:p>
    <w:p w14:paraId="037957D9" w14:textId="77777777" w:rsidR="0067065D" w:rsidRDefault="0067065D" w:rsidP="0067065D">
      <w:r>
        <w:t xml:space="preserve">   - Validate using EMTDC/PSCAD for transient stability during 3-phase faults.  </w:t>
      </w:r>
    </w:p>
    <w:p w14:paraId="612BC8BE" w14:textId="77777777" w:rsidR="0067065D" w:rsidRDefault="0067065D" w:rsidP="0067065D">
      <w:r>
        <w:t xml:space="preserve">4. **Analysis**:  </w:t>
      </w:r>
    </w:p>
    <w:p w14:paraId="67C1019B" w14:textId="77777777" w:rsidR="0067065D" w:rsidRDefault="0067065D" w:rsidP="0067065D">
      <w:r>
        <w:t xml:space="preserve">   - Generate Pareto fronts and compute hypervolume indicators for solution quality.  </w:t>
      </w:r>
    </w:p>
    <w:p w14:paraId="72677651" w14:textId="77777777" w:rsidR="0067065D" w:rsidRDefault="0067065D" w:rsidP="0067065D">
      <w:r>
        <w:t xml:space="preserve">   - Perform sensitivity analysis on HVDC link ratings.  </w:t>
      </w:r>
    </w:p>
    <w:p w14:paraId="0632E78F" w14:textId="77777777" w:rsidR="0067065D" w:rsidRDefault="0067065D" w:rsidP="0067065D">
      <w:r>
        <w:t xml:space="preserve">5. **Write-Up**:  </w:t>
      </w:r>
    </w:p>
    <w:p w14:paraId="69E9FC3D" w14:textId="77777777" w:rsidR="0067065D" w:rsidRDefault="0067065D" w:rsidP="0067065D">
      <w:r>
        <w:t xml:space="preserve">   - Emphasize novelty in NSGA-III’s handling of &gt;3 objectives.  </w:t>
      </w:r>
    </w:p>
    <w:p w14:paraId="507E9F34" w14:textId="77777777" w:rsidR="0067065D" w:rsidRDefault="0067065D" w:rsidP="0067065D">
      <w:r>
        <w:t xml:space="preserve">   - Target journal: *IEEE Transactions on Power Systems*.  </w:t>
      </w:r>
    </w:p>
    <w:p w14:paraId="24AE6F13" w14:textId="77777777" w:rsidR="0067065D" w:rsidRDefault="0067065D" w:rsidP="0067065D"/>
    <w:p w14:paraId="52E7F5EE" w14:textId="77777777" w:rsidR="0067065D" w:rsidRDefault="0067065D" w:rsidP="0067065D">
      <w:r>
        <w:t>---</w:t>
      </w:r>
    </w:p>
    <w:p w14:paraId="27D296FC" w14:textId="77777777" w:rsidR="0067065D" w:rsidRDefault="0067065D" w:rsidP="0067065D"/>
    <w:p w14:paraId="54F70E1F" w14:textId="77777777" w:rsidR="0067065D" w:rsidRDefault="0067065D" w:rsidP="0067065D">
      <w:r>
        <w:t xml:space="preserve">### **2. "Stochastic MPC for STATCOM in Renewable-Penetrated Grids: Robustness Against Asymmetrical Faults and Solar Ramp Events"**  </w:t>
      </w:r>
    </w:p>
    <w:p w14:paraId="24E5AD88" w14:textId="77777777" w:rsidR="0067065D" w:rsidRDefault="0067065D" w:rsidP="0067065D">
      <w:r>
        <w:t xml:space="preserve">**Roadmap**:  </w:t>
      </w:r>
    </w:p>
    <w:p w14:paraId="1A3EEDF6" w14:textId="77777777" w:rsidR="0067065D" w:rsidRDefault="0067065D" w:rsidP="0067065D">
      <w:r>
        <w:t xml:space="preserve">1. **Literature Review**:  </w:t>
      </w:r>
    </w:p>
    <w:p w14:paraId="7B3BA8A4" w14:textId="77777777" w:rsidR="0067065D" w:rsidRDefault="0067065D" w:rsidP="0067065D">
      <w:r>
        <w:t xml:space="preserve">   - Analyze existing SMPC frameworks for STATCOM in unbalanced grids.  </w:t>
      </w:r>
    </w:p>
    <w:p w14:paraId="3AC19736" w14:textId="77777777" w:rsidR="0067065D" w:rsidRDefault="0067065D" w:rsidP="0067065D">
      <w:r>
        <w:t xml:space="preserve">   - Study solar ramp rate datasets (e.g., NREL’s SAM).  </w:t>
      </w:r>
    </w:p>
    <w:p w14:paraId="2FD2C15E" w14:textId="77777777" w:rsidR="0067065D" w:rsidRDefault="0067065D" w:rsidP="0067065D">
      <w:r>
        <w:t xml:space="preserve">2. **Methodology**:  </w:t>
      </w:r>
    </w:p>
    <w:p w14:paraId="43510951" w14:textId="77777777" w:rsidR="0067065D" w:rsidRDefault="0067065D" w:rsidP="0067065D">
      <w:r>
        <w:t xml:space="preserve">   - Design SMPC with chance constraints using MATLAB’s MPC Toolbox.  </w:t>
      </w:r>
    </w:p>
    <w:p w14:paraId="16DF3DEC" w14:textId="77777777" w:rsidR="0067065D" w:rsidRDefault="0067065D" w:rsidP="0067065D">
      <w:r>
        <w:t xml:space="preserve">   - Integrate Unscented Kalman Filter (UKF) for state estimation.  </w:t>
      </w:r>
    </w:p>
    <w:p w14:paraId="0D5743E1" w14:textId="77777777" w:rsidR="0067065D" w:rsidRDefault="0067065D" w:rsidP="0067065D">
      <w:r>
        <w:t xml:space="preserve">3. **Simulation**:  </w:t>
      </w:r>
    </w:p>
    <w:p w14:paraId="67D3CA9B" w14:textId="77777777" w:rsidR="0067065D" w:rsidRDefault="0067065D" w:rsidP="0067065D">
      <w:r>
        <w:t xml:space="preserve">   - Test under IEEE 13-bus feeder with 40% solar PV and asymmetrical faults.  </w:t>
      </w:r>
    </w:p>
    <w:p w14:paraId="43107B2B" w14:textId="77777777" w:rsidR="0067065D" w:rsidRDefault="0067065D" w:rsidP="0067065D">
      <w:r>
        <w:t xml:space="preserve">   - Benchmark against deterministic MPC and droop control.  </w:t>
      </w:r>
    </w:p>
    <w:p w14:paraId="6A51F8CF" w14:textId="77777777" w:rsidR="0067065D" w:rsidRDefault="0067065D" w:rsidP="0067065D">
      <w:r>
        <w:t xml:space="preserve">4. **Analysis**:  </w:t>
      </w:r>
    </w:p>
    <w:p w14:paraId="65C31562" w14:textId="77777777" w:rsidR="0067065D" w:rsidRDefault="0067065D" w:rsidP="0067065D">
      <w:r>
        <w:t xml:space="preserve">   - Quantify robustness via probability of constraint violation (α-risk).  </w:t>
      </w:r>
    </w:p>
    <w:p w14:paraId="081837EE" w14:textId="77777777" w:rsidR="0067065D" w:rsidRDefault="0067065D" w:rsidP="0067065D">
      <w:r>
        <w:t xml:space="preserve">   - Validate compliance with IEEE 1547-2018 for grid interconnection.  </w:t>
      </w:r>
    </w:p>
    <w:p w14:paraId="24266B72" w14:textId="77777777" w:rsidR="0067065D" w:rsidRDefault="0067065D" w:rsidP="0067065D">
      <w:r>
        <w:t xml:space="preserve">5. **Write-Up**:  </w:t>
      </w:r>
    </w:p>
    <w:p w14:paraId="70F4C0EA" w14:textId="77777777" w:rsidR="0067065D" w:rsidRDefault="0067065D" w:rsidP="0067065D">
      <w:r>
        <w:t xml:space="preserve">   - Highlight UKF’s role in reducing estimation error during ramps.  </w:t>
      </w:r>
    </w:p>
    <w:p w14:paraId="7899BC4D" w14:textId="77777777" w:rsidR="0067065D" w:rsidRDefault="0067065D" w:rsidP="0067065D">
      <w:r>
        <w:t xml:space="preserve">   - Target journal: *IEEE Transactions on Smart Grid*.  </w:t>
      </w:r>
    </w:p>
    <w:p w14:paraId="3CD9DA5F" w14:textId="77777777" w:rsidR="0067065D" w:rsidRDefault="0067065D" w:rsidP="0067065D"/>
    <w:p w14:paraId="0C9B46DB" w14:textId="77777777" w:rsidR="0067065D" w:rsidRDefault="0067065D" w:rsidP="0067065D">
      <w:r>
        <w:t>---</w:t>
      </w:r>
    </w:p>
    <w:p w14:paraId="3BF9F8F4" w14:textId="77777777" w:rsidR="0067065D" w:rsidRDefault="0067065D" w:rsidP="0067065D"/>
    <w:p w14:paraId="7FD087B9" w14:textId="77777777" w:rsidR="0067065D" w:rsidRDefault="0067065D" w:rsidP="0067065D">
      <w:r>
        <w:t xml:space="preserve">### **3. "Dynamic Var Reserve Allocation via UPFC: A Lyapunov-Based Adaptive Control for N-1 Contingency Compliance"**  </w:t>
      </w:r>
    </w:p>
    <w:p w14:paraId="7DF3B14D" w14:textId="77777777" w:rsidR="0067065D" w:rsidRDefault="0067065D" w:rsidP="0067065D">
      <w:r>
        <w:t xml:space="preserve">**Roadmap**:  </w:t>
      </w:r>
    </w:p>
    <w:p w14:paraId="08E5C2CC" w14:textId="77777777" w:rsidR="0067065D" w:rsidRDefault="0067065D" w:rsidP="0067065D">
      <w:r>
        <w:t xml:space="preserve">1. **Literature Review**:  </w:t>
      </w:r>
    </w:p>
    <w:p w14:paraId="716ECE45" w14:textId="77777777" w:rsidR="0067065D" w:rsidRDefault="0067065D" w:rsidP="0067065D">
      <w:r>
        <w:t xml:space="preserve">   - Study Lyapunov-based control in FACTS literature and N-1 standards (e.g., NERC).  </w:t>
      </w:r>
    </w:p>
    <w:p w14:paraId="42EC15D1" w14:textId="77777777" w:rsidR="0067065D" w:rsidRDefault="0067065D" w:rsidP="0067065D">
      <w:r>
        <w:t xml:space="preserve">2. **Methodology**:  </w:t>
      </w:r>
    </w:p>
    <w:p w14:paraId="760DCA5D" w14:textId="77777777" w:rsidR="0067065D" w:rsidRDefault="0067065D" w:rsidP="0067065D">
      <w:r>
        <w:t xml:space="preserve">   - Derive Lyapunov function for UPFC dynamics in dq0 frame.  </w:t>
      </w:r>
    </w:p>
    <w:p w14:paraId="0A195104" w14:textId="77777777" w:rsidR="0067065D" w:rsidRDefault="0067065D" w:rsidP="0067065D">
      <w:r>
        <w:t xml:space="preserve">   - Formulate adaptive control law to maintain Var reserves during HVDC outages.  </w:t>
      </w:r>
    </w:p>
    <w:p w14:paraId="0845CA6B" w14:textId="77777777" w:rsidR="0067065D" w:rsidRDefault="0067065D" w:rsidP="0067065D">
      <w:r>
        <w:t xml:space="preserve">3. **Simulation**:  </w:t>
      </w:r>
    </w:p>
    <w:p w14:paraId="787314AE" w14:textId="77777777" w:rsidR="0067065D" w:rsidRDefault="0067065D" w:rsidP="0067065D">
      <w:r>
        <w:t xml:space="preserve">   - Implement in PSCAD/EMTDC with IEEE 118-bus + multi-terminal HVDC.  </w:t>
      </w:r>
    </w:p>
    <w:p w14:paraId="71ED3EAF" w14:textId="77777777" w:rsidR="0067065D" w:rsidRDefault="0067065D" w:rsidP="0067065D">
      <w:r>
        <w:t xml:space="preserve">   - Simulate N-1 contingencies (e.g., HVDC pole tripping).  </w:t>
      </w:r>
    </w:p>
    <w:p w14:paraId="358AB9EF" w14:textId="77777777" w:rsidR="0067065D" w:rsidRDefault="0067065D" w:rsidP="0067065D">
      <w:r>
        <w:t xml:space="preserve">4. **Analysis**:  </w:t>
      </w:r>
    </w:p>
    <w:p w14:paraId="260BD121" w14:textId="77777777" w:rsidR="0067065D" w:rsidRDefault="0067065D" w:rsidP="0067065D">
      <w:r>
        <w:t xml:space="preserve">   - Measure reserve margins and Jacobian eigenvalue shifts post-contingency.  </w:t>
      </w:r>
    </w:p>
    <w:p w14:paraId="2E62A785" w14:textId="77777777" w:rsidR="0067065D" w:rsidRDefault="0067065D" w:rsidP="0067065D">
      <w:r>
        <w:t xml:space="preserve">5. **Write-Up**:  </w:t>
      </w:r>
    </w:p>
    <w:p w14:paraId="19C16C90" w14:textId="77777777" w:rsidR="0067065D" w:rsidRDefault="0067065D" w:rsidP="0067065D">
      <w:r>
        <w:t xml:space="preserve">   - Frame contributions around NERC compliance and Lyapunov stability proofs.  </w:t>
      </w:r>
    </w:p>
    <w:p w14:paraId="2C6EA296" w14:textId="77777777" w:rsidR="0067065D" w:rsidRDefault="0067065D" w:rsidP="0067065D">
      <w:r>
        <w:t xml:space="preserve">   - Target journal: *IEEE Transactions on Power Delivery*.  </w:t>
      </w:r>
    </w:p>
    <w:p w14:paraId="2B6018E7" w14:textId="77777777" w:rsidR="0067065D" w:rsidRDefault="0067065D" w:rsidP="0067065D"/>
    <w:p w14:paraId="20A8298A" w14:textId="77777777" w:rsidR="0067065D" w:rsidRDefault="0067065D" w:rsidP="0067065D">
      <w:r>
        <w:t>---</w:t>
      </w:r>
    </w:p>
    <w:p w14:paraId="6E4E61E1" w14:textId="77777777" w:rsidR="0067065D" w:rsidRDefault="0067065D" w:rsidP="0067065D"/>
    <w:p w14:paraId="500DF145" w14:textId="77777777" w:rsidR="0067065D" w:rsidRDefault="0067065D" w:rsidP="0067065D">
      <w:r>
        <w:t xml:space="preserve">### **4. "Impedance Reshaping in TCSC-Compensated Hybrid Grids: A Passivity-Based Control Approach for Sub-Synchronous Resonance (SSR) Mitigation"**  </w:t>
      </w:r>
    </w:p>
    <w:p w14:paraId="41EDB9B6" w14:textId="77777777" w:rsidR="0067065D" w:rsidRDefault="0067065D" w:rsidP="0067065D">
      <w:r>
        <w:t xml:space="preserve">**Roadmap**:  </w:t>
      </w:r>
    </w:p>
    <w:p w14:paraId="57FA4632" w14:textId="77777777" w:rsidR="0067065D" w:rsidRDefault="0067065D" w:rsidP="0067065D">
      <w:r>
        <w:t xml:space="preserve">1. **Literature Review**:  </w:t>
      </w:r>
    </w:p>
    <w:p w14:paraId="3763C627" w14:textId="77777777" w:rsidR="0067065D" w:rsidRDefault="0067065D" w:rsidP="0067065D">
      <w:r>
        <w:t xml:space="preserve">   - Review SSR incidents (e.g., Texas 2009) and TCSC damping strategies.  </w:t>
      </w:r>
    </w:p>
    <w:p w14:paraId="09B5A5C8" w14:textId="77777777" w:rsidR="0067065D" w:rsidRDefault="0067065D" w:rsidP="0067065D">
      <w:r>
        <w:t xml:space="preserve">2. **Methodology**:  </w:t>
      </w:r>
    </w:p>
    <w:p w14:paraId="18A59471" w14:textId="77777777" w:rsidR="0067065D" w:rsidRDefault="0067065D" w:rsidP="0067065D">
      <w:r>
        <w:t xml:space="preserve">   - Develop passivity-based TCSC control using Routh-Hurwitz criteria.  </w:t>
      </w:r>
    </w:p>
    <w:p w14:paraId="233C8207" w14:textId="77777777" w:rsidR="0067065D" w:rsidRDefault="0067065D" w:rsidP="0067065D">
      <w:r>
        <w:t xml:space="preserve">   - Model wind farm VSC-HVDC interactions in PSCAD.  </w:t>
      </w:r>
    </w:p>
    <w:p w14:paraId="63550B40" w14:textId="77777777" w:rsidR="0067065D" w:rsidRDefault="0067065D" w:rsidP="0067065D">
      <w:r>
        <w:t xml:space="preserve">3. **Simulation**:  </w:t>
      </w:r>
    </w:p>
    <w:p w14:paraId="509D85BE" w14:textId="77777777" w:rsidR="0067065D" w:rsidRDefault="0067065D" w:rsidP="0067065D">
      <w:r>
        <w:t xml:space="preserve">   - Simulate SSR in IEEE First Benchmark Model (FBM) with TCSC.  </w:t>
      </w:r>
    </w:p>
    <w:p w14:paraId="4620AEA7" w14:textId="77777777" w:rsidR="0067065D" w:rsidRDefault="0067065D" w:rsidP="0067065D">
      <w:r>
        <w:t xml:space="preserve">   - Compare damping ratios with/without passivity-based control.  </w:t>
      </w:r>
    </w:p>
    <w:p w14:paraId="6ED91455" w14:textId="77777777" w:rsidR="0067065D" w:rsidRDefault="0067065D" w:rsidP="0067065D">
      <w:r>
        <w:t xml:space="preserve">4. **Analysis**:  </w:t>
      </w:r>
    </w:p>
    <w:p w14:paraId="18EDEEA7" w14:textId="77777777" w:rsidR="0067065D" w:rsidRDefault="0067065D" w:rsidP="0067065D">
      <w:r>
        <w:t xml:space="preserve">   - Use Nyquist plots and eigenvalue analysis to validate passivity.  </w:t>
      </w:r>
    </w:p>
    <w:p w14:paraId="7AE93430" w14:textId="77777777" w:rsidR="0067065D" w:rsidRDefault="0067065D" w:rsidP="0067065D">
      <w:r>
        <w:t xml:space="preserve">5. **Write-Up**:  </w:t>
      </w:r>
    </w:p>
    <w:p w14:paraId="5F840621" w14:textId="77777777" w:rsidR="0067065D" w:rsidRDefault="0067065D" w:rsidP="0067065D">
      <w:r>
        <w:t xml:space="preserve">   - Focus on TCSC’s role in mitigating VSC-HVDC-induced SSR.  </w:t>
      </w:r>
    </w:p>
    <w:p w14:paraId="66EC0105" w14:textId="77777777" w:rsidR="0067065D" w:rsidRDefault="0067065D" w:rsidP="0067065D">
      <w:r>
        <w:t xml:space="preserve">   - Target journal: *IEEE Transactions on Energy Conversion*.  </w:t>
      </w:r>
    </w:p>
    <w:p w14:paraId="06EFFF47" w14:textId="77777777" w:rsidR="0067065D" w:rsidRDefault="0067065D" w:rsidP="0067065D"/>
    <w:p w14:paraId="4020EDD5" w14:textId="77777777" w:rsidR="0067065D" w:rsidRDefault="0067065D" w:rsidP="0067065D">
      <w:r>
        <w:t>---</w:t>
      </w:r>
    </w:p>
    <w:p w14:paraId="4A50D035" w14:textId="77777777" w:rsidR="0067065D" w:rsidRDefault="0067065D" w:rsidP="0067065D"/>
    <w:p w14:paraId="19505434" w14:textId="77777777" w:rsidR="0067065D" w:rsidRDefault="0067065D" w:rsidP="0067065D">
      <w:r>
        <w:t xml:space="preserve">### **5. "Data-Driven Hierarchical Reinforcement Learning for FACTS Coordination: A Cyber-Physical Testbed Using OPAL-RT and IEEE 39-Bus"**  </w:t>
      </w:r>
    </w:p>
    <w:p w14:paraId="39BB054A" w14:textId="77777777" w:rsidR="0067065D" w:rsidRDefault="0067065D" w:rsidP="0067065D">
      <w:r>
        <w:t xml:space="preserve">**Roadmap**:  </w:t>
      </w:r>
    </w:p>
    <w:p w14:paraId="56C6BCC7" w14:textId="77777777" w:rsidR="0067065D" w:rsidRDefault="0067065D" w:rsidP="0067065D">
      <w:r>
        <w:t xml:space="preserve">1. **Literature Review**:  </w:t>
      </w:r>
    </w:p>
    <w:p w14:paraId="2144F06B" w14:textId="77777777" w:rsidR="0067065D" w:rsidRDefault="0067065D" w:rsidP="0067065D">
      <w:r>
        <w:t xml:space="preserve">   - Survey HRL applications in multi-agent power systems.  </w:t>
      </w:r>
    </w:p>
    <w:p w14:paraId="6CC7EF57" w14:textId="77777777" w:rsidR="0067065D" w:rsidRDefault="0067065D" w:rsidP="0067065D">
      <w:r>
        <w:t xml:space="preserve">2. **Methodology**:  </w:t>
      </w:r>
    </w:p>
    <w:p w14:paraId="4D35DED5" w14:textId="77777777" w:rsidR="0067065D" w:rsidRDefault="0067065D" w:rsidP="0067065D">
      <w:r>
        <w:t xml:space="preserve">   - Design HRL framework with meta-controller (task decomposition) and sub-agents (FACTS control).  </w:t>
      </w:r>
    </w:p>
    <w:p w14:paraId="26B25F88" w14:textId="77777777" w:rsidR="0067065D" w:rsidRDefault="0067065D" w:rsidP="0067065D">
      <w:r>
        <w:t xml:space="preserve">   - Model communication latency via OMNeT++/OPNET.  </w:t>
      </w:r>
    </w:p>
    <w:p w14:paraId="2407A931" w14:textId="77777777" w:rsidR="0067065D" w:rsidRDefault="0067065D" w:rsidP="0067065D">
      <w:r>
        <w:t xml:space="preserve">3. **Simulation**:  </w:t>
      </w:r>
    </w:p>
    <w:p w14:paraId="54F28CE6" w14:textId="77777777" w:rsidR="0067065D" w:rsidRDefault="0067065D" w:rsidP="0067065D">
      <w:r>
        <w:t xml:space="preserve">   - Implement in OPAL-RT HIL with IEEE 39-bus and PMU data streams.  </w:t>
      </w:r>
    </w:p>
    <w:p w14:paraId="7814340F" w14:textId="77777777" w:rsidR="0067065D" w:rsidRDefault="0067065D" w:rsidP="0067065D">
      <w:r>
        <w:t xml:space="preserve">   - Test under packet loss (10–20%) and adversarial delays.  </w:t>
      </w:r>
    </w:p>
    <w:p w14:paraId="3A1E21DB" w14:textId="77777777" w:rsidR="0067065D" w:rsidRDefault="0067065D" w:rsidP="0067065D">
      <w:r>
        <w:t xml:space="preserve">4. **Analysis**:  </w:t>
      </w:r>
    </w:p>
    <w:p w14:paraId="31059285" w14:textId="77777777" w:rsidR="0067065D" w:rsidRDefault="0067065D" w:rsidP="0067065D">
      <w:r>
        <w:t xml:space="preserve">   - Measure reward convergence and FACTS response times.  </w:t>
      </w:r>
    </w:p>
    <w:p w14:paraId="3DD2C87D" w14:textId="77777777" w:rsidR="0067065D" w:rsidRDefault="0067065D" w:rsidP="0067065D">
      <w:r>
        <w:t xml:space="preserve">5. **Write-Up**:  </w:t>
      </w:r>
    </w:p>
    <w:p w14:paraId="5A624AE3" w14:textId="77777777" w:rsidR="0067065D" w:rsidRDefault="0067065D" w:rsidP="0067065D">
      <w:r>
        <w:t xml:space="preserve">   - Emphasize cyber-physical co-simulation novelty.  </w:t>
      </w:r>
    </w:p>
    <w:p w14:paraId="07DFBA63" w14:textId="77777777" w:rsidR="0067065D" w:rsidRDefault="0067065D" w:rsidP="0067065D">
      <w:r>
        <w:t xml:space="preserve">   - Target journal: *IEEE Transactions on Industrial Informatics*.  </w:t>
      </w:r>
    </w:p>
    <w:p w14:paraId="2CFE2C3A" w14:textId="77777777" w:rsidR="0067065D" w:rsidRDefault="0067065D" w:rsidP="0067065D"/>
    <w:p w14:paraId="2DF372C1" w14:textId="77777777" w:rsidR="0067065D" w:rsidRDefault="0067065D" w:rsidP="0067065D">
      <w:r>
        <w:t>---</w:t>
      </w:r>
    </w:p>
    <w:p w14:paraId="6F862D1A" w14:textId="77777777" w:rsidR="0067065D" w:rsidRDefault="0067065D" w:rsidP="0067065D"/>
    <w:p w14:paraId="097D3A3B" w14:textId="77777777" w:rsidR="0067065D" w:rsidRDefault="0067065D" w:rsidP="0067065D">
      <w:r>
        <w:t xml:space="preserve">### **6. "Distributed Optimization of FACTS Placement via ADMM: A Consensus Protocol for Multi-Area Hybrid Grids"**  </w:t>
      </w:r>
    </w:p>
    <w:p w14:paraId="242F9F9C" w14:textId="77777777" w:rsidR="0067065D" w:rsidRDefault="0067065D" w:rsidP="0067065D">
      <w:r>
        <w:t xml:space="preserve">**Roadmap**:  </w:t>
      </w:r>
    </w:p>
    <w:p w14:paraId="520AE3A9" w14:textId="77777777" w:rsidR="0067065D" w:rsidRDefault="0067065D" w:rsidP="0067065D">
      <w:r>
        <w:t xml:space="preserve">1. **Literature Review**:  </w:t>
      </w:r>
    </w:p>
    <w:p w14:paraId="06CCA8E2" w14:textId="77777777" w:rsidR="0067065D" w:rsidRDefault="0067065D" w:rsidP="0067065D">
      <w:r>
        <w:t xml:space="preserve">   - Study ADMM in distributed power system optimization (e.g., tie-line scheduling).  </w:t>
      </w:r>
    </w:p>
    <w:p w14:paraId="74779B73" w14:textId="77777777" w:rsidR="0067065D" w:rsidRDefault="0067065D" w:rsidP="0067065D">
      <w:r>
        <w:t xml:space="preserve">2. **Methodology**:  </w:t>
      </w:r>
    </w:p>
    <w:p w14:paraId="2B937135" w14:textId="77777777" w:rsidR="0067065D" w:rsidRDefault="0067065D" w:rsidP="0067065D">
      <w:r>
        <w:t xml:space="preserve">   - Partition IEEE 118-bus into 3 regions with HVDC interconnectors.  </w:t>
      </w:r>
    </w:p>
    <w:p w14:paraId="526ABD6B" w14:textId="77777777" w:rsidR="0067065D" w:rsidRDefault="0067065D" w:rsidP="0067065D">
      <w:r>
        <w:t xml:space="preserve">   - Formulate ADMM consensus problem for FACTS placement.  </w:t>
      </w:r>
    </w:p>
    <w:p w14:paraId="63F1906E" w14:textId="77777777" w:rsidR="0067065D" w:rsidRDefault="0067065D" w:rsidP="0067065D">
      <w:r>
        <w:t xml:space="preserve">3. **Simulation**:  </w:t>
      </w:r>
    </w:p>
    <w:p w14:paraId="453EAEA4" w14:textId="77777777" w:rsidR="0067065D" w:rsidRDefault="0067065D" w:rsidP="0067065D">
      <w:r>
        <w:t xml:space="preserve">   - Solve in Julia/JuMP with MPI parallelization.  </w:t>
      </w:r>
    </w:p>
    <w:p w14:paraId="10BEABE3" w14:textId="77777777" w:rsidR="0067065D" w:rsidRDefault="0067065D" w:rsidP="0067065D">
      <w:r>
        <w:t xml:space="preserve">   - Compare convergence speed vs. centralized NSGA-II.  </w:t>
      </w:r>
    </w:p>
    <w:p w14:paraId="7DD4E2ED" w14:textId="77777777" w:rsidR="0067065D" w:rsidRDefault="0067065D" w:rsidP="0067065D">
      <w:r>
        <w:t xml:space="preserve">4. **Analysis**:  </w:t>
      </w:r>
    </w:p>
    <w:p w14:paraId="6B129887" w14:textId="77777777" w:rsidR="0067065D" w:rsidRDefault="0067065D" w:rsidP="0067065D">
      <w:r>
        <w:t xml:space="preserve">   - Evaluate locational marginal price (LMP) impacts post-FACTS deployment.  </w:t>
      </w:r>
    </w:p>
    <w:p w14:paraId="43726BC1" w14:textId="77777777" w:rsidR="0067065D" w:rsidRDefault="0067065D" w:rsidP="0067065D">
      <w:r>
        <w:t xml:space="preserve">5. **Write-Up**:  </w:t>
      </w:r>
    </w:p>
    <w:p w14:paraId="179C9692" w14:textId="77777777" w:rsidR="0067065D" w:rsidRDefault="0067065D" w:rsidP="0067065D">
      <w:r>
        <w:t xml:space="preserve">   - Highlight scalability for multi-TSO (Transmission System Operator) grids.  </w:t>
      </w:r>
    </w:p>
    <w:p w14:paraId="6D490F24" w14:textId="77777777" w:rsidR="0067065D" w:rsidRDefault="0067065D" w:rsidP="0067065D">
      <w:r>
        <w:t xml:space="preserve">   - Target journal: *IEEE Transactions on Sustainable Energy*.  </w:t>
      </w:r>
    </w:p>
    <w:p w14:paraId="26D6C972" w14:textId="77777777" w:rsidR="0067065D" w:rsidRDefault="0067065D" w:rsidP="0067065D"/>
    <w:p w14:paraId="18FAED83" w14:textId="77777777" w:rsidR="0067065D" w:rsidRDefault="0067065D" w:rsidP="0067065D">
      <w:r>
        <w:t>---</w:t>
      </w:r>
    </w:p>
    <w:p w14:paraId="6D767EEC" w14:textId="77777777" w:rsidR="0067065D" w:rsidRDefault="0067065D" w:rsidP="0067065D"/>
    <w:p w14:paraId="75F016BF" w14:textId="77777777" w:rsidR="0067065D" w:rsidRDefault="0067065D" w:rsidP="0067065D">
      <w:r>
        <w:t xml:space="preserve">### **7. "Grid-Forming UPFCs for Inverter-Dominated Microgrids: A Virtual Synchronous Machine (VSM) Approach with Q-V Droop Control"**  </w:t>
      </w:r>
    </w:p>
    <w:p w14:paraId="16A596B3" w14:textId="77777777" w:rsidR="0067065D" w:rsidRDefault="0067065D" w:rsidP="0067065D">
      <w:r>
        <w:t xml:space="preserve">**Roadmap**:  </w:t>
      </w:r>
    </w:p>
    <w:p w14:paraId="6993077F" w14:textId="77777777" w:rsidR="0067065D" w:rsidRDefault="0067065D" w:rsidP="0067065D">
      <w:r>
        <w:t xml:space="preserve">1. **Literature Review**:  </w:t>
      </w:r>
    </w:p>
    <w:p w14:paraId="4893955D" w14:textId="77777777" w:rsidR="0067065D" w:rsidRDefault="0067065D" w:rsidP="0067065D">
      <w:r>
        <w:t xml:space="preserve">   - Review VSM techniques and IEEE 2030.7-2017 for grid-forming inverters.  </w:t>
      </w:r>
    </w:p>
    <w:p w14:paraId="60D5DEC9" w14:textId="77777777" w:rsidR="0067065D" w:rsidRDefault="0067065D" w:rsidP="0067065D">
      <w:r>
        <w:t xml:space="preserve">2. **Methodology**:  </w:t>
      </w:r>
    </w:p>
    <w:p w14:paraId="07D0A23C" w14:textId="77777777" w:rsidR="0067065D" w:rsidRDefault="0067065D" w:rsidP="0067065D">
      <w:r>
        <w:t xml:space="preserve">   - Modify UPFC control loops to emulate swing equations and Q-V droop.  </w:t>
      </w:r>
    </w:p>
    <w:p w14:paraId="69EC89C6" w14:textId="77777777" w:rsidR="0067065D" w:rsidRDefault="0067065D" w:rsidP="0067065D">
      <w:r>
        <w:t xml:space="preserve">   - Integrate with PLL stability criteria.  </w:t>
      </w:r>
    </w:p>
    <w:p w14:paraId="326E50B0" w14:textId="77777777" w:rsidR="0067065D" w:rsidRDefault="0067065D" w:rsidP="0067065D">
      <w:r>
        <w:t xml:space="preserve">3. **Simulation**:  </w:t>
      </w:r>
    </w:p>
    <w:p w14:paraId="4D1A4F05" w14:textId="77777777" w:rsidR="0067065D" w:rsidRDefault="0067065D" w:rsidP="0067065D">
      <w:r>
        <w:t xml:space="preserve">   - Test in RTDS with IEEE 34-bus microgrid (70% solar + storage).  </w:t>
      </w:r>
    </w:p>
    <w:p w14:paraId="05565FEA" w14:textId="77777777" w:rsidR="0067065D" w:rsidRDefault="0067065D" w:rsidP="0067065D">
      <w:r>
        <w:t xml:space="preserve">   - Simulate islanding transitions and load steps.  </w:t>
      </w:r>
    </w:p>
    <w:p w14:paraId="5DAA5977" w14:textId="77777777" w:rsidR="0067065D" w:rsidRDefault="0067065D" w:rsidP="0067065D">
      <w:r>
        <w:t xml:space="preserve">4. **Analysis**:  </w:t>
      </w:r>
    </w:p>
    <w:p w14:paraId="6B3712AE" w14:textId="77777777" w:rsidR="0067065D" w:rsidRDefault="0067065D" w:rsidP="0067065D">
      <w:r>
        <w:t xml:space="preserve">   - Measure frequency nadir and harmonic distortion (THD).  </w:t>
      </w:r>
    </w:p>
    <w:p w14:paraId="3AD47EFE" w14:textId="77777777" w:rsidR="0067065D" w:rsidRDefault="0067065D" w:rsidP="0067065D">
      <w:r>
        <w:t xml:space="preserve">5. **Write-Up**:  </w:t>
      </w:r>
    </w:p>
    <w:p w14:paraId="0518B1C4" w14:textId="77777777" w:rsidR="0067065D" w:rsidRDefault="0067065D" w:rsidP="0067065D">
      <w:r>
        <w:t xml:space="preserve">   - Position UPFC as a hybrid grid-forming/FACTS device.  </w:t>
      </w:r>
    </w:p>
    <w:p w14:paraId="1F68575D" w14:textId="77777777" w:rsidR="0067065D" w:rsidRDefault="0067065D" w:rsidP="0067065D">
      <w:r>
        <w:t xml:space="preserve">   - Target journal: *IEEE Transactions on Power Electronics*.  </w:t>
      </w:r>
    </w:p>
    <w:p w14:paraId="00EC563E" w14:textId="77777777" w:rsidR="0067065D" w:rsidRDefault="0067065D" w:rsidP="0067065D"/>
    <w:p w14:paraId="05B538A2" w14:textId="77777777" w:rsidR="0067065D" w:rsidRDefault="0067065D" w:rsidP="0067065D">
      <w:r>
        <w:t>---</w:t>
      </w:r>
    </w:p>
    <w:p w14:paraId="144A437F" w14:textId="77777777" w:rsidR="0067065D" w:rsidRDefault="0067065D" w:rsidP="0067065D"/>
    <w:p w14:paraId="000C174C" w14:textId="77777777" w:rsidR="0067065D" w:rsidRDefault="0067065D" w:rsidP="0067065D">
      <w:r>
        <w:t xml:space="preserve">### **8. "Co-optimization of FACTS and BESS in Hybrid Grids: A Bilevel Programming Framework for Congestion and Oscillation Damping"**  </w:t>
      </w:r>
    </w:p>
    <w:p w14:paraId="6AE65CA2" w14:textId="77777777" w:rsidR="0067065D" w:rsidRDefault="0067065D" w:rsidP="0067065D">
      <w:r>
        <w:t xml:space="preserve">**Roadmap**:  </w:t>
      </w:r>
    </w:p>
    <w:p w14:paraId="227CB4B0" w14:textId="77777777" w:rsidR="0067065D" w:rsidRDefault="0067065D" w:rsidP="0067065D">
      <w:r>
        <w:t xml:space="preserve">1. **Literature Review**:  </w:t>
      </w:r>
    </w:p>
    <w:p w14:paraId="252C849A" w14:textId="77777777" w:rsidR="0067065D" w:rsidRDefault="0067065D" w:rsidP="0067065D">
      <w:r>
        <w:t xml:space="preserve">   - Analyze bilevel models in FACTS-BESS co-optimization (e.g., ERCOT case studies).  </w:t>
      </w:r>
    </w:p>
    <w:p w14:paraId="37E7D86B" w14:textId="77777777" w:rsidR="0067065D" w:rsidRDefault="0067065D" w:rsidP="0067065D">
      <w:r>
        <w:t xml:space="preserve">2. **Methodology**:  </w:t>
      </w:r>
    </w:p>
    <w:p w14:paraId="54665DDB" w14:textId="77777777" w:rsidR="0067065D" w:rsidRDefault="0067065D" w:rsidP="0067065D">
      <w:r>
        <w:t xml:space="preserve">   - Formulate upper level (FACTS placement) and lower level (BESS dispatch).  </w:t>
      </w:r>
    </w:p>
    <w:p w14:paraId="762B845B" w14:textId="77777777" w:rsidR="0067065D" w:rsidRDefault="0067065D" w:rsidP="0067065D">
      <w:r>
        <w:t xml:space="preserve">   - Use Gurobi/CPLEX for MILP resolution.  </w:t>
      </w:r>
    </w:p>
    <w:p w14:paraId="7E81832D" w14:textId="77777777" w:rsidR="0067065D" w:rsidRDefault="0067065D" w:rsidP="0067065D">
      <w:r>
        <w:t xml:space="preserve">3. **Simulation**:  </w:t>
      </w:r>
    </w:p>
    <w:p w14:paraId="499259BF" w14:textId="77777777" w:rsidR="0067065D" w:rsidRDefault="0067065D" w:rsidP="0067065D">
      <w:r>
        <w:t xml:space="preserve">   - Test on synthetic 200-bus grid with 20% wind penetration.  </w:t>
      </w:r>
    </w:p>
    <w:p w14:paraId="0E89CCBB" w14:textId="77777777" w:rsidR="0067065D" w:rsidRDefault="0067065D" w:rsidP="0067065D">
      <w:r>
        <w:t xml:space="preserve">   - Quantify oscillation damping via Prony analysis.  </w:t>
      </w:r>
    </w:p>
    <w:p w14:paraId="577FDB54" w14:textId="77777777" w:rsidR="0067065D" w:rsidRDefault="0067065D" w:rsidP="0067065D">
      <w:r>
        <w:t xml:space="preserve">4. **Analysis**:  </w:t>
      </w:r>
    </w:p>
    <w:p w14:paraId="5F0E0499" w14:textId="77777777" w:rsidR="0067065D" w:rsidRDefault="0067065D" w:rsidP="0067065D">
      <w:r>
        <w:t xml:space="preserve">   - Compute benefit-cost ratios for FACTS-BESS vs. standalone deployments.  </w:t>
      </w:r>
    </w:p>
    <w:p w14:paraId="37D34EAE" w14:textId="77777777" w:rsidR="0067065D" w:rsidRDefault="0067065D" w:rsidP="0067065D">
      <w:r>
        <w:t xml:space="preserve">5. **Write-Up**:  </w:t>
      </w:r>
    </w:p>
    <w:p w14:paraId="407E2EAB" w14:textId="77777777" w:rsidR="0067065D" w:rsidRDefault="0067065D" w:rsidP="0067065D">
      <w:r>
        <w:t xml:space="preserve">   - Stress multi-timescale coordination (FACTS for fast, BESS for slow dynamics).  </w:t>
      </w:r>
    </w:p>
    <w:p w14:paraId="43D13E92" w14:textId="77777777" w:rsidR="0067065D" w:rsidRDefault="0067065D" w:rsidP="0067065D">
      <w:r>
        <w:t xml:space="preserve">   - Target journal: *IEEE Transactions on Energy Markets and Policy*.  </w:t>
      </w:r>
    </w:p>
    <w:p w14:paraId="4D5A48D2" w14:textId="77777777" w:rsidR="0067065D" w:rsidRDefault="0067065D" w:rsidP="0067065D"/>
    <w:p w14:paraId="1BA87BB4" w14:textId="77777777" w:rsidR="0067065D" w:rsidRDefault="0067065D" w:rsidP="0067065D">
      <w:r>
        <w:t>---</w:t>
      </w:r>
    </w:p>
    <w:p w14:paraId="299E72F2" w14:textId="77777777" w:rsidR="0067065D" w:rsidRDefault="0067065D" w:rsidP="0067065D"/>
    <w:p w14:paraId="3EAC7D7D" w14:textId="77777777" w:rsidR="0067065D" w:rsidRDefault="0067065D" w:rsidP="0067065D">
      <w:r>
        <w:t xml:space="preserve">### **9. "Adversarial Robustness of ML-Driven FACTS Controllers: A Wasserstein GAN-Based Training Framework for Cyber-Physical Threats"**  </w:t>
      </w:r>
    </w:p>
    <w:p w14:paraId="7A56FA80" w14:textId="77777777" w:rsidR="0067065D" w:rsidRDefault="0067065D" w:rsidP="0067065D">
      <w:r>
        <w:t xml:space="preserve">**Roadmap**:  </w:t>
      </w:r>
    </w:p>
    <w:p w14:paraId="75D4F563" w14:textId="77777777" w:rsidR="0067065D" w:rsidRDefault="0067065D" w:rsidP="0067065D">
      <w:r>
        <w:t xml:space="preserve">1. **Literature Review**:  </w:t>
      </w:r>
    </w:p>
    <w:p w14:paraId="05D6BE98" w14:textId="77777777" w:rsidR="0067065D" w:rsidRDefault="0067065D" w:rsidP="0067065D">
      <w:r>
        <w:t xml:space="preserve">   - Study FDI attacks on PMU data and GANs in adversarial training.  </w:t>
      </w:r>
    </w:p>
    <w:p w14:paraId="1A5A88CA" w14:textId="77777777" w:rsidR="0067065D" w:rsidRDefault="0067065D" w:rsidP="0067065D">
      <w:r>
        <w:t xml:space="preserve">2. **Methodology**:  </w:t>
      </w:r>
    </w:p>
    <w:p w14:paraId="1E3E705F" w14:textId="77777777" w:rsidR="0067065D" w:rsidRDefault="0067065D" w:rsidP="0067065D">
      <w:r>
        <w:t xml:space="preserve">   - Train Wasserstein GAN to generate adversarial PMU samples.  </w:t>
      </w:r>
    </w:p>
    <w:p w14:paraId="5C69AED2" w14:textId="77777777" w:rsidR="0067065D" w:rsidRDefault="0067065D" w:rsidP="0067065D">
      <w:r>
        <w:t xml:space="preserve">   - Retrain RL-based FACTS controller with adversarial examples.  </w:t>
      </w:r>
    </w:p>
    <w:p w14:paraId="5D64A4F9" w14:textId="77777777" w:rsidR="0067065D" w:rsidRDefault="0067065D" w:rsidP="0067065D">
      <w:r>
        <w:t xml:space="preserve">3. **Simulation**:  </w:t>
      </w:r>
    </w:p>
    <w:p w14:paraId="7919D9DE" w14:textId="77777777" w:rsidR="0067065D" w:rsidRDefault="0067065D" w:rsidP="0067065D">
      <w:r>
        <w:t xml:space="preserve">   - Implement in Python/TensorFlow with IEEE 14-bus model.  </w:t>
      </w:r>
    </w:p>
    <w:p w14:paraId="6FC80BB0" w14:textId="77777777" w:rsidR="0067065D" w:rsidRDefault="0067065D" w:rsidP="0067065D">
      <w:r>
        <w:t xml:space="preserve">   - Test attack success rate before/after robust training.  </w:t>
      </w:r>
    </w:p>
    <w:p w14:paraId="68754A75" w14:textId="77777777" w:rsidR="0067065D" w:rsidRDefault="0067065D" w:rsidP="0067065D">
      <w:r>
        <w:t xml:space="preserve">4. **Analysis**:  </w:t>
      </w:r>
    </w:p>
    <w:p w14:paraId="76B65D84" w14:textId="77777777" w:rsidR="0067065D" w:rsidRDefault="0067065D" w:rsidP="0067065D">
      <w:r>
        <w:t xml:space="preserve">   - Compute Wasserstein distances between clean/adversarial data distributions.  </w:t>
      </w:r>
    </w:p>
    <w:p w14:paraId="4D2E8A30" w14:textId="77777777" w:rsidR="0067065D" w:rsidRDefault="0067065D" w:rsidP="0067065D">
      <w:r>
        <w:t xml:space="preserve">5. **Write-Up**:  </w:t>
      </w:r>
    </w:p>
    <w:p w14:paraId="0D782962" w14:textId="77777777" w:rsidR="0067065D" w:rsidRDefault="0067065D" w:rsidP="0067065D">
      <w:r>
        <w:t xml:space="preserve">   - Align with IEEE Std C37.118.1a-2014 for PMU security.  </w:t>
      </w:r>
    </w:p>
    <w:p w14:paraId="55D85530" w14:textId="77777777" w:rsidR="0067065D" w:rsidRDefault="0067065D" w:rsidP="0067065D">
      <w:r>
        <w:t xml:space="preserve">   - Target journal: *IEEE Transactions on Smart Grid*.  </w:t>
      </w:r>
    </w:p>
    <w:p w14:paraId="6749024E" w14:textId="77777777" w:rsidR="0067065D" w:rsidRDefault="0067065D" w:rsidP="0067065D"/>
    <w:p w14:paraId="76EA4B71" w14:textId="77777777" w:rsidR="0067065D" w:rsidRDefault="0067065D" w:rsidP="0067065D">
      <w:r>
        <w:t>---</w:t>
      </w:r>
    </w:p>
    <w:p w14:paraId="155D177A" w14:textId="77777777" w:rsidR="0067065D" w:rsidRDefault="0067065D" w:rsidP="0067065D"/>
    <w:p w14:paraId="2F5A6CAD" w14:textId="77777777" w:rsidR="0067065D" w:rsidRDefault="0067065D" w:rsidP="0067065D">
      <w:r>
        <w:t xml:space="preserve">### **10. "Quantum Annealing for FACTS Placement: Solving NP-Hard Multi-Objective Problems in O(1k Bus) Hybrid Grids"**  </w:t>
      </w:r>
    </w:p>
    <w:p w14:paraId="3B07FC05" w14:textId="77777777" w:rsidR="0067065D" w:rsidRDefault="0067065D" w:rsidP="0067065D">
      <w:r>
        <w:t xml:space="preserve">**Roadmap**:  </w:t>
      </w:r>
    </w:p>
    <w:p w14:paraId="3C5C171F" w14:textId="77777777" w:rsidR="0067065D" w:rsidRDefault="0067065D" w:rsidP="0067065D">
      <w:r>
        <w:t xml:space="preserve">1. **Literature Review**:  </w:t>
      </w:r>
    </w:p>
    <w:p w14:paraId="33EFC8CB" w14:textId="77777777" w:rsidR="0067065D" w:rsidRDefault="0067065D" w:rsidP="0067065D">
      <w:r>
        <w:t xml:space="preserve">   - Survey quantum annealing applications in power systems (e.g., D-Wave PowerChip).  </w:t>
      </w:r>
    </w:p>
    <w:p w14:paraId="10F6E6FF" w14:textId="77777777" w:rsidR="0067065D" w:rsidRDefault="0067065D" w:rsidP="0067065D">
      <w:r>
        <w:t xml:space="preserve">2. **Methodology**:  </w:t>
      </w:r>
    </w:p>
    <w:p w14:paraId="6B08708B" w14:textId="77777777" w:rsidR="0067065D" w:rsidRDefault="0067065D" w:rsidP="0067065D">
      <w:r>
        <w:t xml:space="preserve">   - Formulate FACTS placement as QUBO.  </w:t>
      </w:r>
    </w:p>
    <w:p w14:paraId="3DD26F45" w14:textId="77777777" w:rsidR="0067065D" w:rsidRDefault="0067065D" w:rsidP="0067065D">
      <w:r>
        <w:t xml:space="preserve">   - Use D-Wave Leap for quantum annealing vs. classical solvers (e.g., Gurobi).  </w:t>
      </w:r>
    </w:p>
    <w:p w14:paraId="4D037DC3" w14:textId="77777777" w:rsidR="0067065D" w:rsidRDefault="0067065D" w:rsidP="0067065D">
      <w:r>
        <w:t xml:space="preserve">3. **Simulation**:  </w:t>
      </w:r>
    </w:p>
    <w:p w14:paraId="19FC778F" w14:textId="77777777" w:rsidR="0067065D" w:rsidRDefault="0067065D" w:rsidP="0067065D">
      <w:r>
        <w:t xml:space="preserve">   - Test on synthetic 1000-bus grid (e.g., ACTIVSg1k).  </w:t>
      </w:r>
    </w:p>
    <w:p w14:paraId="05837B00" w14:textId="77777777" w:rsidR="0067065D" w:rsidRDefault="0067065D" w:rsidP="0067065D">
      <w:r>
        <w:t xml:space="preserve">   - Compare annealing time/solution quality with simulated annealing.  </w:t>
      </w:r>
    </w:p>
    <w:p w14:paraId="20125E82" w14:textId="77777777" w:rsidR="0067065D" w:rsidRDefault="0067065D" w:rsidP="0067065D">
      <w:r>
        <w:t xml:space="preserve">4. **Analysis**:  </w:t>
      </w:r>
    </w:p>
    <w:p w14:paraId="7BC05AD8" w14:textId="77777777" w:rsidR="0067065D" w:rsidRDefault="0067065D" w:rsidP="0067065D">
      <w:r>
        <w:t xml:space="preserve">   - Quantify quantum advantage via time-to-solution metrics.  </w:t>
      </w:r>
    </w:p>
    <w:p w14:paraId="1D6A0476" w14:textId="77777777" w:rsidR="0067065D" w:rsidRDefault="0067065D" w:rsidP="0067065D">
      <w:r>
        <w:t xml:space="preserve">5. **Write-Up**:  </w:t>
      </w:r>
    </w:p>
    <w:p w14:paraId="0739DD3D" w14:textId="77777777" w:rsidR="0067065D" w:rsidRDefault="0067065D" w:rsidP="0067065D">
      <w:r>
        <w:t xml:space="preserve">   - Position as foundational work for quantum computing in grid optimization.  </w:t>
      </w:r>
    </w:p>
    <w:p w14:paraId="51E933BE" w14:textId="77777777" w:rsidR="0067065D" w:rsidRDefault="0067065D" w:rsidP="0067065D">
      <w:r>
        <w:t xml:space="preserve">   - Target journal: *IEEE Transactions on Quantum Engineering*.  </w:t>
      </w:r>
    </w:p>
    <w:p w14:paraId="7A72DDE8" w14:textId="77777777" w:rsidR="0067065D" w:rsidRDefault="0067065D" w:rsidP="0067065D"/>
    <w:p w14:paraId="23B7FDFA" w14:textId="77777777" w:rsidR="0067065D" w:rsidRDefault="0067065D" w:rsidP="0067065D">
      <w:r>
        <w:t>---</w:t>
      </w:r>
    </w:p>
    <w:p w14:paraId="64971A7D" w14:textId="77777777" w:rsidR="0067065D" w:rsidRDefault="0067065D" w:rsidP="0067065D"/>
    <w:p w14:paraId="13E00FDE" w14:textId="77777777" w:rsidR="0067065D" w:rsidRDefault="0067065D" w:rsidP="0067065D">
      <w:r>
        <w:t xml:space="preserve">### **11. "Differential Flatness-Based Control of UPFC: Exact Linearization for Enhanced Fault Current Limiting in MT-HVDC Systems"**  </w:t>
      </w:r>
    </w:p>
    <w:p w14:paraId="15CD850D" w14:textId="77777777" w:rsidR="0067065D" w:rsidRDefault="0067065D" w:rsidP="0067065D">
      <w:r>
        <w:t xml:space="preserve">**Roadmap**:  </w:t>
      </w:r>
    </w:p>
    <w:p w14:paraId="08760F8E" w14:textId="77777777" w:rsidR="0067065D" w:rsidRDefault="0067065D" w:rsidP="0067065D">
      <w:r>
        <w:t xml:space="preserve">1. **Literature Review**:  </w:t>
      </w:r>
    </w:p>
    <w:p w14:paraId="343F672B" w14:textId="77777777" w:rsidR="0067065D" w:rsidRDefault="0067065D" w:rsidP="0067065D">
      <w:r>
        <w:t xml:space="preserve">   - Study differential flatness in power electronics (e.g., MMC control).  </w:t>
      </w:r>
    </w:p>
    <w:p w14:paraId="7F65B961" w14:textId="77777777" w:rsidR="0067065D" w:rsidRDefault="0067065D" w:rsidP="0067065D">
      <w:r>
        <w:t xml:space="preserve">2. **Methodology**:  </w:t>
      </w:r>
    </w:p>
    <w:p w14:paraId="7C85B97E" w14:textId="77777777" w:rsidR="0067065D" w:rsidRDefault="0067065D" w:rsidP="0067065D">
      <w:r>
        <w:t xml:space="preserve">   - Derive flat outputs for UPFC nonlinear dynamics.  </w:t>
      </w:r>
    </w:p>
    <w:p w14:paraId="312A0F56" w14:textId="77777777" w:rsidR="0067065D" w:rsidRDefault="0067065D" w:rsidP="0067065D">
      <w:r>
        <w:t xml:space="preserve">   - Design exact linearization controller for fault current limiting.  </w:t>
      </w:r>
    </w:p>
    <w:p w14:paraId="359B13C2" w14:textId="77777777" w:rsidR="0067065D" w:rsidRDefault="0067065D" w:rsidP="0067065D">
      <w:r>
        <w:t xml:space="preserve">3. **Simulation**:  </w:t>
      </w:r>
    </w:p>
    <w:p w14:paraId="1951D830" w14:textId="77777777" w:rsidR="0067065D" w:rsidRDefault="0067065D" w:rsidP="0067065D">
      <w:r>
        <w:t xml:space="preserve">   - Model MT-HVDC grid in PSCAD with UPFC and DCCBs.  </w:t>
      </w:r>
    </w:p>
    <w:p w14:paraId="73DF73B0" w14:textId="77777777" w:rsidR="0067065D" w:rsidRDefault="0067065D" w:rsidP="0067065D">
      <w:r>
        <w:t xml:space="preserve">   - Simulate pole-to-ground faults and measure current suppression.  </w:t>
      </w:r>
    </w:p>
    <w:p w14:paraId="5E66275D" w14:textId="77777777" w:rsidR="0067065D" w:rsidRDefault="0067065D" w:rsidP="0067065D">
      <w:r>
        <w:t xml:space="preserve">4. **Analysis**:  </w:t>
      </w:r>
    </w:p>
    <w:p w14:paraId="10010184" w14:textId="77777777" w:rsidR="0067065D" w:rsidRDefault="0067065D" w:rsidP="0067065D">
      <w:r>
        <w:t xml:space="preserve">   - Compare fault clearance times with PI-based controllers.  </w:t>
      </w:r>
    </w:p>
    <w:p w14:paraId="11A3D98E" w14:textId="77777777" w:rsidR="0067065D" w:rsidRDefault="0067065D" w:rsidP="0067065D">
      <w:r>
        <w:t xml:space="preserve">5. **Write-Up**:  </w:t>
      </w:r>
    </w:p>
    <w:p w14:paraId="55DDE3B1" w14:textId="77777777" w:rsidR="0067065D" w:rsidRDefault="0067065D" w:rsidP="0067065D">
      <w:r>
        <w:t xml:space="preserve">   - Emphasize applicability to MMC-based HVDC systems.  </w:t>
      </w:r>
    </w:p>
    <w:p w14:paraId="3C74E59A" w14:textId="77777777" w:rsidR="0067065D" w:rsidRDefault="0067065D" w:rsidP="0067065D">
      <w:r>
        <w:t xml:space="preserve">   - Target journal: *IEEE Transactions on Power Electronics*.  </w:t>
      </w:r>
    </w:p>
    <w:p w14:paraId="6B9918CA" w14:textId="77777777" w:rsidR="0067065D" w:rsidRDefault="0067065D" w:rsidP="0067065D"/>
    <w:p w14:paraId="6B58E109" w14:textId="77777777" w:rsidR="0067065D" w:rsidRDefault="0067065D" w:rsidP="0067065D">
      <w:r>
        <w:t>---</w:t>
      </w:r>
    </w:p>
    <w:p w14:paraId="4BBE0696" w14:textId="77777777" w:rsidR="0067065D" w:rsidRDefault="0067065D" w:rsidP="0067065D"/>
    <w:p w14:paraId="540F8D1F" w14:textId="77777777" w:rsidR="0067065D" w:rsidRDefault="0067065D" w:rsidP="0067065D">
      <w:r>
        <w:t xml:space="preserve">### **12. "Stochastic Dual Dynamic Programming (SDDP) for FACTS Operation: Risk-Averse Control Under Wind Power Ambiguity"**  </w:t>
      </w:r>
    </w:p>
    <w:p w14:paraId="73A5B5ED" w14:textId="77777777" w:rsidR="0067065D" w:rsidRDefault="0067065D" w:rsidP="0067065D">
      <w:r>
        <w:t xml:space="preserve">**Roadmap**:  </w:t>
      </w:r>
    </w:p>
    <w:p w14:paraId="374132DE" w14:textId="77777777" w:rsidR="0067065D" w:rsidRDefault="0067065D" w:rsidP="0067065D">
      <w:r>
        <w:t xml:space="preserve">1. **Literature Review**:  </w:t>
      </w:r>
    </w:p>
    <w:p w14:paraId="5B494C88" w14:textId="77777777" w:rsidR="0067065D" w:rsidRDefault="0067065D" w:rsidP="0067065D">
      <w:r>
        <w:t xml:space="preserve">   - Review SDDP in hydropower scheduling and risk-averse FACTS control.  </w:t>
      </w:r>
    </w:p>
    <w:p w14:paraId="2609EE1A" w14:textId="77777777" w:rsidR="0067065D" w:rsidRDefault="0067065D" w:rsidP="0067065D">
      <w:r>
        <w:t xml:space="preserve">2. **Methodology**:  </w:t>
      </w:r>
    </w:p>
    <w:p w14:paraId="6600161D" w14:textId="77777777" w:rsidR="0067065D" w:rsidRDefault="0067065D" w:rsidP="0067065D">
      <w:r>
        <w:t xml:space="preserve">   - Formulate multi-stage SDDP with Wasserstein ambiguity sets.  </w:t>
      </w:r>
    </w:p>
    <w:p w14:paraId="2C5D38FE" w14:textId="77777777" w:rsidR="0067065D" w:rsidRDefault="0067065D" w:rsidP="0067065D">
      <w:r>
        <w:t xml:space="preserve">   - Use historical wind data (e.g., ERCOT) for scenario generation.  </w:t>
      </w:r>
    </w:p>
    <w:p w14:paraId="0F6035AD" w14:textId="77777777" w:rsidR="0067065D" w:rsidRDefault="0067065D" w:rsidP="0067065D">
      <w:r>
        <w:t xml:space="preserve">3. **Simulation**:  </w:t>
      </w:r>
    </w:p>
    <w:p w14:paraId="78F7F9AC" w14:textId="77777777" w:rsidR="0067065D" w:rsidRDefault="0067065D" w:rsidP="0067065D">
      <w:r>
        <w:t xml:space="preserve">   - Implement in Julia/StochDynamicProgramming.jl.  </w:t>
      </w:r>
    </w:p>
    <w:p w14:paraId="5C3234CB" w14:textId="77777777" w:rsidR="0067065D" w:rsidRDefault="0067065D" w:rsidP="0067065D">
      <w:r>
        <w:t xml:space="preserve">   - Compare CVaR vs. VaR risk metrics.  </w:t>
      </w:r>
    </w:p>
    <w:p w14:paraId="0D202C96" w14:textId="77777777" w:rsidR="0067065D" w:rsidRDefault="0067065D" w:rsidP="0067065D">
      <w:r>
        <w:t xml:space="preserve">4. **Analysis**:  </w:t>
      </w:r>
    </w:p>
    <w:p w14:paraId="265B2BFE" w14:textId="77777777" w:rsidR="0067065D" w:rsidRDefault="0067065D" w:rsidP="0067065D">
      <w:r>
        <w:t xml:space="preserve">   - Quantify cost savings from ambiguity-aware policies.  </w:t>
      </w:r>
    </w:p>
    <w:p w14:paraId="12B37D47" w14:textId="77777777" w:rsidR="0067065D" w:rsidRDefault="0067065D" w:rsidP="0067065D">
      <w:r>
        <w:t xml:space="preserve">5. **Write-Up**:  </w:t>
      </w:r>
    </w:p>
    <w:p w14:paraId="0AD9C3A5" w14:textId="77777777" w:rsidR="0067065D" w:rsidRDefault="0067065D" w:rsidP="0067065D">
      <w:r>
        <w:t xml:space="preserve">   - Highlight SDDP’s scalability for real-time FACTS operation.  </w:t>
      </w:r>
    </w:p>
    <w:p w14:paraId="5F3342EB" w14:textId="77777777" w:rsidR="0067065D" w:rsidRDefault="0067065D" w:rsidP="0067065D">
      <w:r>
        <w:t xml:space="preserve">   - Target journal: *IEEE Transactions on Power Systems*.  </w:t>
      </w:r>
    </w:p>
    <w:p w14:paraId="4C9B1121" w14:textId="77777777" w:rsidR="0067065D" w:rsidRDefault="0067065D" w:rsidP="0067065D"/>
    <w:p w14:paraId="73ECFE12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>---</w:t>
      </w:r>
    </w:p>
    <w:p w14:paraId="65DBE5A2" w14:textId="77777777" w:rsidR="0067065D" w:rsidRPr="001B57C7" w:rsidRDefault="0067065D" w:rsidP="0067065D">
      <w:pPr>
        <w:rPr>
          <w:color w:val="EE0000"/>
        </w:rPr>
      </w:pPr>
    </w:p>
    <w:p w14:paraId="400563AC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### **13. "Sparse Reinforcement Learning for FACTS Control: A Graph Neural Network (GNN) Approach for Topology-Aware Adaptation"**  </w:t>
      </w:r>
    </w:p>
    <w:p w14:paraId="29CDA5F0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**Roadmap**:  </w:t>
      </w:r>
    </w:p>
    <w:p w14:paraId="5163A39B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1. **Literature Review**:  </w:t>
      </w:r>
    </w:p>
    <w:p w14:paraId="76884CB8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Study GNNs in power systems (e.g., topology identification).  </w:t>
      </w:r>
    </w:p>
    <w:p w14:paraId="65F41FC2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2. **Methodology**:  </w:t>
      </w:r>
    </w:p>
    <w:p w14:paraId="61734B7D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Design GNN-based RL agent with adjacency matrix inputs.  </w:t>
      </w:r>
    </w:p>
    <w:p w14:paraId="1F23D779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Train on IEEE 39-bus with dynamic line switching.  </w:t>
      </w:r>
    </w:p>
    <w:p w14:paraId="3D0E075D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3. **Simulation**:  </w:t>
      </w:r>
    </w:p>
    <w:p w14:paraId="5E3D3C6C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Test generalization to unseen topologies (e.g., N-1 configurations).  </w:t>
      </w:r>
    </w:p>
    <w:p w14:paraId="6E43D991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Compare with DQN and PPO baselines.  </w:t>
      </w:r>
    </w:p>
    <w:p w14:paraId="3BFE83D1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4. **Analysis**:  </w:t>
      </w:r>
    </w:p>
    <w:p w14:paraId="2E13B162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Visualize GNN attention weights for critical grid nodes.  </w:t>
      </w:r>
    </w:p>
    <w:p w14:paraId="4488C8E1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5. **Write-Up**:  </w:t>
      </w:r>
    </w:p>
    <w:p w14:paraId="4E8F3621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Frame as "topology-agnostic" FACTS control for self-healing grids.  </w:t>
      </w:r>
    </w:p>
    <w:p w14:paraId="671C7A62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Target journal: *IEEE Transactions on Neural Networks and Learning Systems*.  </w:t>
      </w:r>
    </w:p>
    <w:p w14:paraId="4A8FFF1B" w14:textId="77777777" w:rsidR="0067065D" w:rsidRPr="001B57C7" w:rsidRDefault="0067065D" w:rsidP="0067065D">
      <w:pPr>
        <w:rPr>
          <w:color w:val="EE0000"/>
        </w:rPr>
      </w:pPr>
    </w:p>
    <w:p w14:paraId="113A922B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>---</w:t>
      </w:r>
    </w:p>
    <w:p w14:paraId="0F06298E" w14:textId="77777777" w:rsidR="0067065D" w:rsidRPr="001B57C7" w:rsidRDefault="0067065D" w:rsidP="0067065D">
      <w:pPr>
        <w:rPr>
          <w:color w:val="EE0000"/>
        </w:rPr>
      </w:pPr>
    </w:p>
    <w:p w14:paraId="7A74ED52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### **14. "Harmonic Resonance Suppression via Hybrid TCSC-APLC: A Multi-Objective MOEA/D Framework for THD Minimization"**  </w:t>
      </w:r>
    </w:p>
    <w:p w14:paraId="72C16097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**Roadmap**:  </w:t>
      </w:r>
    </w:p>
    <w:p w14:paraId="7FA38028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1. **Literature Review**:  </w:t>
      </w:r>
    </w:p>
    <w:p w14:paraId="3E786FC0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Analyze APLC-TCSC synergies in harmonic filtering.  </w:t>
      </w:r>
    </w:p>
    <w:p w14:paraId="2D63DDE9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2. **Methodology**:  </w:t>
      </w:r>
    </w:p>
    <w:p w14:paraId="6B450038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Develop MOEA/D algorithm to co-optimize TCSC/APLC settings.  </w:t>
      </w:r>
    </w:p>
    <w:p w14:paraId="5126569C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Model harmonics in PSCAD with nonlinear loads (e.g., EV chargers).  </w:t>
      </w:r>
    </w:p>
    <w:p w14:paraId="46D578A9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3. **Simulation**:  </w:t>
      </w:r>
    </w:p>
    <w:p w14:paraId="0682CB02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Test under IEEE 519-2014 limits (THD &lt;5%).  </w:t>
      </w:r>
    </w:p>
    <w:p w14:paraId="62B2B682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Compare with standalone TCSC/APLC.  </w:t>
      </w:r>
    </w:p>
    <w:p w14:paraId="7D108E90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4. **Analysis**:  </w:t>
      </w:r>
    </w:p>
    <w:p w14:paraId="7F3A1562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Compute harmonic impedance spectra via frequency scans.  </w:t>
      </w:r>
    </w:p>
    <w:p w14:paraId="7253402B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5. **Write-Up**:  </w:t>
      </w:r>
    </w:p>
    <w:p w14:paraId="7ED19D4A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Stress compliance with IEEE 519 for industrial grids.  </w:t>
      </w:r>
    </w:p>
    <w:p w14:paraId="4A8C20D6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Target journal: *IEEE Transactions on Industry Applications*.  </w:t>
      </w:r>
    </w:p>
    <w:p w14:paraId="7CD47C71" w14:textId="77777777" w:rsidR="0067065D" w:rsidRPr="001B57C7" w:rsidRDefault="0067065D" w:rsidP="0067065D">
      <w:pPr>
        <w:rPr>
          <w:color w:val="EE0000"/>
        </w:rPr>
      </w:pPr>
    </w:p>
    <w:p w14:paraId="7EB6FEEC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>---</w:t>
      </w:r>
    </w:p>
    <w:p w14:paraId="4D5E97F3" w14:textId="77777777" w:rsidR="0067065D" w:rsidRPr="001B57C7" w:rsidRDefault="0067065D" w:rsidP="0067065D">
      <w:pPr>
        <w:rPr>
          <w:color w:val="EE0000"/>
        </w:rPr>
      </w:pPr>
    </w:p>
    <w:p w14:paraId="40F814A0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### **15. "Digital Twin-Enabled Prognostics for FACTS Health Monitoring: A Federated Learning Approach with Edge Computing"**  </w:t>
      </w:r>
    </w:p>
    <w:p w14:paraId="083C25AE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**Roadmap**:  </w:t>
      </w:r>
    </w:p>
    <w:p w14:paraId="067E38BD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1. **Literature Review**:  </w:t>
      </w:r>
    </w:p>
    <w:p w14:paraId="33536ACD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Study federated learning in PHM (e.g., wind turbine diagnostics).  </w:t>
      </w:r>
    </w:p>
    <w:p w14:paraId="22350088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2. **Methodology**:  </w:t>
      </w:r>
    </w:p>
    <w:p w14:paraId="666234E0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Build digital twin in MATLAB/Simulink with degradation models (e.g., capacitor aging).  </w:t>
      </w:r>
    </w:p>
    <w:p w14:paraId="60935C8D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Implement federated learning via PySyft on edge devices.  </w:t>
      </w:r>
    </w:p>
    <w:p w14:paraId="10526BA3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3. **Simulation**:  </w:t>
      </w:r>
    </w:p>
    <w:p w14:paraId="44F7FA98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Test on Raspberry Pi clusters simulating distributed FACTS nodes.  </w:t>
      </w:r>
    </w:p>
    <w:p w14:paraId="785583C3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Compare federated vs. centralized learning accuracy.  </w:t>
      </w:r>
    </w:p>
    <w:p w14:paraId="03ACDB49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4. **Analysis**:  </w:t>
      </w:r>
    </w:p>
    <w:p w14:paraId="19653459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Quantify data privacy benefits (e.g., differential privacy metrics).  </w:t>
      </w:r>
    </w:p>
    <w:p w14:paraId="5A95EFFB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5. **Write-Up**:  </w:t>
      </w:r>
    </w:p>
    <w:p w14:paraId="45244C1F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Align with IEEE 1451 standards for smart transducer interfaces.  </w:t>
      </w:r>
    </w:p>
    <w:p w14:paraId="1C89163C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   - Target journal: *IEEE Transactions on Industrial Cyber-Physical Systems*.  </w:t>
      </w:r>
    </w:p>
    <w:p w14:paraId="5226AE86" w14:textId="77777777" w:rsidR="0067065D" w:rsidRPr="001B57C7" w:rsidRDefault="0067065D" w:rsidP="0067065D">
      <w:pPr>
        <w:rPr>
          <w:color w:val="EE0000"/>
        </w:rPr>
      </w:pPr>
    </w:p>
    <w:p w14:paraId="31022365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>---</w:t>
      </w:r>
    </w:p>
    <w:p w14:paraId="3A14B5EE" w14:textId="77777777" w:rsidR="0067065D" w:rsidRPr="001B57C7" w:rsidRDefault="0067065D" w:rsidP="0067065D">
      <w:pPr>
        <w:rPr>
          <w:color w:val="EE0000"/>
        </w:rPr>
      </w:pPr>
    </w:p>
    <w:p w14:paraId="479435F1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### **General Tips for IEEE Publication**:  </w:t>
      </w:r>
    </w:p>
    <w:p w14:paraId="1BE62729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1. **Reproducibility**: Share code/data on IEEE DataPort or GitHub (if allowed).  </w:t>
      </w:r>
    </w:p>
    <w:p w14:paraId="677903BE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2. **Standards Compliance**: Reference relevant IEEE standards (e.g., 1547, 519).  </w:t>
      </w:r>
    </w:p>
    <w:p w14:paraId="2891848A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3. **Reviewer Anticipation**: Address scalability, real-world applicability, and limitations upfront.  </w:t>
      </w:r>
    </w:p>
    <w:p w14:paraId="719666EA" w14:textId="77777777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4. **Visuals**: Use professional schematics (Visio, Inkscape) and Pareto fronts/heatmaps.  </w:t>
      </w:r>
    </w:p>
    <w:p w14:paraId="31F71578" w14:textId="77777777" w:rsidR="0067065D" w:rsidRPr="001B57C7" w:rsidRDefault="0067065D" w:rsidP="0067065D">
      <w:pPr>
        <w:rPr>
          <w:color w:val="EE0000"/>
        </w:rPr>
      </w:pPr>
    </w:p>
    <w:p w14:paraId="3FDEB395" w14:textId="6EFF7D2C" w:rsidR="0067065D" w:rsidRPr="001B57C7" w:rsidRDefault="0067065D" w:rsidP="0067065D">
      <w:pPr>
        <w:rPr>
          <w:color w:val="EE0000"/>
        </w:rPr>
      </w:pPr>
      <w:r w:rsidRPr="001B57C7">
        <w:rPr>
          <w:color w:val="EE0000"/>
        </w:rPr>
        <w:t xml:space="preserve">Let me know if you need help drafting a specific section (e.g., abstract, methodology) for any topic! </w:t>
      </w:r>
      <w:r w:rsidRPr="001B57C7">
        <w:rPr>
          <w:rFonts w:ascii="Apple Color Emoji" w:hAnsi="Apple Color Emoji" w:cs="Apple Color Emoji"/>
          <w:color w:val="EE0000"/>
        </w:rPr>
        <w:t>🚀</w:t>
      </w:r>
    </w:p>
    <w:sectPr w:rsidR="0067065D" w:rsidRPr="001B5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9B"/>
    <w:rsid w:val="000A2C0B"/>
    <w:rsid w:val="001B57C7"/>
    <w:rsid w:val="002901B0"/>
    <w:rsid w:val="0067065D"/>
    <w:rsid w:val="006D089B"/>
    <w:rsid w:val="008E35EB"/>
    <w:rsid w:val="00AE5CA6"/>
    <w:rsid w:val="00E91B76"/>
    <w:rsid w:val="00F24E4E"/>
    <w:rsid w:val="00FA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E31B9"/>
  <w15:chartTrackingRefBased/>
  <w15:docId w15:val="{F3A88F61-B814-41ED-9E15-0C7023A2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1980</Words>
  <Characters>11289</Characters>
  <Application>Microsoft Office Word</Application>
  <DocSecurity>4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Kiasari</dc:creator>
  <cp:keywords/>
  <dc:description/>
  <cp:lastModifiedBy>Mahmoud Kiasari</cp:lastModifiedBy>
  <cp:revision>1</cp:revision>
  <dcterms:created xsi:type="dcterms:W3CDTF">2025-01-27T23:49:00Z</dcterms:created>
  <dcterms:modified xsi:type="dcterms:W3CDTF">2025-06-20T09:50:00Z</dcterms:modified>
</cp:coreProperties>
</file>