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572E" w14:textId="77777777" w:rsidR="00F97477" w:rsidRDefault="00F97477" w:rsidP="004C16FF">
      <w:pPr>
        <w:spacing w:after="200"/>
        <w:jc w:val="center"/>
        <w:rPr>
          <w:b/>
          <w:bCs/>
          <w:color w:val="1A1A2E"/>
          <w:sz w:val="44"/>
          <w:szCs w:val="44"/>
        </w:rPr>
      </w:pPr>
      <w:r w:rsidRPr="00F97477">
        <w:rPr>
          <w:b/>
          <w:bCs/>
          <w:color w:val="1A1A2E"/>
          <w:sz w:val="44"/>
          <w:szCs w:val="44"/>
        </w:rPr>
        <w:t>Energy Infrastructure for AI Data Centers: A Critical Review of Grid Integration, Techno-Economic Challenges, and Future Pathways</w:t>
      </w:r>
    </w:p>
    <w:p w14:paraId="39BF5648" w14:textId="694DAC2F" w:rsidR="00FE013C" w:rsidRPr="009216D3" w:rsidRDefault="009216D3" w:rsidP="009216D3">
      <w:pPr>
        <w:pStyle w:val="AuthorNames"/>
        <w:rPr>
          <w:b w:val="0"/>
          <w:bCs/>
          <w:color w:val="auto"/>
        </w:rPr>
      </w:pPr>
      <w:r w:rsidRPr="009216D3">
        <w:rPr>
          <w:b w:val="0"/>
          <w:bCs/>
          <w:color w:val="auto"/>
        </w:rPr>
        <w:t>Mahmoud Kiasari, Hamed Aly</w:t>
      </w:r>
    </w:p>
    <w:p w14:paraId="401CD877" w14:textId="0B248BBC" w:rsidR="009216D3" w:rsidRPr="009216D3" w:rsidRDefault="009216D3" w:rsidP="009216D3">
      <w:pPr>
        <w:pStyle w:val="AuthorNames"/>
        <w:rPr>
          <w:b w:val="0"/>
          <w:bCs/>
          <w:color w:val="auto"/>
        </w:rPr>
      </w:pPr>
      <w:r w:rsidRPr="009216D3">
        <w:rPr>
          <w:b w:val="0"/>
          <w:bCs/>
          <w:color w:val="auto"/>
        </w:rPr>
        <w:t>Smart grid and Green Power Research Lab, Electrical and Computer Engineering Department, Faculty of Engineering, Dalhousie University, Halifax, Nova Scotia, Canada</w:t>
      </w:r>
    </w:p>
    <w:p w14:paraId="4C36FEDD" w14:textId="2C68D4E3" w:rsidR="00FE013C" w:rsidRPr="005704B6" w:rsidRDefault="009216D3" w:rsidP="009216D3">
      <w:pPr>
        <w:pStyle w:val="Correspondence"/>
        <w:spacing w:before="0" w:after="0"/>
        <w:rPr>
          <w:bCs/>
          <w:color w:val="auto"/>
        </w:rPr>
      </w:pPr>
      <w:hyperlink r:id="rId9" w:history="1">
        <w:r w:rsidRPr="005704B6">
          <w:rPr>
            <w:rStyle w:val="Hyperlink"/>
            <w:bCs/>
          </w:rPr>
          <w:t>Mahmoud.Kiasari@dal.ca</w:t>
        </w:r>
      </w:hyperlink>
      <w:r w:rsidRPr="005704B6">
        <w:rPr>
          <w:bCs/>
          <w:color w:val="auto"/>
        </w:rPr>
        <w:t xml:space="preserve">, </w:t>
      </w:r>
      <w:hyperlink r:id="rId10" w:history="1">
        <w:r w:rsidRPr="005704B6">
          <w:rPr>
            <w:rStyle w:val="Hyperlink"/>
            <w:bCs/>
          </w:rPr>
          <w:t>Hamed.Aly@dal.ca</w:t>
        </w:r>
      </w:hyperlink>
    </w:p>
    <w:p w14:paraId="105E21DD" w14:textId="20C1CB24" w:rsidR="00462E20" w:rsidRDefault="00FE013C" w:rsidP="001B2995">
      <w:pPr>
        <w:pStyle w:val="Text"/>
        <w:rPr>
          <w:color w:val="auto"/>
        </w:rPr>
      </w:pPr>
      <w:r w:rsidRPr="002117F0">
        <w:rPr>
          <w:b/>
          <w:highlight w:val="yellow"/>
        </w:rPr>
        <w:t xml:space="preserve">Abstract: </w:t>
      </w:r>
      <w:r w:rsidR="001B2995" w:rsidRPr="00462E20">
        <w:rPr>
          <w:color w:val="auto"/>
          <w:highlight w:val="yellow"/>
        </w:rPr>
        <w:t xml:space="preserve">Artificial intelligence (AI) workloads are quickly changing the energy landscape of today's data centers, both in terms of total electricity usage and power density at the facility level. The ongoing deployment of large-scale AI training and inference infrastructure is further driving and increasing demand for electrical reliability, cooling capacity, power quality, grid interconnection, and low-carbon electricity supply. These interdependent </w:t>
      </w:r>
      <w:r w:rsidR="001B2995" w:rsidRPr="00AE6106">
        <w:rPr>
          <w:color w:val="auto"/>
          <w:highlight w:val="yellow"/>
        </w:rPr>
        <w:t xml:space="preserve">issues </w:t>
      </w:r>
      <w:r w:rsidR="00AE6106" w:rsidRPr="00AE6106">
        <w:rPr>
          <w:color w:val="auto"/>
          <w:highlight w:val="yellow"/>
        </w:rPr>
        <w:t>require</w:t>
      </w:r>
      <w:r w:rsidR="000D12FF" w:rsidRPr="00AE6106">
        <w:rPr>
          <w:color w:val="auto"/>
          <w:highlight w:val="yellow"/>
        </w:rPr>
        <w:t xml:space="preserve"> coordinated consideration of </w:t>
      </w:r>
      <w:r w:rsidR="001B2995" w:rsidRPr="00AE6106">
        <w:rPr>
          <w:color w:val="auto"/>
          <w:highlight w:val="yellow"/>
        </w:rPr>
        <w:t xml:space="preserve">energy-infrastructure planning that takes into consideration renewable energy generation </w:t>
      </w:r>
      <w:r w:rsidR="001B2995" w:rsidRPr="00462E20">
        <w:rPr>
          <w:color w:val="auto"/>
          <w:highlight w:val="yellow"/>
        </w:rPr>
        <w:t>and storage, electrical architecture, operational flexibility, economic performance, and system resilience. The critical review combines 1</w:t>
      </w:r>
      <w:r w:rsidR="000D3426">
        <w:rPr>
          <w:color w:val="auto"/>
          <w:highlight w:val="yellow"/>
        </w:rPr>
        <w:t>78</w:t>
      </w:r>
      <w:r w:rsidR="001B2995" w:rsidRPr="00462E20">
        <w:rPr>
          <w:color w:val="auto"/>
          <w:highlight w:val="yellow"/>
        </w:rPr>
        <w:t xml:space="preserve"> sources, mostly published between 2015 and 2026, identified and screened following the PRISMA 2020 guidelines, which includes peer-reviewed journal articles, conference papers, technical standards, agency and institutional reports, market analyses, and corporate disclosure. The resulting evidence is presented in a seven-part decision framework that includes site and resource assessment, technology selection, electrical architecture, control and dispatch, workload flexibility, economic evaluation and resilience and sustainability. The literature surveyed reveals that renewable generation, energy storage, grid-support technologies and flexible computing workloads can help lower-carbon and more flexible AI data-center operations—but the technical and economic potential vary by project-specific conditions. For example, published cost and performance data may have different system boundaries, may be geographically specific, may apply to different vintages of technology, may be based on different financing arrangements, and may come from different reliability assumptions, making it hard to compare directly across studies. The price of a battery pack, therefore, does not equal the full installed battery energy storage system (BESS) price, and generation cost only levelized cost of energy (LCOE) should not be mistaken for the cost of firm or reliable electricity. Likewise, the assurance of the reliability of the system and its storage capacity should be backed by site-specific, chronological evaluations that take into consideration load variations, availability of renewable resources, grid conditions, backup resources, and operational constraints. While the benefits of wind–solar complementarity and flexible usage of AI computing workloads can lower balancing needs and enhance the use of renewables, their size and scope are influenced by a variety of factors and constraints including: temporal resource correlation, network constraints, interconnection constraints, service-level agreements, workload characteristics and temporal or geographic workload shifting technical feasibility. The proposed seven component framework is conceived as a structured screening and decision support framework, rather than as a design methodology, or a specific optimization outcome of the site in question. The review also outlines significant gaps in the research, such as the need for reproducible techno-economic models, independent measurement of corporate performance data, multi-year and more detailed resource </w:t>
      </w:r>
      <w:r w:rsidR="001B2995" w:rsidRPr="00462E20">
        <w:rPr>
          <w:color w:val="auto"/>
          <w:highlight w:val="yellow"/>
        </w:rPr>
        <w:lastRenderedPageBreak/>
        <w:t xml:space="preserve">evaluations, better characterization of workload flexibility, and holistic energy, water, reliability, and </w:t>
      </w:r>
      <w:r w:rsidR="001B2995" w:rsidRPr="00AE6106">
        <w:rPr>
          <w:color w:val="auto"/>
          <w:highlight w:val="yellow"/>
        </w:rPr>
        <w:t xml:space="preserve">resilience and grid impacts evaluations. Taken together, these results offer a more uniform framework for assessing energy-infrastructure pathways that </w:t>
      </w:r>
      <w:r w:rsidR="00AE6106" w:rsidRPr="00AE6106">
        <w:rPr>
          <w:color w:val="auto"/>
          <w:highlight w:val="yellow"/>
        </w:rPr>
        <w:t xml:space="preserve">can support evaluation of pathways for </w:t>
      </w:r>
      <w:r w:rsidR="001B2995" w:rsidRPr="00AE6106">
        <w:rPr>
          <w:color w:val="auto"/>
          <w:highlight w:val="yellow"/>
        </w:rPr>
        <w:t>the ongoing development of AI data centers, with technical viability, economic transparency, and long-term sustainability.</w:t>
      </w:r>
    </w:p>
    <w:p w14:paraId="3F53CE4A" w14:textId="450949B9" w:rsidR="00FE013C" w:rsidRDefault="00FE013C" w:rsidP="001B2995">
      <w:pPr>
        <w:pStyle w:val="Text"/>
      </w:pPr>
      <w:r>
        <w:rPr>
          <w:b/>
        </w:rPr>
        <w:t xml:space="preserve">Keywords: </w:t>
      </w:r>
      <w:r>
        <w:rPr>
          <w:szCs w:val="24"/>
        </w:rPr>
        <w:t>AI data centers, renewable energy integration, energy storage, microgrid optimization, power system modelling, demand-side management, carbon-free energy, levelized cost of energy</w:t>
      </w:r>
    </w:p>
    <w:p w14:paraId="4B0FB0DC" w14:textId="13FFE478" w:rsidR="00FE013C" w:rsidRDefault="00FE013C" w:rsidP="004C16FF">
      <w:pPr>
        <w:pStyle w:val="Heading10"/>
        <w:jc w:val="both"/>
        <w:rPr>
          <w:color w:val="auto"/>
        </w:rPr>
      </w:pPr>
      <w:r>
        <w:rPr>
          <w:color w:val="auto"/>
          <w:lang w:eastAsia="zh-CN"/>
        </w:rPr>
        <w:t xml:space="preserve">1. </w:t>
      </w:r>
      <w:r>
        <w:rPr>
          <w:color w:val="auto"/>
        </w:rPr>
        <w:t>Introduction</w:t>
      </w:r>
    </w:p>
    <w:p w14:paraId="3400CE5A" w14:textId="29F03618" w:rsidR="00FE013C" w:rsidRDefault="00FE013C" w:rsidP="004C16FF">
      <w:pPr>
        <w:pStyle w:val="Heading20"/>
        <w:jc w:val="both"/>
        <w:rPr>
          <w:color w:val="auto"/>
          <w:lang w:val="en-CA"/>
        </w:rPr>
      </w:pPr>
      <w:r w:rsidRPr="00962BDF">
        <w:rPr>
          <w:color w:val="auto"/>
          <w:lang w:val="en-CA"/>
        </w:rPr>
        <w:t>1.1. Global Data Center Energy Consumption an</w:t>
      </w:r>
      <w:r>
        <w:rPr>
          <w:color w:val="auto"/>
          <w:lang w:val="en-CA"/>
        </w:rPr>
        <w:t xml:space="preserve">d AI </w:t>
      </w:r>
      <w:r w:rsidR="006A45AE">
        <w:rPr>
          <w:color w:val="auto"/>
          <w:lang w:val="en-CA"/>
        </w:rPr>
        <w:t>W</w:t>
      </w:r>
      <w:r>
        <w:rPr>
          <w:color w:val="auto"/>
          <w:lang w:val="en-CA"/>
        </w:rPr>
        <w:t>orkload Growth</w:t>
      </w:r>
    </w:p>
    <w:p w14:paraId="1DF911CA" w14:textId="5AFCF41D" w:rsidR="00FE013C" w:rsidRPr="00962BDF" w:rsidRDefault="00FE013C" w:rsidP="004C16FF">
      <w:pPr>
        <w:pStyle w:val="Text"/>
        <w:rPr>
          <w:color w:val="auto"/>
        </w:rPr>
      </w:pPr>
      <w:r w:rsidRPr="00962BDF">
        <w:rPr>
          <w:color w:val="auto"/>
        </w:rPr>
        <w:t xml:space="preserve">In the last ten years, </w:t>
      </w:r>
      <w:r w:rsidR="006A45AE" w:rsidRPr="002C69A9">
        <w:rPr>
          <w:color w:val="auto"/>
        </w:rPr>
        <w:t>digital infrastructure has expanded rapidly over the past decade, with AI applications contributing increasingly to data-center electricity demand and power density</w:t>
      </w:r>
      <w:r w:rsidRPr="00962BDF">
        <w:rPr>
          <w:color w:val="auto"/>
        </w:rPr>
        <w:t xml:space="preserve">. Data </w:t>
      </w:r>
      <w:r w:rsidR="00232D2E" w:rsidRPr="00962BDF">
        <w:rPr>
          <w:color w:val="auto"/>
        </w:rPr>
        <w:t>c</w:t>
      </w:r>
      <w:r w:rsidR="00975475">
        <w:rPr>
          <w:color w:val="auto"/>
        </w:rPr>
        <w:t>e</w:t>
      </w:r>
      <w:r w:rsidR="00232D2E" w:rsidRPr="00962BDF">
        <w:rPr>
          <w:color w:val="auto"/>
        </w:rPr>
        <w:t>nters</w:t>
      </w:r>
      <w:r w:rsidRPr="00962BDF">
        <w:rPr>
          <w:color w:val="auto"/>
        </w:rPr>
        <w:t xml:space="preserve"> alone are a huge component of this infrastructure and are expected to use approximately 415 TWh of electricity in 2024, which is </w:t>
      </w:r>
      <w:r w:rsidR="00466FDC" w:rsidRPr="00466FDC">
        <w:rPr>
          <w:color w:val="auto"/>
        </w:rPr>
        <w:t xml:space="preserve">approximately 1.5% of global electricity consumption </w:t>
      </w:r>
      <w:r>
        <w:rPr>
          <w:color w:val="auto"/>
        </w:rPr>
        <w:fldChar w:fldCharType="begin"/>
      </w:r>
      <w:r>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Pr>
          <w:color w:val="auto"/>
        </w:rPr>
        <w:fldChar w:fldCharType="separate"/>
      </w:r>
      <w:r w:rsidRPr="002C69A9">
        <w:rPr>
          <w:color w:val="auto"/>
        </w:rPr>
        <w:t>[1], [2]</w:t>
      </w:r>
      <w:r>
        <w:rPr>
          <w:color w:val="auto"/>
        </w:rPr>
        <w:fldChar w:fldCharType="end"/>
      </w:r>
      <w:r w:rsidRPr="00962BDF">
        <w:rPr>
          <w:color w:val="auto"/>
        </w:rPr>
        <w:t xml:space="preserve">. According to the International Energy Agency (IEA), this consumption may grow to 945 TWh by 2030 based on current growth rates, mainly because of the training and inferring workloads of AI </w:t>
      </w:r>
      <w:bookmarkStart w:id="0" w:name="ZOTERO_BREF_H70vUx20hBhO"/>
      <w:r w:rsidRPr="00962BDF">
        <w:rPr>
          <w:color w:val="auto"/>
        </w:rPr>
        <w:t>models</w:t>
      </w:r>
      <w:bookmarkEnd w:id="0"/>
      <w:r>
        <w:rPr>
          <w:color w:val="auto"/>
        </w:rPr>
        <w:fldChar w:fldCharType="begin"/>
      </w:r>
      <w:r>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Pr>
          <w:color w:val="auto"/>
        </w:rPr>
        <w:fldChar w:fldCharType="separate"/>
      </w:r>
      <w:r w:rsidRPr="002C69A9">
        <w:rPr>
          <w:color w:val="auto"/>
        </w:rPr>
        <w:t>[3]</w:t>
      </w:r>
      <w:r>
        <w:rPr>
          <w:color w:val="auto"/>
        </w:rPr>
        <w:fldChar w:fldCharType="end"/>
      </w:r>
      <w:r w:rsidRPr="00962BDF">
        <w:rPr>
          <w:color w:val="auto"/>
        </w:rPr>
        <w:t xml:space="preserve">. </w:t>
      </w:r>
    </w:p>
    <w:p w14:paraId="772C239C" w14:textId="499B3717" w:rsidR="00FE013C" w:rsidRDefault="00FE013C" w:rsidP="0095647B">
      <w:pPr>
        <w:pStyle w:val="Text"/>
        <w:rPr>
          <w:color w:val="auto"/>
        </w:rPr>
      </w:pPr>
      <w:r w:rsidRPr="00962BDF">
        <w:rPr>
          <w:color w:val="auto"/>
        </w:rPr>
        <w:t>This challenge is evident in the energy consumption of specific AI models. To train GPT-3, a 175-billion-parameter language model developed by OpenAI, approximately 1,287 MWh of electricity was required, which corresponds to an estimated CO</w:t>
      </w:r>
      <w:r w:rsidRPr="00926B18">
        <w:rPr>
          <w:color w:val="auto"/>
          <w:vertAlign w:val="subscript"/>
        </w:rPr>
        <w:t>2</w:t>
      </w:r>
      <w:r w:rsidRPr="00962BDF">
        <w:rPr>
          <w:color w:val="auto"/>
        </w:rPr>
        <w:t xml:space="preserve"> equivalent emission of 552 </w:t>
      </w:r>
      <w:r w:rsidR="00AF78BE">
        <w:rPr>
          <w:color w:val="auto"/>
        </w:rPr>
        <w:t xml:space="preserve">metric </w:t>
      </w:r>
      <w:r w:rsidR="00B34E65" w:rsidRPr="00962BDF">
        <w:rPr>
          <w:color w:val="auto"/>
        </w:rPr>
        <w:t>tons</w:t>
      </w:r>
      <w:r>
        <w:rPr>
          <w:color w:val="auto"/>
        </w:rPr>
        <w:fldChar w:fldCharType="begin"/>
      </w:r>
      <w:r>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Pr>
          <w:color w:val="auto"/>
        </w:rPr>
        <w:fldChar w:fldCharType="separate"/>
      </w:r>
      <w:r w:rsidRPr="00AA4E78">
        <w:t>[4], [5]</w:t>
      </w:r>
      <w:r>
        <w:rPr>
          <w:color w:val="auto"/>
        </w:rPr>
        <w:fldChar w:fldCharType="end"/>
      </w:r>
      <w:r w:rsidRPr="00962BDF">
        <w:rPr>
          <w:color w:val="auto"/>
        </w:rPr>
        <w:t xml:space="preserve">. The model called </w:t>
      </w:r>
      <w:bookmarkStart w:id="1" w:name="ZOTERO_BREF_wu8OLmHyuqzg"/>
      <w:r w:rsidRPr="00962BDF">
        <w:rPr>
          <w:color w:val="auto"/>
        </w:rPr>
        <w:t>BLOOM</w:t>
      </w:r>
      <w:r w:rsidRPr="00F65F01">
        <w:t xml:space="preserve"> </w:t>
      </w:r>
      <w:bookmarkEnd w:id="1"/>
      <w:r>
        <w:fldChar w:fldCharType="begin"/>
      </w:r>
      <w:r>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fldChar w:fldCharType="separate"/>
      </w:r>
      <w:r w:rsidRPr="00F76513">
        <w:t>[6]</w:t>
      </w:r>
      <w:r>
        <w:fldChar w:fldCharType="end"/>
      </w:r>
      <w:r w:rsidRPr="00962BDF">
        <w:rPr>
          <w:color w:val="auto"/>
        </w:rPr>
        <w:t xml:space="preserve"> is an open-source model consisting of 176 billion parameters that took approximately 433 MWh in training. These are the numbers of single training events; the total amount of energy used by </w:t>
      </w:r>
      <w:r w:rsidR="00130B0B" w:rsidRPr="00130B0B">
        <w:rPr>
          <w:color w:val="auto"/>
        </w:rPr>
        <w:t xml:space="preserve">large-scale inference activity over time </w:t>
      </w:r>
      <w:r w:rsidRPr="00962BDF">
        <w:rPr>
          <w:color w:val="auto"/>
        </w:rPr>
        <w:t xml:space="preserve">to serve billions of user queries is much higher than the training energy. </w:t>
      </w:r>
      <w:r w:rsidR="009A7CA8" w:rsidRPr="00161993">
        <w:rPr>
          <w:color w:val="auto"/>
          <w:highlight w:val="yellow"/>
          <w:lang w:val="en-CA"/>
        </w:rPr>
        <w:t>Recent studies have highlighted that the cumulative energy demand associated with large-scale inference workloads can be substantial because even modest per-query electricity consumption becomes significant when deployed across millions of daily requests</w:t>
      </w:r>
      <w:r w:rsidRPr="00161993">
        <w:rPr>
          <w:color w:val="auto"/>
          <w:highlight w:val="yellow"/>
        </w:rPr>
        <w:fldChar w:fldCharType="begin"/>
      </w:r>
      <w:r w:rsidRPr="00161993">
        <w:rPr>
          <w:color w:val="auto"/>
          <w:highlight w:val="yellow"/>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Pr="00161993">
        <w:rPr>
          <w:color w:val="auto"/>
          <w:highlight w:val="yellow"/>
        </w:rPr>
        <w:fldChar w:fldCharType="separate"/>
      </w:r>
      <w:r w:rsidRPr="00161993">
        <w:rPr>
          <w:highlight w:val="yellow"/>
        </w:rPr>
        <w:t>[7]</w:t>
      </w:r>
      <w:r w:rsidRPr="00161993">
        <w:rPr>
          <w:color w:val="auto"/>
          <w:highlight w:val="yellow"/>
        </w:rPr>
        <w:fldChar w:fldCharType="end"/>
      </w:r>
      <w:r w:rsidRPr="00161993">
        <w:rPr>
          <w:color w:val="auto"/>
          <w:highlight w:val="yellow"/>
        </w:rPr>
        <w:t>.</w:t>
      </w:r>
    </w:p>
    <w:p w14:paraId="1E5549E4" w14:textId="5E24794A" w:rsidR="00FE013C" w:rsidRPr="00394BC1" w:rsidRDefault="00504D61" w:rsidP="00394BC1">
      <w:pPr>
        <w:pStyle w:val="Text"/>
        <w:rPr>
          <w:color w:val="auto"/>
        </w:rPr>
      </w:pPr>
      <w:r w:rsidRPr="00D5541A">
        <w:rPr>
          <w:color w:val="auto"/>
          <w:highlight w:val="yellow"/>
        </w:rPr>
        <w:t>AI-related data-center growth is expected to become an important driver of electricity-demand growth</w:t>
      </w:r>
      <w:r w:rsidR="00FE013C" w:rsidRPr="00D5541A">
        <w:rPr>
          <w:color w:val="auto"/>
          <w:highlight w:val="yellow"/>
        </w:rPr>
        <w:t xml:space="preserve">, with </w:t>
      </w:r>
      <w:r w:rsidR="00FE013C" w:rsidRPr="00291195">
        <w:rPr>
          <w:color w:val="auto"/>
          <w:highlight w:val="yellow"/>
        </w:rPr>
        <w:t xml:space="preserve">one research group estimating </w:t>
      </w:r>
      <w:r w:rsidR="00C45F8A">
        <w:rPr>
          <w:color w:val="auto"/>
          <w:highlight w:val="yellow"/>
        </w:rPr>
        <w:fldChar w:fldCharType="begin"/>
      </w:r>
      <w:r w:rsidR="00C3721E">
        <w:rPr>
          <w:color w:val="auto"/>
          <w:highlight w:val="yellow"/>
        </w:rPr>
        <w:instrText xml:space="preserve"> ADDIN ZOTERO_ITEM CSL_CITATION {"citationID":"HyNyi62K","properties":{"unsorted":false,"formattedCitation":"[8]","plainCitation":"[8]","noteIndex":0},"citationItems":[{"id":2736,"uris":["http://zotero.org/users/9870935/items/FUHMRW27"],"itemData":{"id":2736,"type":"post-weblog","title":"Goldman Sachs Research","URL":"https://www.goldmansachs.com/insights/articles/ai-to-drive-165-increase-in-data-center-power-demand-by-2030","author":[{"literal":"Goldman Sacho"}]}}],"schema":"https://github.com/citation-style-language/schema/raw/master/csl-citation.json"} </w:instrText>
      </w:r>
      <w:r w:rsidR="00C45F8A">
        <w:rPr>
          <w:color w:val="auto"/>
          <w:highlight w:val="yellow"/>
        </w:rPr>
        <w:fldChar w:fldCharType="separate"/>
      </w:r>
      <w:r w:rsidR="00C45F8A" w:rsidRPr="00C45F8A">
        <w:rPr>
          <w:highlight w:val="yellow"/>
        </w:rPr>
        <w:t>[8]</w:t>
      </w:r>
      <w:r w:rsidR="00C45F8A">
        <w:rPr>
          <w:color w:val="auto"/>
          <w:highlight w:val="yellow"/>
        </w:rPr>
        <w:fldChar w:fldCharType="end"/>
      </w:r>
      <w:r w:rsidR="00FE013C" w:rsidRPr="00291195">
        <w:rPr>
          <w:color w:val="auto"/>
          <w:highlight w:val="yellow"/>
        </w:rPr>
        <w:t xml:space="preserve"> </w:t>
      </w:r>
      <w:r w:rsidR="00291195">
        <w:rPr>
          <w:color w:val="auto"/>
          <w:highlight w:val="yellow"/>
        </w:rPr>
        <w:t>that</w:t>
      </w:r>
      <w:r w:rsidR="00FA40BC" w:rsidRPr="00291195">
        <w:rPr>
          <w:color w:val="auto"/>
          <w:highlight w:val="yellow"/>
          <w:lang w:val="en-CA"/>
        </w:rPr>
        <w:t xml:space="preserve"> data-center electricity demand could increase by approximately 165% between 2024 and 2030, although the magnitude and geographic distribution of this growth remain uncertain</w:t>
      </w:r>
      <w:r w:rsidR="00FE013C" w:rsidRPr="00291195">
        <w:rPr>
          <w:color w:val="auto"/>
          <w:highlight w:val="yellow"/>
        </w:rPr>
        <w:t>.</w:t>
      </w:r>
      <w:r w:rsidR="00FE013C">
        <w:rPr>
          <w:color w:val="auto"/>
        </w:rPr>
        <w:t xml:space="preserve"> </w:t>
      </w:r>
      <w:r w:rsidR="00FE013C" w:rsidRPr="007B5EF9">
        <w:rPr>
          <w:color w:val="auto"/>
        </w:rPr>
        <w:t>However, the Power Usage Effectiveness (PUE) of the surveyed locations did not show any significant gains in efficiency as measured by PUE,</w:t>
      </w:r>
      <w:r w:rsidR="00FE013C">
        <w:rPr>
          <w:color w:val="auto"/>
        </w:rPr>
        <w:t xml:space="preserve"> </w:t>
      </w:r>
      <w:r w:rsidR="00FE013C" w:rsidRPr="007B5EF9">
        <w:rPr>
          <w:color w:val="auto"/>
        </w:rPr>
        <w:t xml:space="preserve">according to the Uptime Institute 2024 Global Data Center </w:t>
      </w:r>
      <w:bookmarkStart w:id="2" w:name="ZOTERO_BREF_VzOpl4gXp4N6"/>
      <w:r w:rsidR="00FE013C" w:rsidRPr="007B5EF9">
        <w:rPr>
          <w:color w:val="auto"/>
        </w:rPr>
        <w:t>Survey</w:t>
      </w:r>
      <w:bookmarkEnd w:id="2"/>
      <w:r w:rsidR="00FE013C">
        <w:rPr>
          <w:color w:val="auto"/>
        </w:rPr>
        <w:fldChar w:fldCharType="begin"/>
      </w:r>
      <w:r w:rsidR="00FE013C">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URL":"https://uptimeinstitute.com/resources/research-and-reports/uptime-institute-global-data-center-survey-results-2024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sidR="00FE013C">
        <w:rPr>
          <w:color w:val="auto"/>
        </w:rPr>
        <w:fldChar w:fldCharType="separate"/>
      </w:r>
      <w:r w:rsidR="00FE013C" w:rsidRPr="00341E54">
        <w:t>[9]</w:t>
      </w:r>
      <w:r w:rsidR="00FE013C">
        <w:rPr>
          <w:color w:val="auto"/>
        </w:rPr>
        <w:fldChar w:fldCharType="end"/>
      </w:r>
      <w:r w:rsidR="00FE013C" w:rsidRPr="007B5EF9">
        <w:rPr>
          <w:color w:val="auto"/>
        </w:rPr>
        <w:t xml:space="preserve">. </w:t>
      </w:r>
      <w:r w:rsidR="00FE013C" w:rsidRPr="00653055">
        <w:rPr>
          <w:color w:val="auto"/>
        </w:rPr>
        <w:t xml:space="preserve">Meanwhile, AI-specific accelerators, such as the NVIDIA H100 GPU, with a thermal design power (TDP) of up to 700 watts per unit, are pushing the compute density to levels that challenge conventional cooling and power delivery </w:t>
      </w:r>
      <w:bookmarkStart w:id="3" w:name="ZOTERO_BREF_Q2km8TRZH2ar"/>
      <w:r w:rsidR="00FE013C" w:rsidRPr="00653055">
        <w:rPr>
          <w:color w:val="auto"/>
        </w:rPr>
        <w:t>architectures</w:t>
      </w:r>
      <w:bookmarkEnd w:id="3"/>
      <w:r w:rsidR="00FE013C">
        <w:rPr>
          <w:color w:val="auto"/>
        </w:rPr>
        <w:fldChar w:fldCharType="begin"/>
      </w:r>
      <w:r w:rsidR="00FE013C">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rsidR="00FE013C">
        <w:rPr>
          <w:color w:val="auto"/>
        </w:rPr>
        <w:fldChar w:fldCharType="separate"/>
      </w:r>
      <w:r w:rsidR="00FE013C" w:rsidRPr="00394BC1">
        <w:rPr>
          <w:color w:val="auto"/>
        </w:rPr>
        <w:t>[10]</w:t>
      </w:r>
      <w:r w:rsidR="00FE013C">
        <w:rPr>
          <w:color w:val="auto"/>
        </w:rPr>
        <w:fldChar w:fldCharType="end"/>
      </w:r>
      <w:r w:rsidR="00FE013C" w:rsidRPr="00653055">
        <w:rPr>
          <w:color w:val="auto"/>
        </w:rPr>
        <w:t>.</w:t>
      </w:r>
      <w:r w:rsidR="00FE013C">
        <w:rPr>
          <w:color w:val="auto"/>
        </w:rPr>
        <w:t xml:space="preserve"> </w:t>
      </w:r>
      <w:r w:rsidR="00D13309">
        <w:rPr>
          <w:color w:val="auto"/>
        </w:rPr>
        <w:fldChar w:fldCharType="begin"/>
      </w:r>
      <w:r w:rsidR="00D13309">
        <w:rPr>
          <w:color w:val="auto"/>
        </w:rPr>
        <w:instrText xml:space="preserve"> REF _Ref239528987 \h </w:instrText>
      </w:r>
      <w:r w:rsidR="00D13309">
        <w:rPr>
          <w:color w:val="auto"/>
        </w:rPr>
      </w:r>
      <w:r w:rsidR="00D13309">
        <w:rPr>
          <w:color w:val="auto"/>
        </w:rPr>
        <w:fldChar w:fldCharType="separate"/>
      </w:r>
      <w:r w:rsidR="00D13309">
        <w:t xml:space="preserve">Figure </w:t>
      </w:r>
      <w:r w:rsidR="00D13309">
        <w:rPr>
          <w:noProof/>
        </w:rPr>
        <w:t>1</w:t>
      </w:r>
      <w:r w:rsidR="00D13309">
        <w:t xml:space="preserve"> </w:t>
      </w:r>
      <w:r w:rsidR="00D13309" w:rsidRPr="008451C0">
        <w:t>Global data center electricity consumption and projections (2015–2030). Source: IEA, 2025</w:t>
      </w:r>
      <w:r w:rsidR="00D13309">
        <w:rPr>
          <w:color w:val="auto"/>
        </w:rPr>
        <w:fldChar w:fldCharType="end"/>
      </w:r>
      <w:r w:rsidR="00D13309">
        <w:rPr>
          <w:color w:val="auto"/>
        </w:rPr>
        <w:t xml:space="preserve">, </w:t>
      </w:r>
      <w:r w:rsidR="00C45F8A" w:rsidRPr="00394BC1">
        <w:rPr>
          <w:color w:val="auto"/>
        </w:rPr>
        <w:t>summarizes historical global data-center electricity</w:t>
      </w:r>
      <w:r w:rsidR="00394BC1">
        <w:rPr>
          <w:color w:val="auto"/>
        </w:rPr>
        <w:t xml:space="preserve"> </w:t>
      </w:r>
      <w:r w:rsidR="00C45F8A" w:rsidRPr="00394BC1">
        <w:rPr>
          <w:color w:val="auto"/>
        </w:rPr>
        <w:t>consumption and the projected increase through 2030,</w:t>
      </w:r>
      <w:r w:rsidR="00394BC1">
        <w:rPr>
          <w:color w:val="auto"/>
        </w:rPr>
        <w:t xml:space="preserve"> </w:t>
      </w:r>
      <w:r w:rsidR="00C45F8A" w:rsidRPr="00394BC1">
        <w:rPr>
          <w:color w:val="auto"/>
        </w:rPr>
        <w:t>illustrating the scale of the electricity-demand challenge</w:t>
      </w:r>
      <w:r w:rsidR="00394BC1">
        <w:rPr>
          <w:color w:val="auto"/>
        </w:rPr>
        <w:t xml:space="preserve"> </w:t>
      </w:r>
      <w:r w:rsidR="00C45F8A" w:rsidRPr="00394BC1">
        <w:rPr>
          <w:color w:val="auto"/>
        </w:rPr>
        <w:t>associated with continued growth in AI-oriented computing</w:t>
      </w:r>
      <w:r w:rsidR="00FE013C" w:rsidRPr="001D1403">
        <w:rPr>
          <w:color w:val="auto"/>
        </w:rPr>
        <w:t>.</w:t>
      </w:r>
    </w:p>
    <w:p w14:paraId="490072E4" w14:textId="77777777" w:rsidR="00FE013C" w:rsidRDefault="00FE013C" w:rsidP="00FA53F1">
      <w:pPr>
        <w:pStyle w:val="Heading10"/>
        <w:keepNext/>
        <w:spacing w:before="0" w:after="0"/>
        <w:jc w:val="center"/>
      </w:pPr>
      <w:r>
        <w:rPr>
          <w:noProof/>
        </w:rPr>
        <w:lastRenderedPageBreak/>
        <w:drawing>
          <wp:inline distT="0" distB="0" distL="0" distR="0" wp14:anchorId="556059C0" wp14:editId="4BEFC2AF">
            <wp:extent cx="4176454" cy="2427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176"/>
                    <a:stretch>
                      <a:fillRect/>
                    </a:stretch>
                  </pic:blipFill>
                  <pic:spPr bwMode="auto">
                    <a:xfrm>
                      <a:off x="0" y="0"/>
                      <a:ext cx="4205029" cy="2443792"/>
                    </a:xfrm>
                    <a:prstGeom prst="rect">
                      <a:avLst/>
                    </a:prstGeom>
                    <a:ln>
                      <a:noFill/>
                    </a:ln>
                    <a:extLst>
                      <a:ext uri="{53640926-AAD7-44D8-BBD7-CCE9431645EC}">
                        <a14:shadowObscured xmlns:a14="http://schemas.microsoft.com/office/drawing/2010/main"/>
                      </a:ext>
                    </a:extLst>
                  </pic:spPr>
                </pic:pic>
              </a:graphicData>
            </a:graphic>
          </wp:inline>
        </w:drawing>
      </w:r>
    </w:p>
    <w:p w14:paraId="31445E1C" w14:textId="67F43296" w:rsidR="00FE013C" w:rsidRDefault="00FE013C" w:rsidP="00FA53F1">
      <w:pPr>
        <w:pStyle w:val="Caption"/>
        <w:jc w:val="center"/>
        <w:rPr>
          <w:color w:val="auto"/>
          <w:lang w:eastAsia="zh-CN"/>
        </w:rPr>
      </w:pPr>
      <w:bookmarkStart w:id="4" w:name="_Ref239528987"/>
      <w:r>
        <w:t xml:space="preserve">Figure </w:t>
      </w:r>
      <w:fldSimple w:instr=" SEQ Figure \* ARABIC ">
        <w:r w:rsidR="00807110">
          <w:rPr>
            <w:noProof/>
          </w:rPr>
          <w:t>1</w:t>
        </w:r>
      </w:fldSimple>
      <w:r w:rsidR="00EC0EF8">
        <w:t xml:space="preserve"> </w:t>
      </w:r>
      <w:r w:rsidRPr="008451C0">
        <w:t xml:space="preserve">Global data </w:t>
      </w:r>
      <w:r w:rsidR="00232D2E" w:rsidRPr="008451C0">
        <w:t>center</w:t>
      </w:r>
      <w:r w:rsidRPr="008451C0">
        <w:t xml:space="preserve"> electricity consumption and projections (2015–2030). Source: IEA, 2025</w:t>
      </w:r>
      <w:bookmarkEnd w:id="4"/>
    </w:p>
    <w:p w14:paraId="26DB2460" w14:textId="77777777" w:rsidR="00FE013C" w:rsidRDefault="00FE013C" w:rsidP="004C16FF">
      <w:pPr>
        <w:pStyle w:val="Heading20"/>
        <w:jc w:val="both"/>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400F464D" w14:textId="17EC6C22" w:rsidR="00FE013C" w:rsidRPr="00ED0153" w:rsidRDefault="00FE013C" w:rsidP="004C16FF">
      <w:pPr>
        <w:pStyle w:val="Text"/>
        <w:rPr>
          <w:color w:val="auto"/>
        </w:rPr>
      </w:pPr>
      <w:r w:rsidRPr="00ED0153">
        <w:rPr>
          <w:color w:val="auto"/>
        </w:rPr>
        <w:t xml:space="preserve">Three simultaneous drivers, namely, climate goals, cost trends, and growing technical viability, are coming together in data </w:t>
      </w:r>
      <w:r w:rsidR="00232D2E" w:rsidRPr="00ED0153">
        <w:rPr>
          <w:color w:val="auto"/>
        </w:rPr>
        <w:t>center</w:t>
      </w:r>
      <w:r w:rsidRPr="00ED0153">
        <w:rPr>
          <w:color w:val="auto"/>
        </w:rPr>
        <w:t xml:space="preserve"> power systems for the integration of renewable energy sources. With over 130 countries aligning themselves to reach zero carbon emissions by 2050 under the Paris Agreement</w:t>
      </w:r>
      <w:r>
        <w:rPr>
          <w:color w:val="auto"/>
        </w:rPr>
        <w:t xml:space="preserve">, </w:t>
      </w:r>
      <w:r>
        <w:rPr>
          <w:szCs w:val="24"/>
        </w:rPr>
        <w:t xml:space="preserve">the information technology sector has emerged as a critical focus area for </w:t>
      </w:r>
      <w:r w:rsidR="00232D2E">
        <w:rPr>
          <w:szCs w:val="24"/>
        </w:rPr>
        <w:t>decarbonization</w:t>
      </w:r>
      <w:r>
        <w:rPr>
          <w:szCs w:val="24"/>
        </w:rPr>
        <w:t xml:space="preserve"> efforts</w:t>
      </w:r>
      <w:r>
        <w:rPr>
          <w:szCs w:val="24"/>
        </w:rPr>
        <w:fldChar w:fldCharType="begin"/>
      </w:r>
      <w:r>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Pr>
          <w:szCs w:val="24"/>
        </w:rPr>
        <w:fldChar w:fldCharType="separate"/>
      </w:r>
      <w:r w:rsidRPr="00380693">
        <w:t>[11]</w:t>
      </w:r>
      <w:r>
        <w:rPr>
          <w:szCs w:val="24"/>
        </w:rPr>
        <w:fldChar w:fldCharType="end"/>
      </w:r>
      <w:r>
        <w:rPr>
          <w:color w:val="auto"/>
        </w:rPr>
        <w:t xml:space="preserve">. </w:t>
      </w:r>
      <w:r w:rsidRPr="00ED0153">
        <w:rPr>
          <w:color w:val="auto"/>
        </w:rPr>
        <w:t>Major technology firms such as Google, Microsoft, and Meta have all committed to running 24/7 carbon-free energy (CFE) operations by 2030, a criterion that includes matching all hours of electricity use with clean generation, not accounting for it on an annual basis using renewable electricity certificates (RECs)</w:t>
      </w:r>
      <w:r>
        <w:rPr>
          <w:color w:val="auto"/>
        </w:rPr>
        <w:fldChar w:fldCharType="begin"/>
      </w:r>
      <w:r>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Pr>
          <w:color w:val="auto"/>
        </w:rPr>
        <w:fldChar w:fldCharType="separate"/>
      </w:r>
      <w:r w:rsidRPr="00A13CFF">
        <w:t>[12]</w:t>
      </w:r>
      <w:r>
        <w:rPr>
          <w:color w:val="auto"/>
        </w:rPr>
        <w:fldChar w:fldCharType="end"/>
      </w:r>
      <w:r w:rsidRPr="00ED0153">
        <w:rPr>
          <w:color w:val="auto"/>
        </w:rPr>
        <w:t>.</w:t>
      </w:r>
    </w:p>
    <w:p w14:paraId="2508C021" w14:textId="72C73CDE" w:rsidR="00FE013C" w:rsidRPr="00ED0153" w:rsidRDefault="00A93423" w:rsidP="00E41B2F">
      <w:pPr>
        <w:pStyle w:val="Text"/>
        <w:rPr>
          <w:color w:val="auto"/>
        </w:rPr>
      </w:pPr>
      <w:r w:rsidRPr="00A93423">
        <w:rPr>
          <w:color w:val="auto"/>
        </w:rPr>
        <w:t>Declining renewable-generation and storage costs have increased the economic relevance of low-carbon electricity procurement for data centers</w:t>
      </w:r>
      <w:r>
        <w:rPr>
          <w:color w:val="auto"/>
        </w:rPr>
        <w:t xml:space="preserve"> </w:t>
      </w:r>
      <w:r w:rsidR="00FE013C" w:rsidRPr="00ED0153">
        <w:rPr>
          <w:color w:val="auto"/>
        </w:rPr>
        <w:t xml:space="preserve">the way data </w:t>
      </w:r>
      <w:r w:rsidR="00232D2E" w:rsidRPr="00ED0153">
        <w:rPr>
          <w:color w:val="auto"/>
        </w:rPr>
        <w:t>centers</w:t>
      </w:r>
      <w:r w:rsidR="00FE013C" w:rsidRPr="00ED0153">
        <w:rPr>
          <w:color w:val="auto"/>
        </w:rPr>
        <w:t xml:space="preserve"> purchase power. PV module prices have dropped by more than 90</w:t>
      </w:r>
      <w:r w:rsidR="00FE013C">
        <w:rPr>
          <w:color w:val="auto"/>
        </w:rPr>
        <w:t xml:space="preserve">% </w:t>
      </w:r>
      <w:r w:rsidR="00FE013C" w:rsidRPr="00ED0153">
        <w:rPr>
          <w:color w:val="auto"/>
        </w:rPr>
        <w:t>since 2010, to approximately $0.15 to $0.25 per watt for commercial-grade modules in 2024, and PV system costs for ground-mounted utility-scale systems are approximately $0.75 to $1.40 per watt</w:t>
      </w:r>
      <w:r w:rsidR="00FE013C">
        <w:rPr>
          <w:color w:val="auto"/>
        </w:rPr>
        <w:fldChar w:fldCharType="begin"/>
      </w:r>
      <w:r w:rsidR="00FE013C">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2023","URL":"https://www.irena.org/-/media/Files/IRENA/Agency/Publication/2024/Sep/IRENA_Renewable_power_generation_costs_in_2023.pdf","author":[{"literal":"IRENA"}]}}],"schema":"https://github.com/citation-style-language/schema/raw/master/csl-citation.json"} </w:instrText>
      </w:r>
      <w:r w:rsidR="00FE013C">
        <w:rPr>
          <w:color w:val="auto"/>
        </w:rPr>
        <w:fldChar w:fldCharType="separate"/>
      </w:r>
      <w:r w:rsidR="00FE013C" w:rsidRPr="00665F0B">
        <w:t>[13], [14]</w:t>
      </w:r>
      <w:r w:rsidR="00FE013C">
        <w:rPr>
          <w:color w:val="auto"/>
        </w:rPr>
        <w:fldChar w:fldCharType="end"/>
      </w:r>
      <w:r w:rsidR="00FE013C" w:rsidRPr="00ED0153">
        <w:rPr>
          <w:color w:val="auto"/>
        </w:rPr>
        <w:t>. Onshore wind has also performed well, with capacity factors in the range of 25%–40</w:t>
      </w:r>
      <w:r w:rsidR="00FE013C">
        <w:rPr>
          <w:color w:val="auto"/>
        </w:rPr>
        <w:t xml:space="preserve">% </w:t>
      </w:r>
      <w:r w:rsidR="00FE013C" w:rsidRPr="00ED0153">
        <w:rPr>
          <w:color w:val="auto"/>
        </w:rPr>
        <w:t xml:space="preserve">and </w:t>
      </w:r>
      <w:r w:rsidR="00FE013C">
        <w:rPr>
          <w:color w:val="auto"/>
        </w:rPr>
        <w:t>Levelized Cost of Energy (</w:t>
      </w:r>
      <w:r w:rsidR="00FE013C" w:rsidRPr="00ED0153">
        <w:rPr>
          <w:color w:val="auto"/>
        </w:rPr>
        <w:t>LCOE</w:t>
      </w:r>
      <w:r w:rsidR="00FE013C">
        <w:rPr>
          <w:color w:val="auto"/>
        </w:rPr>
        <w:t>)</w:t>
      </w:r>
      <w:r w:rsidR="00FE013C" w:rsidRPr="00ED0153">
        <w:rPr>
          <w:color w:val="auto"/>
        </w:rPr>
        <w:t xml:space="preserve"> in the range of $25 to $45 per MWh, placing onshore wind among the most cost-competitive electricity generation technologies worldwide </w:t>
      </w:r>
      <w:r w:rsidR="00FE013C">
        <w:rPr>
          <w:color w:val="auto"/>
        </w:rPr>
        <w:fldChar w:fldCharType="begin"/>
      </w:r>
      <w:r w:rsidR="00FE013C">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FE013C">
        <w:rPr>
          <w:color w:val="auto"/>
        </w:rPr>
        <w:fldChar w:fldCharType="separate"/>
      </w:r>
      <w:r w:rsidR="00FE013C" w:rsidRPr="003F5F56">
        <w:t>[15], [16]</w:t>
      </w:r>
      <w:r w:rsidR="00FE013C">
        <w:rPr>
          <w:color w:val="auto"/>
        </w:rPr>
        <w:fldChar w:fldCharType="end"/>
      </w:r>
      <w:r w:rsidR="00FE013C" w:rsidRPr="00ED0153">
        <w:rPr>
          <w:color w:val="auto"/>
        </w:rPr>
        <w:t xml:space="preserve">. </w:t>
      </w:r>
      <w:r w:rsidR="00EC4C43" w:rsidRPr="00C953EB">
        <w:rPr>
          <w:color w:val="auto"/>
          <w:highlight w:val="yellow"/>
          <w:lang w:val="en-CA"/>
        </w:rPr>
        <w:t xml:space="preserve">Bloomberg New Energy Finance (BNEF) reported that the volume-weighted average lithium-ion battery-pack price declined from approximately </w:t>
      </w:r>
      <w:r w:rsidR="00694B1B">
        <w:rPr>
          <w:color w:val="auto"/>
          <w:highlight w:val="yellow"/>
          <w:lang w:val="en-CA"/>
        </w:rPr>
        <w:t>$</w:t>
      </w:r>
      <w:r w:rsidR="00EC4C43" w:rsidRPr="00C953EB">
        <w:rPr>
          <w:color w:val="auto"/>
          <w:highlight w:val="yellow"/>
          <w:lang w:val="en-CA"/>
        </w:rPr>
        <w:t xml:space="preserve">300/kWh in 2020 to </w:t>
      </w:r>
      <w:r w:rsidR="00694B1B">
        <w:rPr>
          <w:color w:val="auto"/>
          <w:highlight w:val="yellow"/>
          <w:lang w:val="en-CA"/>
        </w:rPr>
        <w:t>$</w:t>
      </w:r>
      <w:r w:rsidR="00EC4C43" w:rsidRPr="00C953EB">
        <w:rPr>
          <w:color w:val="auto"/>
          <w:highlight w:val="yellow"/>
          <w:lang w:val="en-CA"/>
        </w:rPr>
        <w:t>108/kWh in 2025 [17]. This value represents the battery pack only and does not include the additional costs associated with power-conversion equipment, thermal management, controls, engineering, procurement, construction, and grid integration required for a complete battery energy storage system</w:t>
      </w:r>
      <w:r w:rsidR="00FE013C" w:rsidRPr="00C953EB">
        <w:rPr>
          <w:color w:val="auto"/>
          <w:highlight w:val="yellow"/>
        </w:rPr>
        <w:fldChar w:fldCharType="begin"/>
      </w:r>
      <w:r w:rsidR="00FE013C" w:rsidRPr="00C953EB">
        <w:rPr>
          <w:color w:val="auto"/>
          <w:highlight w:val="yellow"/>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FE013C" w:rsidRPr="00C953EB">
        <w:rPr>
          <w:color w:val="auto"/>
          <w:highlight w:val="yellow"/>
        </w:rPr>
        <w:fldChar w:fldCharType="separate"/>
      </w:r>
      <w:r w:rsidR="00FE013C" w:rsidRPr="00C953EB">
        <w:rPr>
          <w:highlight w:val="yellow"/>
        </w:rPr>
        <w:t>[17]</w:t>
      </w:r>
      <w:r w:rsidR="00FE013C" w:rsidRPr="00C953EB">
        <w:rPr>
          <w:color w:val="auto"/>
          <w:highlight w:val="yellow"/>
        </w:rPr>
        <w:fldChar w:fldCharType="end"/>
      </w:r>
      <w:r w:rsidR="00FE013C" w:rsidRPr="00C953EB">
        <w:rPr>
          <w:color w:val="auto"/>
          <w:highlight w:val="yellow"/>
        </w:rPr>
        <w:t>.</w:t>
      </w:r>
    </w:p>
    <w:p w14:paraId="5BBF88C1" w14:textId="77777777" w:rsidR="00FE013C" w:rsidRDefault="00FE013C" w:rsidP="004C16FF">
      <w:pPr>
        <w:pStyle w:val="Text"/>
        <w:rPr>
          <w:color w:val="auto"/>
        </w:rPr>
      </w:pPr>
      <w:r w:rsidRPr="00ED0153">
        <w:rPr>
          <w:color w:val="auto"/>
        </w:rPr>
        <w:t xml:space="preserve">Advances in inverter technology, grid-forming control algorithms, and advanced energy management systems </w:t>
      </w:r>
      <w:r w:rsidRPr="0039462A">
        <w:rPr>
          <w:color w:val="auto"/>
        </w:rPr>
        <w:t>have substantially strengthened the technical feasibility of high-penetration renewable energy integration</w:t>
      </w:r>
      <w:r w:rsidRPr="00ED0153">
        <w:rPr>
          <w:color w:val="auto"/>
        </w:rPr>
        <w:t xml:space="preserve">. Nonetheless, non-synchronous generator grid-forming inverters can now offer synthetic inertia, voltage, and frequency regulation functions previously available only from synchronous generators, allowing for an increased penetration level of </w:t>
      </w:r>
      <w:r>
        <w:rPr>
          <w:color w:val="auto"/>
        </w:rPr>
        <w:t>Variable Renewable Energy (VRE)</w:t>
      </w:r>
      <w:r w:rsidRPr="00ED0153">
        <w:rPr>
          <w:color w:val="auto"/>
        </w:rPr>
        <w:t xml:space="preserve"> to ensure grid stability without compromising the inherent benefits of VRE</w:t>
      </w:r>
      <w:r>
        <w:rPr>
          <w:color w:val="auto"/>
        </w:rPr>
        <w:fldChar w:fldCharType="begin"/>
      </w:r>
      <w:r>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Pr>
          <w:color w:val="auto"/>
        </w:rPr>
        <w:fldChar w:fldCharType="separate"/>
      </w:r>
      <w:r w:rsidRPr="002272B2">
        <w:t>[18]</w:t>
      </w:r>
      <w:r>
        <w:rPr>
          <w:color w:val="auto"/>
        </w:rPr>
        <w:fldChar w:fldCharType="end"/>
      </w:r>
      <w:r w:rsidRPr="00ED0153">
        <w:rPr>
          <w:color w:val="auto"/>
        </w:rPr>
        <w:t xml:space="preserve">. </w:t>
      </w:r>
      <w:r w:rsidRPr="00ED0153">
        <w:rPr>
          <w:color w:val="auto"/>
        </w:rPr>
        <w:lastRenderedPageBreak/>
        <w:t xml:space="preserve">Simultaneously, the rise and development of advanced load management strategies, such as AI workload scheduling and demand response participation, offer new tools for managing loads and demands in real time </w:t>
      </w:r>
      <w:r>
        <w:rPr>
          <w:color w:val="auto"/>
        </w:rPr>
        <w:fldChar w:fldCharType="begin"/>
      </w:r>
      <w:r>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Pr>
          <w:color w:val="auto"/>
        </w:rPr>
        <w:fldChar w:fldCharType="separate"/>
      </w:r>
      <w:r w:rsidRPr="00624913">
        <w:t>[19]</w:t>
      </w:r>
      <w:r>
        <w:rPr>
          <w:color w:val="auto"/>
        </w:rPr>
        <w:fldChar w:fldCharType="end"/>
      </w:r>
      <w:r w:rsidRPr="00ED0153">
        <w:rPr>
          <w:color w:val="auto"/>
        </w:rPr>
        <w:t>.</w:t>
      </w:r>
    </w:p>
    <w:p w14:paraId="39C34F63" w14:textId="77777777" w:rsidR="009153F7" w:rsidRPr="009153F7" w:rsidRDefault="009153F7" w:rsidP="009153F7">
      <w:pPr>
        <w:pStyle w:val="Text"/>
        <w:rPr>
          <w:color w:val="auto"/>
        </w:rPr>
      </w:pPr>
      <w:r w:rsidRPr="009153F7">
        <w:rPr>
          <w:color w:val="auto"/>
        </w:rPr>
        <w:t>Despite these advances, implementation remains constrained by interconnection delays, resource variability, power-quality requirements, storage costs, workload limitations, and project-specific regulatory conditions. The framework developed in this review organizes these technical, economic, and operational considerations into a structured decision process. It is intended to support project evaluation rather than to claim universal reductions in cost, storage capacity, or interconnection time.</w:t>
      </w:r>
    </w:p>
    <w:p w14:paraId="1759E4D0" w14:textId="77777777" w:rsidR="00FE013C" w:rsidRPr="009E3649" w:rsidRDefault="00FE013C" w:rsidP="004C16FF">
      <w:pPr>
        <w:pStyle w:val="Heading20"/>
        <w:jc w:val="both"/>
        <w:rPr>
          <w:color w:val="auto"/>
          <w:lang w:val="en-CA"/>
        </w:rPr>
      </w:pPr>
      <w:r w:rsidRPr="00962BDF">
        <w:rPr>
          <w:color w:val="auto"/>
          <w:lang w:val="en-CA"/>
        </w:rPr>
        <w:t>1.</w:t>
      </w:r>
      <w:r>
        <w:rPr>
          <w:color w:val="auto"/>
          <w:lang w:val="en-CA"/>
        </w:rPr>
        <w:t>3</w:t>
      </w:r>
      <w:r w:rsidRPr="00962BDF">
        <w:rPr>
          <w:color w:val="auto"/>
          <w:lang w:val="en-CA"/>
        </w:rPr>
        <w:t xml:space="preserve">. </w:t>
      </w:r>
      <w:r>
        <w:rPr>
          <w:color w:val="auto"/>
          <w:lang w:val="en-CA"/>
        </w:rPr>
        <w:t>Core Challenges in Renewable Integration</w:t>
      </w:r>
    </w:p>
    <w:p w14:paraId="6EABBE6D" w14:textId="3163A9FC" w:rsidR="00FE013C" w:rsidRPr="009E3649" w:rsidRDefault="00FE013C" w:rsidP="004C16FF">
      <w:pPr>
        <w:pStyle w:val="Text"/>
        <w:rPr>
          <w:color w:val="auto"/>
        </w:rPr>
      </w:pPr>
      <w:r>
        <w:rPr>
          <w:szCs w:val="24"/>
        </w:rPr>
        <w:t xml:space="preserve">Despite </w:t>
      </w:r>
      <w:r w:rsidR="00232D2E">
        <w:rPr>
          <w:szCs w:val="24"/>
        </w:rPr>
        <w:t>favorable</w:t>
      </w:r>
      <w:r>
        <w:rPr>
          <w:szCs w:val="24"/>
        </w:rPr>
        <w:t xml:space="preserve"> economic and technological trends, significant challenges remain in achieving reliable, renewable-powered data </w:t>
      </w:r>
      <w:r w:rsidR="00232D2E">
        <w:rPr>
          <w:szCs w:val="24"/>
        </w:rPr>
        <w:t>center</w:t>
      </w:r>
      <w:r>
        <w:rPr>
          <w:szCs w:val="24"/>
        </w:rPr>
        <w:t xml:space="preserve"> operations</w:t>
      </w:r>
      <w:r w:rsidRPr="009E3649">
        <w:rPr>
          <w:color w:val="auto"/>
        </w:rPr>
        <w:t>. Solar and wind generation have inherent intermittency, which makes it difficult to match the supply and demand at the transmission level. Managing this mismatch requires energy storage, demand flexibility, and expansion of the grid</w:t>
      </w:r>
      <w:r>
        <w:rPr>
          <w:color w:val="auto"/>
        </w:rPr>
        <w:fldChar w:fldCharType="begin"/>
      </w:r>
      <w:r>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Pr>
          <w:color w:val="auto"/>
        </w:rPr>
        <w:fldChar w:fldCharType="separate"/>
      </w:r>
      <w:r w:rsidRPr="00465E05">
        <w:t>[20]</w:t>
      </w:r>
      <w:r>
        <w:rPr>
          <w:color w:val="auto"/>
        </w:rPr>
        <w:fldChar w:fldCharType="end"/>
      </w:r>
      <w:r w:rsidRPr="009E3649">
        <w:rPr>
          <w:color w:val="auto"/>
        </w:rPr>
        <w:t>. Rapid variations in solar power due to cloud cover can mean that it drops by 60–90</w:t>
      </w:r>
      <w:r>
        <w:rPr>
          <w:color w:val="auto"/>
        </w:rPr>
        <w:t xml:space="preserve">% </w:t>
      </w:r>
      <w:r w:rsidRPr="009E3649">
        <w:rPr>
          <w:color w:val="auto"/>
        </w:rPr>
        <w:t>in a few minutes; similarly, hourly changes in wind generation could be 30–50</w:t>
      </w:r>
      <w:r>
        <w:rPr>
          <w:color w:val="auto"/>
        </w:rPr>
        <w:t xml:space="preserve">% </w:t>
      </w:r>
      <w:r w:rsidRPr="009E3649">
        <w:rPr>
          <w:color w:val="auto"/>
        </w:rPr>
        <w:t>without wind interruptions</w:t>
      </w:r>
      <w:r>
        <w:rPr>
          <w:color w:val="auto"/>
        </w:rPr>
        <w:fldChar w:fldCharType="begin"/>
      </w:r>
      <w:r>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Pr>
          <w:rFonts w:ascii="Cambria Math" w:hAnsi="Cambria Math" w:cs="Cambria Math"/>
          <w:color w:val="auto"/>
        </w:rPr>
        <w:instrText>∘</w:instrText>
      </w:r>
      <w:r>
        <w:rPr>
          <w:color w:val="auto"/>
        </w:rPr>
        <w:instrText xml:space="preserve">\n                      \n                      ×\n                      \n                        \n                          0.25\n                        \n                        </w:instrText>
      </w:r>
      <w:r>
        <w:rPr>
          <w:rFonts w:ascii="Cambria Math" w:hAnsi="Cambria Math" w:cs="Cambria Math"/>
          <w:color w:val="auto"/>
        </w:rPr>
        <w:instrText>∘</w:instrText>
      </w:r>
      <w:r>
        <w:rPr>
          <w:color w:val="auto"/>
        </w:rPr>
        <w:instrText xml:space="preserve">\n                      \n                      \n                        (\n                        </w:instrText>
      </w:r>
      <w:r>
        <w:rPr>
          <w:rFonts w:ascii="Cambria Math" w:hAnsi="Cambria Math" w:cs="Cambria Math"/>
          <w:color w:val="auto"/>
        </w:rPr>
        <w:instrText>∼</w:instrText>
      </w:r>
      <w:r>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Pr>
          <w:color w:val="auto"/>
        </w:rPr>
        <w:fldChar w:fldCharType="separate"/>
      </w:r>
      <w:r w:rsidRPr="00266ECA">
        <w:t>[21]</w:t>
      </w:r>
      <w:r>
        <w:rPr>
          <w:color w:val="auto"/>
        </w:rPr>
        <w:fldChar w:fldCharType="end"/>
      </w:r>
      <w:r w:rsidRPr="009E3649">
        <w:rPr>
          <w:color w:val="auto"/>
        </w:rPr>
        <w:t>.</w:t>
      </w:r>
      <w:r>
        <w:rPr>
          <w:color w:val="auto"/>
        </w:rPr>
        <w:t xml:space="preserve"> </w:t>
      </w:r>
      <w:r w:rsidRPr="009E3649">
        <w:rPr>
          <w:color w:val="auto"/>
        </w:rPr>
        <w:t>These variability patterns require storage systems to span gaps of hours, depending on the resource profile and load requirements.</w:t>
      </w:r>
    </w:p>
    <w:p w14:paraId="4DB544A6" w14:textId="290BDDDC" w:rsidR="00FE013C" w:rsidRDefault="00FE013C" w:rsidP="004C16FF">
      <w:pPr>
        <w:spacing w:after="120"/>
        <w:ind w:firstLine="480"/>
      </w:pPr>
      <w:r w:rsidRPr="009E3649">
        <w:rPr>
          <w:color w:val="auto"/>
        </w:rPr>
        <w:t xml:space="preserve">Another key issue is </w:t>
      </w:r>
      <w:r w:rsidR="00232D2E" w:rsidRPr="009E3649">
        <w:rPr>
          <w:color w:val="auto"/>
        </w:rPr>
        <w:t>power</w:t>
      </w:r>
      <w:r w:rsidRPr="009E3649">
        <w:rPr>
          <w:color w:val="auto"/>
        </w:rPr>
        <w:t xml:space="preserve"> quality. High harmonic distortion is produced by data </w:t>
      </w:r>
      <w:r w:rsidR="00232D2E" w:rsidRPr="009E3649">
        <w:rPr>
          <w:color w:val="auto"/>
        </w:rPr>
        <w:t>center</w:t>
      </w:r>
      <w:r w:rsidRPr="009E3649">
        <w:rPr>
          <w:color w:val="auto"/>
        </w:rPr>
        <w:t xml:space="preserve"> loads, especially computing loads employing switched-mode power supplies (SMPS). The number of modern nonlinear loads, such as the variable frequency drive (VFD) for cooling systems and LED lights, adds to the total harmonic distortion (THD), which should not exceed 5</w:t>
      </w:r>
      <w:r>
        <w:rPr>
          <w:color w:val="auto"/>
        </w:rPr>
        <w:t xml:space="preserve">% </w:t>
      </w:r>
      <w:r w:rsidRPr="009E3649">
        <w:rPr>
          <w:color w:val="auto"/>
        </w:rPr>
        <w:t>based on IEEE 519 standards</w:t>
      </w:r>
      <w:r>
        <w:rPr>
          <w:color w:val="auto"/>
        </w:rPr>
        <w:fldChar w:fldCharType="begin"/>
      </w:r>
      <w:r>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color w:val="auto"/>
        </w:rPr>
        <w:fldChar w:fldCharType="separate"/>
      </w:r>
      <w:r w:rsidRPr="006C04AA">
        <w:t>[22]</w:t>
      </w:r>
      <w:r>
        <w:rPr>
          <w:color w:val="auto"/>
        </w:rPr>
        <w:fldChar w:fldCharType="end"/>
      </w:r>
      <w:r w:rsidRPr="009E3649">
        <w:rPr>
          <w:color w:val="auto"/>
        </w:rPr>
        <w:t xml:space="preserve">. </w:t>
      </w:r>
      <w:r>
        <w:rPr>
          <w:szCs w:val="24"/>
        </w:rPr>
        <w:t>The addition of inverter-based renewable energy sources introduces additional harmonic sources, requiring careful design of filtering and power conditioning systems to maintain compliance with power quality standards.</w:t>
      </w:r>
    </w:p>
    <w:p w14:paraId="3E176142" w14:textId="71B69902" w:rsidR="00FE013C" w:rsidRDefault="00997AA6" w:rsidP="00997AA6">
      <w:pPr>
        <w:pStyle w:val="Text"/>
        <w:rPr>
          <w:color w:val="auto"/>
        </w:rPr>
      </w:pPr>
      <w:r w:rsidRPr="00997AA6">
        <w:rPr>
          <w:color w:val="auto"/>
        </w:rPr>
        <w:t xml:space="preserve">Complex grid interconnection requirements pose a major barrier to deployment. In congested regions managed by the </w:t>
      </w:r>
      <w:hyperlink r:id="rId12" w:tgtFrame="_blank" w:history="1">
        <w:r w:rsidRPr="00CF40DD">
          <w:rPr>
            <w:color w:val="auto"/>
          </w:rPr>
          <w:t>California ISO (CAISO)</w:t>
        </w:r>
      </w:hyperlink>
      <w:r w:rsidRPr="00997AA6">
        <w:rPr>
          <w:color w:val="auto"/>
        </w:rPr>
        <w:t xml:space="preserve"> and the </w:t>
      </w:r>
      <w:r w:rsidRPr="00CF40DD">
        <w:rPr>
          <w:color w:val="auto"/>
        </w:rPr>
        <w:t>Pennsylvania-New Jersey-Maryland Interconnection (PJM)</w:t>
      </w:r>
      <w:r w:rsidRPr="00997AA6">
        <w:rPr>
          <w:color w:val="auto"/>
        </w:rPr>
        <w:t xml:space="preserve"> in the United States, developers face queue wait times of 3–5 years for studies, upfront fees ranging from $50,000 to $500,000, and grid upgrade costs that potentially run into the $10 million range</w:t>
      </w:r>
      <w:r>
        <w:rPr>
          <w:color w:val="auto"/>
        </w:rPr>
        <w:t xml:space="preserve"> </w:t>
      </w:r>
      <w:r w:rsidR="00FE013C">
        <w:rPr>
          <w:color w:val="auto"/>
        </w:rPr>
        <w:fldChar w:fldCharType="begin"/>
      </w:r>
      <w:r w:rsidR="00F77E8E">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Questions","URL":"https://www.congress.gov/crs_external_products/R/PDF/R48646/R48646.1.pdf","author":[{"family":"Offutt","given":"Martin C"},{"family":"Zhu","given":"Ling"}]}}],"schema":"https://github.com/citation-style-language/schema/raw/master/csl-citation.json"} </w:instrText>
      </w:r>
      <w:r w:rsidR="00FE013C">
        <w:rPr>
          <w:color w:val="auto"/>
        </w:rPr>
        <w:fldChar w:fldCharType="separate"/>
      </w:r>
      <w:r w:rsidR="00FE013C" w:rsidRPr="00D233EF">
        <w:t>[23]</w:t>
      </w:r>
      <w:r w:rsidR="00FE013C">
        <w:rPr>
          <w:color w:val="auto"/>
        </w:rPr>
        <w:fldChar w:fldCharType="end"/>
      </w:r>
      <w:r w:rsidR="00FE013C" w:rsidRPr="009E3649">
        <w:rPr>
          <w:color w:val="auto"/>
        </w:rPr>
        <w:t xml:space="preserve">. In July 2023, </w:t>
      </w:r>
      <w:r w:rsidR="00FE013C" w:rsidRPr="00531B55">
        <w:rPr>
          <w:color w:val="auto"/>
        </w:rPr>
        <w:t xml:space="preserve">the Federal Energy Regulatory Commission </w:t>
      </w:r>
      <w:r w:rsidR="00FE013C">
        <w:rPr>
          <w:color w:val="auto"/>
        </w:rPr>
        <w:t>(</w:t>
      </w:r>
      <w:r w:rsidR="00FE013C" w:rsidRPr="009E3649">
        <w:rPr>
          <w:color w:val="auto"/>
        </w:rPr>
        <w:t>FERC</w:t>
      </w:r>
      <w:r w:rsidR="00FE013C">
        <w:rPr>
          <w:color w:val="auto"/>
        </w:rPr>
        <w:t>)</w:t>
      </w:r>
      <w:r w:rsidR="00FE013C" w:rsidRPr="009E3649">
        <w:rPr>
          <w:color w:val="auto"/>
        </w:rPr>
        <w:t xml:space="preserve"> issued Order 2023 to streamline the interconnection process for inverter-based resources by establishing </w:t>
      </w:r>
      <w:r w:rsidR="00232D2E" w:rsidRPr="009E3649">
        <w:rPr>
          <w:color w:val="auto"/>
        </w:rPr>
        <w:t>standardized</w:t>
      </w:r>
      <w:r w:rsidR="00FE013C" w:rsidRPr="009E3649">
        <w:rPr>
          <w:color w:val="auto"/>
        </w:rPr>
        <w:t xml:space="preserve"> procedures and timelines for interconnection applications </w:t>
      </w:r>
      <w:r w:rsidR="00FE013C">
        <w:rPr>
          <w:color w:val="auto"/>
        </w:rPr>
        <w:fldChar w:fldCharType="begin"/>
      </w:r>
      <w:r w:rsidR="00FE013C">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FE013C">
        <w:rPr>
          <w:color w:val="auto"/>
        </w:rPr>
        <w:fldChar w:fldCharType="separate"/>
      </w:r>
      <w:r w:rsidR="00FE013C" w:rsidRPr="002E2886">
        <w:t>[24]</w:t>
      </w:r>
      <w:r w:rsidR="00FE013C">
        <w:rPr>
          <w:color w:val="auto"/>
        </w:rPr>
        <w:fldChar w:fldCharType="end"/>
      </w:r>
      <w:r w:rsidR="00FE013C">
        <w:rPr>
          <w:color w:val="auto"/>
        </w:rPr>
        <w:t>, where its i</w:t>
      </w:r>
      <w:r w:rsidR="00FE013C" w:rsidRPr="009E3649">
        <w:rPr>
          <w:color w:val="auto"/>
        </w:rPr>
        <w:t>mplementation will take several years.</w:t>
      </w:r>
    </w:p>
    <w:p w14:paraId="21FAE95C" w14:textId="77777777" w:rsidR="00FE013C" w:rsidRDefault="00FE013C" w:rsidP="004C16FF">
      <w:pPr>
        <w:pStyle w:val="Heading20"/>
        <w:jc w:val="both"/>
        <w:rPr>
          <w:color w:val="auto"/>
        </w:rPr>
      </w:pPr>
      <w:r w:rsidRPr="00962BDF">
        <w:rPr>
          <w:color w:val="auto"/>
          <w:lang w:val="en-CA"/>
        </w:rPr>
        <w:t>1.</w:t>
      </w:r>
      <w:r>
        <w:rPr>
          <w:color w:val="auto"/>
          <w:lang w:val="en-CA"/>
        </w:rPr>
        <w:t>4</w:t>
      </w:r>
      <w:r w:rsidRPr="00962BDF">
        <w:rPr>
          <w:color w:val="auto"/>
          <w:lang w:val="en-CA"/>
        </w:rPr>
        <w:t xml:space="preserve">. </w:t>
      </w:r>
      <w:r w:rsidRPr="003F6317">
        <w:rPr>
          <w:color w:val="auto"/>
        </w:rPr>
        <w:t>Scope and Objectives</w:t>
      </w:r>
    </w:p>
    <w:p w14:paraId="3D223491" w14:textId="542EED01" w:rsidR="00CD1F98" w:rsidRPr="00FA5849" w:rsidRDefault="00CD1F98" w:rsidP="00CD1F98">
      <w:pPr>
        <w:pStyle w:val="Text"/>
        <w:rPr>
          <w:color w:val="auto"/>
          <w:highlight w:val="yellow"/>
        </w:rPr>
      </w:pPr>
      <w:r w:rsidRPr="00FA5849">
        <w:rPr>
          <w:color w:val="auto"/>
          <w:highlight w:val="yellow"/>
        </w:rPr>
        <w:t>The study is based on planning, design, and operation of AI data centers that run on 10MW-1000MW, with majority of their power sourced from renewable sources. Its goal is not to build an optimization model unique to the site, but to collate and evaluate the existing knowledge base of technical, economic, operational and sustainability issues related to AI computing infrastructure powered by renewables.</w:t>
      </w:r>
    </w:p>
    <w:p w14:paraId="21C255D7" w14:textId="2747306F" w:rsidR="00CD1F98" w:rsidRPr="00FA5849" w:rsidRDefault="00CD1F98" w:rsidP="00CD1F98">
      <w:pPr>
        <w:pStyle w:val="Text"/>
        <w:rPr>
          <w:color w:val="auto"/>
          <w:highlight w:val="yellow"/>
        </w:rPr>
      </w:pPr>
      <w:r w:rsidRPr="00FA5849">
        <w:rPr>
          <w:color w:val="auto"/>
          <w:highlight w:val="yellow"/>
        </w:rPr>
        <w:t>This work is guided by 3 primary objectives:</w:t>
      </w:r>
    </w:p>
    <w:p w14:paraId="0B0DFD68" w14:textId="074E50E8" w:rsidR="00CD1F98" w:rsidRPr="00FA5849" w:rsidRDefault="00CD1F98" w:rsidP="00CD1F98">
      <w:pPr>
        <w:pStyle w:val="Text"/>
        <w:rPr>
          <w:color w:val="auto"/>
          <w:highlight w:val="yellow"/>
        </w:rPr>
      </w:pPr>
      <w:r w:rsidRPr="00FA5849">
        <w:rPr>
          <w:color w:val="auto"/>
          <w:highlight w:val="yellow"/>
        </w:rPr>
        <w:lastRenderedPageBreak/>
        <w:t>(</w:t>
      </w:r>
      <w:r w:rsidR="005D213B" w:rsidRPr="00FA5849">
        <w:rPr>
          <w:color w:val="auto"/>
          <w:highlight w:val="yellow"/>
        </w:rPr>
        <w:t>1</w:t>
      </w:r>
      <w:r w:rsidRPr="00FA5849">
        <w:rPr>
          <w:color w:val="auto"/>
          <w:highlight w:val="yellow"/>
        </w:rPr>
        <w:t>) To compile existing knowledge about electrical systems, renewable energy sources, energy storage, grid integration, cooling solutions and workload-flexibility solutions associated with AI data centers.</w:t>
      </w:r>
    </w:p>
    <w:p w14:paraId="6DE64967" w14:textId="01810BFF" w:rsidR="00CD1F98" w:rsidRPr="00FA5849" w:rsidRDefault="00CD1F98" w:rsidP="005D213B">
      <w:pPr>
        <w:pStyle w:val="Text"/>
        <w:rPr>
          <w:color w:val="auto"/>
          <w:highlight w:val="yellow"/>
        </w:rPr>
      </w:pPr>
      <w:r w:rsidRPr="00FA5849">
        <w:rPr>
          <w:color w:val="auto"/>
          <w:highlight w:val="yellow"/>
        </w:rPr>
        <w:t>(2) To develop a uniform basis for comparing technology costs, reliability metrics, energy-storage options, and pathways to delivered electricity, and to identify assumptions, uncertainties, and constraints affecting project-specific assessments.</w:t>
      </w:r>
    </w:p>
    <w:p w14:paraId="6ED8A9D6" w14:textId="62829997" w:rsidR="00CD1F98" w:rsidRPr="00FA5849" w:rsidRDefault="00CD1F98" w:rsidP="005D213B">
      <w:pPr>
        <w:pStyle w:val="Text"/>
        <w:rPr>
          <w:color w:val="auto"/>
          <w:highlight w:val="yellow"/>
        </w:rPr>
      </w:pPr>
      <w:r w:rsidRPr="00FA5849">
        <w:rPr>
          <w:color w:val="auto"/>
          <w:highlight w:val="yellow"/>
        </w:rPr>
        <w:t>(3) To transform the reviewed evidence into a seven-component decision framework and show its application by a critical analysis of publicly reported industry practices, such as Google, Meta, Microsoft, Equinix, and Apple.</w:t>
      </w:r>
    </w:p>
    <w:p w14:paraId="31E7470C" w14:textId="465CDA08" w:rsidR="00F179C7" w:rsidRDefault="00CD1F98" w:rsidP="00CD1F98">
      <w:pPr>
        <w:pStyle w:val="Text"/>
        <w:rPr>
          <w:color w:val="auto"/>
        </w:rPr>
      </w:pPr>
      <w:r w:rsidRPr="005A7A28">
        <w:rPr>
          <w:color w:val="auto"/>
          <w:highlight w:val="yellow"/>
        </w:rPr>
        <w:t xml:space="preserve">The resulting framework is intentionally modular, </w:t>
      </w:r>
      <w:r w:rsidR="00E45AB1" w:rsidRPr="005A7A28">
        <w:rPr>
          <w:color w:val="auto"/>
          <w:highlight w:val="yellow"/>
        </w:rPr>
        <w:t>geographically adaptable and intended for preliminary application across a range of resource conditions, grid environments, climates, and facility</w:t>
      </w:r>
      <w:r w:rsidRPr="005A7A28">
        <w:rPr>
          <w:color w:val="auto"/>
          <w:highlight w:val="yellow"/>
        </w:rPr>
        <w:t xml:space="preserve">. The framework incorporates both engineering and operational considerations while also addressing economic and sustainability factors </w:t>
      </w:r>
      <w:r w:rsidR="0035312F" w:rsidRPr="005A7A28">
        <w:rPr>
          <w:color w:val="auto"/>
          <w:highlight w:val="yellow"/>
        </w:rPr>
        <w:t xml:space="preserve">within a common analytical structure </w:t>
      </w:r>
      <w:r w:rsidRPr="005A7A28">
        <w:rPr>
          <w:color w:val="auto"/>
          <w:highlight w:val="yellow"/>
        </w:rPr>
        <w:t>to tackle the lack of resources in the current literature and to offer a systematic approach to assessing renewable energy powered AI data center development.</w:t>
      </w:r>
    </w:p>
    <w:p w14:paraId="3DD172AB" w14:textId="0FF48036" w:rsidR="00FE013C" w:rsidRPr="00210251" w:rsidRDefault="00FE013C" w:rsidP="00210251">
      <w:pPr>
        <w:pStyle w:val="Heading20"/>
        <w:jc w:val="both"/>
        <w:rPr>
          <w:color w:val="auto"/>
          <w:lang w:val="en-CA"/>
        </w:rPr>
      </w:pPr>
      <w:r w:rsidRPr="00210251">
        <w:rPr>
          <w:color w:val="auto"/>
          <w:lang w:val="en-CA"/>
        </w:rPr>
        <w:t>1.5. Research Gap and Paper Statement</w:t>
      </w:r>
    </w:p>
    <w:p w14:paraId="2728DC78" w14:textId="6C99A983" w:rsidR="00FE013C" w:rsidRPr="00070841" w:rsidRDefault="00FE013C" w:rsidP="004C16FF">
      <w:pPr>
        <w:pStyle w:val="Text"/>
        <w:rPr>
          <w:color w:val="auto"/>
        </w:rPr>
      </w:pPr>
      <w:r w:rsidRPr="00070841">
        <w:rPr>
          <w:color w:val="auto"/>
        </w:rPr>
        <w:t xml:space="preserve">Although there are numerous studies on individual aspects of renewable electricity integration, in practical terms, there is a lack of comprehensive studies that account for all aspects of the process of designing and operating a data center with renewable power. Most of the published literature has concentrated on one of two aspects: either the technical side of power systems or the economic side of energy procurement, with no attempt to integrate both, </w:t>
      </w:r>
      <w:r w:rsidRPr="00B856CD">
        <w:rPr>
          <w:color w:val="auto"/>
        </w:rPr>
        <w:t>leaving a critical gap where the technical and economic dimensions are not integrated</w:t>
      </w:r>
      <w:r w:rsidRPr="00B856CD" w:rsidDel="00B856CD">
        <w:rPr>
          <w:color w:val="auto"/>
        </w:rPr>
        <w:t xml:space="preserve"> </w:t>
      </w:r>
      <w:r>
        <w:rPr>
          <w:color w:val="auto"/>
        </w:rPr>
        <w:fldChar w:fldCharType="begin"/>
      </w:r>
      <w:r>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Pr>
          <w:color w:val="auto"/>
        </w:rPr>
        <w:fldChar w:fldCharType="separate"/>
      </w:r>
      <w:r w:rsidRPr="00E342F7">
        <w:t>[25]</w:t>
      </w:r>
      <w:r>
        <w:rPr>
          <w:color w:val="auto"/>
        </w:rPr>
        <w:fldChar w:fldCharType="end"/>
      </w:r>
      <w:r w:rsidRPr="00070841">
        <w:rPr>
          <w:color w:val="auto"/>
        </w:rPr>
        <w:t xml:space="preserve">. Furthermore, the dynamic nature of AI workloads, </w:t>
      </w:r>
      <w:r w:rsidR="005A7A28" w:rsidRPr="005A7A28">
        <w:rPr>
          <w:color w:val="auto"/>
        </w:rPr>
        <w:t>with the continuing shift toward increasingly power-dense accelerators</w:t>
      </w:r>
      <w:r w:rsidRPr="00070841">
        <w:rPr>
          <w:color w:val="auto"/>
        </w:rPr>
        <w:t>, necessitates an analysis that is in line with the latest hardware capabilities and their impact on creating effective infrastructure implementations</w:t>
      </w:r>
      <w:r>
        <w:rPr>
          <w:color w:val="auto"/>
        </w:rPr>
        <w:fldChar w:fldCharType="begin"/>
      </w:r>
      <w:r>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URL":"https://www.belfercenter.org/research-analysis/ai-data-centers-us-electric-grid","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Pr>
          <w:color w:val="auto"/>
        </w:rPr>
        <w:fldChar w:fldCharType="separate"/>
      </w:r>
      <w:r w:rsidRPr="00A8646E">
        <w:t>[26]</w:t>
      </w:r>
      <w:r>
        <w:rPr>
          <w:color w:val="auto"/>
        </w:rPr>
        <w:fldChar w:fldCharType="end"/>
      </w:r>
      <w:r w:rsidRPr="00070841">
        <w:rPr>
          <w:color w:val="auto"/>
        </w:rPr>
        <w:t>.</w:t>
      </w:r>
    </w:p>
    <w:p w14:paraId="659EB2F8" w14:textId="08EC0261" w:rsidR="00FE013C" w:rsidRDefault="00F66AD3" w:rsidP="00C00C59">
      <w:pPr>
        <w:pStyle w:val="Text"/>
        <w:rPr>
          <w:color w:val="auto"/>
        </w:rPr>
      </w:pPr>
      <w:r w:rsidRPr="00F66AD3">
        <w:rPr>
          <w:color w:val="auto"/>
        </w:rPr>
        <w:t>This study addresses this gap by synthesizing the reviewed evidence into a seven-component decision framework for evaluating renewable-powered AI data-center infrastructure.</w:t>
      </w:r>
      <w:r w:rsidR="00C00C59">
        <w:rPr>
          <w:color w:val="auto"/>
        </w:rPr>
        <w:t xml:space="preserve"> </w:t>
      </w:r>
      <w:r w:rsidR="00FE013C" w:rsidRPr="00070841">
        <w:rPr>
          <w:color w:val="auto"/>
        </w:rPr>
        <w:t xml:space="preserve">The framework covers the following aspects. </w:t>
      </w:r>
    </w:p>
    <w:p w14:paraId="1444C9F5" w14:textId="77777777" w:rsidR="00FE013C" w:rsidRDefault="00FE013C" w:rsidP="004C16FF">
      <w:pPr>
        <w:pStyle w:val="Text"/>
        <w:rPr>
          <w:color w:val="auto"/>
        </w:rPr>
      </w:pPr>
      <w:r w:rsidRPr="00070841">
        <w:rPr>
          <w:color w:val="auto"/>
        </w:rPr>
        <w:t xml:space="preserve">(1) Site assessment and resource evaluation, </w:t>
      </w:r>
    </w:p>
    <w:p w14:paraId="2E048B21" w14:textId="77777777" w:rsidR="00FE013C" w:rsidRDefault="00FE013C" w:rsidP="004C16FF">
      <w:pPr>
        <w:pStyle w:val="Text"/>
        <w:rPr>
          <w:color w:val="auto"/>
        </w:rPr>
      </w:pPr>
      <w:r w:rsidRPr="00070841">
        <w:rPr>
          <w:color w:val="auto"/>
        </w:rPr>
        <w:t xml:space="preserve">(2) Technology mix optimization, </w:t>
      </w:r>
    </w:p>
    <w:p w14:paraId="7F5A43A1" w14:textId="77777777" w:rsidR="00FE013C" w:rsidRDefault="00FE013C" w:rsidP="004C16FF">
      <w:pPr>
        <w:pStyle w:val="Text"/>
        <w:rPr>
          <w:color w:val="auto"/>
        </w:rPr>
      </w:pPr>
      <w:r w:rsidRPr="00070841">
        <w:rPr>
          <w:color w:val="auto"/>
        </w:rPr>
        <w:t xml:space="preserve">(3) Electrical architecture and integration design, </w:t>
      </w:r>
    </w:p>
    <w:p w14:paraId="44E1851A" w14:textId="77777777" w:rsidR="00FE013C" w:rsidRDefault="00FE013C" w:rsidP="004C16FF">
      <w:pPr>
        <w:pStyle w:val="Text"/>
        <w:rPr>
          <w:color w:val="auto"/>
        </w:rPr>
      </w:pPr>
      <w:r w:rsidRPr="00070841">
        <w:rPr>
          <w:color w:val="auto"/>
        </w:rPr>
        <w:t xml:space="preserve">(4) Hierarchical control and dispatch strategies, </w:t>
      </w:r>
    </w:p>
    <w:p w14:paraId="1ABC1BFA" w14:textId="77777777" w:rsidR="00FE013C" w:rsidRDefault="00FE013C" w:rsidP="004C16FF">
      <w:pPr>
        <w:pStyle w:val="Text"/>
        <w:rPr>
          <w:color w:val="auto"/>
        </w:rPr>
      </w:pPr>
      <w:r w:rsidRPr="00070841">
        <w:rPr>
          <w:color w:val="auto"/>
        </w:rPr>
        <w:t xml:space="preserve">(5) Demand-side workload flexibility, </w:t>
      </w:r>
    </w:p>
    <w:p w14:paraId="3D89FE04" w14:textId="77777777" w:rsidR="00FE013C" w:rsidRDefault="00FE013C" w:rsidP="004C16FF">
      <w:pPr>
        <w:pStyle w:val="Text"/>
        <w:rPr>
          <w:color w:val="auto"/>
        </w:rPr>
      </w:pPr>
      <w:r w:rsidRPr="00070841">
        <w:rPr>
          <w:color w:val="auto"/>
        </w:rPr>
        <w:t xml:space="preserve">(6) Economic viability modelling, and </w:t>
      </w:r>
    </w:p>
    <w:p w14:paraId="71E2C222" w14:textId="7EDB4799" w:rsidR="00FE013C" w:rsidRDefault="00FE013C" w:rsidP="004C16FF">
      <w:pPr>
        <w:pStyle w:val="Text"/>
        <w:rPr>
          <w:color w:val="auto"/>
        </w:rPr>
      </w:pPr>
      <w:r w:rsidRPr="00070841">
        <w:rPr>
          <w:color w:val="auto"/>
        </w:rPr>
        <w:t xml:space="preserve">(7) </w:t>
      </w:r>
      <w:r w:rsidRPr="00FB48A0">
        <w:rPr>
          <w:color w:val="auto"/>
        </w:rPr>
        <w:t>Resilience and sustainability compliance</w:t>
      </w:r>
      <w:r w:rsidR="00384D46">
        <w:rPr>
          <w:color w:val="auto"/>
        </w:rPr>
        <w:t>.</w:t>
      </w:r>
    </w:p>
    <w:p w14:paraId="233E74A9" w14:textId="7CB4BB4A" w:rsidR="00FE013C" w:rsidRPr="00070841" w:rsidRDefault="00FE013C" w:rsidP="004C16FF">
      <w:pPr>
        <w:pStyle w:val="Text"/>
        <w:rPr>
          <w:color w:val="auto"/>
        </w:rPr>
      </w:pPr>
      <w:r w:rsidRPr="00070841">
        <w:rPr>
          <w:color w:val="auto"/>
        </w:rPr>
        <w:t xml:space="preserve">The main argument is that hybrid systems integrating renewable energy generation, energy storage, power grid interconnection, and demand-side flexibility can enable the economically sustainable, </w:t>
      </w:r>
      <w:r w:rsidR="004D7160" w:rsidRPr="004D7160">
        <w:rPr>
          <w:color w:val="auto"/>
        </w:rPr>
        <w:t xml:space="preserve">lower-carbon and reliable, subject to project-specific technical and economic constraints </w:t>
      </w:r>
      <w:r w:rsidRPr="00070841">
        <w:rPr>
          <w:color w:val="auto"/>
        </w:rPr>
        <w:t xml:space="preserve">operation of AI data </w:t>
      </w:r>
      <w:r w:rsidR="00232D2E" w:rsidRPr="00070841">
        <w:rPr>
          <w:color w:val="auto"/>
        </w:rPr>
        <w:t>centers</w:t>
      </w:r>
      <w:r w:rsidRPr="00070841">
        <w:rPr>
          <w:color w:val="auto"/>
        </w:rPr>
        <w:t xml:space="preserve"> in various geographical and climatic environments.</w:t>
      </w:r>
    </w:p>
    <w:p w14:paraId="76612CC8" w14:textId="2F6DEDB9" w:rsidR="00022D60" w:rsidRPr="00BD5E10" w:rsidRDefault="00022D60" w:rsidP="00022D60">
      <w:pPr>
        <w:pStyle w:val="Text"/>
        <w:rPr>
          <w:color w:val="auto"/>
        </w:rPr>
      </w:pPr>
      <w:r w:rsidRPr="00022D60">
        <w:rPr>
          <w:color w:val="auto"/>
        </w:rPr>
        <w:lastRenderedPageBreak/>
        <w:t>The remainder of this study is organized as follows. Section 2 critically reviews the existing literature and identifies the gaps addressed by this study. Section 3 summarizes electrical and load characteristics relevant to AI data centers. Section 4 reviews renewable-resource assessment, and Section 5 examines storage and backup technologies. Section 6 discusses power-system modeling and simulation methods. Section 7 presents the seven-component decision framework, while Section 8 compares the framework with publicly reported industry practices. Section 9 synthesizes major technical implementation challenges. Section 10 evaluates cost metrics, procurement, and project-specific financial assessment. Section 11 reviews operational strategies and workload flexibility, and Section 12 addresses regulation and sustainability. Section 13 states the review limitations, Section 14 presents the conclusions, and Section 15 identifies priority research directions.</w:t>
      </w:r>
    </w:p>
    <w:p w14:paraId="1CD78179" w14:textId="4CCF2DF9" w:rsidR="00CD098A" w:rsidRPr="001718D7" w:rsidRDefault="00CD098A" w:rsidP="00BD5E10">
      <w:pPr>
        <w:pStyle w:val="Heading20"/>
        <w:jc w:val="both"/>
        <w:rPr>
          <w:color w:val="auto"/>
          <w:highlight w:val="yellow"/>
          <w:lang w:val="en-CA"/>
        </w:rPr>
      </w:pPr>
      <w:r w:rsidRPr="001718D7">
        <w:rPr>
          <w:color w:val="auto"/>
          <w:highlight w:val="yellow"/>
          <w:lang w:val="en-CA"/>
        </w:rPr>
        <w:t>1.6. Review Methodology</w:t>
      </w:r>
    </w:p>
    <w:p w14:paraId="7920614B" w14:textId="0E0BD257" w:rsidR="009D6F40" w:rsidRDefault="009D6F40" w:rsidP="009D6F40">
      <w:pPr>
        <w:pStyle w:val="Text"/>
        <w:rPr>
          <w:color w:val="auto"/>
          <w:highlight w:val="yellow"/>
        </w:rPr>
      </w:pPr>
      <w:r w:rsidRPr="009D6F40">
        <w:rPr>
          <w:color w:val="auto"/>
          <w:highlight w:val="yellow"/>
        </w:rPr>
        <w:t>To enhance transparency and reproducibility, the method of identifying, screening, and synthesizing literature from literature into this critical review was followed according to the PRISMA 2020 [27] guidelines. It aimed to gather and review the evidence on the energy infrastructure of the AI data center, focusing specifically on electricity demand and load characteristics, electrical infrastructure, renewable energy integration, energy storage, grid interaction, reliability and resilience, power quality, workload flexibility, techno-economic performance, sustainability, and new energy management approaches to AI data centers</w:t>
      </w:r>
      <w:r>
        <w:rPr>
          <w:color w:val="auto"/>
          <w:highlight w:val="yellow"/>
        </w:rPr>
        <w:fldChar w:fldCharType="begin"/>
      </w:r>
      <w:r>
        <w:rPr>
          <w:color w:val="auto"/>
          <w:highlight w:val="yellow"/>
        </w:rPr>
        <w:instrText xml:space="preserve"> ADDIN ZOTERO_ITEM CSL_CITATION {"citationID":"ARSZS6hi","properties":{"unsorted":false,"formattedCitation":"[27]","plainCitation":"[27]","noteIndex":0},"citationItems":[{"id":2737,"uris":["http://zotero.org/users/9870935/items/PY7M5MEC"],"itemData":{"id":2737,"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Pr>
          <w:color w:val="auto"/>
          <w:highlight w:val="yellow"/>
        </w:rPr>
        <w:fldChar w:fldCharType="separate"/>
      </w:r>
      <w:r w:rsidRPr="00C3721E">
        <w:rPr>
          <w:highlight w:val="yellow"/>
        </w:rPr>
        <w:t>[27]</w:t>
      </w:r>
      <w:r>
        <w:rPr>
          <w:color w:val="auto"/>
          <w:highlight w:val="yellow"/>
        </w:rPr>
        <w:fldChar w:fldCharType="end"/>
      </w:r>
      <w:r w:rsidRPr="009D6F40">
        <w:rPr>
          <w:color w:val="auto"/>
          <w:highlight w:val="yellow"/>
        </w:rPr>
        <w:t>.</w:t>
      </w:r>
    </w:p>
    <w:p w14:paraId="1ACF091C" w14:textId="0F748C6C" w:rsidR="00F1462E" w:rsidRDefault="00F1462E" w:rsidP="00F1462E">
      <w:pPr>
        <w:pStyle w:val="Text"/>
        <w:rPr>
          <w:color w:val="auto"/>
          <w:highlight w:val="yellow"/>
        </w:rPr>
      </w:pPr>
      <w:r w:rsidRPr="00F1462E">
        <w:rPr>
          <w:color w:val="auto"/>
          <w:highlight w:val="yellow"/>
        </w:rPr>
        <w:t>The evidence base was not exclusive to peer-reviewed journal-based publications, as the subject involved power engineering, data centre infrastructure, energy markets, evolving industrial practices and technical standards. Peer-reviewed studies provided the principal scientific and engineering evidence, with the inclusion of technical standards, government and institutional reports, and selected corporate and industry publications where they provided relevant information that was either not available or adequately represented in the peer-reviewed studies literature. The evidence generated was not combined through statistical meta-analysis, due to significant technology, system boundary, geographic, cost definition, reliability criteria, analytical assumption, and performance metric differences between the reports.</w:t>
      </w:r>
    </w:p>
    <w:p w14:paraId="763016BC" w14:textId="36A54EC3" w:rsidR="00CD098A" w:rsidRPr="001718D7" w:rsidRDefault="00CD098A" w:rsidP="00F1462E">
      <w:pPr>
        <w:pStyle w:val="Heading20"/>
        <w:jc w:val="both"/>
        <w:rPr>
          <w:color w:val="auto"/>
          <w:highlight w:val="yellow"/>
          <w:lang w:val="en-CA"/>
        </w:rPr>
      </w:pPr>
      <w:r w:rsidRPr="001718D7">
        <w:rPr>
          <w:color w:val="auto"/>
          <w:highlight w:val="yellow"/>
          <w:lang w:val="en-CA"/>
        </w:rPr>
        <w:t xml:space="preserve">1.6.1 </w:t>
      </w:r>
      <w:r w:rsidR="00F1462E" w:rsidRPr="00F1462E">
        <w:rPr>
          <w:color w:val="auto"/>
          <w:highlight w:val="yellow"/>
        </w:rPr>
        <w:t>Search Strategy and Evidence Identification</w:t>
      </w:r>
    </w:p>
    <w:p w14:paraId="752CF694" w14:textId="77777777" w:rsidR="0007705D" w:rsidRDefault="0007705D" w:rsidP="0007705D">
      <w:pPr>
        <w:pStyle w:val="Text"/>
        <w:rPr>
          <w:color w:val="auto"/>
          <w:highlight w:val="yellow"/>
        </w:rPr>
      </w:pPr>
      <w:r w:rsidRPr="0007705D">
        <w:rPr>
          <w:color w:val="auto"/>
          <w:highlight w:val="yellow"/>
        </w:rPr>
        <w:t xml:space="preserve">The main bibliographic search focused on publications between 2015 and 2026. When they laid the foundations for new methodologies, engineering principles, technical standards, analytical models, or broadly adopted metrics relevant to data-center and contemporary power-system applications were developed, these “earlier” publications were considered “selectively” for inclusion. The most common way to localize peer-reviewed literature was to search on Scopus, Web of Science Core Collection and IEEE Xplore. Science Direct was utilized as an alternative full-text discovery tool, while Google Scholar was focused more on complementary discovery, tracing cited references and identifying potentially relevant literature that was not found in the bibliographic databases. Backward- and forward-tracing of literature documents relevant to the database search were done. </w:t>
      </w:r>
    </w:p>
    <w:p w14:paraId="680EC364" w14:textId="04BC21C8" w:rsidR="0007705D" w:rsidRDefault="0007705D" w:rsidP="00AE6106">
      <w:pPr>
        <w:pStyle w:val="Text"/>
        <w:rPr>
          <w:color w:val="auto"/>
          <w:highlight w:val="yellow"/>
        </w:rPr>
      </w:pPr>
      <w:r w:rsidRPr="0007705D">
        <w:rPr>
          <w:color w:val="auto"/>
          <w:highlight w:val="yellow"/>
        </w:rPr>
        <w:t>The search strategy focused on combinations of concept groups that represented the main technical themes of the review. These included: (i) artificial intelligence, high-performance computing, and data-</w:t>
      </w:r>
      <w:r w:rsidRPr="0007705D">
        <w:rPr>
          <w:color w:val="auto"/>
          <w:highlight w:val="yellow"/>
        </w:rPr>
        <w:lastRenderedPageBreak/>
        <w:t xml:space="preserve">center infrastructure; (ii) electricity demand, electrical architecture, and power quality; (iii) renewable and low-carbon electricity generation; (iv) battery and long-duration energy storage; (v) microgrids, grid integration, interconnection, and reliability; (vi) energy management, forecasting, control, and workload flexibility; and (vii) techno-economic, environmental, and sustainability assessment. Within each of these concept clusters, key word searches were used in conjunction with Boolean operators as needed. </w:t>
      </w:r>
      <w:r w:rsidR="00AE6106" w:rsidRPr="00AE6106">
        <w:rPr>
          <w:color w:val="auto"/>
          <w:highlight w:val="yellow"/>
        </w:rPr>
        <w:t>Indexing structures, searchable fields, query-length constraints, and search-term conventions vary across bibliographic databases; therefore, the search syntax was adapted to the requirements of each platform while maintaining the same underlying concept groups. The review records the search concept groups and database coverage used for evidence identification; however, verbatim search histories were not preserved for every individual search. Accordingly, database-specific Boolean strings are not presented as exact archival reproductions, and no retrospective search syntax has been fabricated.</w:t>
      </w:r>
    </w:p>
    <w:p w14:paraId="5859BB45" w14:textId="0042C6F0" w:rsidR="0007705D" w:rsidRDefault="00A84892" w:rsidP="00A84892">
      <w:pPr>
        <w:pStyle w:val="Text"/>
        <w:rPr>
          <w:color w:val="auto"/>
          <w:highlight w:val="yellow"/>
        </w:rPr>
      </w:pPr>
      <w:r w:rsidRPr="00A84892">
        <w:rPr>
          <w:color w:val="auto"/>
          <w:highlight w:val="yellow"/>
        </w:rPr>
        <w:t xml:space="preserve">The search was extended beyond journal and conference databases to include technical standards, government and agency reports, regulatory documents, market reports, and selected corporate publications. Sources from the International Energy Agency (IEA), International Renewable Energy Agency (IRENA), National Renewable Energy Laboratory (NREL), Uptime Institute, North American Electric Reliability Corporation (NERC), Northeast Power Coordinating Council (NPCC), Institute of Electrical and Electronics Engineers (IEEE), and International Electrotechnical Commission (IEC) were considered where relevant to the topics covered in this review. Commercial and market sources, including BloombergNEF (BNEF), were used selectively when recent information on technology costs, market conditions, or deployment was not adequately covered in the peer-reviewed literature. The grey-literature search was intended to complement, rather than replace, the academic literature and was not designed as an exhaustive search of all non-academic sources. These materials were considered for inclusion based on their relevance to the review, technical content, transparency of the reported information, and usefulness for evaluating energy infrastructure for AI data centers. </w:t>
      </w:r>
      <w:r w:rsidR="0007705D">
        <w:rPr>
          <w:color w:val="auto"/>
          <w:highlight w:val="yellow"/>
        </w:rPr>
        <w:fldChar w:fldCharType="begin"/>
      </w:r>
      <w:r w:rsidR="0007705D">
        <w:rPr>
          <w:color w:val="auto"/>
          <w:highlight w:val="yellow"/>
        </w:rPr>
        <w:instrText xml:space="preserve"> ADDIN ZOTERO_ITEM CSL_CITATION {"citationID":"4FNMUtNO","properties":{"unsorted":false,"formattedCitation":"[27], [28]","plainCitation":"[27], [28]","noteIndex":0},"citationItems":[{"id":2737,"uris":["http://zotero.org/users/9870935/items/PY7M5MEC"],"itemData":{"id":2737,"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A"},{"family":"Whiting","given":"Penny"},{"family":"Moher","given":"David"}],"issued":{"date-parts":[["2021",3,29]]}}},{"id":2739,"uris":["http://zotero.org/users/9870935/items/DJZN9IVU"],"itemData":{"id":2739,"type":"article-journal","abstract":"Abstract\n            \n              Background\n              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elaboration.\n            \n            \n              Methods\n              The checklist was developed using a 3-stage Delphi survey process, followed by a consensus conference and public review process.\n            \n            \n              Results\n              The final checklist includes 16 reporting items, each of which is detailed with exemplar reporting and rationale.\n            \n            \n              Conclusions\n              The intent of PRISMA-S is to complement the PRISMA Statement and its extensions by providing a checklist that could be used by interdisciplinary authors, editors, and peer reviewers to verify that each component of a search is completely reported and therefore reproducible.","container-title":"Systematic Reviews","DOI":"10.1186/s13643-020-01542-z","ISSN":"2046-4053","issue":"1","journalAbbreviation":"Syst Rev","language":"en","page":"39","source":"DOI.org (Crossref)","title":"PRISMA-S: an extension to the PRISMA Statement for Reporting Literature Searches in Systematic Reviews","title-short":"PRISMA-S","volume":"10","author":[{"family":"Rethlefsen","given":"Melissa L."},{"family":"Kirtley","given":"Shona"},{"family":"Waffenschmidt","given":"Siw"},{"family":"Ayala","given":"Ana Patricia"},{"family":"Moher","given":"David"},{"family":"Page","given":"Matthew J."},{"family":"Koffel","given":"Jonathan B."},{"literal":"PRISMA-S Group"},{"family":"Blunt","given":"Heather"},{"family":"Brigham","given":"Tara"},{"family":"Chang","given":"Steven"},{"family":"Clark","given":"Justin"},{"family":"Conway","given":"Aislinn"},{"family":"Couban","given":"Rachel"},{"family":"De Kock","given":"Shelley"},{"family":"Farrah","given":"Kelly"},{"family":"Fehrmann","given":"Paul"},{"family":"Foster","given":"Margaret"},{"family":"Fowler","given":"Susan A."},{"family":"Glanville","given":"Julie"},{"family":"Harris","given":"Elizabeth"},{"family":"Hoffecker","given":"Lilian"},{"family":"Isojarvi","given":"Jaana"},{"family":"Kaunelis","given":"David"},{"family":"Ket","given":"Hans"},{"family":"Levay","given":"Paul"},{"family":"Lyon","given":"Jennifer"},{"family":"McGowan","given":"Jessie"},{"family":"Murad","given":"M. Hassan"},{"family":"Nicholson","given":"Joey"},{"family":"Pannabecker","given":"Virginia"},{"family":"Paynter","given":"Robin"},{"family":"Pinotti","given":"Rachel"},{"family":"Ross-White","given":"Amanda"},{"family":"Sampson","given":"Margaret"},{"family":"Shields","given":"Tracy"},{"family":"Stevens","given":"Adrienne"},{"family":"Sutton","given":"Anthea"},{"family":"Weinfurter","given":"Elizabeth"},{"family":"Wright","given":"Kath"},{"family":"Young","given":"Sarah"}],"issued":{"date-parts":[["2021",1,26]]}}}],"schema":"https://github.com/citation-style-language/schema/raw/master/csl-citation.json"} </w:instrText>
      </w:r>
      <w:r w:rsidR="0007705D">
        <w:rPr>
          <w:color w:val="auto"/>
          <w:highlight w:val="yellow"/>
        </w:rPr>
        <w:fldChar w:fldCharType="separate"/>
      </w:r>
      <w:r w:rsidR="0007705D" w:rsidRPr="00827A89">
        <w:rPr>
          <w:highlight w:val="yellow"/>
        </w:rPr>
        <w:t>[27], [28]</w:t>
      </w:r>
      <w:r w:rsidR="0007705D">
        <w:rPr>
          <w:color w:val="auto"/>
          <w:highlight w:val="yellow"/>
        </w:rPr>
        <w:fldChar w:fldCharType="end"/>
      </w:r>
      <w:r w:rsidR="0007705D" w:rsidRPr="0007705D">
        <w:rPr>
          <w:color w:val="auto"/>
          <w:highlight w:val="yellow"/>
        </w:rPr>
        <w:t>.</w:t>
      </w:r>
    </w:p>
    <w:p w14:paraId="6D49C8F4" w14:textId="32A6D116" w:rsidR="00CD098A" w:rsidRPr="001718D7" w:rsidRDefault="00CD098A" w:rsidP="00957A14">
      <w:pPr>
        <w:pStyle w:val="Heading20"/>
        <w:jc w:val="both"/>
        <w:rPr>
          <w:color w:val="auto"/>
          <w:highlight w:val="yellow"/>
          <w:lang w:val="en-CA"/>
        </w:rPr>
      </w:pPr>
      <w:r w:rsidRPr="001718D7">
        <w:rPr>
          <w:color w:val="auto"/>
          <w:highlight w:val="yellow"/>
          <w:lang w:val="en-CA"/>
        </w:rPr>
        <w:t>1.6.2 Eligibility Criteria</w:t>
      </w:r>
    </w:p>
    <w:p w14:paraId="549B0834" w14:textId="77777777" w:rsidR="00E91C54" w:rsidRPr="00E91C54" w:rsidRDefault="000743C5" w:rsidP="00E91C54">
      <w:pPr>
        <w:pStyle w:val="Text"/>
        <w:rPr>
          <w:color w:val="auto"/>
          <w:highlight w:val="yellow"/>
        </w:rPr>
      </w:pPr>
      <w:r w:rsidRPr="000743C5">
        <w:rPr>
          <w:color w:val="auto"/>
          <w:highlight w:val="yellow"/>
        </w:rPr>
        <w:t xml:space="preserve">Sources were deemed eligible if they offered substantive evidence related to one or more domains to be examined in this review: AI and data centre electricity demand, electrical and power-system infrastructure, renewable electricity generation, energy-storage technologies, grid integration, microgrids, system reliability and resilience, power quality, energy management and control, workload flexibility and demand-side management, techno-economic assessment, sustainability and emissions performance, technical and/or regulatory requirements, and documented industrial deployment and technology-adoption strategies. </w:t>
      </w:r>
    </w:p>
    <w:p w14:paraId="57DDAD2C" w14:textId="77777777" w:rsidR="00E91C54" w:rsidRDefault="000743C5" w:rsidP="00E91C54">
      <w:pPr>
        <w:pStyle w:val="Text"/>
        <w:rPr>
          <w:color w:val="auto"/>
          <w:highlight w:val="yellow"/>
        </w:rPr>
      </w:pPr>
      <w:r w:rsidRPr="000743C5">
        <w:rPr>
          <w:color w:val="auto"/>
          <w:highlight w:val="yellow"/>
        </w:rPr>
        <w:t xml:space="preserve">The academic evidence base comprised peer-reviewed journal articles and conference papers. When such evidence was not sufficiently represented in peer-reviewed literature the following sources have been incorporated if they provided authoritative technical requirements, recent cost and market data, governmental and agency reports, operational data, deployment data, or other evidence: Sources were excluded if the main topic addressed was not within the scope of the review, if it was a later or more comprehensive version of a previous but similar source, if there was a lack of technical, </w:t>
      </w:r>
      <w:r w:rsidRPr="000743C5">
        <w:rPr>
          <w:color w:val="auto"/>
          <w:highlight w:val="yellow"/>
        </w:rPr>
        <w:lastRenderedPageBreak/>
        <w:t xml:space="preserve">methodological, or contextual information and the source was not suitable for meaningful evaluation, or if there was no evidence that could address the review questions despite the availability of the entire text. </w:t>
      </w:r>
    </w:p>
    <w:p w14:paraId="52175327" w14:textId="0BC9CD82" w:rsidR="00E91C54" w:rsidRPr="00E91C54" w:rsidRDefault="000743C5" w:rsidP="00E91C54">
      <w:pPr>
        <w:pStyle w:val="Text"/>
        <w:rPr>
          <w:color w:val="auto"/>
          <w:highlight w:val="yellow"/>
        </w:rPr>
      </w:pPr>
      <w:r w:rsidRPr="000743C5">
        <w:rPr>
          <w:color w:val="auto"/>
          <w:highlight w:val="yellow"/>
        </w:rPr>
        <w:t>Numerical cost and/or performance statements in sources were used when and only when there was a designated geographic context, vintage of the cited technology, system boundary, and underlying assumptions indicated; these were not necessarily treated as universal cost or performance 'benchmarks'. Publications prior to 2015 were retained only when they offered foundational standards, methodologies, analytical frameworks, engineering concepts, and set metrics that were still relevant to the issues being analyzed in the modern-time application. The age/citations criterion alone was not deemed to be adequate. Added to these factors for corporate, commercial, and other grey literature, the transparency of the metric reported, the reporting boundary, the availability of supporting methodological information and an availability of a more authoritative or independently verifiable source were given due consideration. Where there was an opportunity to collect company-reported sustainability and operational data, those data were kept but considered as a company-derived measure of evidence unless there was explicit evidence of independent verification.</w:t>
      </w:r>
    </w:p>
    <w:p w14:paraId="789120AF" w14:textId="7D7A262C" w:rsidR="00CD098A" w:rsidRPr="001718D7" w:rsidRDefault="00CD098A" w:rsidP="000743C5">
      <w:pPr>
        <w:pStyle w:val="Heading20"/>
        <w:jc w:val="both"/>
        <w:rPr>
          <w:color w:val="auto"/>
          <w:highlight w:val="yellow"/>
          <w:lang w:val="en-CA"/>
        </w:rPr>
      </w:pPr>
      <w:r w:rsidRPr="001718D7">
        <w:rPr>
          <w:color w:val="auto"/>
          <w:highlight w:val="yellow"/>
          <w:lang w:val="en-CA"/>
        </w:rPr>
        <w:t>1.6.3 Screening and Selection Process</w:t>
      </w:r>
    </w:p>
    <w:p w14:paraId="790F138A" w14:textId="77777777" w:rsidR="00E91C54" w:rsidRDefault="00E91C54" w:rsidP="00E91C54">
      <w:pPr>
        <w:pStyle w:val="Text"/>
        <w:rPr>
          <w:color w:val="auto"/>
          <w:highlight w:val="yellow"/>
        </w:rPr>
      </w:pPr>
      <w:r w:rsidRPr="00E91C54">
        <w:rPr>
          <w:color w:val="auto"/>
          <w:highlight w:val="yellow"/>
        </w:rPr>
        <w:t>The results of both the bibliographic and supplementary searches were screened for consistency with the scope and eligibility criteria outlined above. After screening, duplicate records and clearly out-of-scope publications were eliminated. The remaining records were investigated for technical relevance and, if needed, in full text. The qualitative synthesis was performed on sources meeting eligibility criteria.</w:t>
      </w:r>
    </w:p>
    <w:p w14:paraId="712F937D" w14:textId="5D48A08C" w:rsidR="00E91C54" w:rsidRDefault="00E91C54" w:rsidP="00E91C54">
      <w:pPr>
        <w:pStyle w:val="Text"/>
        <w:rPr>
          <w:color w:val="auto"/>
          <w:highlight w:val="yellow"/>
        </w:rPr>
      </w:pPr>
      <w:r w:rsidRPr="00E91C54">
        <w:rPr>
          <w:color w:val="auto"/>
          <w:highlight w:val="yellow"/>
        </w:rPr>
        <w:t xml:space="preserve">The final qualitative synthesis included </w:t>
      </w:r>
      <w:r w:rsidR="008F0689">
        <w:rPr>
          <w:color w:val="auto"/>
          <w:highlight w:val="yellow"/>
        </w:rPr>
        <w:t>78</w:t>
      </w:r>
      <w:r w:rsidRPr="00E91C54">
        <w:rPr>
          <w:color w:val="auto"/>
          <w:highlight w:val="yellow"/>
        </w:rPr>
        <w:t xml:space="preserve"> sources </w:t>
      </w:r>
      <w:r w:rsidR="008F0689">
        <w:rPr>
          <w:color w:val="auto"/>
          <w:highlight w:val="yellow"/>
        </w:rPr>
        <w:t>and t</w:t>
      </w:r>
      <w:r w:rsidRPr="00E91C54">
        <w:rPr>
          <w:color w:val="auto"/>
          <w:highlight w:val="yellow"/>
        </w:rPr>
        <w:t>he categories will progressively cover all 1</w:t>
      </w:r>
      <w:r w:rsidR="000D3426">
        <w:rPr>
          <w:color w:val="auto"/>
          <w:highlight w:val="yellow"/>
        </w:rPr>
        <w:t>78</w:t>
      </w:r>
      <w:r w:rsidRPr="00E91C54">
        <w:rPr>
          <w:color w:val="auto"/>
          <w:highlight w:val="yellow"/>
        </w:rPr>
        <w:t xml:space="preserve"> sources that compiled the screened evidence base for the main technical, economic, operational, reliability, regulatory, and sustainability synthesis.</w:t>
      </w:r>
      <w:r>
        <w:rPr>
          <w:color w:val="auto"/>
          <w:highlight w:val="yellow"/>
        </w:rPr>
        <w:t xml:space="preserve"> </w:t>
      </w:r>
      <w:r w:rsidRPr="00E91C54">
        <w:rPr>
          <w:color w:val="auto"/>
          <w:highlight w:val="yellow"/>
        </w:rPr>
        <w:t xml:space="preserve">The evidence is divided into analytical domains that were the main topics covered in the review: electricity-demand characteristics, renewable generation, energy storage, electrical architecture, grid integration, reliability and resilience, energy management and control, workload flexibility, economic performance, sustainability, industrial implementation. </w:t>
      </w:r>
      <w:r w:rsidR="00085109">
        <w:rPr>
          <w:color w:val="auto"/>
          <w:highlight w:val="yellow"/>
        </w:rPr>
        <w:t>Moreover</w:t>
      </w:r>
      <w:r w:rsidRPr="00E91C54">
        <w:rPr>
          <w:color w:val="auto"/>
          <w:highlight w:val="yellow"/>
        </w:rPr>
        <w:t>, evidence was compared across studies to get a sense of what was in common, which differences were noted, what assumptions and system boundaries were included and discussed, what technical and economic limitations were encountered, what methodological limitations were noted, and what gaps require further research.</w:t>
      </w:r>
    </w:p>
    <w:p w14:paraId="38CA8871" w14:textId="11E4D780" w:rsidR="001020EF" w:rsidRDefault="00FC2C48" w:rsidP="00FC2C48">
      <w:pPr>
        <w:pStyle w:val="Text"/>
        <w:rPr>
          <w:color w:val="auto"/>
          <w:highlight w:val="yellow"/>
        </w:rPr>
      </w:pPr>
      <w:r w:rsidRPr="00FC2C48">
        <w:rPr>
          <w:color w:val="auto"/>
          <w:highlight w:val="yellow"/>
        </w:rPr>
        <w:t>Unfortunately, the sources included differ greatly in technology types, system configuration, geographic and climatic context, system boundaries, cost definitions, financing assumptions, reliability requirements, and performance metrics, making it unsuitable to perform a quantitative meta-analysis. In cases such as this, aggregating these diverse findings statistically may lead to inaccurate comparisons. A systematic approach to qualitative synthesis analysis was used to find common and contradicting results, methodological limitations, evidence gaps, and transferability aspects of reported results to AI applications in the data-center context. The results of this synthesis then guided the seven-component decision framework in Section 7.</w:t>
      </w:r>
    </w:p>
    <w:p w14:paraId="50E0C3BC" w14:textId="028026B4" w:rsidR="00357CF7" w:rsidRPr="00FC2C48" w:rsidRDefault="00357CF7" w:rsidP="0097265F">
      <w:pPr>
        <w:pStyle w:val="Text"/>
        <w:rPr>
          <w:color w:val="auto"/>
          <w:highlight w:val="yellow"/>
        </w:rPr>
      </w:pPr>
      <w:r w:rsidRPr="00357CF7">
        <w:rPr>
          <w:color w:val="auto"/>
          <w:highlight w:val="yellow"/>
        </w:rPr>
        <w:lastRenderedPageBreak/>
        <w:t xml:space="preserve">The </w:t>
      </w:r>
      <w:r w:rsidR="00E67DF5">
        <w:rPr>
          <w:color w:val="auto"/>
          <w:highlight w:val="yellow"/>
        </w:rPr>
        <w:t>178</w:t>
      </w:r>
      <w:r w:rsidRPr="00357CF7">
        <w:rPr>
          <w:color w:val="auto"/>
          <w:highlight w:val="yellow"/>
        </w:rPr>
        <w:t xml:space="preserve">-source synthesis corpus is not the full bibliography of the manuscript. If the list of references includes those that are solely supporting methodological definitions, terminology, mathematical formulations, general background, or later manuscript revisions, it is not necessarily included in the screened corpus of the qualitative-synthesis section of the manuscript. Note that the total number of references found in the final bibliography exceeds </w:t>
      </w:r>
      <w:r w:rsidR="000E63BD">
        <w:rPr>
          <w:color w:val="auto"/>
          <w:highlight w:val="yellow"/>
        </w:rPr>
        <w:t>178</w:t>
      </w:r>
      <w:r w:rsidRPr="00357CF7">
        <w:rPr>
          <w:color w:val="auto"/>
          <w:highlight w:val="yellow"/>
        </w:rPr>
        <w:t xml:space="preserve"> and is not necessarily the number of references included in the structured evidence synthesis.</w:t>
      </w:r>
      <w:r w:rsidR="0097265F">
        <w:rPr>
          <w:color w:val="auto"/>
          <w:highlight w:val="yellow"/>
        </w:rPr>
        <w:t xml:space="preserve"> </w:t>
      </w:r>
      <w:r w:rsidR="0097265F">
        <w:rPr>
          <w:color w:val="auto"/>
          <w:highlight w:val="yellow"/>
        </w:rPr>
        <w:fldChar w:fldCharType="begin"/>
      </w:r>
      <w:r w:rsidR="0097265F">
        <w:rPr>
          <w:color w:val="auto"/>
          <w:highlight w:val="yellow"/>
        </w:rPr>
        <w:instrText xml:space="preserve"> REF _Ref239529026 \h </w:instrText>
      </w:r>
      <w:r w:rsidR="0097265F">
        <w:rPr>
          <w:color w:val="auto"/>
          <w:highlight w:val="yellow"/>
        </w:rPr>
      </w:r>
      <w:r w:rsidR="0097265F">
        <w:rPr>
          <w:color w:val="auto"/>
          <w:highlight w:val="yellow"/>
        </w:rPr>
        <w:fldChar w:fldCharType="separate"/>
      </w:r>
      <w:r w:rsidR="0097265F" w:rsidRPr="001718D7">
        <w:rPr>
          <w:highlight w:val="yellow"/>
        </w:rPr>
        <w:t xml:space="preserve">Figure </w:t>
      </w:r>
      <w:r w:rsidR="0097265F">
        <w:rPr>
          <w:noProof/>
          <w:highlight w:val="yellow"/>
        </w:rPr>
        <w:t>2</w:t>
      </w:r>
      <w:r w:rsidR="0097265F" w:rsidRPr="001718D7">
        <w:rPr>
          <w:highlight w:val="yellow"/>
        </w:rPr>
        <w:t xml:space="preserve"> PRISMA 2020 Flow Diagram of the Literature Screening and Selection Process</w:t>
      </w:r>
      <w:r w:rsidR="0097265F">
        <w:rPr>
          <w:color w:val="auto"/>
          <w:highlight w:val="yellow"/>
        </w:rPr>
        <w:fldChar w:fldCharType="end"/>
      </w:r>
      <w:r w:rsidR="0097265F">
        <w:rPr>
          <w:color w:val="auto"/>
          <w:highlight w:val="yellow"/>
        </w:rPr>
        <w:t xml:space="preserve">, </w:t>
      </w:r>
      <w:r w:rsidR="0097265F" w:rsidRPr="0097265F">
        <w:rPr>
          <w:color w:val="auto"/>
          <w:highlight w:val="yellow"/>
        </w:rPr>
        <w:t xml:space="preserve">summarizes the PRISMA 2020-informed literature identification, screening, eligibility, and inclusion process leading to the final qualitative synthesis of </w:t>
      </w:r>
      <w:r w:rsidR="000C3519">
        <w:rPr>
          <w:color w:val="auto"/>
          <w:highlight w:val="yellow"/>
        </w:rPr>
        <w:t>178</w:t>
      </w:r>
      <w:r w:rsidR="0097265F" w:rsidRPr="0097265F">
        <w:rPr>
          <w:color w:val="auto"/>
          <w:highlight w:val="yellow"/>
        </w:rPr>
        <w:t xml:space="preserve"> sources.</w:t>
      </w:r>
    </w:p>
    <w:p w14:paraId="787B3B31" w14:textId="77777777" w:rsidR="00FC2C48" w:rsidRDefault="00FC2C48" w:rsidP="00FC2C48">
      <w:pPr>
        <w:pStyle w:val="Heading20"/>
        <w:keepNext/>
        <w:spacing w:before="0" w:after="0"/>
        <w:jc w:val="center"/>
        <w:rPr>
          <w:highlight w:val="yellow"/>
        </w:rPr>
      </w:pPr>
    </w:p>
    <w:p w14:paraId="240F0818" w14:textId="306E4099" w:rsidR="001718D7" w:rsidRPr="004E3526" w:rsidRDefault="004E3526" w:rsidP="004E3526">
      <w:pPr>
        <w:pStyle w:val="Heading20"/>
        <w:keepNext/>
        <w:spacing w:before="0" w:after="0"/>
        <w:jc w:val="center"/>
        <w:rPr>
          <w:highlight w:val="yellow"/>
          <w:lang w:val="en-CA"/>
        </w:rPr>
      </w:pPr>
      <w:r w:rsidRPr="004E3526">
        <w:rPr>
          <w:highlight w:val="yellow"/>
          <w:lang w:val="en-CA"/>
        </w:rPr>
        <w:drawing>
          <wp:inline distT="0" distB="0" distL="0" distR="0" wp14:anchorId="70356C04" wp14:editId="10B1034E">
            <wp:extent cx="6192520" cy="3119120"/>
            <wp:effectExtent l="0" t="0" r="0" b="5080"/>
            <wp:docPr id="1372608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2520" cy="3119120"/>
                    </a:xfrm>
                    <a:prstGeom prst="rect">
                      <a:avLst/>
                    </a:prstGeom>
                    <a:noFill/>
                    <a:ln>
                      <a:noFill/>
                    </a:ln>
                  </pic:spPr>
                </pic:pic>
              </a:graphicData>
            </a:graphic>
          </wp:inline>
        </w:drawing>
      </w:r>
    </w:p>
    <w:p w14:paraId="6535F3C0" w14:textId="19E14F9B" w:rsidR="001718D7" w:rsidRPr="00265205" w:rsidRDefault="001718D7" w:rsidP="00265205">
      <w:pPr>
        <w:pStyle w:val="Caption"/>
        <w:jc w:val="center"/>
        <w:rPr>
          <w:noProof/>
          <w:snapToGrid w:val="0"/>
          <w:color w:val="auto"/>
          <w:szCs w:val="22"/>
          <w:lang w:val="en-CA" w:bidi="en-US"/>
        </w:rPr>
      </w:pPr>
      <w:bookmarkStart w:id="5" w:name="_Ref239529026"/>
      <w:r w:rsidRPr="001718D7">
        <w:rPr>
          <w:highlight w:val="yellow"/>
        </w:rPr>
        <w:t xml:space="preserve">Figure </w:t>
      </w:r>
      <w:r w:rsidRPr="001718D7">
        <w:rPr>
          <w:highlight w:val="yellow"/>
        </w:rPr>
        <w:fldChar w:fldCharType="begin"/>
      </w:r>
      <w:r w:rsidRPr="001718D7">
        <w:rPr>
          <w:highlight w:val="yellow"/>
        </w:rPr>
        <w:instrText xml:space="preserve"> SEQ Figure \* ARABIC </w:instrText>
      </w:r>
      <w:r w:rsidRPr="001718D7">
        <w:rPr>
          <w:highlight w:val="yellow"/>
        </w:rPr>
        <w:fldChar w:fldCharType="separate"/>
      </w:r>
      <w:r w:rsidR="00807110">
        <w:rPr>
          <w:noProof/>
          <w:highlight w:val="yellow"/>
        </w:rPr>
        <w:t>2</w:t>
      </w:r>
      <w:r w:rsidRPr="001718D7">
        <w:rPr>
          <w:highlight w:val="yellow"/>
        </w:rPr>
        <w:fldChar w:fldCharType="end"/>
      </w:r>
      <w:r w:rsidRPr="001718D7">
        <w:rPr>
          <w:highlight w:val="yellow"/>
        </w:rPr>
        <w:t xml:space="preserve"> PRISMA 2020 Flow Diagram of the Literature Screening and Selection Process</w:t>
      </w:r>
      <w:bookmarkEnd w:id="5"/>
    </w:p>
    <w:p w14:paraId="725B69FD" w14:textId="77777777" w:rsidR="00FE013C" w:rsidRDefault="00FE013C" w:rsidP="004C16FF">
      <w:pPr>
        <w:pStyle w:val="Heading10"/>
        <w:jc w:val="both"/>
        <w:rPr>
          <w:color w:val="auto"/>
        </w:rPr>
      </w:pPr>
      <w:r>
        <w:rPr>
          <w:color w:val="auto"/>
          <w:lang w:eastAsia="zh-CN"/>
        </w:rPr>
        <w:t xml:space="preserve">2. </w:t>
      </w:r>
      <w:r>
        <w:rPr>
          <w:color w:val="auto"/>
        </w:rPr>
        <w:t>Literature Review and State-of-the-Art</w:t>
      </w:r>
    </w:p>
    <w:p w14:paraId="27716A7A" w14:textId="034D1736" w:rsidR="00FE013C" w:rsidRPr="003E394F" w:rsidRDefault="00FE013C" w:rsidP="00EE1463">
      <w:pPr>
        <w:pStyle w:val="Heading20"/>
        <w:jc w:val="both"/>
        <w:rPr>
          <w:color w:val="auto"/>
          <w:lang w:val="en-CA"/>
        </w:rPr>
      </w:pPr>
      <w:r w:rsidRPr="003E394F">
        <w:rPr>
          <w:color w:val="auto"/>
          <w:lang w:val="en-CA"/>
        </w:rPr>
        <w:t>2.1. AI Data Center Power Consumption</w:t>
      </w:r>
    </w:p>
    <w:p w14:paraId="450E82AB" w14:textId="0E12A952" w:rsidR="00FE013C" w:rsidRPr="00DC4621" w:rsidRDefault="00FE013C" w:rsidP="00827A89">
      <w:pPr>
        <w:spacing w:after="120"/>
        <w:ind w:firstLine="480"/>
        <w:rPr>
          <w:szCs w:val="24"/>
          <w:highlight w:val="yellow"/>
        </w:rPr>
      </w:pPr>
      <w:r w:rsidRPr="00DC4621">
        <w:rPr>
          <w:szCs w:val="24"/>
          <w:highlight w:val="yellow"/>
        </w:rPr>
        <w:t xml:space="preserve">Unlike traditional enterprise data centers, AI data centers have different power consumption characteristics because the workloads on GPUs and </w:t>
      </w:r>
      <w:r w:rsidRPr="00332374">
        <w:rPr>
          <w:szCs w:val="24"/>
          <w:highlight w:val="yellow"/>
        </w:rPr>
        <w:t xml:space="preserve">TPUs </w:t>
      </w:r>
      <w:r w:rsidR="00961C8B" w:rsidRPr="00332374">
        <w:rPr>
          <w:szCs w:val="24"/>
          <w:highlight w:val="yellow"/>
        </w:rPr>
        <w:t>AI workloads can produce high and spatially concentrated electrical demand because of dense</w:t>
      </w:r>
      <w:r w:rsidRPr="00332374">
        <w:rPr>
          <w:szCs w:val="24"/>
          <w:highlight w:val="yellow"/>
        </w:rPr>
        <w:t xml:space="preserve">. </w:t>
      </w:r>
      <w:r w:rsidRPr="00DC4621">
        <w:rPr>
          <w:szCs w:val="24"/>
          <w:highlight w:val="yellow"/>
        </w:rPr>
        <w:t xml:space="preserve">AI accelerators such as the NVIDIA H100 Tensor Core GPU come in two main form factors: the PCIe version (up to 350 W) and the SXM version (up to 700 W), with the SXM variant delivering substantially higher memory bandwidth and compute throughput at the cost of significantly higher power draw </w:t>
      </w:r>
      <w:r w:rsidRPr="00DC4621">
        <w:rPr>
          <w:szCs w:val="24"/>
          <w:highlight w:val="yellow"/>
        </w:rPr>
        <w:fldChar w:fldCharType="begin"/>
      </w:r>
      <w:r w:rsidR="00827A89" w:rsidRPr="00DC4621">
        <w:rPr>
          <w:szCs w:val="24"/>
          <w:highlight w:val="yellow"/>
        </w:rPr>
        <w:instrText xml:space="preserve"> ADDIN ZOTERO_ITEM CSL_CITATION {"citationID":"ZFTw5Hk5","properties":{"formattedCitation":"[10], [29]","plainCitation":"[10], [29]","noteIndex":0},"citationItems":[{"id":1914,"uris":["http://zotero.org/users/9870935/items/MRD83LE5"],"itemData":{"id":1914,"type":"article-journal","language":"en","source":"Zotero","title":"NVIDIA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Pr="00DC4621">
        <w:rPr>
          <w:szCs w:val="24"/>
          <w:highlight w:val="yellow"/>
        </w:rPr>
        <w:fldChar w:fldCharType="separate"/>
      </w:r>
      <w:r w:rsidR="00827A89" w:rsidRPr="00DC4621">
        <w:rPr>
          <w:highlight w:val="yellow"/>
        </w:rPr>
        <w:t>[10], [29]</w:t>
      </w:r>
      <w:r w:rsidRPr="00DC4621">
        <w:rPr>
          <w:szCs w:val="24"/>
          <w:highlight w:val="yellow"/>
        </w:rPr>
        <w:fldChar w:fldCharType="end"/>
      </w:r>
      <w:r w:rsidRPr="00DC4621">
        <w:rPr>
          <w:szCs w:val="24"/>
          <w:highlight w:val="yellow"/>
        </w:rPr>
        <w:t xml:space="preserve">. Power densities can reach 30 kW </w:t>
      </w:r>
      <w:r w:rsidRPr="00245F10">
        <w:rPr>
          <w:szCs w:val="24"/>
          <w:highlight w:val="yellow"/>
        </w:rPr>
        <w:t>on a rack with eight GPUs per server and multiple servers per rack, whereas typical enterprise computing rack power densities are 5–10 kW</w:t>
      </w:r>
      <w:r w:rsidRPr="00245F10">
        <w:rPr>
          <w:szCs w:val="24"/>
          <w:highlight w:val="yellow"/>
        </w:rPr>
        <w:fldChar w:fldCharType="begin"/>
      </w:r>
      <w:r w:rsidR="00827A89" w:rsidRPr="00245F10">
        <w:rPr>
          <w:szCs w:val="24"/>
          <w:highlight w:val="yellow"/>
        </w:rPr>
        <w:instrText xml:space="preserve"> ADDIN ZOTERO_ITEM CSL_CITATION {"citationID":"fI33HUPr","properties":{"formattedCitation":"[30]","plainCitation":"[30]","noteIndex":0},"citationItems":[{"id":1956,"uris":["http://zotero.org/users/9870935/items/LXX5NDM3"],"itemData":{"id":1956,"type":"article-journal","language":"en","source":"Zotero","title":"How 6 AI Attributes Change Data Center Design","URL":"https://download.schneider-electric.com/files?p_Doc_Ref=SPD_WP110_EN&amp;p_enDocType=White+Paper&amp;p_File_Name=WP110_V3_1_EN.pdf","author":[{"family":"Avelar","given":"Victor"},{"family":"Donovan","given":"Patrick"}]}}],"schema":"https://github.com/citation-style-language/schema/raw/master/csl-citation.json"} </w:instrText>
      </w:r>
      <w:r w:rsidRPr="00245F10">
        <w:rPr>
          <w:szCs w:val="24"/>
          <w:highlight w:val="yellow"/>
        </w:rPr>
        <w:fldChar w:fldCharType="separate"/>
      </w:r>
      <w:r w:rsidR="00827A89" w:rsidRPr="00245F10">
        <w:rPr>
          <w:highlight w:val="yellow"/>
        </w:rPr>
        <w:t>[30]</w:t>
      </w:r>
      <w:r w:rsidRPr="00245F10">
        <w:rPr>
          <w:szCs w:val="24"/>
          <w:highlight w:val="yellow"/>
        </w:rPr>
        <w:fldChar w:fldCharType="end"/>
      </w:r>
      <w:r w:rsidRPr="00245F10">
        <w:rPr>
          <w:szCs w:val="24"/>
          <w:highlight w:val="yellow"/>
        </w:rPr>
        <w:t xml:space="preserve">. This significant increase in computing density has </w:t>
      </w:r>
      <w:r w:rsidR="00A66C43" w:rsidRPr="00245F10">
        <w:rPr>
          <w:szCs w:val="24"/>
          <w:highlight w:val="yellow"/>
        </w:rPr>
        <w:t xml:space="preserve">direct implications </w:t>
      </w:r>
      <w:r w:rsidRPr="00245F10">
        <w:rPr>
          <w:szCs w:val="24"/>
          <w:highlight w:val="yellow"/>
        </w:rPr>
        <w:t xml:space="preserve">on </w:t>
      </w:r>
      <w:r w:rsidRPr="00DC4621">
        <w:rPr>
          <w:szCs w:val="24"/>
          <w:highlight w:val="yellow"/>
        </w:rPr>
        <w:t>power delivery infrastructure, cooling system design, and facility power usage.</w:t>
      </w:r>
    </w:p>
    <w:p w14:paraId="40986764" w14:textId="7E57B5A7" w:rsidR="007A7F13" w:rsidRPr="007A7F13" w:rsidRDefault="007A7F13" w:rsidP="00DC4621">
      <w:pPr>
        <w:spacing w:after="120"/>
        <w:ind w:firstLine="480"/>
        <w:rPr>
          <w:szCs w:val="24"/>
          <w:lang w:val="en-CA"/>
        </w:rPr>
      </w:pPr>
      <w:r w:rsidRPr="00DC4621">
        <w:rPr>
          <w:szCs w:val="24"/>
          <w:highlight w:val="yellow"/>
          <w:lang w:val="en-CA"/>
        </w:rPr>
        <w:t xml:space="preserve">The power characteristics of AI workloads differ substantially between model training and inference. Training workloads can sustain high accelerator utilization for extended periods because large numbers of GPUs or other accelerators perform repeated compute-, memory-, and </w:t>
      </w:r>
      <w:r w:rsidRPr="00DC4621">
        <w:rPr>
          <w:szCs w:val="24"/>
          <w:highlight w:val="yellow"/>
          <w:lang w:val="en-CA"/>
        </w:rPr>
        <w:lastRenderedPageBreak/>
        <w:t>communication-intensive operations throughout the training process</w:t>
      </w:r>
      <w:r w:rsidR="00DC4621" w:rsidRPr="00DC4621">
        <w:rPr>
          <w:szCs w:val="24"/>
          <w:highlight w:val="yellow"/>
          <w:lang w:val="en-CA"/>
        </w:rPr>
        <w:fldChar w:fldCharType="begin"/>
      </w:r>
      <w:r w:rsidR="00DC4621" w:rsidRPr="00DC4621">
        <w:rPr>
          <w:szCs w:val="24"/>
          <w:highlight w:val="yellow"/>
          <w:lang w:val="en-CA"/>
        </w:rPr>
        <w:instrText xml:space="preserve"> ADDIN ZOTERO_ITEM CSL_CITATION {"citationID":"fUbxQaBS","properties":{"unsorted":false,"formattedCitation":"[4],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00DC4621" w:rsidRPr="00DC4621">
        <w:rPr>
          <w:szCs w:val="24"/>
          <w:highlight w:val="yellow"/>
          <w:lang w:val="en-CA"/>
        </w:rPr>
        <w:fldChar w:fldCharType="separate"/>
      </w:r>
      <w:r w:rsidR="00DC4621" w:rsidRPr="00DC4621">
        <w:rPr>
          <w:highlight w:val="yellow"/>
          <w:lang w:val="en-CA"/>
        </w:rPr>
        <w:t>[4], [29]</w:t>
      </w:r>
      <w:r w:rsidR="00DC4621" w:rsidRPr="00DC4621">
        <w:rPr>
          <w:szCs w:val="24"/>
          <w:highlight w:val="yellow"/>
          <w:lang w:val="en-CA"/>
        </w:rPr>
        <w:fldChar w:fldCharType="end"/>
      </w:r>
      <w:r w:rsidRPr="00DC4621">
        <w:rPr>
          <w:szCs w:val="24"/>
          <w:highlight w:val="yellow"/>
          <w:lang w:val="en-CA"/>
        </w:rPr>
        <w:t>. Inference workloads are generally more variable, as instantaneous power demand depends on factors such as request rate, batching strategy, model architecture and size, sequence length, hardware utilization, and the serving configuration. Consequently, inference should not be represented by a single fixed percentage of peak accelerator power unless that value is supported by measurements for a clearly defined hardware and workload configuration. These differences in temporal load characteristics are important for renewable-energy integration, storage sizing, and power-system planning because they influence both the magnitude and duration of data-center electricity demand.</w:t>
      </w:r>
    </w:p>
    <w:p w14:paraId="1829D0F1" w14:textId="5FFAFBC2" w:rsidR="00FE013C" w:rsidRPr="00684620" w:rsidRDefault="00FE013C" w:rsidP="00DC4621">
      <w:pPr>
        <w:spacing w:after="120"/>
        <w:ind w:firstLine="480"/>
        <w:rPr>
          <w:szCs w:val="24"/>
        </w:rPr>
      </w:pPr>
      <w:r w:rsidRPr="00684620">
        <w:rPr>
          <w:szCs w:val="24"/>
        </w:rPr>
        <w:t xml:space="preserve">The most widely used measure for the energy efficiency of a data </w:t>
      </w:r>
      <w:r w:rsidR="00232D2E" w:rsidRPr="00684620">
        <w:rPr>
          <w:szCs w:val="24"/>
        </w:rPr>
        <w:t>center</w:t>
      </w:r>
      <w:r w:rsidRPr="00684620">
        <w:rPr>
          <w:szCs w:val="24"/>
        </w:rPr>
        <w:t xml:space="preserve"> is called the power usage effectiveness (PUE), which is calculated as the ratio of total facility power to IT equipment power. The Uptime Institute 2024 Global Data Center Survey, which drew results from almost 900 operators worldwide, found an industry average PUE of 1.56, and facilities with the lowest scores had a PUE of 1.06 [9]. However, the survey found that there has been little improvement in PUE in the last five years, as the overall average value has not significantly changed since 2019. The plateau is attributed to the rising power needs of these accelerators, as efficiency advances in power distribution and cooling have failed to keep up. Generally, Google's plants have been at the forefront of the PUE front, with a trailing 12-month average of 1.10 across the worldwide fleet of the company, owing to the use of advanced cooling systems, custom server design, and AI-based temperature management</w:t>
      </w:r>
      <w:r>
        <w:rPr>
          <w:szCs w:val="24"/>
        </w:rPr>
        <w:fldChar w:fldCharType="begin"/>
      </w:r>
      <w:r w:rsidR="00DC4621">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consumption","URL":"https://datacenters.google/efficiency/","author":[{"family":"Google","given":""}]}}],"schema":"https://github.com/citation-style-language/schema/raw/master/csl-citation.json"} </w:instrText>
      </w:r>
      <w:r>
        <w:rPr>
          <w:szCs w:val="24"/>
        </w:rPr>
        <w:fldChar w:fldCharType="separate"/>
      </w:r>
      <w:r w:rsidR="00DC4621" w:rsidRPr="00DC4621">
        <w:t>[31]</w:t>
      </w:r>
      <w:r>
        <w:rPr>
          <w:szCs w:val="24"/>
        </w:rPr>
        <w:fldChar w:fldCharType="end"/>
      </w:r>
      <w:r w:rsidRPr="00684620">
        <w:rPr>
          <w:szCs w:val="24"/>
        </w:rPr>
        <w:t>.</w:t>
      </w:r>
    </w:p>
    <w:p w14:paraId="17416DC4" w14:textId="39EF8C18" w:rsidR="00FE013C" w:rsidRPr="00684620" w:rsidRDefault="00FE013C" w:rsidP="00DC4621">
      <w:pPr>
        <w:spacing w:after="120"/>
        <w:ind w:firstLine="480"/>
        <w:rPr>
          <w:szCs w:val="24"/>
        </w:rPr>
      </w:pPr>
      <w:r w:rsidRPr="00684620">
        <w:rPr>
          <w:szCs w:val="24"/>
        </w:rPr>
        <w:t xml:space="preserve">The second most energy-intensive consumer of energy in data </w:t>
      </w:r>
      <w:r w:rsidR="00232D2E" w:rsidRPr="00684620">
        <w:rPr>
          <w:szCs w:val="24"/>
        </w:rPr>
        <w:t>centers</w:t>
      </w:r>
      <w:r w:rsidRPr="00684620">
        <w:rPr>
          <w:szCs w:val="24"/>
        </w:rPr>
        <w:t xml:space="preserve"> is the cooling system, which consumes between 30% and 50</w:t>
      </w:r>
      <w:r>
        <w:rPr>
          <w:szCs w:val="24"/>
        </w:rPr>
        <w:t xml:space="preserve">% </w:t>
      </w:r>
      <w:r w:rsidRPr="00684620">
        <w:rPr>
          <w:szCs w:val="24"/>
        </w:rPr>
        <w:t xml:space="preserve">of the total energy used by the data </w:t>
      </w:r>
      <w:r w:rsidR="00232D2E" w:rsidRPr="00684620">
        <w:rPr>
          <w:szCs w:val="24"/>
        </w:rPr>
        <w:t>center</w:t>
      </w:r>
      <w:r w:rsidRPr="00684620">
        <w:rPr>
          <w:szCs w:val="24"/>
        </w:rPr>
        <w:t xml:space="preserve"> facility</w:t>
      </w:r>
      <w:r>
        <w:rPr>
          <w:szCs w:val="24"/>
        </w:rPr>
        <w:fldChar w:fldCharType="begin"/>
      </w:r>
      <w:r w:rsidR="00DC4621">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Pr>
          <w:szCs w:val="24"/>
        </w:rPr>
        <w:fldChar w:fldCharType="separate"/>
      </w:r>
      <w:r w:rsidR="00DC4621" w:rsidRPr="00DC4621">
        <w:t>[32], [33]</w:t>
      </w:r>
      <w:r>
        <w:rPr>
          <w:szCs w:val="24"/>
        </w:rPr>
        <w:fldChar w:fldCharType="end"/>
      </w:r>
      <w:r w:rsidRPr="00684620">
        <w:rPr>
          <w:szCs w:val="24"/>
        </w:rPr>
        <w:t xml:space="preserve">. The traditional cooling method has limitations in high-density AI deployments, where the heat generation per square meter can surpass that achievable using a conventional computer room air conditioning (CRAC) system. Liquid cooling is a technology that can provide significant efficiency gains, up </w:t>
      </w:r>
      <w:r>
        <w:rPr>
          <w:szCs w:val="24"/>
        </w:rPr>
        <w:t>to 40%</w:t>
      </w:r>
      <w:r w:rsidRPr="00684620">
        <w:rPr>
          <w:szCs w:val="24"/>
        </w:rPr>
        <w:t xml:space="preserve"> of cooling energy compared to air-based cooling</w:t>
      </w:r>
      <w:r>
        <w:rPr>
          <w:szCs w:val="24"/>
        </w:rPr>
        <w:t xml:space="preserve"> </w:t>
      </w:r>
      <w:r>
        <w:rPr>
          <w:szCs w:val="24"/>
        </w:rPr>
        <w:fldChar w:fldCharType="begin"/>
      </w:r>
      <w:r w:rsidR="00DC4621">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00DC4621" w:rsidRPr="00DC4621">
        <w:t>[34]</w:t>
      </w:r>
      <w:r>
        <w:rPr>
          <w:szCs w:val="24"/>
        </w:rPr>
        <w:fldChar w:fldCharType="end"/>
      </w:r>
      <w:r w:rsidRPr="00684620">
        <w:rPr>
          <w:szCs w:val="24"/>
        </w:rPr>
        <w:t xml:space="preserve">. Next-generation data </w:t>
      </w:r>
      <w:r w:rsidR="00232D2E" w:rsidRPr="00684620">
        <w:rPr>
          <w:szCs w:val="24"/>
        </w:rPr>
        <w:t>center</w:t>
      </w:r>
      <w:r w:rsidRPr="00684620">
        <w:rPr>
          <w:szCs w:val="24"/>
        </w:rPr>
        <w:t xml:space="preserve"> designs by Microsoft do not use water to cool the data </w:t>
      </w:r>
      <w:r w:rsidR="00232D2E" w:rsidRPr="00684620">
        <w:rPr>
          <w:szCs w:val="24"/>
        </w:rPr>
        <w:t>center</w:t>
      </w:r>
      <w:r w:rsidRPr="00684620">
        <w:rPr>
          <w:szCs w:val="24"/>
        </w:rPr>
        <w:t xml:space="preserve"> and are at the forefront of cooling technology for AI workloads</w:t>
      </w:r>
      <w:r>
        <w:rPr>
          <w:szCs w:val="24"/>
        </w:rPr>
        <w:fldChar w:fldCharType="begin"/>
      </w:r>
      <w:r w:rsidR="00DC4621">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Pr>
          <w:szCs w:val="24"/>
        </w:rPr>
        <w:fldChar w:fldCharType="separate"/>
      </w:r>
      <w:r w:rsidR="00DC4621" w:rsidRPr="00DC4621">
        <w:t>[35]</w:t>
      </w:r>
      <w:r>
        <w:rPr>
          <w:szCs w:val="24"/>
        </w:rPr>
        <w:fldChar w:fldCharType="end"/>
      </w:r>
      <w:r w:rsidRPr="00684620">
        <w:rPr>
          <w:szCs w:val="24"/>
        </w:rPr>
        <w:t>.</w:t>
      </w:r>
    </w:p>
    <w:p w14:paraId="441CC53B" w14:textId="77777777" w:rsidR="00FE013C" w:rsidRDefault="00FE013C" w:rsidP="004C16FF">
      <w:pPr>
        <w:pStyle w:val="Heading20"/>
        <w:jc w:val="both"/>
        <w:rPr>
          <w:color w:val="auto"/>
        </w:rPr>
      </w:pPr>
      <w:r>
        <w:rPr>
          <w:color w:val="auto"/>
        </w:rPr>
        <w:t>2.2. Renewable Energy Technologies</w:t>
      </w:r>
    </w:p>
    <w:p w14:paraId="5BB3DB35" w14:textId="5938EC2C" w:rsidR="00FE013C" w:rsidRPr="00D931CE" w:rsidRDefault="00FE013C" w:rsidP="00A95675">
      <w:pPr>
        <w:spacing w:after="120"/>
        <w:ind w:firstLine="480"/>
        <w:rPr>
          <w:lang w:val="en-CA"/>
        </w:rPr>
      </w:pPr>
      <w:r w:rsidRPr="00967457">
        <w:rPr>
          <w:szCs w:val="24"/>
        </w:rPr>
        <w:t xml:space="preserve">In the last 10 years, solar PV technology has experienced </w:t>
      </w:r>
      <w:r w:rsidR="00447728" w:rsidRPr="00447728">
        <w:rPr>
          <w:szCs w:val="24"/>
        </w:rPr>
        <w:t xml:space="preserve">substantial changes </w:t>
      </w:r>
      <w:r w:rsidRPr="00967457">
        <w:rPr>
          <w:szCs w:val="24"/>
        </w:rPr>
        <w:t xml:space="preserve">in cost and performance. The efficiencies of mainstream commercial modules have increased from </w:t>
      </w:r>
      <w:r w:rsidRPr="00571D9E">
        <w:rPr>
          <w:szCs w:val="24"/>
        </w:rPr>
        <w:t>15–17</w:t>
      </w:r>
      <w:r>
        <w:rPr>
          <w:szCs w:val="24"/>
        </w:rPr>
        <w:t xml:space="preserve">% </w:t>
      </w:r>
      <w:r w:rsidRPr="00571D9E">
        <w:rPr>
          <w:szCs w:val="24"/>
        </w:rPr>
        <w:t>in 2016</w:t>
      </w:r>
      <w:r w:rsidRPr="00967457">
        <w:rPr>
          <w:szCs w:val="24"/>
        </w:rPr>
        <w:t xml:space="preserve"> to </w:t>
      </w:r>
      <w:r w:rsidRPr="00571D9E">
        <w:rPr>
          <w:szCs w:val="24"/>
        </w:rPr>
        <w:t>21–23</w:t>
      </w:r>
      <w:r>
        <w:rPr>
          <w:szCs w:val="24"/>
        </w:rPr>
        <w:t>%</w:t>
      </w:r>
      <w:r w:rsidRPr="00571D9E">
        <w:rPr>
          <w:szCs w:val="24"/>
        </w:rPr>
        <w:t xml:space="preserve"> in 2026</w:t>
      </w:r>
      <w:r w:rsidRPr="00967457">
        <w:rPr>
          <w:szCs w:val="24"/>
        </w:rPr>
        <w:t xml:space="preserve">, with efficiencies of </w:t>
      </w:r>
      <w:r w:rsidRPr="00571D9E">
        <w:rPr>
          <w:szCs w:val="24"/>
        </w:rPr>
        <w:t>24</w:t>
      </w:r>
      <w:r>
        <w:rPr>
          <w:szCs w:val="24"/>
        </w:rPr>
        <w:t>–</w:t>
      </w:r>
      <w:r w:rsidRPr="00571D9E">
        <w:rPr>
          <w:szCs w:val="24"/>
        </w:rPr>
        <w:t>25</w:t>
      </w:r>
      <w:r>
        <w:rPr>
          <w:szCs w:val="24"/>
        </w:rPr>
        <w:t xml:space="preserve">% </w:t>
      </w:r>
      <w:r w:rsidRPr="00571D9E">
        <w:rPr>
          <w:szCs w:val="24"/>
        </w:rPr>
        <w:t>for premium modules</w:t>
      </w:r>
      <w:r w:rsidRPr="00967457">
        <w:rPr>
          <w:szCs w:val="24"/>
        </w:rPr>
        <w:t xml:space="preserve"> achieved by advanced </w:t>
      </w:r>
      <w:r w:rsidRPr="00571D9E">
        <w:rPr>
          <w:szCs w:val="24"/>
        </w:rPr>
        <w:t>TOPCon, heterojunction (HJT), and back contact (BC)</w:t>
      </w:r>
      <w:r w:rsidRPr="00967457">
        <w:rPr>
          <w:szCs w:val="24"/>
        </w:rPr>
        <w:t xml:space="preserve"> cell architectures</w:t>
      </w:r>
      <w:r>
        <w:rPr>
          <w:szCs w:val="24"/>
        </w:rPr>
        <w:fldChar w:fldCharType="begin"/>
      </w:r>
      <w:r w:rsidR="00DC4621">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Pr>
          <w:szCs w:val="24"/>
        </w:rPr>
        <w:fldChar w:fldCharType="separate"/>
      </w:r>
      <w:r w:rsidR="00DC4621" w:rsidRPr="00DC4621">
        <w:t>[36]</w:t>
      </w:r>
      <w:r>
        <w:rPr>
          <w:szCs w:val="24"/>
        </w:rPr>
        <w:fldChar w:fldCharType="end"/>
      </w:r>
      <w:r w:rsidRPr="005C62D0">
        <w:rPr>
          <w:szCs w:val="24"/>
        </w:rPr>
        <w:t>. The efficiency of the inverter has also improved, and modern string and central inverters can achieve a weighted efficiency of 95–98.5 % under different load conditions</w:t>
      </w:r>
      <w:r>
        <w:rPr>
          <w:szCs w:val="24"/>
        </w:rPr>
        <w:fldChar w:fldCharType="begin"/>
      </w:r>
      <w:r w:rsidR="00DC4621">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Pr>
          <w:szCs w:val="24"/>
        </w:rPr>
        <w:fldChar w:fldCharType="separate"/>
      </w:r>
      <w:r w:rsidR="00DC4621" w:rsidRPr="00DC4621">
        <w:t>[37]</w:t>
      </w:r>
      <w:r>
        <w:rPr>
          <w:szCs w:val="24"/>
        </w:rPr>
        <w:fldChar w:fldCharType="end"/>
      </w:r>
      <w:r w:rsidRPr="005C62D0">
        <w:rPr>
          <w:szCs w:val="24"/>
        </w:rPr>
        <w:t xml:space="preserve">. </w:t>
      </w:r>
      <w:r w:rsidR="00D931CE" w:rsidRPr="00D931CE">
        <w:rPr>
          <w:lang w:val="en-CA"/>
        </w:rPr>
        <w:t xml:space="preserve">Utility-scale solar PV and onshore wind are among the lowest-cost sources of new electricity generation in many markets. IRENA reported global weighted-average LCOEs of approximately </w:t>
      </w:r>
      <w:r w:rsidR="00074F2E">
        <w:rPr>
          <w:lang w:val="en-CA"/>
        </w:rPr>
        <w:t>$</w:t>
      </w:r>
      <w:r w:rsidR="00D931CE" w:rsidRPr="00D931CE">
        <w:rPr>
          <w:lang w:val="en-CA"/>
        </w:rPr>
        <w:t xml:space="preserve">43/MWh for utility-scale solar PV and </w:t>
      </w:r>
      <w:r w:rsidR="00074F2E">
        <w:rPr>
          <w:lang w:val="en-CA"/>
        </w:rPr>
        <w:t>$</w:t>
      </w:r>
      <w:r w:rsidR="00D931CE" w:rsidRPr="00D931CE">
        <w:rPr>
          <w:lang w:val="en-CA"/>
        </w:rPr>
        <w:t xml:space="preserve">34/MWh for onshore wind for projects commissioned in 2024 </w:t>
      </w:r>
      <w:r w:rsidR="00D931CE">
        <w:rPr>
          <w:szCs w:val="24"/>
        </w:rPr>
        <w:fldChar w:fldCharType="begin"/>
      </w:r>
      <w:r w:rsidR="00D931CE">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D931CE">
        <w:rPr>
          <w:szCs w:val="24"/>
        </w:rPr>
        <w:fldChar w:fldCharType="separate"/>
      </w:r>
      <w:r w:rsidR="00D931CE" w:rsidRPr="006236BD">
        <w:t>[16]</w:t>
      </w:r>
      <w:r w:rsidR="00D931CE">
        <w:rPr>
          <w:szCs w:val="24"/>
        </w:rPr>
        <w:fldChar w:fldCharType="end"/>
      </w:r>
      <w:r w:rsidR="00D931CE" w:rsidRPr="00D931CE">
        <w:rPr>
          <w:lang w:val="en-CA"/>
        </w:rPr>
        <w:t xml:space="preserve">. These global averages should not be interpreted as universal project costs, because reported LCOE values vary considerably with resource quality, capital and financing costs, project location and vintage, curtailment, interconnection requirements, and the system boundary used in the analysis [16]. </w:t>
      </w:r>
      <w:r w:rsidR="00A95675" w:rsidRPr="00D931CE">
        <w:rPr>
          <w:lang w:val="en-CA"/>
        </w:rPr>
        <w:t>Generation-only</w:t>
      </w:r>
      <w:r w:rsidR="00D931CE" w:rsidRPr="00D931CE">
        <w:rPr>
          <w:lang w:val="en-CA"/>
        </w:rPr>
        <w:t xml:space="preserve"> LCOE does not include the additional costs that may be required to provide firm and continuous electricity to an AI data center, such as energy storage, backup generation, transmission, grid services, and other reliability provisions</w:t>
      </w:r>
      <w:r w:rsidRPr="005C62D0">
        <w:rPr>
          <w:szCs w:val="24"/>
        </w:rPr>
        <w:t>.</w:t>
      </w:r>
      <w:r w:rsidR="00D931CE">
        <w:rPr>
          <w:szCs w:val="24"/>
        </w:rPr>
        <w:t xml:space="preserve"> </w:t>
      </w:r>
      <w:r w:rsidRPr="00532C4C">
        <w:rPr>
          <w:szCs w:val="24"/>
        </w:rPr>
        <w:t>Onshore wind turbines now achieve capacity factors of 25–40% in high-resource regions</w:t>
      </w:r>
      <w:r w:rsidRPr="005C62D0">
        <w:rPr>
          <w:szCs w:val="24"/>
        </w:rPr>
        <w:t xml:space="preserve">, and optimal </w:t>
      </w:r>
      <w:r w:rsidRPr="005C62D0">
        <w:rPr>
          <w:szCs w:val="24"/>
        </w:rPr>
        <w:lastRenderedPageBreak/>
        <w:t>offshore wind installations reach 40–50</w:t>
      </w:r>
      <w:r>
        <w:rPr>
          <w:szCs w:val="24"/>
        </w:rPr>
        <w:t>%</w:t>
      </w:r>
      <w:r>
        <w:rPr>
          <w:szCs w:val="24"/>
        </w:rPr>
        <w:fldChar w:fldCharType="begin"/>
      </w:r>
      <w:r w:rsidR="00A95675">
        <w:rPr>
          <w:szCs w:val="24"/>
        </w:rPr>
        <w:instrText xml:space="preserve"> ADDIN ZOTERO_ITEM CSL_CITATION {"citationID":"xiX6SGhq","properties":{"unsorted":false,"formattedCitation":"[38]","plainCitation":"[38]","noteIndex":0},"citationItems":[{"id":1974,"uris":["http://zotero.org/users/9870935/items/63N6BPKB"],"itemData":{"id":1974,"type":"article-journal","language":"en","source":"Zotero","title":"Offshore Wind Market Report: 2024 Edition","URL":"https://docs.nlr.gov/docs/fy24osti/90897.pdf","author":[{"family":"McCoy","given":"Angel"},{"family":"Musial","given":"Walter"},{"family":"Hammond","given":"Rob"},{"family":"Hernando","given":"Daniel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Pr>
          <w:szCs w:val="24"/>
        </w:rPr>
        <w:fldChar w:fldCharType="separate"/>
      </w:r>
      <w:r w:rsidR="00A95675" w:rsidRPr="00A95675">
        <w:t>[38]</w:t>
      </w:r>
      <w:r>
        <w:rPr>
          <w:szCs w:val="24"/>
        </w:rPr>
        <w:fldChar w:fldCharType="end"/>
      </w:r>
      <w:r w:rsidRPr="005C62D0">
        <w:rPr>
          <w:szCs w:val="24"/>
        </w:rPr>
        <w:t xml:space="preserve">. </w:t>
      </w:r>
      <w:r w:rsidRPr="00642763">
        <w:rPr>
          <w:szCs w:val="24"/>
        </w:rPr>
        <w:t xml:space="preserve">Onshore wind has a global weighted-average LCOE of </w:t>
      </w:r>
      <w:r w:rsidRPr="00A02978">
        <w:rPr>
          <w:szCs w:val="24"/>
        </w:rPr>
        <w:t>$0.034 per kWh</w:t>
      </w:r>
      <w:r w:rsidRPr="00642763">
        <w:rPr>
          <w:szCs w:val="24"/>
        </w:rPr>
        <w:t xml:space="preserve">, making it the most cost-competitive new power generation technology worldwide, according to the </w:t>
      </w:r>
      <w:r w:rsidRPr="00A02978">
        <w:rPr>
          <w:szCs w:val="24"/>
        </w:rPr>
        <w:t>IRENA Renewable Power Generation Costs</w:t>
      </w:r>
      <w:r w:rsidRPr="00642763">
        <w:rPr>
          <w:szCs w:val="24"/>
        </w:rPr>
        <w:t xml:space="preserve"> report</w:t>
      </w:r>
      <w:r>
        <w:rPr>
          <w:szCs w:val="24"/>
        </w:rPr>
        <w:fldChar w:fldCharType="begin"/>
      </w:r>
      <w:r w:rsidR="00A95675">
        <w:rPr>
          <w:szCs w:val="24"/>
        </w:rPr>
        <w:instrText xml:space="preserve"> ADDIN ZOTERO_ITEM CSL_CITATION {"citationID":"azqJjUDD","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szCs w:val="24"/>
        </w:rPr>
        <w:fldChar w:fldCharType="separate"/>
      </w:r>
      <w:r w:rsidRPr="006236BD">
        <w:t>[16]</w:t>
      </w:r>
      <w:r>
        <w:rPr>
          <w:szCs w:val="24"/>
        </w:rPr>
        <w:fldChar w:fldCharType="end"/>
      </w:r>
      <w:r w:rsidRPr="005C62D0">
        <w:rPr>
          <w:szCs w:val="24"/>
        </w:rPr>
        <w:t>. The use of LiDAR technology and numerical weather prediction has improved wind resource assessment, allowing for better siting decisions and energy yield estimates</w:t>
      </w:r>
      <w:r>
        <w:rPr>
          <w:szCs w:val="24"/>
        </w:rPr>
        <w:fldChar w:fldCharType="begin"/>
      </w:r>
      <w:r w:rsidR="00A95675">
        <w:rPr>
          <w:szCs w:val="24"/>
        </w:rPr>
        <w:instrText xml:space="preserve"> ADDIN ZOTERO_ITEM CSL_CITATION {"citationID":"Qawnu7Gv","properties":{"unsorted":false,"formattedCitation":"[39]","plainCitation":"[39]","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Pr>
          <w:szCs w:val="24"/>
        </w:rPr>
        <w:fldChar w:fldCharType="separate"/>
      </w:r>
      <w:r w:rsidR="00A95675" w:rsidRPr="00A95675">
        <w:t>[39]</w:t>
      </w:r>
      <w:r>
        <w:rPr>
          <w:szCs w:val="24"/>
        </w:rPr>
        <w:fldChar w:fldCharType="end"/>
      </w:r>
      <w:r w:rsidRPr="005C62D0">
        <w:rPr>
          <w:szCs w:val="24"/>
        </w:rPr>
        <w:t>. Wind and solar generation are 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Pr>
          <w:szCs w:val="24"/>
        </w:rPr>
        <w:fldChar w:fldCharType="begin"/>
      </w:r>
      <w:r w:rsidR="00A95675">
        <w:rPr>
          <w:szCs w:val="24"/>
        </w:rPr>
        <w:instrText xml:space="preserve"> ADDIN ZOTERO_ITEM CSL_CITATION {"citationID":"KUWUAQKN","properties":{"unsorted":false,"formattedCitation":"[40]","plainCitation":"[40]","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Pr>
          <w:szCs w:val="24"/>
        </w:rPr>
        <w:fldChar w:fldCharType="separate"/>
      </w:r>
      <w:r w:rsidR="00A95675" w:rsidRPr="00A95675">
        <w:t>[40]</w:t>
      </w:r>
      <w:r>
        <w:rPr>
          <w:szCs w:val="24"/>
        </w:rPr>
        <w:fldChar w:fldCharType="end"/>
      </w:r>
      <w:r w:rsidRPr="005C62D0">
        <w:rPr>
          <w:szCs w:val="24"/>
        </w:rPr>
        <w:t>.</w:t>
      </w:r>
    </w:p>
    <w:p w14:paraId="1DED5B25" w14:textId="24D1A8B7" w:rsidR="00FE013C" w:rsidRDefault="00FE013C" w:rsidP="00A95675">
      <w:pPr>
        <w:spacing w:after="120"/>
        <w:ind w:firstLine="480"/>
        <w:rPr>
          <w:szCs w:val="24"/>
        </w:rPr>
      </w:pPr>
      <w:r w:rsidRPr="005C62D0">
        <w:rPr>
          <w:szCs w:val="24"/>
        </w:rPr>
        <w:t xml:space="preserve">Hydroelectric power, specifically pumped-storage hydropower (PSH), is a </w:t>
      </w:r>
      <w:r w:rsidR="00A84FBF" w:rsidRPr="00A84FBF">
        <w:rPr>
          <w:szCs w:val="24"/>
        </w:rPr>
        <w:t xml:space="preserve">major grid-scale storage technology </w:t>
      </w:r>
      <w:r w:rsidRPr="005C62D0">
        <w:rPr>
          <w:szCs w:val="24"/>
        </w:rPr>
        <w:t>at the grid level. PSH accounts for approximately 95% of the world's electricity storage capacity and offers gigawatt hours of storage at much lower costs than battery systems</w:t>
      </w:r>
      <w:r>
        <w:rPr>
          <w:szCs w:val="24"/>
        </w:rPr>
        <w:fldChar w:fldCharType="begin"/>
      </w:r>
      <w:r w:rsidR="00A95675">
        <w:rPr>
          <w:szCs w:val="24"/>
        </w:rPr>
        <w:instrText xml:space="preserve"> ADDIN ZOTERO_ITEM CSL_CITATION {"citationID":"jSwEnIfV","properties":{"unsorted":false,"formattedCitation":"[41]","plainCitation":"[41]","noteIndex":0},"citationItems":[{"id":1977,"uris":["http://zotero.org/users/9870935/items/F2FF39J5"],"itemData":{"id":1977,"type":"article-journal","abstract":"Energy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Pr>
          <w:szCs w:val="24"/>
        </w:rPr>
        <w:fldChar w:fldCharType="separate"/>
      </w:r>
      <w:r w:rsidR="00A95675" w:rsidRPr="00A95675">
        <w:t>[41]</w:t>
      </w:r>
      <w:r>
        <w:rPr>
          <w:szCs w:val="24"/>
        </w:rPr>
        <w:fldChar w:fldCharType="end"/>
      </w:r>
      <w:r w:rsidRPr="005C62D0">
        <w:rPr>
          <w:szCs w:val="24"/>
        </w:rPr>
        <w:t>. Run-of-the-river hydroelectric schemes are well suited for baseload generation, with relatively low environmental impacts, whereas reservoir systems enable storage for periods of a few weeks, which is necessary to account for the variability of renewable energy over the course of a year</w:t>
      </w:r>
      <w:r>
        <w:rPr>
          <w:szCs w:val="24"/>
        </w:rPr>
        <w:fldChar w:fldCharType="begin"/>
      </w:r>
      <w:r w:rsidR="00A95675">
        <w:rPr>
          <w:szCs w:val="24"/>
        </w:rPr>
        <w:instrText xml:space="preserve"> ADDIN ZOTERO_ITEM CSL_CITATION {"citationID":"3nXsAAsS","properties":{"unsorted":false,"formattedCitation":"[42]","plainCitation":"[42]","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Pr>
          <w:szCs w:val="24"/>
        </w:rPr>
        <w:fldChar w:fldCharType="separate"/>
      </w:r>
      <w:r w:rsidR="00A95675" w:rsidRPr="00A95675">
        <w:t>[42]</w:t>
      </w:r>
      <w:r>
        <w:rPr>
          <w:szCs w:val="24"/>
        </w:rPr>
        <w:fldChar w:fldCharType="end"/>
      </w:r>
      <w:r w:rsidRPr="005C62D0">
        <w:rPr>
          <w:szCs w:val="24"/>
        </w:rPr>
        <w:t>. However, new hydroelectric development is constrained by geography and environmental permitting in many regions, limiting scalability.</w:t>
      </w:r>
    </w:p>
    <w:p w14:paraId="35CE5A95" w14:textId="77777777" w:rsidR="00FE013C" w:rsidRDefault="00FE013C" w:rsidP="004C16FF">
      <w:pPr>
        <w:pStyle w:val="Heading20"/>
        <w:jc w:val="both"/>
        <w:rPr>
          <w:color w:val="auto"/>
        </w:rPr>
      </w:pPr>
      <w:r>
        <w:rPr>
          <w:color w:val="auto"/>
        </w:rPr>
        <w:t>2.3. Energy Storage Technologies</w:t>
      </w:r>
    </w:p>
    <w:p w14:paraId="314E80E9" w14:textId="6BD233F2" w:rsidR="00A71ADA" w:rsidRPr="00EA0A9E" w:rsidRDefault="00416F11" w:rsidP="00416F11">
      <w:pPr>
        <w:spacing w:after="120"/>
        <w:ind w:firstLine="480"/>
        <w:rPr>
          <w:szCs w:val="24"/>
          <w:highlight w:val="yellow"/>
          <w:lang w:val="en-CA"/>
        </w:rPr>
      </w:pPr>
      <w:r w:rsidRPr="00FA3946">
        <w:rPr>
          <w:szCs w:val="24"/>
          <w:highlight w:val="yellow"/>
        </w:rPr>
        <w:t xml:space="preserve">No single storage technology is optimal across all discharge durations, duty cycles, reliability requirements, and project constraints. Lithium-ion batteries dominate many short-duration stationary applications, while flow batteries, compressed-air storage, pumped hydro, iron-air concepts, thermal storage, </w:t>
      </w:r>
      <w:r w:rsidRPr="00303C4F">
        <w:rPr>
          <w:szCs w:val="24"/>
          <w:highlight w:val="yellow"/>
        </w:rPr>
        <w:t>and hydrogen are considered for longer durations depending on site conditions and technology maturity.</w:t>
      </w:r>
      <w:r w:rsidRPr="00303C4F">
        <w:rPr>
          <w:szCs w:val="24"/>
          <w:highlight w:val="yellow"/>
          <w:lang w:val="en-CA"/>
        </w:rPr>
        <w:t xml:space="preserve"> </w:t>
      </w:r>
      <w:r w:rsidR="00303C4F" w:rsidRPr="00303C4F">
        <w:rPr>
          <w:szCs w:val="24"/>
          <w:highlight w:val="yellow"/>
          <w:lang w:val="en-CA"/>
        </w:rPr>
        <w:t xml:space="preserve">BloombergNEF reported that the volume-weighted average lithium-ion battery-pack price declined from approximately USD 300/kWh in 2020 to USD 108/kWh in 2025 </w:t>
      </w:r>
      <w:r w:rsidR="00EA0A9E" w:rsidRPr="00303C4F">
        <w:rPr>
          <w:szCs w:val="24"/>
          <w:highlight w:val="yellow"/>
        </w:rPr>
        <w:fldChar w:fldCharType="begin"/>
      </w:r>
      <w:r w:rsidR="00EA0A9E" w:rsidRPr="00303C4F">
        <w:rPr>
          <w:szCs w:val="24"/>
          <w:highlight w:val="yellow"/>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EA0A9E" w:rsidRPr="00303C4F">
        <w:rPr>
          <w:szCs w:val="24"/>
          <w:highlight w:val="yellow"/>
        </w:rPr>
        <w:fldChar w:fldCharType="separate"/>
      </w:r>
      <w:r w:rsidR="00EA0A9E" w:rsidRPr="00303C4F">
        <w:rPr>
          <w:highlight w:val="yellow"/>
        </w:rPr>
        <w:t>[17]</w:t>
      </w:r>
      <w:r w:rsidR="00EA0A9E" w:rsidRPr="00303C4F">
        <w:rPr>
          <w:szCs w:val="24"/>
          <w:highlight w:val="yellow"/>
        </w:rPr>
        <w:fldChar w:fldCharType="end"/>
      </w:r>
      <w:r w:rsidR="00A71ADA" w:rsidRPr="00303C4F">
        <w:rPr>
          <w:szCs w:val="24"/>
          <w:highlight w:val="yellow"/>
          <w:lang w:val="en-CA"/>
        </w:rPr>
        <w:t xml:space="preserve">. Note that this is battery-pricing not </w:t>
      </w:r>
      <w:r w:rsidR="00EA0A9E" w:rsidRPr="00303C4F">
        <w:rPr>
          <w:szCs w:val="24"/>
          <w:highlight w:val="yellow"/>
          <w:lang w:val="en-CA"/>
        </w:rPr>
        <w:t>including</w:t>
      </w:r>
      <w:r w:rsidR="00A71ADA" w:rsidRPr="00303C4F">
        <w:rPr>
          <w:szCs w:val="24"/>
          <w:highlight w:val="yellow"/>
          <w:lang w:val="en-CA"/>
        </w:rPr>
        <w:t xml:space="preserve"> extra expenses for power-conversion gear, thermal management, controls, engineering, procurement, construction, and the integration with the grid if applicable of a battery energy storage system (BESS). Due to this, Lithium Iron Phosphate (LFP) chemistry has become the mainstream selection in stationary storage applications where battery cycle life (usually &gt; 4000 cycles at 80% depth of discharge), low cost, and safer attributes prevail over those of nickel manganese cobalt (NMC) and nickel cobalt aluminum (NCA) chemistries </w:t>
      </w:r>
      <w:r w:rsidR="00EA0A9E" w:rsidRPr="00303C4F">
        <w:rPr>
          <w:szCs w:val="24"/>
          <w:highlight w:val="yellow"/>
        </w:rPr>
        <w:fldChar w:fldCharType="begin"/>
      </w:r>
      <w:r w:rsidR="00A95675" w:rsidRPr="00303C4F">
        <w:rPr>
          <w:szCs w:val="24"/>
          <w:highlight w:val="yellow"/>
        </w:rPr>
        <w:instrText xml:space="preserve"> ADDIN ZOTERO_ITEM CSL_CITATION {"citationID":"rUFBjQZm","properties":{"unsorted":false,"formattedCitation":"[43], [44]","plainCitation":"[43], [44]","noteIndex":0},"citationItems":[{"id":1982,"uris":["http://zotero.org/users/9870935/items/GEX9B6EX"],"itemData":{"id":1982,"type":"article-journal","container-title":"Future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EA0A9E" w:rsidRPr="00303C4F">
        <w:rPr>
          <w:szCs w:val="24"/>
          <w:highlight w:val="yellow"/>
        </w:rPr>
        <w:fldChar w:fldCharType="separate"/>
      </w:r>
      <w:r w:rsidR="00A95675" w:rsidRPr="00303C4F">
        <w:rPr>
          <w:highlight w:val="yellow"/>
        </w:rPr>
        <w:t>[43], [44]</w:t>
      </w:r>
      <w:r w:rsidR="00EA0A9E" w:rsidRPr="00303C4F">
        <w:rPr>
          <w:szCs w:val="24"/>
          <w:highlight w:val="yellow"/>
        </w:rPr>
        <w:fldChar w:fldCharType="end"/>
      </w:r>
      <w:r w:rsidR="00A71ADA" w:rsidRPr="00303C4F">
        <w:rPr>
          <w:szCs w:val="24"/>
          <w:highlight w:val="yellow"/>
          <w:lang w:val="en-CA"/>
        </w:rPr>
        <w:t xml:space="preserve">. Lithium-ion round trip efficiency is normally in the range of 85% to </w:t>
      </w:r>
      <w:r w:rsidR="00A71ADA" w:rsidRPr="00EA0A9E">
        <w:rPr>
          <w:szCs w:val="24"/>
          <w:highlight w:val="yellow"/>
          <w:lang w:val="en-CA"/>
        </w:rPr>
        <w:t>95% and adequate thermal management is needed to ensure battery performance and calendar life.</w:t>
      </w:r>
    </w:p>
    <w:p w14:paraId="3D88FCA9" w14:textId="3814F69D" w:rsidR="00A71ADA" w:rsidRPr="00EA0A9E" w:rsidRDefault="00A71ADA" w:rsidP="00A95675">
      <w:pPr>
        <w:spacing w:after="120"/>
        <w:ind w:firstLine="480"/>
        <w:rPr>
          <w:szCs w:val="24"/>
          <w:highlight w:val="yellow"/>
          <w:lang w:val="en-CA"/>
        </w:rPr>
      </w:pPr>
      <w:r w:rsidRPr="00EA0A9E">
        <w:rPr>
          <w:szCs w:val="24"/>
          <w:highlight w:val="yellow"/>
          <w:lang w:val="en-CA"/>
        </w:rPr>
        <w:t xml:space="preserve">Long-duration energy-storage (LDES) technologies are gaining traction for periods of storage beyond </w:t>
      </w:r>
      <w:r w:rsidR="00C2502C">
        <w:rPr>
          <w:szCs w:val="24"/>
          <w:highlight w:val="yellow"/>
          <w:lang w:val="en-CA"/>
        </w:rPr>
        <w:t>approximately</w:t>
      </w:r>
      <w:r w:rsidRPr="00EA0A9E">
        <w:rPr>
          <w:szCs w:val="24"/>
          <w:highlight w:val="yellow"/>
          <w:lang w:val="en-CA"/>
        </w:rPr>
        <w:t xml:space="preserve"> </w:t>
      </w:r>
      <w:r w:rsidRPr="00CE59E2">
        <w:rPr>
          <w:szCs w:val="24"/>
          <w:highlight w:val="yellow"/>
          <w:lang w:val="en-CA"/>
        </w:rPr>
        <w:t xml:space="preserve">8-hours. While the start-up cost for vanadium redox flow batteries (VRFBs) is still relatively high, they have long cycle lifetimes (typically over 20,000 cycles) and have the power and energy capacity that can be separated </w:t>
      </w:r>
      <w:r w:rsidR="00EA0A9E" w:rsidRPr="00CE59E2">
        <w:rPr>
          <w:szCs w:val="24"/>
          <w:highlight w:val="yellow"/>
        </w:rPr>
        <w:fldChar w:fldCharType="begin"/>
      </w:r>
      <w:r w:rsidR="00A95675" w:rsidRPr="00CE59E2">
        <w:rPr>
          <w:szCs w:val="24"/>
          <w:highlight w:val="yellow"/>
        </w:rPr>
        <w:instrText xml:space="preserve"> ADDIN ZOTERO_ITEM CSL_CITATION {"citationID":"YCICZ6dN","properties":{"unsorted":false,"formattedCitation":"[45]","plainCitation":"[45]","noteIndex":0},"citationItems":[{"id":1984,"uris":["http://zotero.org/users/9870935/items/M6SVEFZJ"],"itemData":{"id":1984,"type":"article-journal","container-title":"Next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A0A9E" w:rsidRPr="00CE59E2">
        <w:rPr>
          <w:szCs w:val="24"/>
          <w:highlight w:val="yellow"/>
        </w:rPr>
        <w:fldChar w:fldCharType="separate"/>
      </w:r>
      <w:r w:rsidR="00A95675" w:rsidRPr="00CE59E2">
        <w:rPr>
          <w:highlight w:val="yellow"/>
        </w:rPr>
        <w:t>[45]</w:t>
      </w:r>
      <w:r w:rsidR="00EA0A9E" w:rsidRPr="00CE59E2">
        <w:rPr>
          <w:szCs w:val="24"/>
          <w:highlight w:val="yellow"/>
        </w:rPr>
        <w:fldChar w:fldCharType="end"/>
      </w:r>
      <w:r w:rsidRPr="00CE59E2">
        <w:rPr>
          <w:szCs w:val="24"/>
          <w:highlight w:val="yellow"/>
          <w:lang w:val="en-CA"/>
        </w:rPr>
        <w:t xml:space="preserve">. The technology using iron-air has </w:t>
      </w:r>
      <w:r w:rsidR="00B34E65" w:rsidRPr="00CE59E2">
        <w:rPr>
          <w:szCs w:val="24"/>
          <w:highlight w:val="yellow"/>
          <w:lang w:val="en-CA"/>
        </w:rPr>
        <w:t>been</w:t>
      </w:r>
      <w:r w:rsidRPr="00CE59E2">
        <w:rPr>
          <w:szCs w:val="24"/>
          <w:highlight w:val="yellow"/>
          <w:lang w:val="en-CA"/>
        </w:rPr>
        <w:t xml:space="preserve"> proposed as another option for multi-day storage, with storage cost of $20/kWh and discharge time of more than 100 hours envisioned, to enhance the economic viability </w:t>
      </w:r>
      <w:r w:rsidRPr="00EA0A9E">
        <w:rPr>
          <w:szCs w:val="24"/>
          <w:highlight w:val="yellow"/>
          <w:lang w:val="en-CA"/>
        </w:rPr>
        <w:t>of VLD energy storage [48]. Hydrogen storage using green hydrogen can produce storage times that range from weeks up to months, but the present trajectory of research from H2 electrolysis to electricity generation in fuel cells has a round-trip efficiency of about 25–40%, and electricity prices are still much higher than a conventional battery-storage system.</w:t>
      </w:r>
    </w:p>
    <w:p w14:paraId="56825C19" w14:textId="2FF45A9A" w:rsidR="00A71ADA" w:rsidRPr="00EA0A9E" w:rsidRDefault="00A71ADA" w:rsidP="00A95675">
      <w:pPr>
        <w:spacing w:after="120"/>
        <w:ind w:firstLine="480"/>
        <w:rPr>
          <w:szCs w:val="24"/>
          <w:highlight w:val="yellow"/>
          <w:lang w:val="en-CA"/>
        </w:rPr>
      </w:pPr>
      <w:r w:rsidRPr="00EA0A9E">
        <w:rPr>
          <w:szCs w:val="24"/>
          <w:highlight w:val="yellow"/>
          <w:lang w:val="en-CA"/>
        </w:rPr>
        <w:lastRenderedPageBreak/>
        <w:t xml:space="preserve">Energy-storage sizing methodologies have advanced from deterministic methods relying on prespecified worst cases to probabilistic and optimization-based methods. One widely used probabilistic sizing method is adequacy measures like Loss of Load Expectation (LOLE), defined as the mean time that the targeted load is not met by available electricity supply. The planning target adopted in this review is 99.99% availability (annual-duration relationship simplified: 0.876 h/year, or 52.6 min/year). When compared to the deterministic approach, probabilistic methods offer a more realistic representation of system performance, as they explicitly account for the frequency and duration of supply shortcomings. Their implementation, however, necessitates time-series information containing load information, renewable generation information, storage operation information and grid availability information </w:t>
      </w:r>
      <w:r w:rsidR="00D51B19" w:rsidRPr="009A5758">
        <w:rPr>
          <w:szCs w:val="24"/>
          <w:highlight w:val="yellow"/>
        </w:rPr>
        <w:fldChar w:fldCharType="begin"/>
      </w:r>
      <w:r w:rsidR="00A95675">
        <w:rPr>
          <w:szCs w:val="24"/>
          <w:highlight w:val="yellow"/>
        </w:rPr>
        <w:instrText xml:space="preserve"> ADDIN ZOTERO_ITEM CSL_CITATION {"citationID":"9gclYoSe","properties":{"unsorted":false,"formattedCitation":"[46]","plainCitation":"[46]","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D51B19" w:rsidRPr="009A5758">
        <w:rPr>
          <w:szCs w:val="24"/>
          <w:highlight w:val="yellow"/>
        </w:rPr>
        <w:fldChar w:fldCharType="separate"/>
      </w:r>
      <w:r w:rsidR="00A95675" w:rsidRPr="00A95675">
        <w:rPr>
          <w:highlight w:val="yellow"/>
        </w:rPr>
        <w:t>[46]</w:t>
      </w:r>
      <w:r w:rsidR="00D51B19" w:rsidRPr="009A5758">
        <w:rPr>
          <w:szCs w:val="24"/>
          <w:highlight w:val="yellow"/>
        </w:rPr>
        <w:fldChar w:fldCharType="end"/>
      </w:r>
      <w:r w:rsidRPr="00EA0A9E">
        <w:rPr>
          <w:szCs w:val="24"/>
          <w:highlight w:val="yellow"/>
          <w:lang w:val="en-CA"/>
        </w:rPr>
        <w:t>.</w:t>
      </w:r>
    </w:p>
    <w:p w14:paraId="2A29A5EA" w14:textId="77777777" w:rsidR="00FE013C" w:rsidRDefault="00FE013C" w:rsidP="004C16FF">
      <w:pPr>
        <w:pStyle w:val="Heading20"/>
        <w:jc w:val="both"/>
        <w:rPr>
          <w:color w:val="auto"/>
        </w:rPr>
      </w:pPr>
      <w:r>
        <w:rPr>
          <w:color w:val="auto"/>
        </w:rPr>
        <w:t>2.4. Microgrids and Grid Integration</w:t>
      </w:r>
    </w:p>
    <w:p w14:paraId="1ACED6C1" w14:textId="24980AF8" w:rsidR="00FE013C" w:rsidRPr="00D0205A" w:rsidRDefault="00FE013C" w:rsidP="00A95675">
      <w:pPr>
        <w:spacing w:after="120"/>
        <w:ind w:firstLine="480"/>
        <w:rPr>
          <w:szCs w:val="24"/>
        </w:rPr>
      </w:pPr>
      <w:r w:rsidRPr="00D0205A">
        <w:rPr>
          <w:szCs w:val="24"/>
        </w:rPr>
        <w:t xml:space="preserve">With the growing penetration of inverter-based resources (IBRs), microgrid control strategies have progressed considerably. The concept of grid-forming inverters is a </w:t>
      </w:r>
      <w:r w:rsidR="00734D26" w:rsidRPr="00734D26">
        <w:rPr>
          <w:szCs w:val="24"/>
        </w:rPr>
        <w:t>transition, emerging approach, or change in architecture</w:t>
      </w:r>
      <w:r w:rsidR="008F2B06">
        <w:rPr>
          <w:szCs w:val="24"/>
        </w:rPr>
        <w:t xml:space="preserve"> </w:t>
      </w:r>
      <w:r w:rsidRPr="00D0205A">
        <w:rPr>
          <w:szCs w:val="24"/>
        </w:rPr>
        <w:t xml:space="preserve">from grid-following designs that use phase-locked loops (PLLs) to </w:t>
      </w:r>
      <w:r w:rsidR="005F08CE" w:rsidRPr="00D0205A">
        <w:rPr>
          <w:szCs w:val="24"/>
        </w:rPr>
        <w:t>synchronize</w:t>
      </w:r>
      <w:r w:rsidRPr="00D0205A">
        <w:rPr>
          <w:szCs w:val="24"/>
        </w:rPr>
        <w:t xml:space="preserve"> with the grid frequency</w:t>
      </w:r>
      <w:r>
        <w:rPr>
          <w:szCs w:val="24"/>
        </w:rPr>
        <w:fldChar w:fldCharType="begin"/>
      </w:r>
      <w:r w:rsidR="00A95675">
        <w:rPr>
          <w:szCs w:val="24"/>
        </w:rPr>
        <w:instrText xml:space="preserve"> ADDIN ZOTERO_ITEM CSL_CITATION {"citationID":"GRPOjuAH","properties":{"unsorted":false,"formattedCitation":"[47]","plainCitation":"[47]","noteIndex":0},"citationItems":[{"id":1991,"uris":["http://zotero.org/users/9870935/items/TCP3MAYA"],"itemData":{"id":1991,"type":"article-journal","abstract":"With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Pr>
          <w:szCs w:val="24"/>
        </w:rPr>
        <w:fldChar w:fldCharType="separate"/>
      </w:r>
      <w:r w:rsidR="00A95675" w:rsidRPr="00A95675">
        <w:t>[47]</w:t>
      </w:r>
      <w:r>
        <w:rPr>
          <w:szCs w:val="24"/>
        </w:rPr>
        <w:fldChar w:fldCharType="end"/>
      </w:r>
      <w:r w:rsidRPr="00D0205A">
        <w:rPr>
          <w:szCs w:val="24"/>
        </w:rPr>
        <w:t>. The IEEE 2800-2022 standard was developed specifically for IBRs and defines the performance criteria for frequency response, voltage support, and ride-through that allow for reliable operation at high levels of renewable penetration</w:t>
      </w:r>
      <w:r>
        <w:rPr>
          <w:szCs w:val="24"/>
        </w:rPr>
        <w:fldChar w:fldCharType="begin"/>
      </w:r>
      <w:r w:rsidR="00A95675">
        <w:rPr>
          <w:szCs w:val="24"/>
        </w:rPr>
        <w:instrText xml:space="preserve"> ADDIN ZOTERO_ITEM CSL_CITATION {"citationID":"yvSCoOuc","properties":{"unsorted":false,"formattedCitation":"[48]","plainCitation":"[48]","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Pr>
          <w:szCs w:val="24"/>
        </w:rPr>
        <w:fldChar w:fldCharType="separate"/>
      </w:r>
      <w:r w:rsidR="00A95675" w:rsidRPr="00A95675">
        <w:t>[48]</w:t>
      </w:r>
      <w:r>
        <w:rPr>
          <w:szCs w:val="24"/>
        </w:rPr>
        <w:fldChar w:fldCharType="end"/>
      </w:r>
      <w:r w:rsidRPr="00D0205A">
        <w:rPr>
          <w:szCs w:val="24"/>
        </w:rPr>
        <w:t>. FERC Order 2023 also clarifies the interconnection process, providing streamlined timelines and pre-certification routes to mitigate delays in the queue</w:t>
      </w:r>
      <w:r>
        <w:rPr>
          <w:szCs w:val="24"/>
        </w:rPr>
        <w:fldChar w:fldCharType="begin"/>
      </w:r>
      <w:r>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szCs w:val="24"/>
        </w:rPr>
        <w:fldChar w:fldCharType="separate"/>
      </w:r>
      <w:r w:rsidRPr="00F0303A">
        <w:t>[24]</w:t>
      </w:r>
      <w:r>
        <w:rPr>
          <w:szCs w:val="24"/>
        </w:rPr>
        <w:fldChar w:fldCharType="end"/>
      </w:r>
      <w:r w:rsidRPr="00D0205A">
        <w:rPr>
          <w:szCs w:val="24"/>
        </w:rPr>
        <w:t>.</w:t>
      </w:r>
    </w:p>
    <w:p w14:paraId="0C116E4D" w14:textId="578D7DAA" w:rsidR="00FE013C" w:rsidRPr="00D0205A" w:rsidRDefault="00FE013C" w:rsidP="00A95675">
      <w:pPr>
        <w:spacing w:after="120"/>
        <w:ind w:firstLine="480"/>
        <w:rPr>
          <w:szCs w:val="24"/>
        </w:rPr>
      </w:pPr>
      <w:r w:rsidRPr="00D0205A">
        <w:rPr>
          <w:szCs w:val="24"/>
        </w:rPr>
        <w:t xml:space="preserve">In data </w:t>
      </w:r>
      <w:r w:rsidR="005F08CE" w:rsidRPr="00D0205A">
        <w:rPr>
          <w:szCs w:val="24"/>
        </w:rPr>
        <w:t>center</w:t>
      </w:r>
      <w:r w:rsidRPr="00D0205A">
        <w:rPr>
          <w:szCs w:val="24"/>
        </w:rPr>
        <w:t xml:space="preserve"> microgrids, harmonic distortion, power factor correction, and voltage regulation are important considerations for power quality management. IEEE 519 specifies a THD limit of less than 5</w:t>
      </w:r>
      <w:r>
        <w:rPr>
          <w:szCs w:val="24"/>
        </w:rPr>
        <w:t xml:space="preserve">% </w:t>
      </w:r>
      <w:r w:rsidRPr="00D0205A">
        <w:rPr>
          <w:szCs w:val="24"/>
        </w:rPr>
        <w:t>at the point of common coupling (PCC), and individual harmonic limits of 3</w:t>
      </w:r>
      <w:r>
        <w:rPr>
          <w:szCs w:val="24"/>
        </w:rPr>
        <w:t xml:space="preserve">% </w:t>
      </w:r>
      <w:r w:rsidRPr="00D0205A">
        <w:rPr>
          <w:szCs w:val="24"/>
        </w:rPr>
        <w:t>for characteristic harmonics</w:t>
      </w:r>
      <w:r>
        <w:rPr>
          <w:szCs w:val="24"/>
        </w:rPr>
        <w:fldChar w:fldCharType="begin"/>
      </w:r>
      <w:r>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4C48CC">
        <w:t>[22]</w:t>
      </w:r>
      <w:r>
        <w:rPr>
          <w:szCs w:val="24"/>
        </w:rPr>
        <w:fldChar w:fldCharType="end"/>
      </w:r>
      <w:r w:rsidRPr="00D0205A">
        <w:rPr>
          <w:szCs w:val="24"/>
        </w:rPr>
        <w:t xml:space="preserve">. SMPSs, VFDs, and LED drivers are examples of nonlinear loads in modern data </w:t>
      </w:r>
      <w:r w:rsidR="005F08CE" w:rsidRPr="00D0205A">
        <w:rPr>
          <w:szCs w:val="24"/>
        </w:rPr>
        <w:t>centers</w:t>
      </w:r>
      <w:r w:rsidRPr="00D0205A">
        <w:rPr>
          <w:szCs w:val="24"/>
        </w:rPr>
        <w:t xml:space="preserve"> that can produce substantial harmonic currents, resulting in transformer overheating, capacitor bank damage, and overload of the neutral conductor if left unchecked</w:t>
      </w:r>
      <w:r>
        <w:rPr>
          <w:szCs w:val="24"/>
        </w:rPr>
        <w:fldChar w:fldCharType="begin"/>
      </w:r>
      <w:r w:rsidR="00A95675">
        <w:rPr>
          <w:szCs w:val="24"/>
        </w:rPr>
        <w:instrText xml:space="preserve"> ADDIN ZOTERO_ITEM CSL_CITATION {"citationID":"jj4vX417","properties":{"unsorted":false,"formattedCitation":"[49]","plainCitation":"[49]","noteIndex":0},"citationItems":[{"id":1993,"uris":["http://zotero.org/users/9870935/items/2D54TKGT"],"itemData":{"id":1993,"type":"paper-conference","container-title":"2024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Pr>
          <w:szCs w:val="24"/>
        </w:rPr>
        <w:fldChar w:fldCharType="separate"/>
      </w:r>
      <w:r w:rsidR="00A95675" w:rsidRPr="00A95675">
        <w:t>[49]</w:t>
      </w:r>
      <w:r>
        <w:rPr>
          <w:szCs w:val="24"/>
        </w:rPr>
        <w:fldChar w:fldCharType="end"/>
      </w:r>
      <w:r w:rsidRPr="00D0205A">
        <w:rPr>
          <w:szCs w:val="24"/>
        </w:rPr>
        <w:t>. In high-density computing, active power filters and multi-pulse rectifier topologies are effective solutions for harmonic compliance.</w:t>
      </w:r>
    </w:p>
    <w:p w14:paraId="13C13EB1" w14:textId="77777777" w:rsidR="00FE013C" w:rsidRDefault="00FE013C" w:rsidP="004C16FF">
      <w:pPr>
        <w:pStyle w:val="Heading20"/>
        <w:jc w:val="both"/>
        <w:rPr>
          <w:color w:val="auto"/>
        </w:rPr>
      </w:pPr>
      <w:r>
        <w:rPr>
          <w:color w:val="auto"/>
        </w:rPr>
        <w:t>2.5. Industry Case Studies</w:t>
      </w:r>
    </w:p>
    <w:p w14:paraId="778EC10C" w14:textId="34F41DF2" w:rsidR="00FE013C" w:rsidRPr="00215994" w:rsidRDefault="00E74F3D" w:rsidP="00A95675">
      <w:pPr>
        <w:spacing w:after="120"/>
        <w:ind w:firstLine="480"/>
        <w:rPr>
          <w:szCs w:val="24"/>
        </w:rPr>
      </w:pPr>
      <w:r w:rsidRPr="00E74F3D">
        <w:rPr>
          <w:szCs w:val="24"/>
        </w:rPr>
        <w:t xml:space="preserve">Google reports extensive renewable-energy procurement and hourly CFE </w:t>
      </w:r>
      <w:r w:rsidR="00AB673C" w:rsidRPr="00E74F3D">
        <w:rPr>
          <w:szCs w:val="24"/>
        </w:rPr>
        <w:t>initiatives.</w:t>
      </w:r>
      <w:r w:rsidR="00FE013C" w:rsidRPr="00215994">
        <w:rPr>
          <w:szCs w:val="24"/>
        </w:rPr>
        <w:t xml:space="preserve"> The company has recently increased its contracting activities, resulting in </w:t>
      </w:r>
      <w:r w:rsidR="00FE013C" w:rsidRPr="007447D4">
        <w:rPr>
          <w:szCs w:val="24"/>
        </w:rPr>
        <w:t xml:space="preserve">a portfolio of over 22 GW of contracted renewable capacity — with total pipeline commitments exceeding 30 GW — through more than 170 power purchase agreements </w:t>
      </w:r>
      <w:r w:rsidR="00FE013C" w:rsidRPr="00215994">
        <w:rPr>
          <w:szCs w:val="24"/>
        </w:rPr>
        <w:t>(PPAs)</w:t>
      </w:r>
      <w:r w:rsidR="00FE013C">
        <w:rPr>
          <w:szCs w:val="24"/>
        </w:rPr>
        <w:fldChar w:fldCharType="begin"/>
      </w:r>
      <w:r w:rsidR="00A95675">
        <w:rPr>
          <w:szCs w:val="24"/>
        </w:rPr>
        <w:instrText xml:space="preserve"> ADDIN ZOTERO_ITEM CSL_CITATION {"citationID":"hR3obl5V","properties":{"unsorted":false,"formattedCitation":"[50]","plainCitation":"[50]","noteIndex":0},"citationItems":[{"id":1995,"uris":["http://zotero.org/users/9870935/items/ZZ4BDIPH"],"itemData":{"id":1995,"type":"post-weblog","title":"Google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FE013C">
        <w:rPr>
          <w:szCs w:val="24"/>
        </w:rPr>
        <w:fldChar w:fldCharType="separate"/>
      </w:r>
      <w:r w:rsidR="00A95675" w:rsidRPr="00A95675">
        <w:t>[50]</w:t>
      </w:r>
      <w:r w:rsidR="00FE013C">
        <w:rPr>
          <w:szCs w:val="24"/>
        </w:rPr>
        <w:fldChar w:fldCharType="end"/>
      </w:r>
      <w:r w:rsidR="00FE013C" w:rsidRPr="00215994">
        <w:rPr>
          <w:szCs w:val="24"/>
        </w:rPr>
        <w:t xml:space="preserve">. Google met its hourly carbon-free energy (CFE) </w:t>
      </w:r>
      <w:r w:rsidR="00FE013C" w:rsidRPr="00291195">
        <w:rPr>
          <w:szCs w:val="24"/>
          <w:highlight w:val="yellow"/>
        </w:rPr>
        <w:t>matching metric at 64% worldwide</w:t>
      </w:r>
      <w:r w:rsidR="00291195" w:rsidRPr="00291195">
        <w:rPr>
          <w:szCs w:val="24"/>
          <w:highlight w:val="yellow"/>
        </w:rPr>
        <w:t xml:space="preserve"> </w:t>
      </w:r>
      <w:r w:rsidR="00C06E8B">
        <w:rPr>
          <w:szCs w:val="24"/>
          <w:highlight w:val="yellow"/>
        </w:rPr>
        <w:t>in</w:t>
      </w:r>
      <w:r w:rsidR="00291195" w:rsidRPr="00291195">
        <w:rPr>
          <w:szCs w:val="24"/>
          <w:highlight w:val="yellow"/>
        </w:rPr>
        <w:t xml:space="preserve"> 2024</w:t>
      </w:r>
      <w:r w:rsidR="00FE013C" w:rsidRPr="00215994">
        <w:rPr>
          <w:szCs w:val="24"/>
        </w:rPr>
        <w:t xml:space="preserve"> and continues on its path toward achieving its structural target of 100</w:t>
      </w:r>
      <w:r w:rsidR="00FE013C">
        <w:rPr>
          <w:szCs w:val="24"/>
        </w:rPr>
        <w:t xml:space="preserve">% </w:t>
      </w:r>
      <w:r w:rsidR="00FE013C" w:rsidRPr="00215994">
        <w:rPr>
          <w:szCs w:val="24"/>
        </w:rPr>
        <w:t>CFE operation on all regional grids by 2030</w:t>
      </w:r>
      <w:r w:rsidR="00FE013C">
        <w:rPr>
          <w:szCs w:val="24"/>
        </w:rPr>
        <w:fldChar w:fldCharType="begin"/>
      </w:r>
      <w:r w:rsidR="00A95675">
        <w:rPr>
          <w:szCs w:val="24"/>
        </w:rPr>
        <w:instrText xml:space="preserve"> ADDIN ZOTERO_ITEM CSL_CITATION {"citationID":"CKrzWUpd","properties":{"unsorted":false,"formattedCitation":"[50], [51]","plainCitation":"[50], [51]","noteIndex":0},"citationItems":[{"id":1995,"uris":["http://zotero.org/users/9870935/items/ZZ4BDIPH"],"itemData":{"id":1995,"type":"post-weblog","title":"Google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FE013C">
        <w:rPr>
          <w:szCs w:val="24"/>
        </w:rPr>
        <w:fldChar w:fldCharType="separate"/>
      </w:r>
      <w:r w:rsidR="00A95675" w:rsidRPr="00A95675">
        <w:t>[50], [51]</w:t>
      </w:r>
      <w:r w:rsidR="00FE013C">
        <w:rPr>
          <w:szCs w:val="24"/>
        </w:rPr>
        <w:fldChar w:fldCharType="end"/>
      </w:r>
      <w:r w:rsidR="00FE013C" w:rsidRPr="00215994">
        <w:rPr>
          <w:szCs w:val="24"/>
        </w:rPr>
        <w:t xml:space="preserve">. This approach involves the deployment of a 50 MW on-site wind generation framework at its data </w:t>
      </w:r>
      <w:r w:rsidR="005F08CE" w:rsidRPr="00215994">
        <w:rPr>
          <w:szCs w:val="24"/>
        </w:rPr>
        <w:t>center</w:t>
      </w:r>
      <w:r w:rsidR="00FE013C" w:rsidRPr="00215994">
        <w:rPr>
          <w:szCs w:val="24"/>
        </w:rPr>
        <w:t xml:space="preserve"> cluster in Iowa, along with more than 200 MW of wind and solar PPAs in Chile. Google’s strategy is to spread out their architecture geographically, taking advantage of the anticorrelated, complementary nature of wind assets in the U.S. Midwest and solar assets in the Southwest to significantly reduce the overall variability of the grid they are tied to</w:t>
      </w:r>
      <w:r w:rsidR="00FE013C">
        <w:rPr>
          <w:szCs w:val="24"/>
        </w:rPr>
        <w:fldChar w:fldCharType="begin"/>
      </w:r>
      <w:r w:rsidR="00A95675">
        <w:rPr>
          <w:szCs w:val="24"/>
        </w:rPr>
        <w:instrText xml:space="preserve"> ADDIN ZOTERO_ITEM CSL_CITATION {"citationID":"qNnagB7S","properties":{"unsorted":false,"formattedCitation":"[51]","plainCitation":"[51]","noteIndex":0},"citationItems":[{"id":1996,"uris":["http://zotero.org/users/9870935/items/JWXMITAD"],"itemData":{"id":1996,"type":"article-journal","abstract":"The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sidR="00FE013C">
        <w:rPr>
          <w:szCs w:val="24"/>
        </w:rPr>
        <w:fldChar w:fldCharType="separate"/>
      </w:r>
      <w:r w:rsidR="00A95675" w:rsidRPr="00A95675">
        <w:t>[51]</w:t>
      </w:r>
      <w:r w:rsidR="00FE013C">
        <w:rPr>
          <w:szCs w:val="24"/>
        </w:rPr>
        <w:fldChar w:fldCharType="end"/>
      </w:r>
      <w:r w:rsidR="00FE013C" w:rsidRPr="00215994">
        <w:rPr>
          <w:szCs w:val="24"/>
        </w:rPr>
        <w:t xml:space="preserve">.  </w:t>
      </w:r>
    </w:p>
    <w:p w14:paraId="3A90E4C4" w14:textId="5D2FDB96" w:rsidR="00FE013C" w:rsidRPr="00215994" w:rsidRDefault="00FE013C" w:rsidP="00A95675">
      <w:pPr>
        <w:spacing w:after="120"/>
        <w:ind w:firstLine="480"/>
        <w:rPr>
          <w:szCs w:val="24"/>
        </w:rPr>
      </w:pPr>
      <w:r w:rsidRPr="00215994">
        <w:rPr>
          <w:szCs w:val="24"/>
        </w:rPr>
        <w:lastRenderedPageBreak/>
        <w:t xml:space="preserve">Meta has taken a differentiated approach, focusing on </w:t>
      </w:r>
      <w:r w:rsidR="005F08CE" w:rsidRPr="00215994">
        <w:rPr>
          <w:szCs w:val="24"/>
        </w:rPr>
        <w:t>localized</w:t>
      </w:r>
      <w:r w:rsidRPr="00215994">
        <w:rPr>
          <w:szCs w:val="24"/>
        </w:rPr>
        <w:t xml:space="preserve"> fuel cell deployment and extensive grid additionality. Meta installed 5 MW of SOFCs at its Prineville, OR data </w:t>
      </w:r>
      <w:r w:rsidR="005F08CE" w:rsidRPr="00215994">
        <w:rPr>
          <w:szCs w:val="24"/>
        </w:rPr>
        <w:t>center</w:t>
      </w:r>
      <w:r w:rsidRPr="00215994">
        <w:rPr>
          <w:szCs w:val="24"/>
        </w:rPr>
        <w:t xml:space="preserve"> campus to supply stable primary baseload power</w:t>
      </w:r>
      <w:r>
        <w:rPr>
          <w:szCs w:val="24"/>
        </w:rPr>
        <w:fldChar w:fldCharType="begin"/>
      </w:r>
      <w:r w:rsidR="00A95675">
        <w:rPr>
          <w:szCs w:val="24"/>
        </w:rPr>
        <w:instrText xml:space="preserve"> ADDIN ZOTERO_ITEM CSL_CITATION {"citationID":"yI9ZUW0O","properties":{"unsorted":false,"formattedCitation":"[51]","plainCitation":"[51]","noteIndex":0},"citationItems":[{"id":1996,"uris":["http://zotero.org/users/9870935/items/JWXMITAD"],"itemData":{"id":1996,"type":"article-journal","abstract":"The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A95675" w:rsidRPr="00A95675">
        <w:t>[51]</w:t>
      </w:r>
      <w:r>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globally </w:t>
      </w:r>
      <w:r>
        <w:rPr>
          <w:szCs w:val="24"/>
        </w:rPr>
        <w:fldChar w:fldCharType="begin"/>
      </w:r>
      <w:r w:rsidR="00A95675">
        <w:rPr>
          <w:szCs w:val="24"/>
        </w:rPr>
        <w:instrText xml:space="preserve"> ADDIN ZOTERO_ITEM CSL_CITATION {"citationID":"Zg4mrp1i","properties":{"unsorted":false,"formattedCitation":"[52], [53]","plainCitation":"[52], [53]","noteIndex":0},"citationItems":[{"id":1998,"uris":["http://zotero.org/users/9870935/items/3PR5HCM7"],"itemData":{"id":1998,"type":"post-weblog","title":"2025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Growth","URL":"https://about.bnef.com/insights/clean-energy/corporate-clean-energy-buying-fell-in-2025-after-nearly-a-decade-of-growth/","author":[{"family":"BloombergNEF","given":""}]}}],"schema":"https://github.com/citation-style-language/schema/raw/master/csl-citation.json"} </w:instrText>
      </w:r>
      <w:r>
        <w:rPr>
          <w:szCs w:val="24"/>
        </w:rPr>
        <w:fldChar w:fldCharType="separate"/>
      </w:r>
      <w:r w:rsidR="00A95675" w:rsidRPr="00A95675">
        <w:t>[52], [53]</w:t>
      </w:r>
      <w:r>
        <w:rPr>
          <w:szCs w:val="24"/>
        </w:rPr>
        <w:fldChar w:fldCharType="end"/>
      </w:r>
      <w:r w:rsidRPr="00215994">
        <w:rPr>
          <w:szCs w:val="24"/>
        </w:rPr>
        <w:t xml:space="preserve">.  </w:t>
      </w:r>
    </w:p>
    <w:p w14:paraId="63A51356" w14:textId="0C90D94E" w:rsidR="00FE013C" w:rsidRPr="00215994" w:rsidRDefault="00FE013C" w:rsidP="00A95675">
      <w:pPr>
        <w:spacing w:after="120"/>
        <w:ind w:firstLine="480"/>
        <w:rPr>
          <w:szCs w:val="24"/>
        </w:rPr>
      </w:pPr>
      <w:r w:rsidRPr="00215994">
        <w:rPr>
          <w:szCs w:val="24"/>
        </w:rPr>
        <w:t xml:space="preserve">At the same time, </w:t>
      </w:r>
      <w:r w:rsidR="00EE5A16" w:rsidRPr="00EE5A16">
        <w:rPr>
          <w:szCs w:val="24"/>
        </w:rPr>
        <w:t>Microsoft has also pursued alternative low-carbon supply and data-center infrastructure strategies</w:t>
      </w:r>
      <w:r w:rsidRPr="00215994">
        <w:rPr>
          <w:szCs w:val="24"/>
        </w:rPr>
        <w:t xml:space="preserve">. This includes Project Natick, an underwater data </w:t>
      </w:r>
      <w:r w:rsidR="005F08CE" w:rsidRPr="00215994">
        <w:rPr>
          <w:szCs w:val="24"/>
        </w:rPr>
        <w:t>center</w:t>
      </w:r>
      <w:r w:rsidRPr="00215994">
        <w:rPr>
          <w:szCs w:val="24"/>
        </w:rPr>
        <w:t xml:space="preserve"> deployment that achieved a 99.9</w:t>
      </w:r>
      <w:r>
        <w:rPr>
          <w:szCs w:val="24"/>
        </w:rPr>
        <w:t xml:space="preserve">% </w:t>
      </w:r>
      <w:r w:rsidRPr="00215994">
        <w:rPr>
          <w:szCs w:val="24"/>
        </w:rPr>
        <w:t xml:space="preserve">uptime reliability factor and an eight-fold reduction in hardware failure rates compared with traditional land-based data </w:t>
      </w:r>
      <w:r w:rsidR="005F08CE" w:rsidRPr="00215994">
        <w:rPr>
          <w:szCs w:val="24"/>
        </w:rPr>
        <w:t>centers</w:t>
      </w:r>
      <w:r w:rsidRPr="00215994">
        <w:rPr>
          <w:szCs w:val="24"/>
        </w:rPr>
        <w:t xml:space="preserve"> </w:t>
      </w:r>
      <w:r>
        <w:rPr>
          <w:szCs w:val="24"/>
        </w:rPr>
        <w:fldChar w:fldCharType="begin"/>
      </w:r>
      <w:r w:rsidR="00A95675">
        <w:rPr>
          <w:szCs w:val="24"/>
        </w:rPr>
        <w:instrText xml:space="preserve"> ADDIN ZOTERO_ITEM CSL_CITATION {"citationID":"8st61XpZ","properties":{"unsorted":false,"formattedCitation":"[54], [55]","plainCitation":"[54], [55]","noteIndex":0},"citationItems":[{"id":2005,"uris":["http://zotero.org/users/9870935/items/GPXLWD7A"],"itemData":{"id":2005,"type":"article-journal","abstract":"This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Pr>
          <w:szCs w:val="24"/>
        </w:rPr>
        <w:fldChar w:fldCharType="separate"/>
      </w:r>
      <w:r w:rsidR="00A95675" w:rsidRPr="00A95675">
        <w:t>[54], [55]</w:t>
      </w:r>
      <w:r>
        <w:rPr>
          <w:szCs w:val="24"/>
        </w:rPr>
        <w:fldChar w:fldCharType="end"/>
      </w:r>
      <w:r w:rsidRPr="00215994">
        <w:rPr>
          <w:szCs w:val="24"/>
        </w:rPr>
        <w:t>. To support the very large workloads of AI, Microsoft has transitioned to nuclear energy frameworks, with direct, long-term power supply relationships that provide stable, non-intermittent baseload power that is carbon-free</w:t>
      </w:r>
      <w:r>
        <w:rPr>
          <w:szCs w:val="24"/>
        </w:rPr>
        <w:fldChar w:fldCharType="begin"/>
      </w:r>
      <w:r w:rsidR="00A95675">
        <w:rPr>
          <w:szCs w:val="24"/>
        </w:rPr>
        <w:instrText xml:space="preserve"> ADDIN ZOTERO_ITEM CSL_CITATION {"citationID":"XDrsuJcP","properties":{"unsorted":false,"formattedCitation":"[56]","plainCitation":"[56]","noteIndex":0},"citationItems":[{"id":2006,"uris":["http://zotero.org/users/9870935/items/X97WKK42"],"itemData":{"id":2006,"type":"article-journal","abstract":"Societies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00A95675" w:rsidRPr="00A95675">
        <w:t>[56]</w:t>
      </w:r>
      <w:r>
        <w:rPr>
          <w:szCs w:val="24"/>
        </w:rPr>
        <w:fldChar w:fldCharType="end"/>
      </w:r>
      <w:r w:rsidRPr="00215994">
        <w:rPr>
          <w:szCs w:val="24"/>
        </w:rPr>
        <w:t>.</w:t>
      </w:r>
    </w:p>
    <w:p w14:paraId="4EE3A5CE" w14:textId="379B738C" w:rsidR="00FE013C" w:rsidRPr="00215994" w:rsidRDefault="00FE013C" w:rsidP="00A95675">
      <w:pPr>
        <w:spacing w:after="120"/>
        <w:ind w:firstLine="480"/>
        <w:rPr>
          <w:szCs w:val="24"/>
        </w:rPr>
      </w:pPr>
      <w:r w:rsidRPr="00215994">
        <w:rPr>
          <w:szCs w:val="24"/>
        </w:rPr>
        <w:t xml:space="preserve">Equinix is the world's largest colocation data </w:t>
      </w:r>
      <w:r w:rsidR="005F08CE" w:rsidRPr="00215994">
        <w:rPr>
          <w:szCs w:val="24"/>
        </w:rPr>
        <w:t>center</w:t>
      </w:r>
      <w:r w:rsidRPr="00215994">
        <w:rPr>
          <w:szCs w:val="24"/>
        </w:rPr>
        <w:t xml:space="preserve"> provider with a presence in more than 260 facilities, which manages a very </w:t>
      </w:r>
      <w:r w:rsidR="005F08CE" w:rsidRPr="00215994">
        <w:rPr>
          <w:szCs w:val="24"/>
        </w:rPr>
        <w:t>decentralized</w:t>
      </w:r>
      <w:r w:rsidRPr="00215994">
        <w:rPr>
          <w:szCs w:val="24"/>
        </w:rPr>
        <w:t xml:space="preserve"> clean energy procurement architecture</w:t>
      </w:r>
      <w:r>
        <w:rPr>
          <w:szCs w:val="24"/>
        </w:rPr>
        <w:fldChar w:fldCharType="begin"/>
      </w:r>
      <w:r w:rsidR="00A95675">
        <w:rPr>
          <w:szCs w:val="24"/>
        </w:rPr>
        <w:instrText xml:space="preserve"> ADDIN ZOTERO_ITEM CSL_CITATION {"citationID":"55g5vk6s","properties":{"unsorted":false,"formattedCitation":"[57]","plainCitation":"[57]","noteIndex":0},"citationItems":[{"id":2007,"uris":["http://zotero.org/users/9870935/items/KHWRQFNN"],"itemData":{"id":2007,"type":"post-weblog","title":"Sustainability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A95675" w:rsidRPr="00A95675">
        <w:t>[57]</w:t>
      </w:r>
      <w:r>
        <w:rPr>
          <w:szCs w:val="24"/>
        </w:rPr>
        <w:fldChar w:fldCharType="end"/>
      </w:r>
      <w:r w:rsidRPr="00215994">
        <w:rPr>
          <w:szCs w:val="24"/>
        </w:rPr>
        <w:t>. Equinix has established a 96</w:t>
      </w:r>
      <w:r>
        <w:rPr>
          <w:szCs w:val="24"/>
        </w:rPr>
        <w:t xml:space="preserve">% </w:t>
      </w:r>
      <w:r w:rsidRPr="00215994">
        <w:rPr>
          <w:szCs w:val="24"/>
        </w:rPr>
        <w:t xml:space="preserve">global renewable energy coverage metric for its retail data </w:t>
      </w:r>
      <w:r w:rsidR="005F08CE" w:rsidRPr="00215994">
        <w:rPr>
          <w:szCs w:val="24"/>
        </w:rPr>
        <w:t>center</w:t>
      </w:r>
      <w:r w:rsidRPr="00215994">
        <w:rPr>
          <w:szCs w:val="24"/>
        </w:rPr>
        <w:t xml:space="preserve"> portfolio, with multiple hundreds of megawatts of </w:t>
      </w:r>
      <w:r w:rsidRPr="00CE402A">
        <w:rPr>
          <w:szCs w:val="24"/>
        </w:rPr>
        <w:t>solar and wind capacity across California, Arizona, Texas, and Europe</w:t>
      </w:r>
      <w:r>
        <w:rPr>
          <w:szCs w:val="24"/>
        </w:rPr>
        <w:fldChar w:fldCharType="begin"/>
      </w:r>
      <w:r w:rsidR="00A95675">
        <w:rPr>
          <w:szCs w:val="24"/>
        </w:rPr>
        <w:instrText xml:space="preserve"> ADDIN ZOTERO_ITEM CSL_CITATION {"citationID":"4AetSQpC","properties":{"unsorted":false,"formattedCitation":"[57]","plainCitation":"[57]","noteIndex":0},"citationItems":[{"id":2007,"uris":["http://zotero.org/users/9870935/items/KHWRQFNN"],"itemData":{"id":2007,"type":"post-weblog","title":"Sustainability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A95675" w:rsidRPr="00A95675">
        <w:t>[57]</w:t>
      </w:r>
      <w:r>
        <w:rPr>
          <w:szCs w:val="24"/>
        </w:rPr>
        <w:fldChar w:fldCharType="end"/>
      </w:r>
      <w:r w:rsidRPr="00215994">
        <w:rPr>
          <w:szCs w:val="24"/>
        </w:rPr>
        <w:t>.</w:t>
      </w:r>
    </w:p>
    <w:p w14:paraId="1E0DC12C" w14:textId="77777777" w:rsidR="00742B49" w:rsidRPr="00F20C3E" w:rsidRDefault="00742B49" w:rsidP="00F20C3E">
      <w:pPr>
        <w:spacing w:after="120"/>
        <w:ind w:firstLine="480"/>
        <w:rPr>
          <w:szCs w:val="24"/>
        </w:rPr>
      </w:pPr>
      <w:r w:rsidRPr="00F20C3E">
        <w:rPr>
          <w:szCs w:val="24"/>
        </w:rPr>
        <w:t>These industry examples demonstrate that large technology companies are using a mix of renewable procurement, grid supply, on-site resources, storage, low-carbon generation, and workload management strategies. They do not demonstrate a single universally superior architecture. Corporate disclosures also differ in reporting year, accounting boundary, hourly versus annual matching, and level of independent assurance. Section 8 therefore treats these cases as illustrative evidence rather than as direct performance benchmarks.</w:t>
      </w:r>
    </w:p>
    <w:p w14:paraId="13B265DA" w14:textId="77777777" w:rsidR="00FE013C" w:rsidRDefault="00FE013C" w:rsidP="004C16FF">
      <w:pPr>
        <w:pStyle w:val="Heading20"/>
        <w:jc w:val="both"/>
        <w:rPr>
          <w:color w:val="auto"/>
        </w:rPr>
      </w:pPr>
      <w:r>
        <w:rPr>
          <w:color w:val="auto"/>
        </w:rPr>
        <w:t xml:space="preserve">2.6. </w:t>
      </w:r>
      <w:r w:rsidRPr="00B768DA">
        <w:rPr>
          <w:color w:val="auto"/>
        </w:rPr>
        <w:t>Critical Comparative Analysis of Renewable Integration Frameworks</w:t>
      </w:r>
    </w:p>
    <w:p w14:paraId="544E38E3" w14:textId="6D689083" w:rsidR="00177B3A" w:rsidRPr="00177B3A" w:rsidRDefault="00177B3A" w:rsidP="008A765B">
      <w:pPr>
        <w:spacing w:after="120"/>
        <w:ind w:firstLine="480"/>
        <w:rPr>
          <w:szCs w:val="24"/>
          <w:lang w:val="en-CA"/>
        </w:rPr>
      </w:pPr>
      <w:r w:rsidRPr="002A0D24">
        <w:rPr>
          <w:szCs w:val="24"/>
          <w:highlight w:val="yellow"/>
          <w:lang w:val="en-CA"/>
        </w:rPr>
        <w:t xml:space="preserve">Previous studies on renewable-energy integration for data centers can be grouped into four broad categories, each with distinct strengths, limitations, and implementation challenges. </w:t>
      </w:r>
      <w:r w:rsidR="00CA3F3A" w:rsidRPr="000720CF">
        <w:rPr>
          <w:szCs w:val="24"/>
          <w:highlight w:val="yellow"/>
          <w:lang w:val="en-CA"/>
        </w:rPr>
        <w:fldChar w:fldCharType="begin"/>
      </w:r>
      <w:r w:rsidR="00CA3F3A" w:rsidRPr="000720CF">
        <w:rPr>
          <w:szCs w:val="24"/>
          <w:highlight w:val="yellow"/>
          <w:lang w:val="en-CA"/>
        </w:rPr>
        <w:instrText xml:space="preserve"> REF _Ref239530713 \h </w:instrText>
      </w:r>
      <w:r w:rsidR="000720CF">
        <w:rPr>
          <w:szCs w:val="24"/>
          <w:highlight w:val="yellow"/>
          <w:lang w:val="en-CA"/>
        </w:rPr>
        <w:instrText xml:space="preserve"> \* MERGEFORMAT </w:instrText>
      </w:r>
      <w:r w:rsidR="00CA3F3A" w:rsidRPr="000720CF">
        <w:rPr>
          <w:szCs w:val="24"/>
          <w:highlight w:val="yellow"/>
          <w:lang w:val="en-CA"/>
        </w:rPr>
      </w:r>
      <w:r w:rsidR="00CA3F3A" w:rsidRPr="000720CF">
        <w:rPr>
          <w:szCs w:val="24"/>
          <w:highlight w:val="yellow"/>
          <w:lang w:val="en-CA"/>
        </w:rPr>
        <w:fldChar w:fldCharType="separate"/>
      </w:r>
      <w:r w:rsidR="00CA3F3A" w:rsidRPr="000720CF">
        <w:rPr>
          <w:highlight w:val="yellow"/>
        </w:rPr>
        <w:t xml:space="preserve">Table </w:t>
      </w:r>
      <w:r w:rsidR="00CA3F3A" w:rsidRPr="000720CF">
        <w:rPr>
          <w:noProof/>
          <w:highlight w:val="yellow"/>
        </w:rPr>
        <w:t>1</w:t>
      </w:r>
      <w:r w:rsidR="00CA3F3A" w:rsidRPr="000720CF">
        <w:rPr>
          <w:highlight w:val="yellow"/>
        </w:rPr>
        <w:t xml:space="preserve"> Comparative Analysis of Renewable Integration Approaches for Data Centers</w:t>
      </w:r>
      <w:r w:rsidR="00CA3F3A" w:rsidRPr="000720CF">
        <w:rPr>
          <w:szCs w:val="24"/>
          <w:highlight w:val="yellow"/>
          <w:lang w:val="en-CA"/>
        </w:rPr>
        <w:fldChar w:fldCharType="end"/>
      </w:r>
      <w:r w:rsidR="00CA3F3A" w:rsidRPr="000720CF">
        <w:rPr>
          <w:szCs w:val="24"/>
          <w:highlight w:val="yellow"/>
          <w:lang w:val="en-CA"/>
        </w:rPr>
        <w:t xml:space="preserve">, </w:t>
      </w:r>
      <w:r w:rsidRPr="000720CF">
        <w:rPr>
          <w:szCs w:val="24"/>
          <w:highlight w:val="yellow"/>
          <w:lang w:val="en-CA"/>
        </w:rPr>
        <w:t>provides a comparative assessment of these approaches and includes representative references supporting the identified technical strengths, economic blind spots, and implementation barriers. The analysis highlights the specific gaps that motivate the integrated framework proposed in this study.</w:t>
      </w:r>
    </w:p>
    <w:p w14:paraId="3CC51054" w14:textId="3EC48BE6" w:rsidR="00FE013C" w:rsidRDefault="00FE013C" w:rsidP="004C16FF">
      <w:pPr>
        <w:pStyle w:val="Caption"/>
        <w:keepNext/>
      </w:pPr>
      <w:bookmarkStart w:id="6" w:name="_Ref239530713"/>
      <w:r>
        <w:t xml:space="preserve">Table </w:t>
      </w:r>
      <w:fldSimple w:instr=" SEQ Table \* ARABIC ">
        <w:r w:rsidR="003A45CA">
          <w:rPr>
            <w:noProof/>
          </w:rPr>
          <w:t>1</w:t>
        </w:r>
      </w:fldSimple>
      <w:r>
        <w:t xml:space="preserve"> </w:t>
      </w:r>
      <w:r w:rsidRPr="008B20D6">
        <w:t>Comparative Analysis of Renewable Integration Approaches for Data Centers</w:t>
      </w:r>
      <w:bookmarkEnd w:id="6"/>
    </w:p>
    <w:tbl>
      <w:tblPr>
        <w:tblStyle w:val="MDPI41threelinetable"/>
        <w:tblW w:w="0" w:type="auto"/>
        <w:tblLayout w:type="fixed"/>
        <w:tblLook w:val="04A0" w:firstRow="1" w:lastRow="0" w:firstColumn="1" w:lastColumn="0" w:noHBand="0" w:noVBand="1"/>
      </w:tblPr>
      <w:tblGrid>
        <w:gridCol w:w="1678"/>
        <w:gridCol w:w="1695"/>
        <w:gridCol w:w="1695"/>
        <w:gridCol w:w="1947"/>
        <w:gridCol w:w="1829"/>
      </w:tblGrid>
      <w:tr w:rsidR="00FE013C" w:rsidRPr="00E2702F" w14:paraId="41D68597" w14:textId="77777777" w:rsidTr="00A2273B">
        <w:trPr>
          <w:cnfStyle w:val="100000000000" w:firstRow="1" w:lastRow="0" w:firstColumn="0" w:lastColumn="0" w:oddVBand="0" w:evenVBand="0" w:oddHBand="0" w:evenHBand="0" w:firstRowFirstColumn="0" w:firstRowLastColumn="0" w:lastRowFirstColumn="0" w:lastRowLastColumn="0"/>
        </w:trPr>
        <w:tc>
          <w:tcPr>
            <w:tcW w:w="1678" w:type="dxa"/>
            <w:hideMark/>
          </w:tcPr>
          <w:p w14:paraId="6F104B4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Approach</w:t>
            </w:r>
          </w:p>
        </w:tc>
        <w:tc>
          <w:tcPr>
            <w:tcW w:w="1695" w:type="dxa"/>
            <w:hideMark/>
          </w:tcPr>
          <w:p w14:paraId="5F2561D9"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Technical Strengths</w:t>
            </w:r>
          </w:p>
        </w:tc>
        <w:tc>
          <w:tcPr>
            <w:tcW w:w="1695" w:type="dxa"/>
            <w:hideMark/>
          </w:tcPr>
          <w:p w14:paraId="3827A75C"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Economic Blind Spots</w:t>
            </w:r>
          </w:p>
        </w:tc>
        <w:tc>
          <w:tcPr>
            <w:tcW w:w="1947" w:type="dxa"/>
            <w:hideMark/>
          </w:tcPr>
          <w:p w14:paraId="644C52F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Implementation Barriers</w:t>
            </w:r>
          </w:p>
        </w:tc>
        <w:tc>
          <w:tcPr>
            <w:tcW w:w="1829" w:type="dxa"/>
            <w:hideMark/>
          </w:tcPr>
          <w:p w14:paraId="5F1849DD"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Gap Addressed by This Framework</w:t>
            </w:r>
          </w:p>
        </w:tc>
      </w:tr>
      <w:tr w:rsidR="00FE013C" w:rsidRPr="00E2702F" w14:paraId="353811D3" w14:textId="77777777" w:rsidTr="00A2273B">
        <w:trPr>
          <w:trHeight w:val="1684"/>
        </w:trPr>
        <w:tc>
          <w:tcPr>
            <w:tcW w:w="1678" w:type="dxa"/>
            <w:hideMark/>
          </w:tcPr>
          <w:p w14:paraId="5DCFD7A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Technical-Only (Grid Studies)</w:t>
            </w:r>
          </w:p>
        </w:tc>
        <w:tc>
          <w:tcPr>
            <w:tcW w:w="1695" w:type="dxa"/>
            <w:hideMark/>
          </w:tcPr>
          <w:p w14:paraId="099228A6" w14:textId="12DFDDBE"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Strong harmonic and stability analysis (IEEE 519, IEC 62351 compliance); detailed EMT simulation</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{"citationID":"za0v7lKo","properties":{"unsorted":false,"formattedCitation":"[49], [58], [59]","plainCitation":"[49], [58], [59]","noteIndex":0},"citationItems":[{"id":1993,"uris":["http://zotero.org/users/9870935/items/2D54TKGT"],"itemData":{"id":1993,"type":"paper-conference","container-title":"2024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[49], [58], [59]</w:t>
            </w:r>
            <w:r w:rsidR="000B0F03" w:rsidRPr="00E2702F">
              <w:rPr>
                <w:bCs/>
                <w:color w:val="auto"/>
                <w:sz w:val="16"/>
                <w:szCs w:val="16"/>
                <w:highlight w:val="yellow"/>
              </w:rPr>
              <w:fldChar w:fldCharType="end"/>
            </w:r>
          </w:p>
        </w:tc>
        <w:tc>
          <w:tcPr>
            <w:tcW w:w="1695" w:type="dxa"/>
            <w:hideMark/>
          </w:tcPr>
          <w:p w14:paraId="472E1423" w14:textId="09C4796C"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No cost-benefit analysis; no integration with workload flexibility or PPA strategy</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{"citationID":"9NO494JV","properties":{"unsorted":false,"formattedCitation":"[60]","plainCitation":"[60]","noteIndex":0},"citationItems":[{"id":2119,"uris":["http://zotero.org/users/9870935/items/HCPVHF7M"],"itemData":{"id":2119,"type":"article-journal","container-title":"Energy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[60]</w:t>
            </w:r>
            <w:r w:rsidR="000B0F03" w:rsidRPr="00E2702F">
              <w:rPr>
                <w:bCs/>
                <w:color w:val="auto"/>
                <w:sz w:val="16"/>
                <w:szCs w:val="16"/>
                <w:highlight w:val="yellow"/>
              </w:rPr>
              <w:fldChar w:fldCharType="end"/>
            </w:r>
          </w:p>
        </w:tc>
        <w:tc>
          <w:tcPr>
            <w:tcW w:w="1947" w:type="dxa"/>
            <w:hideMark/>
          </w:tcPr>
          <w:p w14:paraId="4DC76685" w14:textId="5979CA31"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Assumes infinite budget; ignores capital constraints and OpEx optimization</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{"citationID":"EikesDoX","properties":{"unsorted":false,"formattedCitation":"[60]","plainCitation":"[60]","noteIndex":0},"citationItems":[{"id":2119,"uris":["http://zotero.org/users/9870935/items/HCPVHF7M"],"itemData":{"id":2119,"type":"article-journal","container-title":"Energy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[60]</w:t>
            </w:r>
            <w:r w:rsidR="000B0F03" w:rsidRPr="00E2702F">
              <w:rPr>
                <w:bCs/>
                <w:color w:val="auto"/>
                <w:sz w:val="16"/>
                <w:szCs w:val="16"/>
                <w:highlight w:val="yellow"/>
              </w:rPr>
              <w:fldChar w:fldCharType="end"/>
            </w:r>
          </w:p>
        </w:tc>
        <w:tc>
          <w:tcPr>
            <w:tcW w:w="1829" w:type="dxa"/>
            <w:hideMark/>
          </w:tcPr>
          <w:p w14:paraId="26E4B80F" w14:textId="77777777" w:rsidR="00BB0095" w:rsidRPr="00BB0095" w:rsidRDefault="00BB0095" w:rsidP="00BB0095">
            <w:pPr>
              <w:pStyle w:val="TableBody"/>
              <w:spacing w:line="300" w:lineRule="exact"/>
              <w:jc w:val="both"/>
              <w:rPr>
                <w:bCs/>
                <w:color w:val="auto"/>
                <w:sz w:val="16"/>
                <w:szCs w:val="16"/>
                <w:highlight w:val="yellow"/>
              </w:rPr>
            </w:pPr>
            <w:r w:rsidRPr="00BB0095">
              <w:rPr>
                <w:bCs/>
                <w:color w:val="auto"/>
                <w:sz w:val="16"/>
                <w:szCs w:val="16"/>
                <w:highlight w:val="yellow"/>
              </w:rPr>
              <w:t>Establishes consistent economic boundaries for comparing generation, storage, hybrid systems, and delivered electricity while identifying the inputs required for project-specific financial analysis.</w:t>
            </w:r>
          </w:p>
          <w:p w14:paraId="75B4D40E" w14:textId="3E859CFF" w:rsidR="00FE013C" w:rsidRPr="009D6F40" w:rsidRDefault="00FE013C" w:rsidP="004C16FF">
            <w:pPr>
              <w:pStyle w:val="TableBody"/>
              <w:jc w:val="both"/>
              <w:rPr>
                <w:bCs/>
                <w:color w:val="auto"/>
                <w:sz w:val="16"/>
                <w:szCs w:val="16"/>
                <w:highlight w:val="yellow"/>
                <w:lang w:val="en-CA"/>
              </w:rPr>
            </w:pPr>
          </w:p>
        </w:tc>
      </w:tr>
      <w:tr w:rsidR="00FE013C" w:rsidRPr="00E2702F" w14:paraId="15381C8C" w14:textId="77777777" w:rsidTr="00A2273B">
        <w:tc>
          <w:tcPr>
            <w:tcW w:w="1678" w:type="dxa"/>
            <w:hideMark/>
          </w:tcPr>
          <w:p w14:paraId="4310A57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Economic-Only (Procurement)</w:t>
            </w:r>
          </w:p>
        </w:tc>
        <w:tc>
          <w:tcPr>
            <w:tcW w:w="1695" w:type="dxa"/>
            <w:hideMark/>
          </w:tcPr>
          <w:p w14:paraId="70A9A471" w14:textId="1C64B27E"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 xml:space="preserve">Optimizes PPA rates ($25–50/MWh wind, </w:t>
            </w:r>
            <w:r w:rsidRPr="00E2702F">
              <w:rPr>
                <w:bCs/>
                <w:color w:val="auto"/>
                <w:sz w:val="16"/>
                <w:szCs w:val="16"/>
                <w:highlight w:val="yellow"/>
              </w:rPr>
              <w:lastRenderedPageBreak/>
              <w:t>$30–50/MWh solar); models energy costs independently</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{"citationID":"gxbq6i7E","properties":{"unsorted":false,"formattedCitation":"[61], [62], [63]","plainCitation":"[61], [62], [63]","noteIndex":0},"citationItems":[{"id":2132,"uris":["http://zotero.org/users/9870935/items/786EAJKN"],"itemData":{"id":2132,"type":"document","title":"Levelized Cost of Energy","URL":"https://www.lazard.com/media/eijnqja3/lazards-lcoeplus-june-2025.pdf","author":[{"family":"Lazard","given":""}]}},{"id":2166,"uris":["http://zotero.org/users/9870935/items/7HVT828C"],"itemData":{"id":2166,"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[61], [62], [63]</w:t>
            </w:r>
            <w:r w:rsidR="000B0F03" w:rsidRPr="00E2702F">
              <w:rPr>
                <w:bCs/>
                <w:color w:val="auto"/>
                <w:sz w:val="16"/>
                <w:szCs w:val="16"/>
                <w:highlight w:val="yellow"/>
              </w:rPr>
              <w:fldChar w:fldCharType="end"/>
            </w:r>
          </w:p>
        </w:tc>
        <w:tc>
          <w:tcPr>
            <w:tcW w:w="1695" w:type="dxa"/>
            <w:hideMark/>
          </w:tcPr>
          <w:p w14:paraId="371682CE" w14:textId="63AE66C3"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lastRenderedPageBreak/>
              <w:t xml:space="preserve">Ignores power quality, harmonic distortion, </w:t>
            </w:r>
            <w:r w:rsidRPr="00E2702F">
              <w:rPr>
                <w:bCs/>
                <w:color w:val="auto"/>
                <w:sz w:val="16"/>
                <w:szCs w:val="16"/>
                <w:highlight w:val="yellow"/>
              </w:rPr>
              <w:lastRenderedPageBreak/>
              <w:t>and system stability; assumes the grid can accommodate arbitrary generation profiles</w:t>
            </w:r>
            <w:r w:rsidR="000B0F03"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{"citationID":"jQc2q64j","properties":{"unsorted":false,"formattedCitation":"[48], [49]","plainCitation":"[48], [49]","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0B0F03" w:rsidRPr="00E2702F">
              <w:rPr>
                <w:bCs/>
                <w:color w:val="auto"/>
                <w:sz w:val="16"/>
                <w:szCs w:val="16"/>
                <w:highlight w:val="yellow"/>
              </w:rPr>
              <w:fldChar w:fldCharType="separate"/>
            </w:r>
            <w:r w:rsidR="00A95675" w:rsidRPr="00A95675">
              <w:rPr>
                <w:sz w:val="16"/>
                <w:highlight w:val="yellow"/>
              </w:rPr>
              <w:t>[48], [49]</w:t>
            </w:r>
            <w:r w:rsidR="000B0F03" w:rsidRPr="00E2702F">
              <w:rPr>
                <w:bCs/>
                <w:color w:val="auto"/>
                <w:sz w:val="16"/>
                <w:szCs w:val="16"/>
                <w:highlight w:val="yellow"/>
              </w:rPr>
              <w:fldChar w:fldCharType="end"/>
            </w:r>
          </w:p>
        </w:tc>
        <w:tc>
          <w:tcPr>
            <w:tcW w:w="1947" w:type="dxa"/>
            <w:hideMark/>
          </w:tcPr>
          <w:p w14:paraId="75A4E722" w14:textId="0DC4D7F0"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lastRenderedPageBreak/>
              <w:t xml:space="preserve">May result in renewable energy purchases that grid </w:t>
            </w:r>
            <w:r w:rsidRPr="00E2702F">
              <w:rPr>
                <w:bCs/>
                <w:color w:val="auto"/>
                <w:sz w:val="16"/>
                <w:szCs w:val="16"/>
                <w:highlight w:val="yellow"/>
              </w:rPr>
              <w:lastRenderedPageBreak/>
              <w:t>interconnection and protection systems cannot safely dispatch</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{"citationID":"wf5Pi7xb","properties":{"unsorted":false,"formattedCitation":"[64], [65], [66]","plainCitation":"[64], [65], [66]","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[64], [65], [66]</w:t>
            </w:r>
            <w:r w:rsidR="000B0F03" w:rsidRPr="00E2702F">
              <w:rPr>
                <w:bCs/>
                <w:color w:val="auto"/>
                <w:sz w:val="16"/>
                <w:szCs w:val="16"/>
                <w:highlight w:val="yellow"/>
              </w:rPr>
              <w:fldChar w:fldCharType="end"/>
            </w:r>
          </w:p>
        </w:tc>
        <w:tc>
          <w:tcPr>
            <w:tcW w:w="1829" w:type="dxa"/>
            <w:hideMark/>
          </w:tcPr>
          <w:p w14:paraId="5243FC6F" w14:textId="77777777" w:rsidR="00FE013C" w:rsidRPr="00E2702F" w:rsidRDefault="00FE013C" w:rsidP="004C16FF">
            <w:pPr>
              <w:pStyle w:val="TableBody"/>
              <w:jc w:val="both"/>
              <w:rPr>
                <w:bCs/>
                <w:color w:val="auto"/>
                <w:sz w:val="16"/>
                <w:szCs w:val="16"/>
                <w:highlight w:val="yellow"/>
              </w:rPr>
            </w:pPr>
            <w:r w:rsidRPr="00E2702F">
              <w:rPr>
                <w:bCs/>
                <w:color w:val="auto"/>
                <w:sz w:val="16"/>
                <w:szCs w:val="16"/>
                <w:highlight w:val="yellow"/>
              </w:rPr>
              <w:lastRenderedPageBreak/>
              <w:t xml:space="preserve">Adds </w:t>
            </w:r>
            <w:r w:rsidRPr="00E2702F">
              <w:rPr>
                <w:b/>
                <w:bCs/>
                <w:color w:val="auto"/>
                <w:sz w:val="16"/>
                <w:szCs w:val="16"/>
                <w:highlight w:val="yellow"/>
              </w:rPr>
              <w:t>Section 6</w:t>
            </w:r>
            <w:r w:rsidRPr="00E2702F">
              <w:rPr>
                <w:bCs/>
                <w:color w:val="auto"/>
                <w:sz w:val="16"/>
                <w:szCs w:val="16"/>
                <w:highlight w:val="yellow"/>
              </w:rPr>
              <w:t xml:space="preserve"> (power flow analysis), </w:t>
            </w:r>
            <w:r w:rsidRPr="00E2702F">
              <w:rPr>
                <w:b/>
                <w:bCs/>
                <w:color w:val="auto"/>
                <w:sz w:val="16"/>
                <w:szCs w:val="16"/>
                <w:highlight w:val="yellow"/>
              </w:rPr>
              <w:t xml:space="preserve">Section </w:t>
            </w:r>
            <w:r w:rsidRPr="00E2702F">
              <w:rPr>
                <w:b/>
                <w:bCs/>
                <w:color w:val="auto"/>
                <w:sz w:val="16"/>
                <w:szCs w:val="16"/>
                <w:highlight w:val="yellow"/>
              </w:rPr>
              <w:lastRenderedPageBreak/>
              <w:t>6.3</w:t>
            </w:r>
            <w:r w:rsidRPr="00E2702F">
              <w:rPr>
                <w:bCs/>
                <w:color w:val="auto"/>
                <w:sz w:val="16"/>
                <w:szCs w:val="16"/>
                <w:highlight w:val="yellow"/>
              </w:rPr>
              <w:t xml:space="preserve"> (harmonic mitigation sizing), and a comprehensive grid integration strategy</w:t>
            </w:r>
          </w:p>
        </w:tc>
      </w:tr>
      <w:tr w:rsidR="00FE013C" w:rsidRPr="00E2702F" w14:paraId="40CC1E5C" w14:textId="77777777" w:rsidTr="00A2273B">
        <w:tc>
          <w:tcPr>
            <w:tcW w:w="1678" w:type="dxa"/>
            <w:hideMark/>
          </w:tcPr>
          <w:p w14:paraId="24ABE1C1"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lastRenderedPageBreak/>
              <w:t>Company Case Studies (Google, Meta, Microsoft)</w:t>
            </w:r>
          </w:p>
        </w:tc>
        <w:tc>
          <w:tcPr>
            <w:tcW w:w="1695" w:type="dxa"/>
            <w:hideMark/>
          </w:tcPr>
          <w:p w14:paraId="71007A1C" w14:textId="3B34010B"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Provides real-world deployment data; demonstrates 64–99.9% CFE performance and scalability across portfolios exceeding 30 GW</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{"citationID":"C2SL9tNN","properties":{"unsorted":false,"formattedCitation":"[50], [52], [57], [67]","plainCitation":"[50], [52], [57], [67]","noteIndex":0},"citationItems":[{"id":1995,"uris":["http://zotero.org/users/9870935/items/ZZ4BDIPH"],"itemData":{"id":1995,"type":"post-weblog","title":"Google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[50], [52], [57], [67]</w:t>
            </w:r>
            <w:r w:rsidR="000B0F03" w:rsidRPr="00E2702F">
              <w:rPr>
                <w:bCs/>
                <w:color w:val="auto"/>
                <w:sz w:val="16"/>
                <w:szCs w:val="16"/>
                <w:highlight w:val="yellow"/>
              </w:rPr>
              <w:fldChar w:fldCharType="end"/>
            </w:r>
          </w:p>
        </w:tc>
        <w:tc>
          <w:tcPr>
            <w:tcW w:w="1695" w:type="dxa"/>
            <w:hideMark/>
          </w:tcPr>
          <w:p w14:paraId="3A596B93" w14:textId="4E9030E4"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Lacks a systematic methodology; highly geography-dependent; limited applicability for non-hyperscale operators; insufficient transparency on cost drivers</w:t>
            </w:r>
            <w:r w:rsidR="000B0F03" w:rsidRPr="00E2702F">
              <w:rPr>
                <w:bCs/>
                <w:color w:val="auto"/>
                <w:sz w:val="16"/>
                <w:szCs w:val="16"/>
                <w:highlight w:val="yellow"/>
              </w:rPr>
              <w:t xml:space="preserve"> </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{"citationID":"5YAGAcn5","properties":{"unsorted":false,"formattedCitation":"[50], [52], [57], [67]","plainCitation":"[50], [52], [57], [67]","noteIndex":0},"citationItems":[{"id":1995,"uris":["http://zotero.org/users/9870935/items/ZZ4BDIPH"],"itemData":{"id":1995,"type":"post-weblog","title":"Google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[50], [52], [57], [67]</w:t>
            </w:r>
            <w:r w:rsidR="000B0F03" w:rsidRPr="00E2702F">
              <w:rPr>
                <w:bCs/>
                <w:color w:val="auto"/>
                <w:sz w:val="16"/>
                <w:szCs w:val="16"/>
                <w:highlight w:val="yellow"/>
              </w:rPr>
              <w:fldChar w:fldCharType="end"/>
            </w:r>
          </w:p>
        </w:tc>
        <w:tc>
          <w:tcPr>
            <w:tcW w:w="1947" w:type="dxa"/>
            <w:hideMark/>
          </w:tcPr>
          <w:p w14:paraId="1380B35B" w14:textId="7C165C07"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Solutions are often hyperscale-specific (e.g., nuclear procurement, fuel-cell deployment) and not directly transferable to 10–100 MW facilities</w:t>
            </w:r>
            <w:r w:rsidR="00B73641"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{"citationID":"SO8MXGxm","properties":{"unsorted":false,"formattedCitation":"[60], [68]","plainCitation":"[60], [68]","noteIndex":0},"citationItems":[{"id":2119,"uris":["http://zotero.org/users/9870935/items/HCPVHF7M"],"itemData":{"id":2119,"type":"article-journal","container-title":"Energy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B73641" w:rsidRPr="00E2702F">
              <w:rPr>
                <w:bCs/>
                <w:color w:val="auto"/>
                <w:sz w:val="16"/>
                <w:szCs w:val="16"/>
                <w:highlight w:val="yellow"/>
              </w:rPr>
              <w:fldChar w:fldCharType="separate"/>
            </w:r>
            <w:r w:rsidR="001D1223" w:rsidRPr="001D1223">
              <w:rPr>
                <w:sz w:val="16"/>
                <w:highlight w:val="yellow"/>
              </w:rPr>
              <w:t>[60], [68]</w:t>
            </w:r>
            <w:r w:rsidR="00B73641" w:rsidRPr="00E2702F">
              <w:rPr>
                <w:bCs/>
                <w:color w:val="auto"/>
                <w:sz w:val="16"/>
                <w:szCs w:val="16"/>
                <w:highlight w:val="yellow"/>
              </w:rPr>
              <w:fldChar w:fldCharType="end"/>
            </w:r>
          </w:p>
        </w:tc>
        <w:tc>
          <w:tcPr>
            <w:tcW w:w="1829" w:type="dxa"/>
            <w:hideMark/>
          </w:tcPr>
          <w:p w14:paraId="2E1C7760" w14:textId="77777777" w:rsidR="00D57603" w:rsidRPr="00D57603" w:rsidRDefault="00D57603" w:rsidP="00D57603">
            <w:pPr>
              <w:pStyle w:val="TableBody"/>
              <w:jc w:val="both"/>
              <w:rPr>
                <w:bCs/>
                <w:color w:val="auto"/>
                <w:sz w:val="16"/>
                <w:szCs w:val="16"/>
                <w:highlight w:val="yellow"/>
              </w:rPr>
            </w:pPr>
            <w:r w:rsidRPr="00D57603">
              <w:rPr>
                <w:bCs/>
                <w:color w:val="auto"/>
                <w:sz w:val="16"/>
                <w:szCs w:val="16"/>
                <w:highlight w:val="yellow"/>
              </w:rPr>
              <w:t>Provides a modular screening framework that can be adapted to facilities of different scales, subject to project-specific data and engineering assessment.</w:t>
            </w:r>
          </w:p>
          <w:p w14:paraId="4B6D7270" w14:textId="5449CBCE" w:rsidR="00FE013C" w:rsidRPr="00E2702F" w:rsidRDefault="00FE013C" w:rsidP="004C16FF">
            <w:pPr>
              <w:pStyle w:val="TableBody"/>
              <w:jc w:val="both"/>
              <w:rPr>
                <w:bCs/>
                <w:color w:val="auto"/>
                <w:sz w:val="16"/>
                <w:szCs w:val="16"/>
                <w:highlight w:val="yellow"/>
              </w:rPr>
            </w:pPr>
          </w:p>
        </w:tc>
      </w:tr>
      <w:tr w:rsidR="00FE013C" w:rsidRPr="00C57FAE" w14:paraId="50A7E664" w14:textId="77777777" w:rsidTr="00A2273B">
        <w:tc>
          <w:tcPr>
            <w:tcW w:w="1678" w:type="dxa"/>
            <w:hideMark/>
          </w:tcPr>
          <w:p w14:paraId="71B589EF"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Equipment-Centric (Battery, Inverter, Cooling Vendors)</w:t>
            </w:r>
          </w:p>
        </w:tc>
        <w:tc>
          <w:tcPr>
            <w:tcW w:w="1695" w:type="dxa"/>
            <w:hideMark/>
          </w:tcPr>
          <w:p w14:paraId="5C797FD9" w14:textId="73F4345F"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Detailed component specifications, thermal management guidance, and efficiency performance curves</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{"citationID":"hRHqbbDL","properties":{"unsorted":false,"formattedCitation":"[34], [43], [45], [69]","plainCitation":"[34], [43], [45], [69]","noteIndex":0},"citationItems":[{"id":1964,"uris":["http://zotero.org/users/9870935/items/97W4FH39"],"itemData":{"id":1964,"type":"article-journal","container-title":"Applied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[34], [43], [45], [69]</w:t>
            </w:r>
            <w:r w:rsidR="00B73641" w:rsidRPr="00E2702F">
              <w:rPr>
                <w:bCs/>
                <w:color w:val="auto"/>
                <w:sz w:val="16"/>
                <w:szCs w:val="16"/>
                <w:highlight w:val="yellow"/>
              </w:rPr>
              <w:fldChar w:fldCharType="end"/>
            </w:r>
          </w:p>
        </w:tc>
        <w:tc>
          <w:tcPr>
            <w:tcW w:w="1695" w:type="dxa"/>
            <w:hideMark/>
          </w:tcPr>
          <w:p w14:paraId="3C2A8292" w14:textId="6D45859F"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No pathway for system-level integration; neglects interactions among storage, load flexibility, and dispatch optimization</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{"citationID":"1NVFdPcj","properties":{"unsorted":false,"formattedCitation":"[69], [70], [71]","plainCitation":"[69], [70], [71]","noteIndex":0},"citationItems":[{"id":2069,"uris":["http://zotero.org/users/9870935/items/VGJ2SVN2"],"itemData":{"id":2069,"type":"article-journal","container-title":"Applied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[69], [70], [71]</w:t>
            </w:r>
            <w:r w:rsidR="00B73641" w:rsidRPr="00E2702F">
              <w:rPr>
                <w:bCs/>
                <w:color w:val="auto"/>
                <w:sz w:val="16"/>
                <w:szCs w:val="16"/>
                <w:highlight w:val="yellow"/>
              </w:rPr>
              <w:fldChar w:fldCharType="end"/>
            </w:r>
          </w:p>
        </w:tc>
        <w:tc>
          <w:tcPr>
            <w:tcW w:w="1947" w:type="dxa"/>
            <w:hideMark/>
          </w:tcPr>
          <w:p w14:paraId="45DFF39B" w14:textId="1326B52A"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Risk of over-sizing (excess capital expenditure) or under-sizing (reliability failures); lacks dispatch and coordination strategy</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{"citationID":"jarev5d2","properties":{"unsorted":false,"formattedCitation":"[69], [70], [71]","plainCitation":"[69], [70], [71]","noteIndex":0},"citationItems":[{"id":2069,"uris":["http://zotero.org/users/9870935/items/VGJ2SVN2"],"itemData":{"id":2069,"type":"article-journal","container-title":"Applied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[69], [70], [71]</w:t>
            </w:r>
            <w:r w:rsidR="00B73641" w:rsidRPr="00E2702F">
              <w:rPr>
                <w:bCs/>
                <w:color w:val="auto"/>
                <w:sz w:val="16"/>
                <w:szCs w:val="16"/>
                <w:highlight w:val="yellow"/>
              </w:rPr>
              <w:fldChar w:fldCharType="end"/>
            </w:r>
          </w:p>
        </w:tc>
        <w:tc>
          <w:tcPr>
            <w:tcW w:w="1829" w:type="dxa"/>
            <w:hideMark/>
          </w:tcPr>
          <w:p w14:paraId="3B914F9C" w14:textId="77777777" w:rsidR="00FE013C" w:rsidRPr="00C57FAE" w:rsidRDefault="00FE013C" w:rsidP="004C16FF">
            <w:pPr>
              <w:pStyle w:val="TableBody"/>
              <w:jc w:val="both"/>
              <w:rPr>
                <w:bCs/>
                <w:color w:val="auto"/>
                <w:sz w:val="16"/>
                <w:szCs w:val="16"/>
              </w:rPr>
            </w:pPr>
            <w:r w:rsidRPr="00E2702F">
              <w:rPr>
                <w:bCs/>
                <w:color w:val="auto"/>
                <w:sz w:val="16"/>
                <w:szCs w:val="16"/>
                <w:highlight w:val="yellow"/>
              </w:rPr>
              <w:t xml:space="preserve">Adds integrated energy management through </w:t>
            </w:r>
            <w:r w:rsidRPr="00E2702F">
              <w:rPr>
                <w:b/>
                <w:bCs/>
                <w:color w:val="auto"/>
                <w:sz w:val="16"/>
                <w:szCs w:val="16"/>
                <w:highlight w:val="yellow"/>
              </w:rPr>
              <w:t>Section 5.5 (MPC Control)</w:t>
            </w:r>
            <w:r w:rsidRPr="00E2702F">
              <w:rPr>
                <w:bCs/>
                <w:color w:val="auto"/>
                <w:sz w:val="16"/>
                <w:szCs w:val="16"/>
                <w:highlight w:val="yellow"/>
              </w:rPr>
              <w:t xml:space="preserve"> and probabilistic sizing in </w:t>
            </w:r>
            <w:r w:rsidRPr="00E2702F">
              <w:rPr>
                <w:b/>
                <w:bCs/>
                <w:color w:val="auto"/>
                <w:sz w:val="16"/>
                <w:szCs w:val="16"/>
                <w:highlight w:val="yellow"/>
              </w:rPr>
              <w:t>Section 5.3</w:t>
            </w:r>
            <w:r w:rsidRPr="00E2702F">
              <w:rPr>
                <w:bCs/>
                <w:color w:val="auto"/>
                <w:sz w:val="16"/>
                <w:szCs w:val="16"/>
                <w:highlight w:val="yellow"/>
              </w:rPr>
              <w:t>, linking component selection to overall system outcomes</w:t>
            </w:r>
          </w:p>
        </w:tc>
      </w:tr>
    </w:tbl>
    <w:p w14:paraId="543E788C" w14:textId="77777777" w:rsidR="00FE013C" w:rsidRDefault="00FE013C" w:rsidP="004C16FF">
      <w:pPr>
        <w:pStyle w:val="Heading20"/>
        <w:jc w:val="both"/>
        <w:rPr>
          <w:color w:val="auto"/>
        </w:rPr>
      </w:pPr>
      <w:r>
        <w:rPr>
          <w:color w:val="auto"/>
        </w:rPr>
        <w:t xml:space="preserve">2.6.1 </w:t>
      </w:r>
      <w:r w:rsidRPr="005F1307">
        <w:rPr>
          <w:color w:val="auto"/>
        </w:rPr>
        <w:t>Key Gaps Identified in Prior Work</w:t>
      </w:r>
    </w:p>
    <w:p w14:paraId="3AF024C1" w14:textId="618ABB46" w:rsidR="00B25505" w:rsidRPr="0087246D" w:rsidRDefault="00180A7C" w:rsidP="00FE7720">
      <w:pPr>
        <w:spacing w:after="120"/>
        <w:ind w:firstLine="480"/>
        <w:rPr>
          <w:szCs w:val="24"/>
          <w:highlight w:val="yellow"/>
        </w:rPr>
      </w:pPr>
      <w:r>
        <w:rPr>
          <w:szCs w:val="24"/>
          <w:highlight w:val="yellow"/>
        </w:rPr>
        <w:t xml:space="preserve">So now </w:t>
      </w:r>
      <w:r w:rsidR="00366373" w:rsidRPr="0087246D">
        <w:rPr>
          <w:szCs w:val="24"/>
          <w:highlight w:val="yellow"/>
        </w:rPr>
        <w:t>The reviewed literature indicates the following recurring gaps</w:t>
      </w:r>
      <w:r w:rsidR="00B25505" w:rsidRPr="0087246D">
        <w:rPr>
          <w:szCs w:val="24"/>
          <w:highlight w:val="yellow"/>
        </w:rPr>
        <w:t xml:space="preserve">: </w:t>
      </w:r>
    </w:p>
    <w:p w14:paraId="25973660" w14:textId="653BDDB7"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Comprehensive Lifecycle Costing:</w:t>
      </w:r>
      <w:r w:rsidRPr="0035502B">
        <w:rPr>
          <w:szCs w:val="24"/>
          <w:highlight w:val="yellow"/>
        </w:rPr>
        <w:t xml:space="preserve"> Technical power system and economic procurement studies often test </w:t>
      </w:r>
      <w:r w:rsidRPr="00180A7C">
        <w:rPr>
          <w:szCs w:val="24"/>
          <w:highlight w:val="yellow"/>
        </w:rPr>
        <w:t xml:space="preserve">value in isolation. This can lead to reporting </w:t>
      </w:r>
      <w:r w:rsidR="00180A7C" w:rsidRPr="00180A7C">
        <w:rPr>
          <w:szCs w:val="24"/>
          <w:highlight w:val="yellow"/>
        </w:rPr>
        <w:t xml:space="preserve">apparently favorable generation or procurement costs </w:t>
      </w:r>
      <w:r w:rsidRPr="00180A7C">
        <w:rPr>
          <w:szCs w:val="24"/>
          <w:highlight w:val="yellow"/>
        </w:rPr>
        <w:t xml:space="preserve">that </w:t>
      </w:r>
      <w:r w:rsidRPr="0035502B">
        <w:rPr>
          <w:szCs w:val="24"/>
          <w:highlight w:val="yellow"/>
        </w:rPr>
        <w:t>completely omit the costs of interconnection, protection, power quality, storage, workload flexibility, or firm-delivery requirements. The framework tackles this by requiring technical viability and lifecycle costs to be evaluated using uniform system boundaries.</w:t>
      </w:r>
    </w:p>
    <w:p w14:paraId="350DCE6D" w14:textId="16037AFA"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Site-Specific Screening:</w:t>
      </w:r>
      <w:r w:rsidRPr="0035502B">
        <w:rPr>
          <w:szCs w:val="24"/>
          <w:highlight w:val="yellow"/>
        </w:rPr>
        <w:t xml:space="preserve"> Hyperscale operators rely heavily on local renewable resources, electricity-market access, procurement scale, transmission, and the geographic distribution of computing demand. Because their reported performance cannot be directly applied to smaller or different locations, the framework overcomes this limitation by implementing site-specific grid, climate, and regulatory screening.</w:t>
      </w:r>
    </w:p>
    <w:p w14:paraId="6DB5055C" w14:textId="1E917CD3"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Realistic Workload Flexibility:</w:t>
      </w:r>
      <w:r w:rsidRPr="0035502B">
        <w:rPr>
          <w:szCs w:val="24"/>
          <w:highlight w:val="yellow"/>
        </w:rPr>
        <w:t xml:space="preserve"> Many power-system studies assume data-center load is constant, even though certain AI workloads are shiftable and geographically distributed. However, not every workload that is technically deferrable is commercially flexible. Therefore, the framework treats workload flexibility as a limited resource that must be checked against SLAs, latency, checkpointing, data residency, cybersecurity, and business requirements.</w:t>
      </w:r>
    </w:p>
    <w:p w14:paraId="13A9D29C" w14:textId="4E6E6060"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Transparent Metrics and Assumptions:</w:t>
      </w:r>
      <w:r w:rsidRPr="0035502B">
        <w:rPr>
          <w:szCs w:val="24"/>
          <w:highlight w:val="yellow"/>
        </w:rPr>
        <w:t xml:space="preserve"> Corporate and market reports frequently quote cost or sustainability metrics without providing the project-level assumptions needed for independent replication. To resolve this, the framework provides explicit cost boundaries, source vintage, discount rate assumptions, tariffs, interconnection costs, storage replacement assumptions, and sensitivity analyses prior to drawing project-level conclusions.</w:t>
      </w:r>
    </w:p>
    <w:p w14:paraId="4BEEECE7" w14:textId="5C466552" w:rsidR="00FE013C" w:rsidRDefault="00FE013C" w:rsidP="004C16FF">
      <w:pPr>
        <w:pStyle w:val="Heading20"/>
        <w:jc w:val="both"/>
        <w:rPr>
          <w:color w:val="auto"/>
        </w:rPr>
      </w:pPr>
      <w:r>
        <w:rPr>
          <w:color w:val="auto"/>
        </w:rPr>
        <w:t xml:space="preserve">2.6.2 </w:t>
      </w:r>
      <w:r w:rsidRPr="00915220">
        <w:rPr>
          <w:color w:val="auto"/>
        </w:rPr>
        <w:t>Critical Observations</w:t>
      </w:r>
    </w:p>
    <w:p w14:paraId="67DB77B4" w14:textId="7F670B17" w:rsidR="00A01798" w:rsidRPr="000817F5" w:rsidRDefault="00A01798" w:rsidP="000817F5">
      <w:pPr>
        <w:spacing w:after="120"/>
        <w:ind w:firstLine="480"/>
        <w:rPr>
          <w:szCs w:val="24"/>
          <w:highlight w:val="yellow"/>
          <w:lang w:val="en-CA"/>
        </w:rPr>
      </w:pPr>
      <w:r w:rsidRPr="000817F5">
        <w:rPr>
          <w:szCs w:val="24"/>
          <w:highlight w:val="yellow"/>
          <w:lang w:val="en-CA"/>
        </w:rPr>
        <w:t xml:space="preserve">While the literature </w:t>
      </w:r>
      <w:r w:rsidRPr="00F06AD5">
        <w:rPr>
          <w:szCs w:val="24"/>
          <w:highlight w:val="yellow"/>
          <w:lang w:val="en-CA"/>
        </w:rPr>
        <w:t xml:space="preserve">reviewed </w:t>
      </w:r>
      <w:r w:rsidR="007951AD" w:rsidRPr="00F06AD5">
        <w:rPr>
          <w:szCs w:val="24"/>
          <w:highlight w:val="yellow"/>
          <w:lang w:val="en-CA"/>
        </w:rPr>
        <w:t xml:space="preserve">provides substantial evidence </w:t>
      </w:r>
      <w:r w:rsidRPr="00F06AD5">
        <w:rPr>
          <w:szCs w:val="24"/>
          <w:highlight w:val="yellow"/>
          <w:lang w:val="en-CA"/>
        </w:rPr>
        <w:t xml:space="preserve">on </w:t>
      </w:r>
      <w:r w:rsidRPr="000817F5">
        <w:rPr>
          <w:szCs w:val="24"/>
          <w:highlight w:val="yellow"/>
          <w:lang w:val="en-CA"/>
        </w:rPr>
        <w:t>individual technical, operational and economic areas of renewable-powered d</w:t>
      </w:r>
      <w:r w:rsidRPr="00584DF2">
        <w:rPr>
          <w:szCs w:val="24"/>
          <w:highlight w:val="yellow"/>
          <w:lang w:val="en-CA"/>
        </w:rPr>
        <w:t xml:space="preserve">ata centers, </w:t>
      </w:r>
      <w:r w:rsidR="00F06AD5" w:rsidRPr="00584DF2">
        <w:rPr>
          <w:szCs w:val="24"/>
          <w:highlight w:val="yellow"/>
          <w:lang w:val="en-CA"/>
        </w:rPr>
        <w:t xml:space="preserve">no single evidence category is sufficient to </w:t>
      </w:r>
      <w:r w:rsidR="00F06AD5" w:rsidRPr="00584DF2">
        <w:rPr>
          <w:szCs w:val="24"/>
          <w:highlight w:val="yellow"/>
          <w:lang w:val="en-CA"/>
        </w:rPr>
        <w:lastRenderedPageBreak/>
        <w:t xml:space="preserve">establish project </w:t>
      </w:r>
      <w:r w:rsidR="00F06AD5" w:rsidRPr="0072074F">
        <w:rPr>
          <w:szCs w:val="24"/>
          <w:highlight w:val="yellow"/>
          <w:lang w:val="en-CA"/>
        </w:rPr>
        <w:t>feasibility</w:t>
      </w:r>
      <w:r w:rsidRPr="0072074F">
        <w:rPr>
          <w:szCs w:val="24"/>
          <w:highlight w:val="yellow"/>
          <w:lang w:val="en-CA"/>
        </w:rPr>
        <w:t xml:space="preserve">. </w:t>
      </w:r>
      <w:r w:rsidR="00127B54" w:rsidRPr="0072074F">
        <w:rPr>
          <w:szCs w:val="24"/>
          <w:highlight w:val="yellow"/>
          <w:lang w:val="en-CA"/>
        </w:rPr>
        <w:t>Power-system and microgrid studies can characterize electrical architecture, stability, storage operation, protection, and control, but often omit financing, market participation, interconnection cost, and workload constraints. Conversely, economic and procurement studies provide useful cost and contracting evidence but may omit power quality, protection, system stability, and reliability requirements.</w:t>
      </w:r>
      <w:r w:rsidR="0072074F" w:rsidRPr="0072074F">
        <w:rPr>
          <w:szCs w:val="24"/>
          <w:highlight w:val="yellow"/>
          <w:lang w:val="en-CA"/>
        </w:rPr>
        <w:t xml:space="preserve"> </w:t>
      </w:r>
      <w:r w:rsidRPr="0072074F">
        <w:rPr>
          <w:szCs w:val="24"/>
          <w:highlight w:val="yellow"/>
          <w:lang w:val="en-CA"/>
        </w:rPr>
        <w:t xml:space="preserve">On the </w:t>
      </w:r>
      <w:r w:rsidRPr="000817F5">
        <w:rPr>
          <w:szCs w:val="24"/>
          <w:highlight w:val="yellow"/>
          <w:lang w:val="en-CA"/>
        </w:rPr>
        <w:t>other hand, studies that are economic and procurement based can offer important cost and contracting insight, and they can separate out many other factors involved in a power quality, protection and reliability electrical system. Practice examples of renewable procurement, storage, advanced cooling, and workload-management approaches are showcased in corporate case studies, but these types of results are less easily transferred directly, as they require attention to scale, geography, market structure, reporting limits, and the lack of project-level cost and operational data. Likewise, vendor and industry literature can deliver technology-performance data, but may not include interactions between components at the overall facility and grid level.</w:t>
      </w:r>
    </w:p>
    <w:p w14:paraId="3EAB8C5B" w14:textId="2DE20828" w:rsidR="00A01798" w:rsidRPr="000817F5" w:rsidRDefault="00A01798" w:rsidP="000817F5">
      <w:pPr>
        <w:spacing w:after="120"/>
        <w:ind w:firstLine="480"/>
        <w:rPr>
          <w:szCs w:val="24"/>
          <w:highlight w:val="yellow"/>
          <w:lang w:val="en-CA"/>
        </w:rPr>
      </w:pPr>
      <w:r w:rsidRPr="000817F5">
        <w:rPr>
          <w:szCs w:val="24"/>
          <w:highlight w:val="yellow"/>
          <w:lang w:val="en-CA"/>
        </w:rPr>
        <w:t>The limitations suggest that evaluating integration of renewable energy (RE) into AI data centers should not be treated as a technology comparison, but rather as a multi-faceted technical, operational, economic and sustainability problem. The key contribution of this review is to present the evidence in a common seven-component screening and decision process which include: site and resource assessment, technology selection, electrical architecture, control and dispatch, workload flexibility, economic evaluation, and resilience and sustainability. These dimensions are analyzed collectively to offer a structured framework for defining feasible pathway candidates, acknowledging significant trade-offs, and identifying areas of additional project-focused analysis.</w:t>
      </w:r>
    </w:p>
    <w:p w14:paraId="65783267" w14:textId="77777777" w:rsidR="00A01798" w:rsidRPr="000817F5" w:rsidRDefault="00A01798" w:rsidP="000817F5">
      <w:pPr>
        <w:spacing w:after="120"/>
        <w:ind w:firstLine="480"/>
        <w:rPr>
          <w:szCs w:val="24"/>
          <w:highlight w:val="yellow"/>
          <w:lang w:val="en-CA"/>
        </w:rPr>
      </w:pPr>
      <w:r w:rsidRPr="000817F5">
        <w:rPr>
          <w:szCs w:val="24"/>
          <w:highlight w:val="yellow"/>
          <w:lang w:val="en-CA"/>
        </w:rPr>
        <w:t>It should therefore be viewed as a decision support and preliminary screening framework rather than a detailed feasibility analysis or prescriptive design approach. Site-specific resource measurements, chronological load and renewable-generation data, utility tariffs, interconnection studies, protection and power-quality analysis, equipment specifications, environmental and permitting review, and investment-grade financial analysis still need to be done to make final project decisions. The separation is especially significant for AI data centers because the degree of penetration of renewables, storage needs, costs of electricity, workload flexibility, and reliability can vary dramatically from one location to another, depending on facility size, grid configuration, technology chosen, and operation standards.</w:t>
      </w:r>
    </w:p>
    <w:p w14:paraId="469BF53F" w14:textId="177E5B10" w:rsidR="00FE013C" w:rsidRDefault="00FE013C" w:rsidP="00A01798">
      <w:pPr>
        <w:pStyle w:val="Heading10"/>
        <w:jc w:val="both"/>
        <w:rPr>
          <w:color w:val="auto"/>
        </w:rPr>
      </w:pPr>
      <w:r>
        <w:rPr>
          <w:color w:val="auto"/>
          <w:lang w:eastAsia="zh-CN"/>
        </w:rPr>
        <w:t xml:space="preserve">3. </w:t>
      </w:r>
      <w:r>
        <w:rPr>
          <w:color w:val="auto"/>
        </w:rPr>
        <w:t>Electrical Fundamentals of Data Center Systems</w:t>
      </w:r>
    </w:p>
    <w:p w14:paraId="681C4C53" w14:textId="77777777" w:rsidR="00FE013C" w:rsidRDefault="00FE013C" w:rsidP="004C16FF">
      <w:pPr>
        <w:pStyle w:val="Heading20"/>
        <w:jc w:val="both"/>
        <w:rPr>
          <w:color w:val="auto"/>
        </w:rPr>
      </w:pPr>
      <w:r>
        <w:rPr>
          <w:color w:val="auto"/>
        </w:rPr>
        <w:t>3.1. Electrical Distribution Architecture</w:t>
      </w:r>
    </w:p>
    <w:p w14:paraId="20A8EF36" w14:textId="74ACE824" w:rsidR="00FE013C" w:rsidRPr="00040480" w:rsidRDefault="00FE013C" w:rsidP="00A95675">
      <w:pPr>
        <w:spacing w:after="120"/>
        <w:ind w:firstLine="480"/>
      </w:pPr>
      <w:r w:rsidRPr="00040480">
        <w:t xml:space="preserve">The electrical distribution system in a data </w:t>
      </w:r>
      <w:r w:rsidR="009F7E9F" w:rsidRPr="00040480">
        <w:t>center</w:t>
      </w:r>
      <w:r w:rsidRPr="00040480">
        <w:t xml:space="preserve"> is hierarchical, stepping down the voltage from the utility interconnection levels to the low voltage levels needed by the computing systems. Primary interconnection usually occurs at medium-voltage (MV) levels of 13.8 kV or 25 kV, and step-down transformers step down the voltage to levels required for facility distribution at 4.16 to 6.9 kV</w:t>
      </w:r>
      <w:r>
        <w:fldChar w:fldCharType="begin"/>
      </w:r>
      <w:r w:rsidR="00A95675">
        <w:instrText xml:space="preserve"> ADDIN ZOTERO_ITEM CSL_CITATION {"citationID":"PfKI6RIJ","properties":{"unsorted":false,"formattedCitation":"[72]","plainCitation":"[72]","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fldChar w:fldCharType="separate"/>
      </w:r>
      <w:r w:rsidR="00A95675" w:rsidRPr="00A95675">
        <w:t>[72]</w:t>
      </w:r>
      <w:r>
        <w:fldChar w:fldCharType="end"/>
      </w:r>
      <w:r w:rsidRPr="00040480">
        <w:t>. Power distribution units (PDUs) deliver 480 V three-phase power to the last mile for individual equipment racks.</w:t>
      </w:r>
    </w:p>
    <w:p w14:paraId="0BEDA30B" w14:textId="72C63D03" w:rsidR="00FE013C" w:rsidRPr="00040480" w:rsidRDefault="00FE013C" w:rsidP="00A95675">
      <w:pPr>
        <w:spacing w:after="120"/>
        <w:ind w:firstLine="480"/>
      </w:pPr>
      <w:r w:rsidRPr="00E34A9C">
        <w:t xml:space="preserve">Redundancy level is the primary reliability design parameter, classified by the Uptime Institute Tier Standard as N </w:t>
      </w:r>
      <w:r w:rsidRPr="00040480">
        <w:t>(no redundancy), N+1 (one spare component), N+2 (two spare components), 2N (fully redundant, dual path), or 2(N+1)</w:t>
      </w:r>
      <w:r>
        <w:fldChar w:fldCharType="begin"/>
      </w:r>
      <w:r w:rsidR="00A95675">
        <w:instrText xml:space="preserve"> ADDIN ZOTERO_ITEM CSL_CITATION {"citationID":"s2FyWRFx","properties":{"unsorted":false,"formattedCitation":"[73]","plainCitation":"[73]","noteIndex":0},"citationItems":[{"id":2012,"uris":["http://zotero.org/users/9870935/items/BVU5PGIM"],"itemData":{"id":2012,"type":"article-journal","container-title":"Energy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fldChar w:fldCharType="separate"/>
      </w:r>
      <w:r w:rsidR="00A95675" w:rsidRPr="00A95675">
        <w:t>[73]</w:t>
      </w:r>
      <w:r>
        <w:fldChar w:fldCharType="end"/>
      </w:r>
      <w:r w:rsidRPr="00040480">
        <w:t xml:space="preserve">. The typical configuration for most AI data </w:t>
      </w:r>
      <w:r w:rsidR="00580BAE">
        <w:t>center</w:t>
      </w:r>
      <w:r w:rsidRPr="00040480">
        <w:t xml:space="preserve">s is 2N, </w:t>
      </w:r>
      <w:r w:rsidRPr="00040480">
        <w:lastRenderedPageBreak/>
        <w:t>which means that each critical load is connected to two separate power paths, and the power paths are configured to switch automatically when one fails. The redundancy model also affects capital costs: For 2N designs, electrical infrastructure costs are generally 80–100</w:t>
      </w:r>
      <w:r>
        <w:t xml:space="preserve">% </w:t>
      </w:r>
      <w:r w:rsidRPr="00040480">
        <w:t>higher than those for N+1 designs; in the case of single-component failures, 2N designs offer essentially zero downtime</w:t>
      </w:r>
      <w:r>
        <w:fldChar w:fldCharType="begin"/>
      </w:r>
      <w:r w:rsidR="00A95675">
        <w:instrText xml:space="preserve"> ADDIN ZOTERO_ITEM CSL_CITATION {"citationID":"uyzrmxWp","properties":{"unsorted":false,"formattedCitation":"[74]","plainCitation":"[74]","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fldChar w:fldCharType="separate"/>
      </w:r>
      <w:r w:rsidR="00A95675" w:rsidRPr="00A95675">
        <w:t>[74]</w:t>
      </w:r>
      <w:r>
        <w:fldChar w:fldCharType="end"/>
      </w:r>
      <w:r w:rsidRPr="00040480">
        <w:t>.</w:t>
      </w:r>
    </w:p>
    <w:p w14:paraId="369487DB" w14:textId="326EDA1A" w:rsidR="00FE013C" w:rsidRPr="00040480" w:rsidRDefault="00FE013C" w:rsidP="00A95675">
      <w:pPr>
        <w:spacing w:after="120"/>
        <w:ind w:firstLine="480"/>
      </w:pPr>
      <w:r w:rsidRPr="00040480">
        <w:t>Power is distributed from the utility interconnection point through the main switchgear, which provides protection coordination and metering, to the automatic transfer switches (ATS) that control the transfer of power from the utility to the backup power source during a power outage. In high-reliability applications, the transfer time is less than 1 cycle (16.7ms) for static transfer switches (STS) and 10–30 s for electromechanical switches (EMS) in the ATS</w:t>
      </w:r>
      <w:r>
        <w:fldChar w:fldCharType="begin"/>
      </w:r>
      <w:r w:rsidR="00A95675">
        <w:instrText xml:space="preserve"> ADDIN ZOTERO_ITEM CSL_CITATION {"citationID":"EnoLyCgw","properties":{"unsorted":false,"formattedCitation":"[75]","plainCitation":"[75]","noteIndex":0},"citationItems":[{"id":2014,"uris":["http://zotero.org/users/9870935/items/YRI3RIYJ"],"itemData":{"id":2014,"type":"article-journal","abstract":"PLN's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fldChar w:fldCharType="separate"/>
      </w:r>
      <w:r w:rsidR="00A95675" w:rsidRPr="00A95675">
        <w:t>[75]</w:t>
      </w:r>
      <w:r>
        <w:fldChar w:fldCharType="end"/>
      </w:r>
      <w:r w:rsidRPr="00040480">
        <w:t>. AI training workloads are typically specified with STS or flywheel-based uninterrupted power supply (UPS) systems, as a brief power interruption can disrupt the workload.</w:t>
      </w:r>
    </w:p>
    <w:p w14:paraId="7B2CB280" w14:textId="0BAF5507" w:rsidR="00FE013C" w:rsidRDefault="00FE013C" w:rsidP="004C16FF">
      <w:pPr>
        <w:pStyle w:val="Heading20"/>
        <w:jc w:val="both"/>
        <w:rPr>
          <w:color w:val="auto"/>
        </w:rPr>
      </w:pPr>
      <w:r>
        <w:rPr>
          <w:color w:val="auto"/>
        </w:rPr>
        <w:t>3.2. AI Workload Electrical Character</w:t>
      </w:r>
      <w:r w:rsidR="00A83F75">
        <w:rPr>
          <w:color w:val="auto"/>
        </w:rPr>
        <w:t>i</w:t>
      </w:r>
      <w:r>
        <w:rPr>
          <w:color w:val="auto"/>
        </w:rPr>
        <w:t>stics</w:t>
      </w:r>
    </w:p>
    <w:p w14:paraId="7CC8BF73" w14:textId="565CB4FF" w:rsidR="00FE013C" w:rsidRPr="00F166F8" w:rsidRDefault="00FE013C" w:rsidP="004C16FF">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w:t>
      </w:r>
      <w:r w:rsidR="009F7E9F" w:rsidRPr="00F166F8">
        <w:t>localized</w:t>
      </w:r>
      <w:r w:rsidRPr="00F166F8">
        <w:t xml:space="preserve"> load pockets that consume 30 to 50 kW per rack as compared to enterprise computing, which consumes 5 to 10 kW per rack</w:t>
      </w:r>
      <w:r>
        <w:fldChar w:fldCharType="begin"/>
      </w:r>
      <w:r>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fldChar w:fldCharType="separate"/>
      </w:r>
      <w:r w:rsidRPr="007D08DE">
        <w:t>[10]</w:t>
      </w:r>
      <w:r>
        <w:fldChar w:fldCharType="end"/>
      </w:r>
      <w:r w:rsidRPr="00F166F8">
        <w:t>.</w:t>
      </w:r>
    </w:p>
    <w:p w14:paraId="3C658ECC" w14:textId="25255BC1" w:rsidR="00FE013C" w:rsidRPr="00DC4621" w:rsidRDefault="00FE013C" w:rsidP="00A95675">
      <w:pPr>
        <w:spacing w:after="120"/>
        <w:ind w:firstLine="480"/>
        <w:rPr>
          <w:lang w:val="en-CA"/>
        </w:rPr>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fldChar w:fldCharType="begin"/>
      </w:r>
      <w:r w:rsidR="00A95675">
        <w:instrText xml:space="preserve"> ADDIN ZOTERO_ITEM CSL_CITATION {"citationID":"CscueCyo","properties":{"unsorted":false,"formattedCitation":"[76]","plainCitation":"[76]","noteIndex":0},"citationItems":[{"id":2016,"uris":["http://zotero.org/users/9870935/items/IGX3D6LZ"],"itemData":{"id":2016,"type":"article","abstract":"This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fldChar w:fldCharType="separate"/>
      </w:r>
      <w:r w:rsidR="00A95675" w:rsidRPr="00A95675">
        <w:t>[76]</w:t>
      </w:r>
      <w:r>
        <w:fldChar w:fldCharType="end"/>
      </w:r>
      <w:r w:rsidRPr="00F166F8">
        <w:t xml:space="preserve">. </w:t>
      </w:r>
      <w:r w:rsidR="00DC4621" w:rsidRPr="00DC4621">
        <w:rPr>
          <w:lang w:val="en-CA"/>
        </w:rPr>
        <w:t xml:space="preserve">GPU power consumption decreases substantially during idle or low-utilization operation but does not fall to zero because memory, communication interfaces, and other device components remain active. The magnitude of idle and low-utilization power depends on accelerator architecture, power-management settings, memory configuration, and system-level operating conditions </w:t>
      </w:r>
      <w:r w:rsidR="00A45922">
        <w:fldChar w:fldCharType="begin"/>
      </w:r>
      <w:r w:rsidR="00A95675">
        <w:instrText xml:space="preserve"> ADDIN ZOTERO_ITEM CSL_CITATION {"citationID":"MEzcBQyl","properties":{"unsorted":false,"formattedCitation":"[76]","plainCitation":"[76]","noteIndex":0},"citationItems":[{"id":2016,"uris":["http://zotero.org/users/9870935/items/IGX3D6LZ"],"itemData":{"id":2016,"type":"article","abstract":"This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rsidR="00A45922">
        <w:fldChar w:fldCharType="separate"/>
      </w:r>
      <w:r w:rsidR="00A95675" w:rsidRPr="00A95675">
        <w:t>[76]</w:t>
      </w:r>
      <w:r w:rsidR="00A45922">
        <w:fldChar w:fldCharType="end"/>
      </w:r>
      <w:r w:rsidR="00A45922">
        <w:t xml:space="preserve">, </w:t>
      </w:r>
      <w:r>
        <w:fldChar w:fldCharType="begin"/>
      </w:r>
      <w:r w:rsidR="00A95675">
        <w:instrText xml:space="preserve"> ADDIN ZOTERO_ITEM CSL_CITATION {"citationID":"APKvRgnH","properties":{"unsorted":false,"formattedCitation":"[77]","plainCitation":"[77]","noteIndex":0},"citationItems":[{"id":2018,"uris":["http://zotero.org/users/9870935/items/XN4NHKM7"],"itemData":{"id":2018,"type":"article","abstract":"Ubiquity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fldChar w:fldCharType="separate"/>
      </w:r>
      <w:r w:rsidR="00A95675" w:rsidRPr="00A95675">
        <w:t>[77]</w:t>
      </w:r>
      <w:r>
        <w:fldChar w:fldCharType="end"/>
      </w:r>
      <w:r w:rsidRPr="00F166F8">
        <w:t>. Power capping (e.g., using the NVML power limit API) allows operators to cap the maximum power draw for lower computational throughput, offering a power management solution for the demand side.</w:t>
      </w:r>
    </w:p>
    <w:p w14:paraId="1D11450A" w14:textId="5A8200BA" w:rsidR="005701FE" w:rsidRDefault="0072074F" w:rsidP="0037509E">
      <w:pPr>
        <w:spacing w:after="120"/>
        <w:ind w:firstLine="480"/>
      </w:pPr>
      <w:r w:rsidRPr="0072074F">
        <w:t>Thermal design should account for both steady-state and transient heat loads at the facility and component levels</w:t>
      </w:r>
      <w:r w:rsidR="005701FE" w:rsidRPr="005701FE">
        <w:t xml:space="preserve">. Training the GPU can reach temperatures of 80-85 °C when processors are put under heavy stress, and cooling systems need to be designed to manage the high power densities of the latest generation of high performance application specific integrated circuits (ASICs). Heat is generated from the electricity consumed in computing equipment, and the conversion of electrical energy to heat in computing equipment is </w:t>
      </w:r>
      <w:r w:rsidR="00EC46F4" w:rsidRPr="00EC46F4">
        <w:t>Nearly all electrical energy consumed by IT equipment is ultimately converted to heat within the facility boundary</w:t>
      </w:r>
      <w:r w:rsidR="005701FE" w:rsidRPr="005701FE">
        <w:t xml:space="preserve">. Advanced packaging technologies such as Co-Packaged Optics (CPO) are becoming the </w:t>
      </w:r>
      <w:r w:rsidR="00212283" w:rsidRPr="00212283">
        <w:t xml:space="preserve">additional thermal-design constraint </w:t>
      </w:r>
      <w:r w:rsidR="005701FE" w:rsidRPr="005701FE">
        <w:t>with the increasing data flow from Artificial Intelligence, as pointed out by Yang et al. These architectures feature very high power density central ASICs and even worse thermal crosstalk from co-packaged, temperature-sensitive photonic components. Therefore, thermal design should no longer focus solely on total heat dissipation, but account for local thermal coupling and the resulting thermomechanical stresses due to coefficient of thermal expansion (CTE) mismatch.</w:t>
      </w:r>
      <w:r w:rsidR="0057418E">
        <w:t xml:space="preserve"> </w:t>
      </w:r>
      <w:r w:rsidR="005701FE" w:rsidRPr="005701FE">
        <w:t xml:space="preserve">This integration of electrical, thermal, and optical systems underscores the necessity of systemic optimization. Incorporating energy management can </w:t>
      </w:r>
      <w:r w:rsidR="005701FE" w:rsidRPr="005701FE">
        <w:lastRenderedPageBreak/>
        <w:t xml:space="preserve">help reduce thermal constraints through workload optimization and clock-throttling, which will </w:t>
      </w:r>
      <w:r w:rsidR="00ED7A60" w:rsidRPr="007F3449">
        <w:t>coordinate flexible computing and cooling demand with periods of higher renewable-energy availability</w:t>
      </w:r>
      <w:r w:rsidR="005701FE" w:rsidRPr="005701FE">
        <w:t xml:space="preserve">. </w:t>
      </w:r>
    </w:p>
    <w:p w14:paraId="1F23F0DE" w14:textId="0FFA20D6" w:rsidR="00FE013C" w:rsidRPr="00512DDF" w:rsidRDefault="00CB4F09" w:rsidP="00512DDF">
      <w:pPr>
        <w:spacing w:after="120"/>
        <w:ind w:firstLine="480"/>
        <w:rPr>
          <w:lang w:val="en-CA"/>
        </w:rPr>
      </w:pPr>
      <w:r>
        <w:fldChar w:fldCharType="begin"/>
      </w:r>
      <w:r>
        <w:instrText xml:space="preserve"> REF _Ref239529353 \h </w:instrText>
      </w:r>
      <w:r>
        <w:fldChar w:fldCharType="separate"/>
      </w:r>
      <w:r>
        <w:t xml:space="preserve">Figure </w:t>
      </w:r>
      <w:r>
        <w:rPr>
          <w:noProof/>
        </w:rPr>
        <w:t>3</w:t>
      </w:r>
      <w:r>
        <w:t xml:space="preserve"> T</w:t>
      </w:r>
      <w:r w:rsidRPr="0031233A">
        <w:t xml:space="preserve">ypical </w:t>
      </w:r>
      <w:r>
        <w:t>AI</w:t>
      </w:r>
      <w:r w:rsidRPr="0031233A">
        <w:t xml:space="preserve"> data center daily power consumption profile</w:t>
      </w:r>
      <w:r>
        <w:fldChar w:fldCharType="end"/>
      </w:r>
      <w:r>
        <w:t xml:space="preserve">, </w:t>
      </w:r>
      <w:r w:rsidRPr="00CB4F09">
        <w:rPr>
          <w:lang w:val="en-CA"/>
        </w:rPr>
        <w:t>illustrates a representative daily AI data-center load profile, highlighting the different temporal characteristics of training, inference, batch-processing, and cooling loads and their potential alignment with variable solar and wind generation.</w:t>
      </w:r>
    </w:p>
    <w:p w14:paraId="40DC3670" w14:textId="0C8D5E1C" w:rsidR="00FE013C" w:rsidRDefault="0050327C" w:rsidP="00240FF9">
      <w:pPr>
        <w:keepNext/>
        <w:spacing w:after="120"/>
        <w:jc w:val="center"/>
      </w:pPr>
      <w:r>
        <w:rPr>
          <w:noProof/>
        </w:rPr>
        <w:drawing>
          <wp:inline distT="0" distB="0" distL="0" distR="0" wp14:anchorId="39FDB37F" wp14:editId="742EEAE5">
            <wp:extent cx="6192520" cy="2571750"/>
            <wp:effectExtent l="0" t="0" r="0" b="0"/>
            <wp:docPr id="46420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305" b="29396"/>
                    <a:stretch>
                      <a:fillRect/>
                    </a:stretch>
                  </pic:blipFill>
                  <pic:spPr bwMode="auto">
                    <a:xfrm>
                      <a:off x="0" y="0"/>
                      <a:ext cx="619252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5B212C98" w14:textId="260C63B1" w:rsidR="00FE013C" w:rsidRPr="00F166F8" w:rsidRDefault="00FE013C" w:rsidP="00240FF9">
      <w:pPr>
        <w:pStyle w:val="Caption"/>
        <w:jc w:val="center"/>
      </w:pPr>
      <w:bookmarkStart w:id="7" w:name="_Ref239529353"/>
      <w:r>
        <w:t xml:space="preserve">Figure </w:t>
      </w:r>
      <w:fldSimple w:instr=" SEQ Figure \* ARABIC ">
        <w:r w:rsidR="00807110">
          <w:rPr>
            <w:noProof/>
          </w:rPr>
          <w:t>3</w:t>
        </w:r>
      </w:fldSimple>
      <w:r>
        <w:t xml:space="preserve"> T</w:t>
      </w:r>
      <w:r w:rsidRPr="0031233A">
        <w:t xml:space="preserve">ypical </w:t>
      </w:r>
      <w:r>
        <w:t>AI</w:t>
      </w:r>
      <w:r w:rsidRPr="0031233A">
        <w:t xml:space="preserve"> data center daily power consumption profile</w:t>
      </w:r>
      <w:bookmarkEnd w:id="7"/>
    </w:p>
    <w:p w14:paraId="22B8AF1E" w14:textId="77777777" w:rsidR="00FE013C" w:rsidRDefault="00FE013C" w:rsidP="004C16FF">
      <w:pPr>
        <w:pStyle w:val="Heading20"/>
        <w:jc w:val="both"/>
        <w:rPr>
          <w:color w:val="auto"/>
        </w:rPr>
      </w:pPr>
      <w:r>
        <w:rPr>
          <w:color w:val="auto"/>
        </w:rPr>
        <w:t>3.3. Backup Power and UPS Systems</w:t>
      </w:r>
    </w:p>
    <w:p w14:paraId="2222DAF5" w14:textId="54720AE5" w:rsidR="00FE013C" w:rsidRDefault="00FE013C" w:rsidP="001D1223">
      <w:pPr>
        <w:spacing w:after="120"/>
        <w:ind w:firstLine="480"/>
        <w:rPr>
          <w:szCs w:val="24"/>
        </w:rPr>
      </w:pPr>
      <w:r>
        <w:rPr>
          <w:szCs w:val="24"/>
        </w:rPr>
        <w:t>The UPS</w:t>
      </w:r>
      <w:r w:rsidRPr="00C24F3F">
        <w:rPr>
          <w:szCs w:val="24"/>
        </w:rPr>
        <w:t xml:space="preserve"> system is the first line of defense against power quality disturbances and short outages. There are three major UPS technologies used in data </w:t>
      </w:r>
      <w:r w:rsidR="009F7E9F" w:rsidRPr="00C24F3F">
        <w:rPr>
          <w:szCs w:val="24"/>
        </w:rPr>
        <w:t>centers</w:t>
      </w:r>
      <w:r w:rsidRPr="00C24F3F">
        <w:rPr>
          <w:szCs w:val="24"/>
        </w:rPr>
        <w:t>: flywheel systems, which can deliver 10-30 s of ride-through time with kinetic energy storage; battery-based UPS, which can supply minutes to hours of backup time depending on the battery capacity; and hybrid UPS, which includes flywheels to provide immediate response and batteries to provide extended backup time</w:t>
      </w:r>
      <w:r>
        <w:rPr>
          <w:szCs w:val="24"/>
        </w:rPr>
        <w:fldChar w:fldCharType="begin"/>
      </w:r>
      <w:r w:rsidR="001D1223">
        <w:rPr>
          <w:szCs w:val="24"/>
        </w:rPr>
        <w:instrText xml:space="preserve"> ADDIN ZOTERO_ITEM CSL_CITATION {"citationID":"6s5dz7U7","properties":{"unsorted":false,"formattedCitation":"[78]","plainCitation":"[78]","noteIndex":0},"citationItems":[{"id":2021,"uris":["http://zotero.org/users/9870935/items/AHEUC4DF"],"itemData":{"id":2021,"type":"article","abstract":"Artificial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szCs w:val="24"/>
        </w:rPr>
        <w:fldChar w:fldCharType="separate"/>
      </w:r>
      <w:r w:rsidR="001D1223" w:rsidRPr="001D1223">
        <w:t>[78]</w:t>
      </w:r>
      <w:r>
        <w:rPr>
          <w:szCs w:val="24"/>
        </w:rPr>
        <w:fldChar w:fldCharType="end"/>
      </w:r>
      <w:r>
        <w:rPr>
          <w:szCs w:val="24"/>
        </w:rPr>
        <w:t>.</w:t>
      </w:r>
      <w:r w:rsidRPr="00C24F3F">
        <w:rPr>
          <w:szCs w:val="24"/>
        </w:rPr>
        <w:t xml:space="preserve"> AI data </w:t>
      </w:r>
      <w:r w:rsidR="009F7E9F" w:rsidRPr="00C24F3F">
        <w:rPr>
          <w:szCs w:val="24"/>
        </w:rPr>
        <w:t>centers</w:t>
      </w:r>
      <w:r w:rsidRPr="00C24F3F">
        <w:rPr>
          <w:szCs w:val="24"/>
        </w:rPr>
        <w:t xml:space="preserve">, where training state can be lost during even brief interruptions, require UPS systems to have sufficient runtime to start-up and </w:t>
      </w:r>
      <w:r w:rsidR="009F7E9F" w:rsidRPr="00C24F3F">
        <w:rPr>
          <w:szCs w:val="24"/>
        </w:rPr>
        <w:t>synchronize</w:t>
      </w:r>
      <w:r w:rsidRPr="00C24F3F">
        <w:rPr>
          <w:szCs w:val="24"/>
        </w:rPr>
        <w:t xml:space="preserve"> the backup generator, usually 30–60 seconds</w:t>
      </w:r>
      <w:r>
        <w:rPr>
          <w:szCs w:val="24"/>
        </w:rPr>
        <w:fldChar w:fldCharType="begin"/>
      </w:r>
      <w:r w:rsidR="001D1223">
        <w:rPr>
          <w:szCs w:val="24"/>
        </w:rPr>
        <w:instrText xml:space="preserve"> ADDIN ZOTERO_ITEM CSL_CITATION {"citationID":"uVqeSVVe","properties":{"unsorted":false,"formattedCitation":"[79]","plainCitation":"[79]","noteIndex":0},"citationItems":[{"id":2025,"uris":["http://zotero.org/users/9870935/items/URLYJFL9"],"itemData":{"id":2025,"type":"article-journal","abstract":"Our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Pr>
          <w:szCs w:val="24"/>
        </w:rPr>
        <w:fldChar w:fldCharType="separate"/>
      </w:r>
      <w:r w:rsidR="001D1223" w:rsidRPr="001D1223">
        <w:t>[79]</w:t>
      </w:r>
      <w:r>
        <w:rPr>
          <w:szCs w:val="24"/>
        </w:rPr>
        <w:fldChar w:fldCharType="end"/>
      </w:r>
      <w:r w:rsidRPr="00C24F3F">
        <w:rPr>
          <w:szCs w:val="24"/>
        </w:rPr>
        <w:t>.</w:t>
      </w:r>
    </w:p>
    <w:p w14:paraId="5CF1EAE4" w14:textId="3AC1C4BB" w:rsidR="006A3C33" w:rsidRDefault="006A3C33" w:rsidP="001D1223">
      <w:pPr>
        <w:spacing w:after="120"/>
        <w:ind w:firstLine="480"/>
        <w:rPr>
          <w:szCs w:val="24"/>
        </w:rPr>
      </w:pPr>
      <w:r w:rsidRPr="00E17E75">
        <w:rPr>
          <w:szCs w:val="24"/>
          <w:highlight w:val="yellow"/>
        </w:rPr>
        <w:t xml:space="preserve">UPS capacity should be determined from the defined critical load, power factor, allowable loading, required ride-through time, redundancy architecture, and design margin rather than from a universal facility-level multiplier. For example, a 100 MW critical load at a power factor of 0.9 corresponds to approximately 111 MVA before redundancy and design margins are applied. The final installed UPS capacity would depend on the selected N+1 or 2N architecture, module ratings, allowable loading, and concurrent-maintenance requirements. UPS topology selection likewise depends on load criticality and required power-quality performance. Double-conversion online UPS systems are commonly applied to highly critical data-center loads because they continuously isolate the load from many input-voltage and frequency disturbances, while line-interactive and standby topologies are generally more appropriate for less critical applications </w:t>
      </w:r>
      <w:r w:rsidRPr="00E17E75">
        <w:rPr>
          <w:szCs w:val="24"/>
          <w:highlight w:val="yellow"/>
        </w:rPr>
        <w:fldChar w:fldCharType="begin"/>
      </w:r>
      <w:r w:rsidR="001D1223">
        <w:rPr>
          <w:szCs w:val="24"/>
          <w:highlight w:val="yellow"/>
        </w:rPr>
        <w:instrText xml:space="preserve"> ADDIN ZOTERO_ITEM CSL_CITATION {"citationID":"qzNEaqIS","properties":{"unsorted":false,"formattedCitation":"[80]","plainCitation":"[80]","noteIndex":0},"citationItems":[{"id":2027,"uris":["http://zotero.org/users/9870935/items/84JHTAVB"],"itemData":{"id":2027,"type":"article-journal","abstract":"The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sidRPr="00E17E75">
        <w:rPr>
          <w:szCs w:val="24"/>
          <w:highlight w:val="yellow"/>
        </w:rPr>
        <w:fldChar w:fldCharType="separate"/>
      </w:r>
      <w:r w:rsidR="001D1223" w:rsidRPr="001D1223">
        <w:rPr>
          <w:highlight w:val="yellow"/>
        </w:rPr>
        <w:t>[80]</w:t>
      </w:r>
      <w:r w:rsidRPr="00E17E75">
        <w:rPr>
          <w:szCs w:val="24"/>
          <w:highlight w:val="yellow"/>
        </w:rPr>
        <w:fldChar w:fldCharType="end"/>
      </w:r>
      <w:r w:rsidRPr="00E17E75">
        <w:rPr>
          <w:szCs w:val="24"/>
          <w:highlight w:val="yellow"/>
        </w:rPr>
        <w:t xml:space="preserve">, </w:t>
      </w:r>
      <w:r w:rsidRPr="00E17E75">
        <w:rPr>
          <w:szCs w:val="24"/>
          <w:highlight w:val="yellow"/>
        </w:rPr>
        <w:fldChar w:fldCharType="begin"/>
      </w:r>
      <w:r w:rsidR="001D1223">
        <w:rPr>
          <w:szCs w:val="24"/>
          <w:highlight w:val="yellow"/>
        </w:rPr>
        <w:instrText xml:space="preserve"> ADDIN ZOTERO_ITEM CSL_CITATION {"citationID":"WYKaySkz","properties":{"unsorted":false,"formattedCitation":"[81]","plainCitation":"[81]","noteIndex":0},"citationItems":[{"id":2030,"uris":["http://zotero.org/users/9870935/items/UI369LDD"],"itemData":{"id":2030,"type":"post-weblog","title":"Electrical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sidRPr="00E17E75">
        <w:rPr>
          <w:szCs w:val="24"/>
          <w:highlight w:val="yellow"/>
        </w:rPr>
        <w:fldChar w:fldCharType="separate"/>
      </w:r>
      <w:r w:rsidR="001D1223" w:rsidRPr="001D1223">
        <w:rPr>
          <w:highlight w:val="yellow"/>
        </w:rPr>
        <w:t>[81]</w:t>
      </w:r>
      <w:r w:rsidRPr="00E17E75">
        <w:rPr>
          <w:szCs w:val="24"/>
          <w:highlight w:val="yellow"/>
        </w:rPr>
        <w:fldChar w:fldCharType="end"/>
      </w:r>
      <w:r w:rsidRPr="00E17E75">
        <w:rPr>
          <w:szCs w:val="24"/>
          <w:highlight w:val="yellow"/>
        </w:rPr>
        <w:t>.</w:t>
      </w:r>
    </w:p>
    <w:p w14:paraId="7340354C" w14:textId="624593B7" w:rsidR="00021807" w:rsidRPr="00021807" w:rsidRDefault="00021807" w:rsidP="001D1223">
      <w:pPr>
        <w:spacing w:after="120"/>
        <w:ind w:firstLine="480"/>
        <w:rPr>
          <w:szCs w:val="24"/>
        </w:rPr>
      </w:pPr>
      <w:r w:rsidRPr="00021807">
        <w:rPr>
          <w:szCs w:val="24"/>
        </w:rPr>
        <w:t xml:space="preserve">The diesel generator has been a popular choice for long-duration emergency backup in data centers for its operational maturity, quick start time, existing fuel infrastructure, and capability of </w:t>
      </w:r>
      <w:r w:rsidRPr="00021807">
        <w:rPr>
          <w:szCs w:val="24"/>
        </w:rPr>
        <w:lastRenderedPageBreak/>
        <w:t xml:space="preserve">providing critical loads during extended grid outages </w:t>
      </w:r>
      <w:r>
        <w:rPr>
          <w:szCs w:val="24"/>
        </w:rPr>
        <w:fldChar w:fldCharType="begin"/>
      </w:r>
      <w:r w:rsidR="001D1223">
        <w:rPr>
          <w:szCs w:val="24"/>
        </w:rPr>
        <w:instrText xml:space="preserve"> ADDIN ZOTERO_ITEM CSL_CITATION {"citationID":"VffnOBvN","properties":{"unsorted":false,"formattedCitation":"[82]","plainCitation":"[82]","noteIndex":0},"citationItems":[{"id":2031,"uris":["http://zotero.org/users/9870935/items/AC53WR7L"],"itemData":{"id":2031,"type":"article-journal","abstract":"The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1D1223" w:rsidRPr="001D1223">
        <w:t>[82]</w:t>
      </w:r>
      <w:r>
        <w:rPr>
          <w:szCs w:val="24"/>
        </w:rPr>
        <w:fldChar w:fldCharType="end"/>
      </w:r>
      <w:r w:rsidRPr="00021807">
        <w:rPr>
          <w:szCs w:val="24"/>
        </w:rPr>
        <w:t xml:space="preserve">. The required generator capacity and redundancy should not rely on a universal equipment capacity margin, but be based on the defined critical load, transient loads, PF, allowable generator loading, redundancy requirements, maintenance strategy, and electrical architecture of the facility. To support the critical-load requirement, large data centers typically use several generator units, connected via redundant distribution paths, to ensure that if one generator unit fails, the other units will provide the necessary power. The proper configuration (N+1, 2N, or any distributed redundancy schemes) is therefore dependent on the generator size, load segmentation, transfer configuration, and desired facility reliability </w:t>
      </w:r>
      <w:r>
        <w:rPr>
          <w:szCs w:val="24"/>
        </w:rPr>
        <w:fldChar w:fldCharType="begin"/>
      </w:r>
      <w:r w:rsidR="001D1223">
        <w:rPr>
          <w:szCs w:val="24"/>
        </w:rPr>
        <w:instrText xml:space="preserve"> ADDIN ZOTERO_ITEM CSL_CITATION {"citationID":"g4xl7jeT","properties":{"unsorted":false,"formattedCitation":"[82]","plainCitation":"[82]","noteIndex":0},"citationItems":[{"id":2031,"uris":["http://zotero.org/users/9870935/items/AC53WR7L"],"itemData":{"id":2031,"type":"article-journal","abstract":"The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1D1223" w:rsidRPr="001D1223">
        <w:t>[82]</w:t>
      </w:r>
      <w:r>
        <w:rPr>
          <w:szCs w:val="24"/>
        </w:rPr>
        <w:fldChar w:fldCharType="end"/>
      </w:r>
      <w:r w:rsidRPr="00021807">
        <w:rPr>
          <w:szCs w:val="24"/>
        </w:rPr>
        <w:t>.</w:t>
      </w:r>
    </w:p>
    <w:p w14:paraId="0149AC0C" w14:textId="77777777" w:rsidR="00021807" w:rsidRPr="00021807" w:rsidRDefault="00021807" w:rsidP="00021807">
      <w:pPr>
        <w:spacing w:after="120"/>
        <w:ind w:firstLine="480"/>
        <w:rPr>
          <w:szCs w:val="24"/>
        </w:rPr>
      </w:pPr>
    </w:p>
    <w:p w14:paraId="47BF2C7C" w14:textId="195B8555" w:rsidR="00021807" w:rsidRDefault="00021807" w:rsidP="001D1223">
      <w:pPr>
        <w:spacing w:after="120"/>
        <w:ind w:firstLine="480"/>
        <w:rPr>
          <w:szCs w:val="24"/>
        </w:rPr>
      </w:pPr>
      <w:r w:rsidRPr="00021807">
        <w:rPr>
          <w:szCs w:val="24"/>
        </w:rPr>
        <w:t xml:space="preserve">Although diesel generators are well known as a component of an emergency power supply, there are concerns of air pollution levels such as NOx, PM, CO, and greenhouse-gas emissions during their normal operation or testing </w:t>
      </w:r>
      <w:r w:rsidR="00413A52">
        <w:rPr>
          <w:szCs w:val="24"/>
        </w:rPr>
        <w:fldChar w:fldCharType="begin"/>
      </w:r>
      <w:r w:rsidR="001D1223">
        <w:rPr>
          <w:szCs w:val="24"/>
        </w:rPr>
        <w:instrText xml:space="preserve"> ADDIN ZOTERO_ITEM CSL_CITATION {"citationID":"MhrzpTJ3","properties":{"unsorted":false,"formattedCitation":"[83]","plainCitation":"[83]","noteIndex":0},"citationItems":[{"id":2032,"uris":["http://zotero.org/users/9870935/items/3SYSZCVP"],"itemData":{"id":2032,"type":"article","abstract":"This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sidR="00413A52">
        <w:rPr>
          <w:szCs w:val="24"/>
        </w:rPr>
        <w:fldChar w:fldCharType="separate"/>
      </w:r>
      <w:r w:rsidR="001D1223" w:rsidRPr="001D1223">
        <w:t>[83]</w:t>
      </w:r>
      <w:r w:rsidR="00413A52">
        <w:rPr>
          <w:szCs w:val="24"/>
        </w:rPr>
        <w:fldChar w:fldCharType="end"/>
      </w:r>
      <w:r w:rsidRPr="00021807">
        <w:rPr>
          <w:szCs w:val="24"/>
        </w:rPr>
        <w:t>. While a single annual value of emissions can be broad-ranged across hyperscale facilities, it is important to recognize that the size of these emissions varies depending on the technology used by the generators, the rate of the loads, the operating schedule, the characteristics of the fuel used, the emissions control equipment, and applicable environmental regulation. The challenges being presented by these environmental and permitting factors are driving a greater consideration of alternative fuels, natural-gas generation, battery energy storage, and hydrogen fuel-cell backup systems. These options must be evaluated with respect to data-center start times, backup time, fuel or energy supply, reliability, emissions, lifecycle cost, and interconnection. In some cases, distributed storage and backup resources may also provide grid-support or ancillary services, if technically and commercially feasible, when not needed for emergency operation.</w:t>
      </w:r>
    </w:p>
    <w:p w14:paraId="0F0850E0" w14:textId="0708942B" w:rsidR="00FE013C" w:rsidRDefault="00FE013C" w:rsidP="004C16FF">
      <w:pPr>
        <w:pStyle w:val="Heading20"/>
        <w:jc w:val="both"/>
        <w:rPr>
          <w:color w:val="auto"/>
        </w:rPr>
      </w:pPr>
      <w:r>
        <w:rPr>
          <w:color w:val="auto"/>
        </w:rPr>
        <w:t>3.4. Co</w:t>
      </w:r>
      <w:r w:rsidR="00245AC4">
        <w:rPr>
          <w:color w:val="auto"/>
        </w:rPr>
        <w:t>ol</w:t>
      </w:r>
      <w:r>
        <w:rPr>
          <w:color w:val="auto"/>
        </w:rPr>
        <w:t>ing System Integration</w:t>
      </w:r>
    </w:p>
    <w:p w14:paraId="4D135C58" w14:textId="064AD005" w:rsidR="00FE013C" w:rsidRPr="007D6A70" w:rsidRDefault="00FE013C" w:rsidP="001D1223">
      <w:pPr>
        <w:spacing w:after="120"/>
        <w:ind w:firstLine="480"/>
        <w:rPr>
          <w:szCs w:val="24"/>
        </w:rPr>
      </w:pPr>
      <w:r w:rsidRPr="007D6A70">
        <w:rPr>
          <w:szCs w:val="24"/>
        </w:rPr>
        <w:t xml:space="preserve">Cooling systems are crucial connection points between electrical and thermal management in AI data </w:t>
      </w:r>
      <w:r w:rsidR="009F7E9F" w:rsidRPr="007D6A70">
        <w:rPr>
          <w:szCs w:val="24"/>
        </w:rPr>
        <w:t>centers</w:t>
      </w:r>
      <w:r w:rsidRPr="007D6A70">
        <w:rPr>
          <w:szCs w:val="24"/>
        </w:rPr>
        <w:t>. The cooling load and electrical energy consumption are roughly proportional, with the coefficient of performance (COP) of the cooling system dictating the number of watts of cooling for every watt of electricity consumed (typically around 2.5 to 4)</w:t>
      </w:r>
      <w:r>
        <w:rPr>
          <w:szCs w:val="24"/>
        </w:rPr>
        <w:fldChar w:fldCharType="begin"/>
      </w:r>
      <w:r w:rsidR="001D1223">
        <w:rPr>
          <w:szCs w:val="24"/>
        </w:rPr>
        <w:instrText xml:space="preserve"> ADDIN ZOTERO_ITEM CSL_CITATION {"citationID":"JmbelhlJ","properties":{"unsorted":false,"formattedCitation":"[84]","plainCitation":"[84]","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Pr>
          <w:szCs w:val="24"/>
        </w:rPr>
        <w:fldChar w:fldCharType="separate"/>
      </w:r>
      <w:r w:rsidR="001D1223" w:rsidRPr="001D1223">
        <w:t>[84]</w:t>
      </w:r>
      <w:r>
        <w:rPr>
          <w:szCs w:val="24"/>
        </w:rPr>
        <w:fldChar w:fldCharType="end"/>
      </w:r>
      <w:r w:rsidRPr="007D6A70">
        <w:rPr>
          <w:szCs w:val="24"/>
        </w:rPr>
        <w:t>. Cooling consumption can be as high as 30–40</w:t>
      </w:r>
      <w:r>
        <w:rPr>
          <w:szCs w:val="24"/>
        </w:rPr>
        <w:t xml:space="preserve">% </w:t>
      </w:r>
      <w:r w:rsidRPr="007D6A70">
        <w:rPr>
          <w:szCs w:val="24"/>
        </w:rPr>
        <w:t xml:space="preserve">of the total facility energy cost for traditional air-cooled data </w:t>
      </w:r>
      <w:r w:rsidR="009F7E9F" w:rsidRPr="007D6A70">
        <w:rPr>
          <w:szCs w:val="24"/>
        </w:rPr>
        <w:t>centers</w:t>
      </w:r>
      <w:r w:rsidRPr="007D6A70">
        <w:rPr>
          <w:szCs w:val="24"/>
        </w:rPr>
        <w:t>, which can have PUE values of greater than 1.3</w:t>
      </w:r>
      <w:r>
        <w:rPr>
          <w:szCs w:val="24"/>
        </w:rPr>
        <w:fldChar w:fldCharType="begin"/>
      </w:r>
      <w:r w:rsidR="00DC4621">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Pr>
          <w:szCs w:val="24"/>
        </w:rPr>
        <w:fldChar w:fldCharType="separate"/>
      </w:r>
      <w:r w:rsidR="00DC4621" w:rsidRPr="00DC4621">
        <w:t>[32]</w:t>
      </w:r>
      <w:r>
        <w:rPr>
          <w:szCs w:val="24"/>
        </w:rPr>
        <w:fldChar w:fldCharType="end"/>
      </w:r>
      <w:r w:rsidRPr="007D6A70">
        <w:rPr>
          <w:szCs w:val="24"/>
        </w:rPr>
        <w:t>. Immersion cooling provides 30–50</w:t>
      </w:r>
      <w:r>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Pr>
          <w:szCs w:val="24"/>
        </w:rPr>
        <w:fldChar w:fldCharType="begin"/>
      </w:r>
      <w:r w:rsidR="00DC4621">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00DC4621" w:rsidRPr="00DC4621">
        <w:t>[34]</w:t>
      </w:r>
      <w:r>
        <w:rPr>
          <w:szCs w:val="24"/>
        </w:rPr>
        <w:fldChar w:fldCharType="end"/>
      </w:r>
      <w:r w:rsidRPr="007D6A70">
        <w:rPr>
          <w:szCs w:val="24"/>
        </w:rPr>
        <w:t>.</w:t>
      </w:r>
    </w:p>
    <w:p w14:paraId="7ACA7F6F" w14:textId="50A09582" w:rsidR="00FE013C" w:rsidRDefault="00FE013C" w:rsidP="001D1223">
      <w:pPr>
        <w:spacing w:after="120"/>
        <w:ind w:firstLine="480"/>
        <w:rPr>
          <w:szCs w:val="24"/>
        </w:rPr>
      </w:pPr>
      <w:r w:rsidRPr="007D6A70">
        <w:rPr>
          <w:szCs w:val="24"/>
        </w:rPr>
        <w:t xml:space="preserve">In suitable climates, significant energy savings can be </w:t>
      </w:r>
      <w:r w:rsidR="009F7E9F" w:rsidRPr="007D6A70">
        <w:rPr>
          <w:szCs w:val="24"/>
        </w:rPr>
        <w:t>realized</w:t>
      </w:r>
      <w:r w:rsidRPr="007D6A70">
        <w:rPr>
          <w:szCs w:val="24"/>
        </w:rPr>
        <w:t xml:space="preserve"> using a free cooling system, which </w:t>
      </w:r>
      <w:r w:rsidR="009F7E9F" w:rsidRPr="007D6A70">
        <w:rPr>
          <w:szCs w:val="24"/>
        </w:rPr>
        <w:t>utilizes</w:t>
      </w:r>
      <w:r w:rsidRPr="007D6A70">
        <w:rPr>
          <w:szCs w:val="24"/>
        </w:rPr>
        <w:t xml:space="preserve"> the ambient atmospheric temperature to supply cooling without mechanical refrigeration. In temperate climates, </w:t>
      </w:r>
      <w:r w:rsidR="009F7E9F" w:rsidRPr="007D6A70">
        <w:rPr>
          <w:szCs w:val="24"/>
        </w:rPr>
        <w:t>economizer</w:t>
      </w:r>
      <w:r w:rsidRPr="007D6A70">
        <w:rPr>
          <w:szCs w:val="24"/>
        </w:rPr>
        <w:t xml:space="preserve"> systems can deliver free cooling for 3000 to 6000 hours per year, cutting energy consumption for chillers by 40–70</w:t>
      </w:r>
      <w:r>
        <w:rPr>
          <w:szCs w:val="24"/>
        </w:rPr>
        <w:t xml:space="preserve">% </w:t>
      </w:r>
      <w:r w:rsidRPr="007D6A70">
        <w:rPr>
          <w:szCs w:val="24"/>
        </w:rPr>
        <w:t>during those hours</w:t>
      </w:r>
      <w:r>
        <w:rPr>
          <w:szCs w:val="24"/>
        </w:rPr>
        <w:fldChar w:fldCharType="begin"/>
      </w:r>
      <w:r w:rsidR="001D1223">
        <w:rPr>
          <w:szCs w:val="24"/>
        </w:rPr>
        <w:instrText xml:space="preserve"> ADDIN ZOTERO_ITEM CSL_CITATION {"citationID":"3wFuVfzc","properties":{"unsorted":false,"formattedCitation":"[85]","plainCitation":"[85]","noteIndex":0},"citationItems":[{"id":2036,"uris":["http://zotero.org/users/9870935/items/2KMJ9H69"],"itemData":{"id":2036,"type":"paper-conference","container-title":"2011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Pr>
          <w:szCs w:val="24"/>
        </w:rPr>
        <w:fldChar w:fldCharType="separate"/>
      </w:r>
      <w:r w:rsidR="001D1223" w:rsidRPr="001D1223">
        <w:t>[85]</w:t>
      </w:r>
      <w:r>
        <w:rPr>
          <w:szCs w:val="24"/>
        </w:rPr>
        <w:fldChar w:fldCharType="end"/>
      </w:r>
      <w:r w:rsidRPr="007D6A70">
        <w:rPr>
          <w:szCs w:val="24"/>
        </w:rPr>
        <w:t>. Thermal energy storage (TES) systems, specifically ice storage, can be used to shift cooling loads when electricity demand is high, and/or when renewables are abundant, by freezing water when electricity prices are low and melting when electricity prices are high and cooling loads are high</w:t>
      </w:r>
      <w:r>
        <w:rPr>
          <w:szCs w:val="24"/>
        </w:rPr>
        <w:fldChar w:fldCharType="begin"/>
      </w:r>
      <w:r w:rsidR="001D1223">
        <w:rPr>
          <w:szCs w:val="24"/>
        </w:rPr>
        <w:instrText xml:space="preserve"> ADDIN ZOTERO_ITEM CSL_CITATION {"citationID":"z2ZjfPrB","properties":{"unsorted":false,"formattedCitation":"[86]","plainCitation":"[86]","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Pr>
          <w:szCs w:val="24"/>
        </w:rPr>
        <w:fldChar w:fldCharType="separate"/>
      </w:r>
      <w:r w:rsidR="001D1223" w:rsidRPr="001D1223">
        <w:t>[86]</w:t>
      </w:r>
      <w:r>
        <w:rPr>
          <w:szCs w:val="24"/>
        </w:rPr>
        <w:fldChar w:fldCharType="end"/>
      </w:r>
      <w:r w:rsidRPr="007D6A70">
        <w:rPr>
          <w:szCs w:val="24"/>
        </w:rPr>
        <w:t>.</w:t>
      </w:r>
    </w:p>
    <w:p w14:paraId="4587B737" w14:textId="77777777" w:rsidR="00FE013C" w:rsidRDefault="00FE013C" w:rsidP="004C16FF">
      <w:pPr>
        <w:pStyle w:val="Heading20"/>
        <w:jc w:val="both"/>
        <w:rPr>
          <w:color w:val="auto"/>
        </w:rPr>
      </w:pPr>
      <w:r>
        <w:rPr>
          <w:color w:val="auto"/>
        </w:rPr>
        <w:t>3.5. Power Quality and Harmonic Analysis</w:t>
      </w:r>
    </w:p>
    <w:p w14:paraId="028C966C" w14:textId="0CD48C19" w:rsidR="00FE013C" w:rsidRPr="003D3067" w:rsidRDefault="00FE013C" w:rsidP="001D1223">
      <w:pPr>
        <w:spacing w:after="120"/>
        <w:ind w:firstLine="480"/>
        <w:rPr>
          <w:szCs w:val="24"/>
          <w:lang w:val="en-CA"/>
        </w:rPr>
      </w:pPr>
      <w:r w:rsidRPr="00145C6F">
        <w:rPr>
          <w:szCs w:val="24"/>
        </w:rPr>
        <w:lastRenderedPageBreak/>
        <w:t xml:space="preserve">Harmonic currents create voltage waveforms that are distorted from their ideal sinusoidal nature in non-linear loads within a data </w:t>
      </w:r>
      <w:r w:rsidR="009F7E9F" w:rsidRPr="00145C6F">
        <w:rPr>
          <w:szCs w:val="24"/>
        </w:rPr>
        <w:t>center</w:t>
      </w:r>
      <w:r w:rsidRPr="00145C6F">
        <w:rPr>
          <w:szCs w:val="24"/>
        </w:rPr>
        <w:t>, resulting in equipment malfunction, loss of efficiency, and early failure. The main sources of harmonics are switched-mode power supplies (SMPS) in servers and networking devices, variable frequency drives (VFDs) in cooling systems, and LED lighting drivers</w:t>
      </w:r>
      <w:r>
        <w:rPr>
          <w:szCs w:val="24"/>
        </w:rPr>
        <w:fldChar w:fldCharType="begin"/>
      </w:r>
      <w:r w:rsidR="001D1223">
        <w:rPr>
          <w:szCs w:val="24"/>
        </w:rPr>
        <w:instrText xml:space="preserve"> ADDIN ZOTERO_ITEM CSL_CITATION {"citationID":"NUYFmlEf","properties":{"unsorted":false,"formattedCitation":"[87]","plainCitation":"[87]","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Pr>
          <w:szCs w:val="24"/>
        </w:rPr>
        <w:fldChar w:fldCharType="separate"/>
      </w:r>
      <w:r w:rsidR="001D1223" w:rsidRPr="001D1223">
        <w:t>[87]</w:t>
      </w:r>
      <w:r>
        <w:rPr>
          <w:szCs w:val="24"/>
        </w:rPr>
        <w:fldChar w:fldCharType="end"/>
      </w:r>
      <w:r w:rsidRPr="00145C6F">
        <w:rPr>
          <w:szCs w:val="24"/>
        </w:rPr>
        <w:t xml:space="preserve">. </w:t>
      </w:r>
      <w:r w:rsidR="003D3067" w:rsidRPr="003D3067">
        <w:rPr>
          <w:szCs w:val="24"/>
          <w:lang w:val="en-CA"/>
        </w:rPr>
        <w:t>IEEE 519 establishes harmonic-voltage and harmonic-current limits at the point of common coupling (PCC), with applicable limits depending on system voltage and the relationship between available short-circuit current and load current. Facility compliance should therefore be evaluated using the appropriate IEEE 519 limits for the specific interconnection rather than a single universal individual-harmonic threshold</w:t>
      </w:r>
      <w:r>
        <w:rPr>
          <w:szCs w:val="24"/>
        </w:rPr>
        <w:fldChar w:fldCharType="begin"/>
      </w:r>
      <w:r>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5A4C37">
        <w:t>[22]</w:t>
      </w:r>
      <w:r>
        <w:rPr>
          <w:szCs w:val="24"/>
        </w:rPr>
        <w:fldChar w:fldCharType="end"/>
      </w:r>
      <w:r w:rsidRPr="00145C6F">
        <w:rPr>
          <w:szCs w:val="24"/>
        </w:rPr>
        <w:t>. Passive filters (tuned LC circuits targeting specific harmonic orders), active power filters (APFs) that inject compensating currents to cancel harmonic distortion, and system-level solutions, such as 12-pulse or 18-pulse rectifier configurations that naturally cancel lower-order harmonics</w:t>
      </w:r>
      <w:r>
        <w:rPr>
          <w:szCs w:val="24"/>
        </w:rPr>
        <w:fldChar w:fldCharType="begin"/>
      </w:r>
      <w:r w:rsidR="001D1223">
        <w:rPr>
          <w:szCs w:val="24"/>
        </w:rPr>
        <w:instrText xml:space="preserve"> ADDIN ZOTERO_ITEM CSL_CITATION {"citationID":"Mv0Kakcm","properties":{"unsorted":false,"formattedCitation":"[88]","plainCitation":"[88]","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Pr>
          <w:szCs w:val="24"/>
        </w:rPr>
        <w:fldChar w:fldCharType="separate"/>
      </w:r>
      <w:r w:rsidR="001D1223" w:rsidRPr="001D1223">
        <w:t>[88]</w:t>
      </w:r>
      <w:r>
        <w:rPr>
          <w:szCs w:val="24"/>
        </w:rPr>
        <w:fldChar w:fldCharType="end"/>
      </w:r>
      <w:r w:rsidRPr="00145C6F">
        <w:rPr>
          <w:szCs w:val="24"/>
        </w:rPr>
        <w:t xml:space="preserve">, are all available as options for mitigation. The use of power factor correction (PFC) circuits in modern server power supplies has </w:t>
      </w:r>
      <w:r w:rsidR="00580BAE" w:rsidRPr="00145C6F">
        <w:rPr>
          <w:szCs w:val="24"/>
        </w:rPr>
        <w:t>minimized</w:t>
      </w:r>
      <w:r w:rsidRPr="00145C6F">
        <w:rPr>
          <w:szCs w:val="24"/>
        </w:rPr>
        <w:t xml:space="preserve"> the harmonic contribution from IT equipment, and most modern servers have a power factor &gt; 0.95 and THD &lt; 10</w:t>
      </w:r>
      <w:r>
        <w:rPr>
          <w:szCs w:val="24"/>
        </w:rPr>
        <w:t xml:space="preserve">% </w:t>
      </w:r>
      <w:r w:rsidRPr="00145C6F">
        <w:rPr>
          <w:szCs w:val="24"/>
        </w:rPr>
        <w:t>at the input terminals</w:t>
      </w:r>
      <w:r>
        <w:rPr>
          <w:szCs w:val="24"/>
        </w:rPr>
        <w:fldChar w:fldCharType="begin"/>
      </w:r>
      <w:r w:rsidR="001D1223">
        <w:rPr>
          <w:szCs w:val="24"/>
        </w:rPr>
        <w:instrText xml:space="preserve"> ADDIN ZOTERO_ITEM CSL_CITATION {"citationID":"pxV0xqgq","properties":{"unsorted":false,"formattedCitation":"[89]","plainCitation":"[89]","noteIndex":0},"citationItems":[{"id":2042,"uris":["http://zotero.org/users/9870935/items/PXUHJN77"],"itemData":{"id":2042,"type":"article-journal","abstract":"Advances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Pr>
          <w:szCs w:val="24"/>
        </w:rPr>
        <w:fldChar w:fldCharType="separate"/>
      </w:r>
      <w:r w:rsidR="001D1223" w:rsidRPr="001D1223">
        <w:t>[89]</w:t>
      </w:r>
      <w:r>
        <w:rPr>
          <w:szCs w:val="24"/>
        </w:rPr>
        <w:fldChar w:fldCharType="end"/>
      </w:r>
      <w:r w:rsidRPr="00145C6F">
        <w:rPr>
          <w:szCs w:val="24"/>
        </w:rPr>
        <w:t>. However, the overall impact of thousands of nonlinear loads is best addressed through facility-level harmonic analysis and mitigation.</w:t>
      </w:r>
    </w:p>
    <w:p w14:paraId="66734DC0" w14:textId="77777777" w:rsidR="00FE013C" w:rsidRDefault="00FE013C" w:rsidP="004C16FF">
      <w:pPr>
        <w:pStyle w:val="Heading20"/>
        <w:jc w:val="both"/>
        <w:rPr>
          <w:color w:val="auto"/>
        </w:rPr>
      </w:pPr>
      <w:r>
        <w:rPr>
          <w:color w:val="auto"/>
        </w:rPr>
        <w:t>3.6. Metering and Monitoring Systems</w:t>
      </w:r>
    </w:p>
    <w:p w14:paraId="707AB882" w14:textId="7F98D159" w:rsidR="00FE013C" w:rsidRPr="00B83856" w:rsidRDefault="00FE013C" w:rsidP="001D1223">
      <w:pPr>
        <w:spacing w:after="120"/>
        <w:ind w:firstLine="480"/>
        <w:rPr>
          <w:szCs w:val="24"/>
        </w:rPr>
      </w:pPr>
      <w:r w:rsidRPr="00B83856">
        <w:rPr>
          <w:szCs w:val="24"/>
        </w:rPr>
        <w:t xml:space="preserve">Energy management and </w:t>
      </w:r>
      <w:r w:rsidR="00580BAE" w:rsidRPr="00B83856">
        <w:rPr>
          <w:szCs w:val="24"/>
        </w:rPr>
        <w:t>optimization</w:t>
      </w:r>
      <w:r w:rsidRPr="00B83856">
        <w:rPr>
          <w:szCs w:val="24"/>
        </w:rPr>
        <w:t xml:space="preserve"> are built on comprehensive metering and monitoring infrastructure, which </w:t>
      </w:r>
      <w:r w:rsidR="00705F15" w:rsidRPr="00705F15">
        <w:rPr>
          <w:szCs w:val="24"/>
        </w:rPr>
        <w:t>provides the real-time data foundation required for energy management and optimization</w:t>
      </w:r>
      <w:r w:rsidRPr="00B83856">
        <w:rPr>
          <w:szCs w:val="24"/>
        </w:rPr>
        <w:t>. Revenue-grade power meters are usually ANSI C12.20 Class 0.2 accurate and are used at key distribution points, such as utility interconnections, generator outputs, UPS inputs and outputs, and PDU feed circuits</w:t>
      </w:r>
      <w:r>
        <w:rPr>
          <w:szCs w:val="24"/>
        </w:rPr>
        <w:fldChar w:fldCharType="begin"/>
      </w:r>
      <w:r w:rsidR="001D1223">
        <w:rPr>
          <w:szCs w:val="24"/>
        </w:rPr>
        <w:instrText xml:space="preserve"> ADDIN ZOTERO_ITEM CSL_CITATION {"citationID":"auJULgbp","properties":{"unsorted":false,"formattedCitation":"[90]","plainCitation":"[90]","noteIndex":0},"citationItems":[{"id":2043,"uris":["http://zotero.org/users/9870935/items/S5A8TX2F"],"itemData":{"id":2043,"type":"paper-conference","container-title":"2007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Pr>
          <w:szCs w:val="24"/>
        </w:rPr>
        <w:fldChar w:fldCharType="separate"/>
      </w:r>
      <w:r w:rsidR="001D1223" w:rsidRPr="001D1223">
        <w:t>[90]</w:t>
      </w:r>
      <w:r>
        <w:rPr>
          <w:szCs w:val="24"/>
        </w:rPr>
        <w:fldChar w:fldCharType="end"/>
      </w:r>
      <w:r w:rsidRPr="00B83856">
        <w:rPr>
          <w:szCs w:val="24"/>
        </w:rPr>
        <w:t xml:space="preserve">. Today's energy management systems (EMS) are designed to collect data from hundreds or thousands of metering points, </w:t>
      </w:r>
      <w:r w:rsidR="00160396" w:rsidRPr="00160396">
        <w:rPr>
          <w:szCs w:val="24"/>
        </w:rPr>
        <w:t>provide dashboards, trend analysis, alarm management, and automated reporting</w:t>
      </w:r>
      <w:r w:rsidRPr="00B83856">
        <w:rPr>
          <w:szCs w:val="24"/>
        </w:rPr>
        <w:t xml:space="preserve">.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w:t>
      </w:r>
      <w:r w:rsidR="00580BAE" w:rsidRPr="00B83856">
        <w:rPr>
          <w:szCs w:val="24"/>
        </w:rPr>
        <w:t>optimization</w:t>
      </w:r>
      <w:r w:rsidRPr="00B83856">
        <w:rPr>
          <w:szCs w:val="24"/>
        </w:rPr>
        <w:t>, such as identifying lost energy in equipment not being used, tracking unusual energy use patterns, which can signify equipment deterioration, and comparing actual energy use to predicted energy use based on weather, occupancy, and workload parameters</w:t>
      </w:r>
      <w:r>
        <w:rPr>
          <w:szCs w:val="24"/>
        </w:rPr>
        <w:fldChar w:fldCharType="begin"/>
      </w:r>
      <w:r w:rsidR="001D1223">
        <w:rPr>
          <w:szCs w:val="24"/>
        </w:rPr>
        <w:instrText xml:space="preserve"> ADDIN ZOTERO_ITEM CSL_CITATION {"citationID":"ZVmq8j39","properties":{"unsorted":false,"formattedCitation":"[91]","plainCitation":"[91]","noteIndex":0},"citationItems":[{"id":2044,"uris":["http://zotero.org/users/9870935/items/6R3YK6PU"],"itemData":{"id":2044,"type":"article","abstract":"The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Pr>
          <w:szCs w:val="24"/>
        </w:rPr>
        <w:fldChar w:fldCharType="separate"/>
      </w:r>
      <w:r w:rsidR="001D1223" w:rsidRPr="001D1223">
        <w:t>[91]</w:t>
      </w:r>
      <w:r>
        <w:rPr>
          <w:szCs w:val="24"/>
        </w:rPr>
        <w:fldChar w:fldCharType="end"/>
      </w:r>
      <w:r w:rsidRPr="00B83856">
        <w:rPr>
          <w:szCs w:val="24"/>
        </w:rPr>
        <w:t>. Machine learning algorithms have been shown to lower cooling energy use by 15–30</w:t>
      </w:r>
      <w:r>
        <w:rPr>
          <w:szCs w:val="24"/>
        </w:rPr>
        <w:t xml:space="preserve">% </w:t>
      </w:r>
      <w:r w:rsidRPr="00B83856">
        <w:rPr>
          <w:szCs w:val="24"/>
        </w:rPr>
        <w:t xml:space="preserve">by </w:t>
      </w:r>
      <w:r w:rsidR="00580BAE" w:rsidRPr="00B83856">
        <w:rPr>
          <w:szCs w:val="24"/>
        </w:rPr>
        <w:t>optimizing</w:t>
      </w:r>
      <w:r w:rsidRPr="00B83856">
        <w:rPr>
          <w:szCs w:val="24"/>
        </w:rPr>
        <w:t xml:space="preserve"> setpoints and scheduling equipment in EMS</w:t>
      </w:r>
      <w:r>
        <w:rPr>
          <w:szCs w:val="24"/>
        </w:rPr>
        <w:fldChar w:fldCharType="begin"/>
      </w:r>
      <w:r w:rsidR="001D1223">
        <w:rPr>
          <w:szCs w:val="24"/>
        </w:rPr>
        <w:instrText xml:space="preserve"> ADDIN ZOTERO_ITEM CSL_CITATION {"citationID":"yq9cwOWS","properties":{"unsorted":false,"formattedCitation":"[92]","plainCitation":"[92]","noteIndex":0},"citationItems":[{"id":2046,"uris":["http://zotero.org/users/9870935/items/P4BXZMCV"],"itemData":{"id":2046,"type":"article","abstract":"Data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Pr>
          <w:szCs w:val="24"/>
        </w:rPr>
        <w:fldChar w:fldCharType="separate"/>
      </w:r>
      <w:r w:rsidR="001D1223" w:rsidRPr="001D1223">
        <w:t>[92]</w:t>
      </w:r>
      <w:r>
        <w:rPr>
          <w:szCs w:val="24"/>
        </w:rPr>
        <w:fldChar w:fldCharType="end"/>
      </w:r>
      <w:r w:rsidRPr="00B83856">
        <w:rPr>
          <w:szCs w:val="24"/>
        </w:rPr>
        <w:t>.</w:t>
      </w:r>
    </w:p>
    <w:p w14:paraId="2F054A70" w14:textId="77777777" w:rsidR="00FE013C" w:rsidRDefault="00FE013C" w:rsidP="004C16FF">
      <w:pPr>
        <w:pStyle w:val="Heading10"/>
        <w:jc w:val="both"/>
        <w:rPr>
          <w:color w:val="auto"/>
        </w:rPr>
      </w:pPr>
      <w:r>
        <w:rPr>
          <w:color w:val="auto"/>
          <w:lang w:eastAsia="zh-CN"/>
        </w:rPr>
        <w:t xml:space="preserve">4. </w:t>
      </w:r>
      <w:r>
        <w:rPr>
          <w:color w:val="auto"/>
        </w:rPr>
        <w:t>Renewable Energy Resources and Assessment</w:t>
      </w:r>
    </w:p>
    <w:p w14:paraId="79058439" w14:textId="72E9945E" w:rsidR="00FE013C" w:rsidRDefault="00FE013C" w:rsidP="004C16FF">
      <w:pPr>
        <w:spacing w:after="120"/>
        <w:ind w:firstLine="480"/>
      </w:pPr>
      <w:r>
        <w:t xml:space="preserve">This section characterizes the solar, wind, and hydroelectric resources available for data </w:t>
      </w:r>
      <w:r w:rsidR="00580BAE">
        <w:t>center</w:t>
      </w:r>
      <w:r>
        <w:t xml:space="preserve"> integration, along with the methodologies used to assess these resources and quantify their variability. Understanding the resource characteristics is fundamental to optimal technology selection, system sizing, and operational strategy development for renewable-powered data </w:t>
      </w:r>
      <w:r w:rsidR="00580BAE">
        <w:t>center</w:t>
      </w:r>
      <w:r>
        <w:t>s.</w:t>
      </w:r>
    </w:p>
    <w:p w14:paraId="63AE813B" w14:textId="77777777" w:rsidR="00FE013C" w:rsidRDefault="00FE013C" w:rsidP="004C16FF">
      <w:pPr>
        <w:pStyle w:val="Heading20"/>
        <w:jc w:val="both"/>
        <w:rPr>
          <w:color w:val="auto"/>
        </w:rPr>
      </w:pPr>
      <w:r>
        <w:rPr>
          <w:color w:val="auto"/>
        </w:rPr>
        <w:t>4.1. Solar Photovoltaic Systems</w:t>
      </w:r>
    </w:p>
    <w:p w14:paraId="08DE4784" w14:textId="2E0C39C1" w:rsidR="00AF0CB4" w:rsidRDefault="001B63C3" w:rsidP="001D1223">
      <w:pPr>
        <w:spacing w:after="120"/>
        <w:ind w:firstLine="480"/>
      </w:pPr>
      <w:r w:rsidRPr="001B63C3">
        <w:t>Utility-scale solar PV is among the lowest-cost sources of new electricity generation in many regions with favorable solar resources</w:t>
      </w:r>
      <w:r w:rsidR="00FE013C" w:rsidRPr="00C071A1">
        <w:t xml:space="preserve">. Currently available monocrystalline modules in the commercial </w:t>
      </w:r>
      <w:r w:rsidR="00FE013C" w:rsidRPr="00C071A1">
        <w:lastRenderedPageBreak/>
        <w:t xml:space="preserve">market have efficiencies of 20–23%, whereas high-efficiency modules with heterojunction (HJT) or tunnel oxide passivated contact (TOPCon)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the 2010 benchmarks [14]. </w:t>
      </w:r>
      <w:r w:rsidR="0055676D" w:rsidRPr="0055676D">
        <w:t xml:space="preserve">This downward cost trajectory is expected to continue as technology learning, manufacturing scale, and supply-chain integration reduce the costs of solar PV and battery storage. IRENA's 2026 analysis of firm solar-plus-battery configurations across multiple countries projects further cost reductions of approximately 30% by 2030 and around 40% by 2035 under its modeled technology and cost assumptions, with firm LCOEs potentially falling below </w:t>
      </w:r>
      <w:r w:rsidR="009B1B18">
        <w:t>$</w:t>
      </w:r>
      <w:r w:rsidR="0055676D" w:rsidRPr="0055676D">
        <w:t>50/MWh at the best-performing sites by 2035</w:t>
      </w:r>
      <w:r w:rsidR="001D1223">
        <w:fldChar w:fldCharType="begin"/>
      </w:r>
      <w:r w:rsidR="001D1223">
        <w:instrText xml:space="preserve"> ADDIN ZOTERO_ITEM CSL_CITATION {"citationID":"NicOAjXF","properties":{"unsorted":false,"formattedCitation":"[93]","plainCitation":"[93]","noteIndex":0},"citationItems":[{"id":2741,"uris":["http://zotero.org/users/9870935/items/G6DN32VT"],"itemData":{"id":2741,"type":"book","ISBN":"978-92-9260-736-4","language":"spa","note":"OCLC: 1604685356","publisher":"International Renewable Energy Agency","publisher-place":"Abu Dhabi","source":"Open WorldCat","title":"24/7 renewables: the economics of firm solar and wind","title-short":"24/7 renewables","issued":{"date-parts":[["2026"]]}}}],"schema":"https://github.com/citation-style-language/schema/raw/master/csl-citation.json"} </w:instrText>
      </w:r>
      <w:r w:rsidR="001D1223">
        <w:fldChar w:fldCharType="separate"/>
      </w:r>
      <w:r w:rsidR="001D1223" w:rsidRPr="001D1223">
        <w:t>[93]</w:t>
      </w:r>
      <w:r w:rsidR="001D1223">
        <w:fldChar w:fldCharType="end"/>
      </w:r>
      <w:r w:rsidR="0055676D" w:rsidRPr="0055676D">
        <w:t>. These projections should be interpreted as scenario-based cost trajectories rather than deterministic forecasts and are based on the reliability assumptions adopted in the IRENA analysis.</w:t>
      </w:r>
    </w:p>
    <w:p w14:paraId="04EBC92C" w14:textId="0766ABED" w:rsidR="00FE013C" w:rsidRDefault="00FE013C" w:rsidP="0055676D">
      <w:pPr>
        <w:spacing w:after="120"/>
        <w:ind w:firstLine="480"/>
      </w:pPr>
      <w:r w:rsidRPr="00C071A1">
        <w:t>The geographic variability of solar capacity factors is high, with values ranging from 13% to 17</w:t>
      </w:r>
      <w:r>
        <w:t xml:space="preserve">% </w:t>
      </w:r>
      <w:r w:rsidRPr="00C071A1">
        <w:t>in the northern part of Europe and the Pacific Northwest and from 25% to 30</w:t>
      </w:r>
      <w:r>
        <w:t xml:space="preserve">% </w:t>
      </w:r>
      <w:r w:rsidRPr="00C071A1">
        <w:t>in the desert Southwest of the U.S. and the arid areas of the Middle East and North Africa</w:t>
      </w:r>
      <w:r>
        <w:fldChar w:fldCharType="begin"/>
      </w:r>
      <w:r w:rsidR="00A95675">
        <w:instrText xml:space="preserve"> ADDIN ZOTERO_ITEM CSL_CITATION {"citationID":"JNDExKFF","properties":{"unsorted":false,"formattedCitation":"[94]","plainCitation":"[94]","noteIndex":0},"citationItems":[{"id":2049,"uris":["http://zotero.org/users/9870935/items/HTQQE34D"],"itemData":{"id":2049,"type":"post-weblog","title":"National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A95675" w:rsidRPr="00A95675">
        <w:t>[94]</w:t>
      </w:r>
      <w:r>
        <w:fldChar w:fldCharType="end"/>
      </w:r>
      <w:r w:rsidRPr="00C071A1">
        <w:t>. NREL's Annual Technology Baseline reports net capacity factors spanning 21% to 34</w:t>
      </w:r>
      <w:r>
        <w:t xml:space="preserve">% </w:t>
      </w:r>
      <w:r w:rsidRPr="00C071A1">
        <w:t>for utility-scale PV across solar resource classes</w:t>
      </w:r>
      <w:r>
        <w:fldChar w:fldCharType="begin"/>
      </w:r>
      <w:r w:rsidR="00A95675">
        <w:instrText xml:space="preserve"> ADDIN ZOTERO_ITEM CSL_CITATION {"citationID":"h6U7qzDb","properties":{"unsorted":false,"formattedCitation":"[94]","plainCitation":"[94]","noteIndex":0},"citationItems":[{"id":2049,"uris":["http://zotero.org/users/9870935/items/HTQQE34D"],"itemData":{"id":2049,"type":"post-weblog","title":"National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A95675" w:rsidRPr="00A95675">
        <w:t>[94]</w:t>
      </w:r>
      <w:r>
        <w:fldChar w:fldCharType="end"/>
      </w:r>
      <w:r w:rsidRPr="00C071A1">
        <w:t>. The performance of the inverter is a key factor; modern string and central inverters provide weighted average efficiencies of 95% to 98.5</w:t>
      </w:r>
      <w:r>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fldChar w:fldCharType="begin"/>
      </w:r>
      <w:r w:rsidR="00A95675">
        <w:instrText xml:space="preserve"> ADDIN ZOTERO_ITEM CSL_CITATION {"citationID":"XP0P73le","properties":{"unsorted":false,"formattedCitation":"[95]","plainCitation":"[95]","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fldChar w:fldCharType="separate"/>
      </w:r>
      <w:r w:rsidR="00A95675" w:rsidRPr="00A95675">
        <w:t>[95]</w:t>
      </w:r>
      <w:r>
        <w:fldChar w:fldCharType="end"/>
      </w:r>
      <w:r w:rsidRPr="00C071A1">
        <w:t>.</w:t>
      </w:r>
      <w:r>
        <w:t xml:space="preserve"> </w:t>
      </w:r>
      <w:r w:rsidR="000720CF">
        <w:fldChar w:fldCharType="begin"/>
      </w:r>
      <w:r w:rsidR="000720CF">
        <w:instrText xml:space="preserve"> REF _Ref239530734 \h </w:instrText>
      </w:r>
      <w:r w:rsidR="000720CF">
        <w:fldChar w:fldCharType="separate"/>
      </w:r>
      <w:r w:rsidR="000720CF">
        <w:t xml:space="preserve">Table </w:t>
      </w:r>
      <w:r w:rsidR="000720CF">
        <w:rPr>
          <w:noProof/>
        </w:rPr>
        <w:t>2</w:t>
      </w:r>
      <w:r w:rsidR="000720CF">
        <w:t xml:space="preserve"> Solar PV capacity factors by U.S. region</w:t>
      </w:r>
      <w:r w:rsidR="000720CF">
        <w:fldChar w:fldCharType="end"/>
      </w:r>
      <w:r w:rsidR="000720CF">
        <w:t xml:space="preserve">, </w:t>
      </w:r>
      <w:r w:rsidRPr="008447E1">
        <w:t>compiles annual capacity factors and installed cost benchmarks across six U.S. regions, providing the site-specific input parameters needed to apply the framework's site assessment component (Component 1, Section 7.2).</w:t>
      </w:r>
    </w:p>
    <w:p w14:paraId="64914837" w14:textId="262D6A3D" w:rsidR="00FE013C" w:rsidRDefault="00FE013C" w:rsidP="004C16FF">
      <w:pPr>
        <w:pStyle w:val="Caption"/>
        <w:keepNext/>
      </w:pPr>
      <w:bookmarkStart w:id="8" w:name="_Ref239530734"/>
      <w:r>
        <w:t xml:space="preserve">Table </w:t>
      </w:r>
      <w:fldSimple w:instr=" SEQ Table \* ARABIC ">
        <w:r w:rsidR="003A45CA">
          <w:rPr>
            <w:noProof/>
          </w:rPr>
          <w:t>2</w:t>
        </w:r>
      </w:fldSimple>
      <w:r>
        <w:t xml:space="preserve"> Solar PV capacity factors by U.S. region</w:t>
      </w:r>
      <w:bookmarkEnd w:id="8"/>
    </w:p>
    <w:tbl>
      <w:tblPr>
        <w:tblStyle w:val="Mdeck5tablebodythreelines"/>
        <w:tblW w:w="0" w:type="auto"/>
        <w:tblLook w:val="04A0" w:firstRow="1" w:lastRow="0" w:firstColumn="1" w:lastColumn="0" w:noHBand="0" w:noVBand="1"/>
      </w:tblPr>
      <w:tblGrid>
        <w:gridCol w:w="2905"/>
        <w:gridCol w:w="1683"/>
        <w:gridCol w:w="1371"/>
        <w:gridCol w:w="1323"/>
        <w:gridCol w:w="2111"/>
      </w:tblGrid>
      <w:tr w:rsidR="00FE013C" w:rsidRPr="00877478" w14:paraId="01C732C8"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348C5EC4" w14:textId="77777777" w:rsidR="00FE013C" w:rsidRPr="00CC7EAF" w:rsidRDefault="00FE013C" w:rsidP="004C16FF">
            <w:pPr>
              <w:pStyle w:val="TableBody"/>
              <w:jc w:val="both"/>
              <w:rPr>
                <w:b/>
                <w:bCs/>
                <w:color w:val="auto"/>
                <w:lang w:val="en-US"/>
              </w:rPr>
            </w:pPr>
            <w:r w:rsidRPr="00CC7EAF">
              <w:rPr>
                <w:b/>
                <w:bCs/>
                <w:color w:val="auto"/>
                <w:lang w:val="en-US"/>
              </w:rPr>
              <w:t>Region</w:t>
            </w:r>
          </w:p>
        </w:tc>
        <w:tc>
          <w:tcPr>
            <w:tcW w:w="0" w:type="auto"/>
            <w:hideMark/>
          </w:tcPr>
          <w:p w14:paraId="081C578E" w14:textId="77777777" w:rsidR="00FE013C" w:rsidRPr="00CC7EAF" w:rsidRDefault="00FE013C" w:rsidP="004C16FF">
            <w:pPr>
              <w:pStyle w:val="TableBody"/>
              <w:jc w:val="both"/>
              <w:rPr>
                <w:b/>
                <w:bCs/>
                <w:color w:val="auto"/>
                <w:lang w:val="en-US"/>
              </w:rPr>
            </w:pPr>
            <w:r w:rsidRPr="00CC7EAF">
              <w:rPr>
                <w:b/>
                <w:bCs/>
                <w:color w:val="auto"/>
                <w:lang w:val="en-US"/>
              </w:rPr>
              <w:t>Annual CF (%)</w:t>
            </w:r>
          </w:p>
        </w:tc>
        <w:tc>
          <w:tcPr>
            <w:tcW w:w="0" w:type="auto"/>
            <w:hideMark/>
          </w:tcPr>
          <w:p w14:paraId="4257879A" w14:textId="77777777" w:rsidR="00FE013C" w:rsidRPr="00CC7EAF" w:rsidRDefault="00FE013C" w:rsidP="004C16FF">
            <w:pPr>
              <w:pStyle w:val="TableBody"/>
              <w:jc w:val="both"/>
              <w:rPr>
                <w:b/>
                <w:bCs/>
                <w:color w:val="auto"/>
                <w:lang w:val="en-US"/>
              </w:rPr>
            </w:pPr>
            <w:r w:rsidRPr="00CC7EAF">
              <w:rPr>
                <w:b/>
                <w:bCs/>
                <w:color w:val="auto"/>
                <w:lang w:val="en-US"/>
              </w:rPr>
              <w:t>Peak Month</w:t>
            </w:r>
          </w:p>
        </w:tc>
        <w:tc>
          <w:tcPr>
            <w:tcW w:w="0" w:type="auto"/>
            <w:hideMark/>
          </w:tcPr>
          <w:p w14:paraId="32F9EE72" w14:textId="77777777" w:rsidR="00FE013C" w:rsidRPr="00CC7EAF" w:rsidRDefault="00FE013C" w:rsidP="004C16FF">
            <w:pPr>
              <w:pStyle w:val="TableBody"/>
              <w:jc w:val="both"/>
              <w:rPr>
                <w:b/>
                <w:bCs/>
                <w:color w:val="auto"/>
                <w:lang w:val="en-US"/>
              </w:rPr>
            </w:pPr>
            <w:r w:rsidRPr="00CC7EAF">
              <w:rPr>
                <w:b/>
                <w:bCs/>
                <w:color w:val="auto"/>
                <w:lang w:val="en-US"/>
              </w:rPr>
              <w:t>Low Month</w:t>
            </w:r>
          </w:p>
        </w:tc>
        <w:tc>
          <w:tcPr>
            <w:tcW w:w="0" w:type="auto"/>
            <w:hideMark/>
          </w:tcPr>
          <w:p w14:paraId="393D5A8A" w14:textId="77777777" w:rsidR="00FE013C" w:rsidRPr="00CC7EAF" w:rsidRDefault="00FE013C" w:rsidP="004C16FF">
            <w:pPr>
              <w:pStyle w:val="TableBody"/>
              <w:jc w:val="both"/>
              <w:rPr>
                <w:b/>
                <w:bCs/>
                <w:color w:val="auto"/>
                <w:lang w:val="en-US"/>
              </w:rPr>
            </w:pPr>
            <w:r w:rsidRPr="00CC7EAF">
              <w:rPr>
                <w:b/>
                <w:bCs/>
                <w:color w:val="auto"/>
                <w:lang w:val="en-US"/>
              </w:rPr>
              <w:t>Installed Cost ($/W)</w:t>
            </w:r>
          </w:p>
        </w:tc>
      </w:tr>
      <w:tr w:rsidR="00FE013C" w:rsidRPr="00877478" w14:paraId="0E7B20FD" w14:textId="77777777" w:rsidTr="00CC7EAF">
        <w:tc>
          <w:tcPr>
            <w:tcW w:w="0" w:type="auto"/>
            <w:hideMark/>
          </w:tcPr>
          <w:p w14:paraId="51F3E38B" w14:textId="77777777" w:rsidR="00FE013C" w:rsidRPr="00CC7EAF" w:rsidRDefault="00FE013C" w:rsidP="004C16FF">
            <w:pPr>
              <w:pStyle w:val="TableBody"/>
              <w:jc w:val="both"/>
              <w:rPr>
                <w:b/>
                <w:bCs/>
                <w:color w:val="auto"/>
                <w:lang w:val="en-US"/>
              </w:rPr>
            </w:pPr>
            <w:r w:rsidRPr="00CC7EAF">
              <w:rPr>
                <w:b/>
                <w:bCs/>
                <w:color w:val="auto"/>
                <w:lang w:val="en-US"/>
              </w:rPr>
              <w:t>Southwest (AZ, NM, NV)</w:t>
            </w:r>
          </w:p>
        </w:tc>
        <w:tc>
          <w:tcPr>
            <w:tcW w:w="0" w:type="auto"/>
            <w:hideMark/>
          </w:tcPr>
          <w:p w14:paraId="146D30E1" w14:textId="77777777" w:rsidR="00FE013C" w:rsidRPr="00CC7EAF" w:rsidRDefault="00FE013C" w:rsidP="004C16FF">
            <w:pPr>
              <w:pStyle w:val="TableBody"/>
              <w:jc w:val="both"/>
              <w:rPr>
                <w:b/>
                <w:bCs/>
                <w:color w:val="auto"/>
                <w:lang w:val="en-US"/>
              </w:rPr>
            </w:pPr>
            <w:r w:rsidRPr="00CC7EAF">
              <w:rPr>
                <w:b/>
                <w:bCs/>
                <w:color w:val="auto"/>
                <w:lang w:val="en-US"/>
              </w:rPr>
              <w:t>25–30%</w:t>
            </w:r>
          </w:p>
        </w:tc>
        <w:tc>
          <w:tcPr>
            <w:tcW w:w="0" w:type="auto"/>
            <w:hideMark/>
          </w:tcPr>
          <w:p w14:paraId="3BF8E900"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570F86DB"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9B561F1" w14:textId="77777777" w:rsidR="00FE013C" w:rsidRPr="00CC7EAF" w:rsidRDefault="00FE013C" w:rsidP="004C16FF">
            <w:pPr>
              <w:pStyle w:val="TableBody"/>
              <w:jc w:val="both"/>
              <w:rPr>
                <w:b/>
                <w:bCs/>
                <w:color w:val="auto"/>
                <w:lang w:val="en-US"/>
              </w:rPr>
            </w:pPr>
            <w:r w:rsidRPr="00CC7EAF">
              <w:rPr>
                <w:b/>
                <w:bCs/>
                <w:color w:val="auto"/>
                <w:lang w:val="en-US"/>
              </w:rPr>
              <w:t>$0.70–$0.90</w:t>
            </w:r>
          </w:p>
        </w:tc>
      </w:tr>
      <w:tr w:rsidR="00FE013C" w:rsidRPr="00877478" w14:paraId="1261FE16" w14:textId="77777777" w:rsidTr="00CC7EAF">
        <w:tc>
          <w:tcPr>
            <w:tcW w:w="0" w:type="auto"/>
            <w:hideMark/>
          </w:tcPr>
          <w:p w14:paraId="24AD337F" w14:textId="77777777" w:rsidR="00FE013C" w:rsidRPr="00CC7EAF" w:rsidRDefault="00FE013C" w:rsidP="004C16FF">
            <w:pPr>
              <w:pStyle w:val="TableBody"/>
              <w:jc w:val="both"/>
              <w:rPr>
                <w:b/>
                <w:bCs/>
                <w:color w:val="auto"/>
                <w:lang w:val="en-US"/>
              </w:rPr>
            </w:pPr>
            <w:r w:rsidRPr="00CC7EAF">
              <w:rPr>
                <w:b/>
                <w:bCs/>
                <w:color w:val="auto"/>
                <w:lang w:val="en-US"/>
              </w:rPr>
              <w:t>Southeast (FL, TX, GA)</w:t>
            </w:r>
          </w:p>
        </w:tc>
        <w:tc>
          <w:tcPr>
            <w:tcW w:w="0" w:type="auto"/>
            <w:hideMark/>
          </w:tcPr>
          <w:p w14:paraId="239D61B6" w14:textId="77777777" w:rsidR="00FE013C" w:rsidRPr="00CC7EAF" w:rsidRDefault="00FE013C" w:rsidP="004C16FF">
            <w:pPr>
              <w:pStyle w:val="TableBody"/>
              <w:jc w:val="both"/>
              <w:rPr>
                <w:b/>
                <w:bCs/>
                <w:color w:val="auto"/>
                <w:lang w:val="en-US"/>
              </w:rPr>
            </w:pPr>
            <w:r w:rsidRPr="00CC7EAF">
              <w:rPr>
                <w:b/>
                <w:bCs/>
                <w:color w:val="auto"/>
                <w:lang w:val="en-US"/>
              </w:rPr>
              <w:t>18–22%</w:t>
            </w:r>
          </w:p>
        </w:tc>
        <w:tc>
          <w:tcPr>
            <w:tcW w:w="0" w:type="auto"/>
            <w:hideMark/>
          </w:tcPr>
          <w:p w14:paraId="67BA3D09" w14:textId="77777777" w:rsidR="00FE013C" w:rsidRPr="00CC7EAF" w:rsidRDefault="00FE013C" w:rsidP="004C16FF">
            <w:pPr>
              <w:pStyle w:val="TableBody"/>
              <w:jc w:val="both"/>
              <w:rPr>
                <w:b/>
                <w:bCs/>
                <w:color w:val="auto"/>
                <w:lang w:val="en-US"/>
              </w:rPr>
            </w:pPr>
            <w:r w:rsidRPr="00CC7EAF">
              <w:rPr>
                <w:b/>
                <w:bCs/>
                <w:color w:val="auto"/>
                <w:lang w:val="en-US"/>
              </w:rPr>
              <w:t>May</w:t>
            </w:r>
          </w:p>
        </w:tc>
        <w:tc>
          <w:tcPr>
            <w:tcW w:w="0" w:type="auto"/>
            <w:hideMark/>
          </w:tcPr>
          <w:p w14:paraId="6EC46BC4"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06734D2"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65B512FD" w14:textId="77777777" w:rsidTr="00CC7EAF">
        <w:tc>
          <w:tcPr>
            <w:tcW w:w="0" w:type="auto"/>
            <w:hideMark/>
          </w:tcPr>
          <w:p w14:paraId="545D4265" w14:textId="77777777" w:rsidR="00FE013C" w:rsidRPr="00CC7EAF" w:rsidRDefault="00FE013C" w:rsidP="004C16FF">
            <w:pPr>
              <w:pStyle w:val="TableBody"/>
              <w:jc w:val="both"/>
              <w:rPr>
                <w:b/>
                <w:bCs/>
                <w:color w:val="auto"/>
                <w:lang w:val="en-US"/>
              </w:rPr>
            </w:pPr>
            <w:r w:rsidRPr="00CC7EAF">
              <w:rPr>
                <w:b/>
                <w:bCs/>
                <w:color w:val="auto"/>
                <w:lang w:val="en-US"/>
              </w:rPr>
              <w:t>Midwest (IL, MN)</w:t>
            </w:r>
          </w:p>
        </w:tc>
        <w:tc>
          <w:tcPr>
            <w:tcW w:w="0" w:type="auto"/>
            <w:hideMark/>
          </w:tcPr>
          <w:p w14:paraId="18C911F0" w14:textId="77777777" w:rsidR="00FE013C" w:rsidRPr="00CC7EAF" w:rsidRDefault="00FE013C" w:rsidP="004C16FF">
            <w:pPr>
              <w:pStyle w:val="TableBody"/>
              <w:jc w:val="both"/>
              <w:rPr>
                <w:b/>
                <w:bCs/>
                <w:color w:val="auto"/>
                <w:lang w:val="en-US"/>
              </w:rPr>
            </w:pPr>
            <w:r w:rsidRPr="00CC7EAF">
              <w:rPr>
                <w:b/>
                <w:bCs/>
                <w:color w:val="auto"/>
                <w:lang w:val="en-US"/>
              </w:rPr>
              <w:t>15–19%</w:t>
            </w:r>
          </w:p>
        </w:tc>
        <w:tc>
          <w:tcPr>
            <w:tcW w:w="0" w:type="auto"/>
            <w:hideMark/>
          </w:tcPr>
          <w:p w14:paraId="74C1E9CB"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4E330722"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16A57CE5"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7AB0277E" w14:textId="77777777" w:rsidTr="00CC7EAF">
        <w:tc>
          <w:tcPr>
            <w:tcW w:w="0" w:type="auto"/>
            <w:hideMark/>
          </w:tcPr>
          <w:p w14:paraId="6EA65DC8" w14:textId="77777777" w:rsidR="00FE013C" w:rsidRPr="00CC7EAF" w:rsidRDefault="00FE013C" w:rsidP="004C16FF">
            <w:pPr>
              <w:pStyle w:val="TableBody"/>
              <w:jc w:val="both"/>
              <w:rPr>
                <w:b/>
                <w:bCs/>
                <w:color w:val="auto"/>
                <w:lang w:val="en-US"/>
              </w:rPr>
            </w:pPr>
            <w:r w:rsidRPr="00CC7EAF">
              <w:rPr>
                <w:b/>
                <w:bCs/>
                <w:color w:val="auto"/>
                <w:lang w:val="en-US"/>
              </w:rPr>
              <w:t>Mid-Atlantic (NC, VA)</w:t>
            </w:r>
          </w:p>
        </w:tc>
        <w:tc>
          <w:tcPr>
            <w:tcW w:w="0" w:type="auto"/>
            <w:hideMark/>
          </w:tcPr>
          <w:p w14:paraId="7F68B4BE" w14:textId="77777777" w:rsidR="00FE013C" w:rsidRPr="00CC7EAF" w:rsidRDefault="00FE013C" w:rsidP="004C16FF">
            <w:pPr>
              <w:pStyle w:val="TableBody"/>
              <w:jc w:val="both"/>
              <w:rPr>
                <w:b/>
                <w:bCs/>
                <w:color w:val="auto"/>
                <w:lang w:val="en-US"/>
              </w:rPr>
            </w:pPr>
            <w:r w:rsidRPr="00CC7EAF">
              <w:rPr>
                <w:b/>
                <w:bCs/>
                <w:color w:val="auto"/>
                <w:lang w:val="en-US"/>
              </w:rPr>
              <w:t>17–20%</w:t>
            </w:r>
          </w:p>
        </w:tc>
        <w:tc>
          <w:tcPr>
            <w:tcW w:w="0" w:type="auto"/>
            <w:hideMark/>
          </w:tcPr>
          <w:p w14:paraId="6EEADD39"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4335CBD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1D8F15D" w14:textId="77777777" w:rsidR="00FE013C" w:rsidRPr="00CC7EAF" w:rsidRDefault="00FE013C" w:rsidP="004C16FF">
            <w:pPr>
              <w:pStyle w:val="TableBody"/>
              <w:jc w:val="both"/>
              <w:rPr>
                <w:b/>
                <w:bCs/>
                <w:color w:val="auto"/>
                <w:lang w:val="en-US"/>
              </w:rPr>
            </w:pPr>
            <w:r w:rsidRPr="00CC7EAF">
              <w:rPr>
                <w:b/>
                <w:bCs/>
                <w:color w:val="auto"/>
                <w:lang w:val="en-US"/>
              </w:rPr>
              <w:t>$0.85–$1.10</w:t>
            </w:r>
          </w:p>
        </w:tc>
      </w:tr>
      <w:tr w:rsidR="00FE013C" w:rsidRPr="00877478" w14:paraId="7773A2FF" w14:textId="77777777" w:rsidTr="00CC7EAF">
        <w:tc>
          <w:tcPr>
            <w:tcW w:w="0" w:type="auto"/>
            <w:hideMark/>
          </w:tcPr>
          <w:p w14:paraId="52E7FB25" w14:textId="77777777" w:rsidR="00FE013C" w:rsidRPr="00CC7EAF" w:rsidRDefault="00FE013C" w:rsidP="004C16FF">
            <w:pPr>
              <w:pStyle w:val="TableBody"/>
              <w:jc w:val="both"/>
              <w:rPr>
                <w:b/>
                <w:bCs/>
                <w:color w:val="auto"/>
                <w:lang w:val="en-US"/>
              </w:rPr>
            </w:pPr>
            <w:r w:rsidRPr="00CC7EAF">
              <w:rPr>
                <w:b/>
                <w:bCs/>
                <w:color w:val="auto"/>
                <w:lang w:val="en-US"/>
              </w:rPr>
              <w:t>Pacific Northwest (WA, OR)</w:t>
            </w:r>
          </w:p>
        </w:tc>
        <w:tc>
          <w:tcPr>
            <w:tcW w:w="0" w:type="auto"/>
            <w:hideMark/>
          </w:tcPr>
          <w:p w14:paraId="289A9A47" w14:textId="77777777" w:rsidR="00FE013C" w:rsidRPr="00CC7EAF" w:rsidRDefault="00FE013C" w:rsidP="004C16FF">
            <w:pPr>
              <w:pStyle w:val="TableBody"/>
              <w:jc w:val="both"/>
              <w:rPr>
                <w:b/>
                <w:bCs/>
                <w:color w:val="auto"/>
                <w:lang w:val="en-US"/>
              </w:rPr>
            </w:pPr>
            <w:r w:rsidRPr="00CC7EAF">
              <w:rPr>
                <w:b/>
                <w:bCs/>
                <w:color w:val="auto"/>
                <w:lang w:val="en-US"/>
              </w:rPr>
              <w:t>13–16%</w:t>
            </w:r>
          </w:p>
        </w:tc>
        <w:tc>
          <w:tcPr>
            <w:tcW w:w="0" w:type="auto"/>
            <w:hideMark/>
          </w:tcPr>
          <w:p w14:paraId="4E1D557B"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566538A8"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43B713B" w14:textId="77777777" w:rsidR="00FE013C" w:rsidRPr="00CC7EAF" w:rsidRDefault="00FE013C" w:rsidP="004C16FF">
            <w:pPr>
              <w:pStyle w:val="TableBody"/>
              <w:jc w:val="both"/>
              <w:rPr>
                <w:b/>
                <w:bCs/>
                <w:color w:val="auto"/>
                <w:lang w:val="en-US"/>
              </w:rPr>
            </w:pPr>
            <w:r w:rsidRPr="00CC7EAF">
              <w:rPr>
                <w:b/>
                <w:bCs/>
                <w:color w:val="auto"/>
                <w:lang w:val="en-US"/>
              </w:rPr>
              <w:t>$0.95–$1.20</w:t>
            </w:r>
          </w:p>
        </w:tc>
      </w:tr>
      <w:tr w:rsidR="00FE013C" w:rsidRPr="00877478" w14:paraId="0ED80A9A" w14:textId="77777777" w:rsidTr="00CC7EAF">
        <w:tc>
          <w:tcPr>
            <w:tcW w:w="0" w:type="auto"/>
            <w:hideMark/>
          </w:tcPr>
          <w:p w14:paraId="2A41042E" w14:textId="77777777" w:rsidR="00FE013C" w:rsidRPr="00CC7EAF" w:rsidRDefault="00FE013C" w:rsidP="004C16FF">
            <w:pPr>
              <w:pStyle w:val="TableBody"/>
              <w:jc w:val="both"/>
              <w:rPr>
                <w:b/>
                <w:bCs/>
                <w:color w:val="auto"/>
                <w:lang w:val="en-US"/>
              </w:rPr>
            </w:pPr>
            <w:r w:rsidRPr="00CC7EAF">
              <w:rPr>
                <w:b/>
                <w:bCs/>
                <w:color w:val="auto"/>
                <w:lang w:val="en-US"/>
              </w:rPr>
              <w:t>Northeast (NY, MA)</w:t>
            </w:r>
          </w:p>
        </w:tc>
        <w:tc>
          <w:tcPr>
            <w:tcW w:w="0" w:type="auto"/>
            <w:hideMark/>
          </w:tcPr>
          <w:p w14:paraId="1B4A0FC9" w14:textId="77777777" w:rsidR="00FE013C" w:rsidRPr="00CC7EAF" w:rsidRDefault="00FE013C" w:rsidP="004C16FF">
            <w:pPr>
              <w:pStyle w:val="TableBody"/>
              <w:jc w:val="both"/>
              <w:rPr>
                <w:b/>
                <w:bCs/>
                <w:color w:val="auto"/>
                <w:lang w:val="en-US"/>
              </w:rPr>
            </w:pPr>
            <w:r w:rsidRPr="00CC7EAF">
              <w:rPr>
                <w:b/>
                <w:bCs/>
                <w:color w:val="auto"/>
                <w:lang w:val="en-US"/>
              </w:rPr>
              <w:t>14–17%</w:t>
            </w:r>
          </w:p>
        </w:tc>
        <w:tc>
          <w:tcPr>
            <w:tcW w:w="0" w:type="auto"/>
            <w:hideMark/>
          </w:tcPr>
          <w:p w14:paraId="034C58E8"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22FB695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22040246" w14:textId="77777777" w:rsidR="00FE013C" w:rsidRPr="00CC7EAF" w:rsidRDefault="00FE013C" w:rsidP="004C16FF">
            <w:pPr>
              <w:pStyle w:val="TableBody"/>
              <w:jc w:val="both"/>
              <w:rPr>
                <w:b/>
                <w:bCs/>
                <w:color w:val="auto"/>
                <w:lang w:val="en-US"/>
              </w:rPr>
            </w:pPr>
            <w:r w:rsidRPr="00CC7EAF">
              <w:rPr>
                <w:b/>
                <w:bCs/>
                <w:color w:val="auto"/>
                <w:lang w:val="en-US"/>
              </w:rPr>
              <w:t>$0.95–$1.25</w:t>
            </w:r>
          </w:p>
        </w:tc>
      </w:tr>
    </w:tbl>
    <w:p w14:paraId="111B8140" w14:textId="0AF7571A" w:rsidR="00FE013C" w:rsidRDefault="006E6341" w:rsidP="006E6341">
      <w:pPr>
        <w:spacing w:after="120"/>
        <w:ind w:firstLine="480"/>
      </w:pPr>
      <w:r>
        <w:fldChar w:fldCharType="begin"/>
      </w:r>
      <w:r>
        <w:instrText xml:space="preserve"> REF _Ref239529400 \h </w:instrText>
      </w:r>
      <w:r>
        <w:fldChar w:fldCharType="separate"/>
      </w:r>
      <w:r>
        <w:t xml:space="preserve">Figure </w:t>
      </w:r>
      <w:r>
        <w:rPr>
          <w:noProof/>
        </w:rPr>
        <w:t>4</w:t>
      </w:r>
      <w:r>
        <w:t xml:space="preserve"> </w:t>
      </w:r>
      <w:r w:rsidRPr="00B765D6">
        <w:t>Solar PV installed system cost decline (2010–2026), showing the 87–90% reduction from 2010 benchmarks</w:t>
      </w:r>
      <w:r>
        <w:fldChar w:fldCharType="end"/>
      </w:r>
      <w:r>
        <w:t xml:space="preserve">, </w:t>
      </w:r>
      <w:r w:rsidRPr="006E6341">
        <w:t>illustrates the substantial decline in utility-scale solar PV installed costs over the review period. The trend supports the increasing economic competitiveness of solar PV, although actual project costs vary with location, resource quality, financing conditions, system configuration, and interconnection requirements.</w:t>
      </w:r>
    </w:p>
    <w:p w14:paraId="673A3CC7" w14:textId="77777777" w:rsidR="00FE013C" w:rsidRDefault="00FE013C" w:rsidP="00484A3A">
      <w:pPr>
        <w:keepNext/>
        <w:jc w:val="center"/>
      </w:pPr>
      <w:r w:rsidRPr="00D65F06">
        <w:rPr>
          <w:noProof/>
          <w:lang w:val="en-CA"/>
        </w:rPr>
        <w:lastRenderedPageBreak/>
        <w:drawing>
          <wp:inline distT="0" distB="0" distL="0" distR="0" wp14:anchorId="2BD9BAE2" wp14:editId="5AE33A0E">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5">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403A97E7" w14:textId="5AB0414E" w:rsidR="00FE013C" w:rsidRDefault="00FE013C" w:rsidP="00DC608F">
      <w:pPr>
        <w:pStyle w:val="Caption"/>
        <w:jc w:val="center"/>
      </w:pPr>
      <w:bookmarkStart w:id="9" w:name="_Ref239529400"/>
      <w:r>
        <w:t xml:space="preserve">Figure </w:t>
      </w:r>
      <w:fldSimple w:instr=" SEQ Figure \* ARABIC ">
        <w:r w:rsidR="00807110">
          <w:rPr>
            <w:noProof/>
          </w:rPr>
          <w:t>4</w:t>
        </w:r>
      </w:fldSimple>
      <w:r>
        <w:t xml:space="preserve"> </w:t>
      </w:r>
      <w:r w:rsidRPr="00B765D6">
        <w:t>Solar PV installed system cost decline (2010–2026), showing the 87–90% reduction from 2010 benchmarks</w:t>
      </w:r>
      <w:bookmarkEnd w:id="9"/>
      <w:r w:rsidR="00DC608F">
        <w:fldChar w:fldCharType="begin"/>
      </w:r>
      <w:r w:rsidR="00DC608F">
        <w:instrText xml:space="preserve"> ADDIN ZOTERO_ITEM CSL_CITATION {"citationID":"dNhez4HM","properties":{"unsorted":false,"formattedCitation":"[94]","plainCitation":"[94]","noteIndex":0},"citationItems":[{"id":2049,"uris":["http://zotero.org/users/9870935/items/HTQQE34D"],"itemData":{"id":2049,"type":"post-weblog","title":"National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rsidR="00DC608F">
        <w:fldChar w:fldCharType="separate"/>
      </w:r>
      <w:r w:rsidR="00DC608F" w:rsidRPr="00DC608F">
        <w:t>[94]</w:t>
      </w:r>
      <w:r w:rsidR="00DC608F">
        <w:fldChar w:fldCharType="end"/>
      </w:r>
    </w:p>
    <w:p w14:paraId="22E24B31" w14:textId="77777777" w:rsidR="00FE013C" w:rsidRDefault="00FE013C" w:rsidP="004C16FF">
      <w:pPr>
        <w:pStyle w:val="Heading20"/>
        <w:jc w:val="both"/>
        <w:rPr>
          <w:color w:val="auto"/>
        </w:rPr>
      </w:pPr>
      <w:r>
        <w:rPr>
          <w:color w:val="auto"/>
        </w:rPr>
        <w:t xml:space="preserve">4.2. </w:t>
      </w:r>
      <w:r w:rsidRPr="002068F4">
        <w:rPr>
          <w:color w:val="auto"/>
        </w:rPr>
        <w:t>Wind Energy Systems</w:t>
      </w:r>
    </w:p>
    <w:p w14:paraId="5E6B5B35" w14:textId="4C49C37F" w:rsidR="00FE013C" w:rsidRDefault="00FE013C" w:rsidP="00A95675">
      <w:pPr>
        <w:spacing w:after="120"/>
        <w:ind w:firstLine="480"/>
      </w:pPr>
      <w:r>
        <w:t xml:space="preserve">Wind energy </w:t>
      </w:r>
      <w:r w:rsidR="001E6A52" w:rsidRPr="001E6A52">
        <w:t>can provide a generation profile that is complementary to solar PV</w:t>
      </w:r>
      <w:r>
        <w:t xml:space="preserve">, </w:t>
      </w:r>
      <w:r w:rsidRPr="00ED54A3">
        <w:t>as it is more productive during night-time hours and winter months when solar PV output is lowest</w:t>
      </w:r>
      <w:r>
        <w:t xml:space="preserve">. In high resource areas, onshore wind turbines generally have capacity factors of 30-45%, and these are highest in areas like the U.S. Great Plains and in coastal areas which are influenced by offshore wind. The technology for generating power from offshore wind </w:t>
      </w:r>
      <w:r w:rsidR="00BE00BB" w:rsidRPr="00BE00BB">
        <w:t xml:space="preserve">has matured substantially </w:t>
      </w:r>
      <w:r>
        <w:t>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fldChar w:fldCharType="begin"/>
      </w:r>
      <w:r w:rsidR="00A95675">
        <w:instrText xml:space="preserve"> ADDIN ZOTERO_ITEM CSL_CITATION {"citationID":"h6bmKIqm","properties":{"unsorted":false,"formattedCitation":"[96]","plainCitation":"[96]","noteIndex":0},"citationItems":[{"id":2051,"uris":["http://zotero.org/users/9870935/items/4VD6QWRZ"],"itemData":{"id":2051,"type":"article-journal","abstract":"Renewable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fldChar w:fldCharType="separate"/>
      </w:r>
      <w:r w:rsidR="00A95675" w:rsidRPr="00A95675">
        <w:t>[96]</w:t>
      </w:r>
      <w:r>
        <w:fldChar w:fldCharType="end"/>
      </w:r>
      <w:r>
        <w:t>.</w:t>
      </w:r>
    </w:p>
    <w:p w14:paraId="5796FA3C" w14:textId="1B9C0F9B" w:rsidR="00FE013C" w:rsidRDefault="00FE013C" w:rsidP="00A95675">
      <w:pPr>
        <w:spacing w:after="120"/>
        <w:ind w:firstLine="480"/>
      </w:pPr>
      <w:r>
        <w:t xml:space="preserve">There have been improvements in wind resource assessment through the development of tools for measuring wind resources and atmospheric modelling. While ground-based anemometry is the standard for project-level assessment, the use of LiDAR systems is becoming common for remote wind profiling and wake </w:t>
      </w:r>
      <w:r w:rsidR="00580BAE">
        <w:t>characterization</w:t>
      </w:r>
      <w:r>
        <w:t xml:space="preserve">, providing flexible and cost-effective measurement capabilities. The use of numerical weather prediction (NWP) models and computational fluid dynamics (CFD) can now provide detailed flow </w:t>
      </w:r>
      <w:r w:rsidR="00580BAE">
        <w:t>characterization</w:t>
      </w:r>
      <w:r>
        <w:t xml:space="preserve"> of wind over complex terrain. These models account for the loss of downstream turbine energy production owing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fldChar w:fldCharType="begin"/>
      </w:r>
      <w:r w:rsidR="00A95675">
        <w:instrText xml:space="preserve"> ADDIN ZOTERO_ITEM CSL_CITATION {"citationID":"vGg2z3bh","properties":{"unsorted":false,"formattedCitation":"[97]","plainCitation":"[97]","noteIndex":0},"citationItems":[{"id":2054,"uris":["http://zotero.org/users/9870935/items/9TII72A6"],"itemData":{"id":2054,"type":"article","abstract":"Recent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fldChar w:fldCharType="separate"/>
      </w:r>
      <w:r w:rsidR="00A95675" w:rsidRPr="00A95675">
        <w:t>[97]</w:t>
      </w:r>
      <w:r>
        <w:fldChar w:fldCharType="end"/>
      </w:r>
      <w:r>
        <w:t>.</w:t>
      </w:r>
    </w:p>
    <w:p w14:paraId="560AC4E9" w14:textId="77777777" w:rsidR="00FE013C" w:rsidRDefault="00FE013C" w:rsidP="004C16FF">
      <w:pPr>
        <w:pStyle w:val="Heading20"/>
        <w:jc w:val="both"/>
        <w:rPr>
          <w:color w:val="auto"/>
        </w:rPr>
      </w:pPr>
      <w:r>
        <w:rPr>
          <w:color w:val="auto"/>
        </w:rPr>
        <w:t>4.3. Hydroelectric Power</w:t>
      </w:r>
    </w:p>
    <w:p w14:paraId="7630F4CF" w14:textId="0762A85E" w:rsidR="00FE013C" w:rsidRDefault="00FE013C" w:rsidP="00A95675">
      <w:pPr>
        <w:spacing w:after="120"/>
        <w:ind w:firstLine="480"/>
      </w:pPr>
      <w:r>
        <w:t xml:space="preserve">The dispatchability and ability to use hydro assets as generation and storage resources give them special attributes for data </w:t>
      </w:r>
      <w:r w:rsidR="00580BAE">
        <w:t>center</w:t>
      </w:r>
      <w:r>
        <w:t xml:space="preserve"> integration. Run-of-river (ROR) hydroelectric projects provide relatively stable baseload production, dependent on the flow variability for a particular season, and capacity factors are generally between 40% and 60%</w:t>
      </w:r>
      <w:r>
        <w:fldChar w:fldCharType="begin"/>
      </w:r>
      <w:r w:rsidR="00A95675">
        <w:instrText xml:space="preserve"> ADDIN ZOTERO_ITEM CSL_CITATION {"citationID":"HWrKIYzN","properties":{"unsorted":false,"formattedCitation":"[41]","plainCitation":"[41]","noteIndex":0},"citationItems":[{"id":1977,"uris":["http://zotero.org/users/9870935/items/F2FF39J5"],"itemData":{"id":1977,"type":"article-journal","abstract":"Energy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fldChar w:fldCharType="separate"/>
      </w:r>
      <w:r w:rsidR="00A95675" w:rsidRPr="00A95675">
        <w:t>[41]</w:t>
      </w:r>
      <w:r>
        <w:fldChar w:fldCharType="end"/>
      </w:r>
      <w:r>
        <w:t>. Reservoir-based systems provide storage capacity from days to months and thus can provide firming capacity for variable renewables. The largest technology for grid-scale energy storage is pumped storage hydropower (PSH), which now makes up approximately 95% of the installed storage worldwide and has a round-trip efficiency between 70% and 85%</w:t>
      </w:r>
      <w:r>
        <w:fldChar w:fldCharType="begin"/>
      </w:r>
      <w:r w:rsidR="00A95675">
        <w:instrText xml:space="preserve"> ADDIN ZOTERO_ITEM CSL_CITATION {"citationID":"iKGaFVBd","properties":{"unsorted":false,"formattedCitation":"[42]","plainCitation":"[42]","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fldChar w:fldCharType="separate"/>
      </w:r>
      <w:r w:rsidR="00A95675" w:rsidRPr="00A95675">
        <w:t>[42]</w:t>
      </w:r>
      <w:r>
        <w:fldChar w:fldCharType="end"/>
      </w:r>
      <w:r>
        <w:t>.</w:t>
      </w:r>
    </w:p>
    <w:p w14:paraId="4F2CA50E" w14:textId="3A4AB7B0" w:rsidR="00FE013C" w:rsidRDefault="00A47BFC" w:rsidP="00A95675">
      <w:pPr>
        <w:spacing w:after="120"/>
        <w:ind w:firstLine="480"/>
      </w:pPr>
      <w:r w:rsidRPr="00A47BFC">
        <w:lastRenderedPageBreak/>
        <w:t>New hydroelectric development is geographically constrained and therefore cannot be scaled uniformly across data-center locations</w:t>
      </w:r>
      <w:r w:rsidR="00FE013C">
        <w:t xml:space="preserve">. The geomorphic conditions required for developing new PSH include a large vertical difference in elevation between the upper and lower reservoirs, the presence of a data </w:t>
      </w:r>
      <w:r w:rsidR="00580BAE">
        <w:t>center</w:t>
      </w:r>
      <w:r w:rsidR="00FE013C">
        <w:t xml:space="preserve"> load </w:t>
      </w:r>
      <w:r w:rsidR="00580BAE">
        <w:t>center</w:t>
      </w:r>
      <w:r w:rsidR="00FE013C">
        <w:t>, and availability of water. New hydroelectric developments can take 5 to 10 years to obtain environmental permits, and the requirements are complex, covering impacts to aquatic ecosystems, recreational use, and recreational values</w:t>
      </w:r>
      <w:r w:rsidR="00FE013C">
        <w:fldChar w:fldCharType="begin"/>
      </w:r>
      <w:r w:rsidR="00A95675">
        <w:instrText xml:space="preserve"> ADDIN ZOTERO_ITEM CSL_CITATION {"citationID":"dA9ckfvX","properties":{"unsorted":false,"formattedCitation":"[98]","plainCitation":"[98]","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rsidR="00FE013C">
        <w:fldChar w:fldCharType="separate"/>
      </w:r>
      <w:r w:rsidR="00A95675" w:rsidRPr="00A95675">
        <w:t>[98]</w:t>
      </w:r>
      <w:r w:rsidR="00FE013C">
        <w:fldChar w:fldCharType="end"/>
      </w:r>
      <w:r w:rsidR="00FE013C">
        <w:t xml:space="preserve">. However, current PSH facilities are an </w:t>
      </w:r>
      <w:r w:rsidR="00580BAE">
        <w:t>underutilized</w:t>
      </w:r>
      <w:r w:rsidR="00FE013C">
        <w:t xml:space="preserve"> asset in data </w:t>
      </w:r>
      <w:r w:rsidR="00580BAE">
        <w:t>center</w:t>
      </w:r>
      <w:r w:rsidR="00FE013C">
        <w:t xml:space="preserve"> integration, especially in areas with substantial capacity, such as the Appalachian Mountains (U.S.), the Alps (Europe), and the Scandinavian Peninsula.</w:t>
      </w:r>
    </w:p>
    <w:p w14:paraId="7EC4EDAA" w14:textId="77777777" w:rsidR="00FE013C" w:rsidRDefault="00FE013C" w:rsidP="004C16FF">
      <w:pPr>
        <w:pStyle w:val="Heading20"/>
        <w:jc w:val="both"/>
        <w:rPr>
          <w:color w:val="auto"/>
        </w:rPr>
      </w:pPr>
      <w:r>
        <w:rPr>
          <w:color w:val="auto"/>
        </w:rPr>
        <w:t xml:space="preserve">4.4. Resource Assessment </w:t>
      </w:r>
      <w:r w:rsidRPr="00180833">
        <w:rPr>
          <w:color w:val="auto"/>
        </w:rPr>
        <w:t>Methodologies</w:t>
      </w:r>
    </w:p>
    <w:p w14:paraId="63DE7BF5" w14:textId="4DEA56E4" w:rsidR="00FE013C" w:rsidRPr="00F432AD" w:rsidRDefault="00FE013C" w:rsidP="00A95675">
      <w:pPr>
        <w:spacing w:after="120"/>
        <w:ind w:firstLine="480"/>
      </w:pPr>
      <w:r w:rsidRPr="00F432AD">
        <w:t xml:space="preserve">Proper resource assessment is </w:t>
      </w:r>
      <w:r w:rsidR="00A47BFC" w:rsidRPr="00F432AD">
        <w:t>a</w:t>
      </w:r>
      <w:r w:rsidR="00A47BFC" w:rsidRPr="00A47BFC">
        <w:t xml:space="preserve"> prerequisite for credible technical and economic assessment </w:t>
      </w:r>
      <w:r w:rsidRPr="00F432AD">
        <w:t xml:space="preserve">for renewable-powered data </w:t>
      </w:r>
      <w:r w:rsidR="00580BAE">
        <w:t>center</w:t>
      </w:r>
      <w:r w:rsidRPr="00F432AD">
        <w:t xml:space="preserve">s. Solar irradiance data have been drawn from databases derived from satellite observations, including the Global Solar Atlas generated by the World Bank (WB), PVGIS [94] generated by the European Commission Joint Research </w:t>
      </w:r>
      <w:r w:rsidR="00580BAE">
        <w:t>Center</w:t>
      </w:r>
      <w:r w:rsidRPr="00F432AD">
        <w:t xml:space="preserve"> (JRC), and ground-station measurements from networks such as the National Solar Radiation Database (NSRDB) by NREL</w:t>
      </w:r>
      <w:r>
        <w:fldChar w:fldCharType="begin"/>
      </w:r>
      <w:r w:rsidR="00A95675">
        <w:instrText xml:space="preserve"> ADDIN ZOTERO_ITEM CSL_CITATION {"citationID":"IvpZO7M8","properties":{"unsorted":false,"formattedCitation":"[99]","plainCitation":"[99]","noteIndex":0},"citationItems":[{"id":2056,"uris":["http://zotero.org/users/9870935/items/4AKN5FB8"],"itemData":{"id":2056,"type":"paper-conference","container-title":"2025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fldChar w:fldCharType="separate"/>
      </w:r>
      <w:r w:rsidR="00A95675" w:rsidRPr="00A95675">
        <w:t>[99]</w:t>
      </w:r>
      <w:r>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fldChar w:fldCharType="begin"/>
      </w:r>
      <w:r w:rsidR="00A95675">
        <w:instrText xml:space="preserve"> ADDIN ZOTERO_ITEM CSL_CITATION {"citationID":"kk3W6zUf","properties":{"unsorted":false,"formattedCitation":"[100]","plainCitation":"[100]","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fldChar w:fldCharType="separate"/>
      </w:r>
      <w:r w:rsidR="00A95675" w:rsidRPr="00A95675">
        <w:t>[100]</w:t>
      </w:r>
      <w:r>
        <w:fldChar w:fldCharType="end"/>
      </w:r>
      <w:r w:rsidRPr="00F432AD">
        <w:t>.</w:t>
      </w:r>
    </w:p>
    <w:p w14:paraId="694640BD" w14:textId="78B79895" w:rsidR="00FE013C" w:rsidRPr="00F432AD" w:rsidRDefault="00FE013C" w:rsidP="00A95675">
      <w:pPr>
        <w:spacing w:after="120"/>
        <w:ind w:firstLine="480"/>
      </w:pPr>
      <w:r w:rsidRPr="00F432AD">
        <w:t xml:space="preserve">Geographic Information System (GIS) analysis is a </w:t>
      </w:r>
      <w:r w:rsidR="00E21CA8" w:rsidRPr="00E21CA8">
        <w:t xml:space="preserve">widely used method </w:t>
      </w:r>
      <w:r w:rsidRPr="00F432AD">
        <w:t>for site suitability assessment and can be used to evaluate a site based on a number of criteria, including resource availability, proximity to the grid, land cost and availability, water availability for cooling, environmental constraints, and construction accessibility</w:t>
      </w:r>
      <w:r>
        <w:fldChar w:fldCharType="begin"/>
      </w:r>
      <w:r w:rsidR="00A95675">
        <w:instrText xml:space="preserve"> ADDIN ZOTERO_ITEM CSL_CITATION {"citationID":"NqfWsidk","properties":{"unsorted":false,"formattedCitation":"[101]","plainCitation":"[101]","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fldChar w:fldCharType="separate"/>
      </w:r>
      <w:r w:rsidR="00A95675" w:rsidRPr="00A95675">
        <w:t>[101]</w:t>
      </w:r>
      <w:r>
        <w:fldChar w:fldCharType="end"/>
      </w:r>
      <w:r w:rsidRPr="00F432AD">
        <w:t xml:space="preserve">. </w:t>
      </w:r>
      <w:r w:rsidR="00A47BFC" w:rsidRPr="00A47BFC">
        <w:t>Machine-learning methods can complement GIS-based screening by automating classification or ranking within large geospatial datasets</w:t>
      </w:r>
      <w:r>
        <w:fldChar w:fldCharType="begin"/>
      </w:r>
      <w:r w:rsidR="00A95675">
        <w:instrText xml:space="preserve"> ADDIN ZOTERO_ITEM CSL_CITATION {"citationID":"XsHnBnNn","properties":{"unsorted":false,"formattedCitation":"[102]","plainCitation":"[102]","noteIndex":0},"citationItems":[{"id":2059,"uris":["http://zotero.org/users/9870935/items/JGZPYJ4A"],"itemData":{"id":2059,"type":"article-journal","abstract":"ABSTRACT\n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fldChar w:fldCharType="separate"/>
      </w:r>
      <w:r w:rsidR="00A95675" w:rsidRPr="00A95675">
        <w:t>[102]</w:t>
      </w:r>
      <w:r>
        <w:fldChar w:fldCharType="end"/>
      </w:r>
      <w:r w:rsidRPr="00F432AD">
        <w:t>.</w:t>
      </w:r>
    </w:p>
    <w:p w14:paraId="472E9197" w14:textId="77777777" w:rsidR="00FE013C" w:rsidRDefault="00FE013C" w:rsidP="004C16FF">
      <w:pPr>
        <w:pStyle w:val="Heading20"/>
        <w:jc w:val="both"/>
        <w:rPr>
          <w:color w:val="auto"/>
        </w:rPr>
      </w:pPr>
      <w:r>
        <w:rPr>
          <w:color w:val="auto"/>
        </w:rPr>
        <w:t>4.5. Geographic Variability and Seasonal Patterns</w:t>
      </w:r>
    </w:p>
    <w:p w14:paraId="50579766" w14:textId="2A61AA2A" w:rsidR="001B74A6" w:rsidRPr="001B74A6" w:rsidRDefault="00FE013C" w:rsidP="00A95675">
      <w:pPr>
        <w:spacing w:after="120"/>
        <w:ind w:firstLine="480"/>
        <w:rPr>
          <w:highlight w:val="yellow"/>
          <w:lang w:val="en-CA"/>
        </w:rPr>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t>-</w:t>
      </w:r>
      <w:r w:rsidRPr="00F07E08">
        <w:t>10</w:t>
      </w:r>
      <w:r>
        <w:t xml:space="preserve">% </w:t>
      </w:r>
      <w:r w:rsidRPr="00F07E08">
        <w:t>mean absolute percentage error (MAPE)</w:t>
      </w:r>
      <w:r>
        <w:fldChar w:fldCharType="begin"/>
      </w:r>
      <w:r w:rsidR="00A95675">
        <w:instrText xml:space="preserve"> ADDIN ZOTERO_ITEM CSL_CITATION {"citationID":"OfkCYwiH","properties":{"unsorted":false,"formattedCitation":"[103]","plainCitation":"[103]","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fldChar w:fldCharType="separate"/>
      </w:r>
      <w:r w:rsidR="00A95675" w:rsidRPr="00A95675">
        <w:t>[103]</w:t>
      </w:r>
      <w:r>
        <w:fldChar w:fldCharType="end"/>
      </w:r>
      <w:r w:rsidRPr="00F07E08">
        <w:t>. Wind generation has also been observed to have varying temporal characteristics, in most mid-latitude regions, wind energy tends to be higher at night and through the winter season, so as to complement solar energy.</w:t>
      </w:r>
      <w:r>
        <w:t xml:space="preserve"> </w:t>
      </w:r>
      <w:r w:rsidR="00D87945">
        <w:rPr>
          <w:highlight w:val="yellow"/>
          <w:lang w:val="en-CA"/>
        </w:rPr>
        <w:fldChar w:fldCharType="begin"/>
      </w:r>
      <w:r w:rsidR="00D87945">
        <w:instrText xml:space="preserve"> REF _Ref239529471 \h </w:instrText>
      </w:r>
      <w:r w:rsidR="00D87945">
        <w:rPr>
          <w:highlight w:val="yellow"/>
          <w:lang w:val="en-CA"/>
        </w:rPr>
      </w:r>
      <w:r w:rsidR="00D87945">
        <w:rPr>
          <w:highlight w:val="yellow"/>
          <w:lang w:val="en-CA"/>
        </w:rPr>
        <w:fldChar w:fldCharType="separate"/>
      </w:r>
      <w:r w:rsidR="00D87945">
        <w:t xml:space="preserve">Figure </w:t>
      </w:r>
      <w:r w:rsidR="00D87945">
        <w:rPr>
          <w:noProof/>
        </w:rPr>
        <w:t>5</w:t>
      </w:r>
      <w:r w:rsidR="00D87945">
        <w:t xml:space="preserve"> Seasonal complementarity between wind and solar generation</w:t>
      </w:r>
      <w:r w:rsidR="00D87945">
        <w:rPr>
          <w:highlight w:val="yellow"/>
          <w:lang w:val="en-CA"/>
        </w:rPr>
        <w:fldChar w:fldCharType="end"/>
      </w:r>
      <w:r w:rsidR="00D87945">
        <w:rPr>
          <w:highlight w:val="yellow"/>
          <w:lang w:val="en-CA"/>
        </w:rPr>
        <w:t xml:space="preserve">, </w:t>
      </w:r>
      <w:r w:rsidR="00D87945" w:rsidRPr="001B74A6">
        <w:rPr>
          <w:highlight w:val="yellow"/>
          <w:lang w:val="en-CA"/>
        </w:rPr>
        <w:t>demonstrates</w:t>
      </w:r>
      <w:r w:rsidR="001B74A6" w:rsidRPr="001B74A6">
        <w:rPr>
          <w:highlight w:val="yellow"/>
          <w:lang w:val="en-CA"/>
        </w:rPr>
        <w:t xml:space="preserve"> the seasonal complementarity that may exist between wind and solar generation. In many regions, wind generation tends to be higher during periods when solar generation is reduced, particularly during winter months and nighttime hours. This complementary behavior can reduce aggregate renewable-generation variability; however, the magnitude of the benefit depends on location, climate conditions, temporal resolution, resource quality, and geographic diversity </w:t>
      </w:r>
      <w:r w:rsidR="001B74A6">
        <w:rPr>
          <w:highlight w:val="yellow"/>
          <w:lang w:val="en-CA"/>
        </w:rPr>
        <w:fldChar w:fldCharType="begin"/>
      </w:r>
      <w:r w:rsidR="00A95675">
        <w:rPr>
          <w:highlight w:val="yellow"/>
          <w:lang w:val="en-CA"/>
        </w:rPr>
        <w:instrText xml:space="preserve"> ADDIN ZOTERO_ITEM CSL_CITATION {"citationID":"PkWcZCmf","properties":{"unsorted":false,"formattedCitation":"[20],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A95675" w:rsidRPr="00A95675">
        <w:rPr>
          <w:highlight w:val="yellow"/>
          <w:lang w:val="en-CA"/>
        </w:rPr>
        <w:t>[20], [104], [105]</w:t>
      </w:r>
      <w:r w:rsidR="001B74A6">
        <w:rPr>
          <w:highlight w:val="yellow"/>
          <w:lang w:val="en-CA"/>
        </w:rPr>
        <w:fldChar w:fldCharType="end"/>
      </w:r>
      <w:r w:rsidR="001B74A6">
        <w:rPr>
          <w:lang w:val="en-CA"/>
        </w:rPr>
        <w:t>.</w:t>
      </w:r>
    </w:p>
    <w:p w14:paraId="2D08FD41" w14:textId="439042B2" w:rsidR="00FE013C" w:rsidRPr="006A4FAE" w:rsidRDefault="006A4FAE" w:rsidP="006A4FAE">
      <w:pPr>
        <w:spacing w:after="120"/>
        <w:ind w:firstLine="480"/>
        <w:rPr>
          <w:lang w:val="en-CA"/>
        </w:rPr>
      </w:pPr>
      <w:r w:rsidRPr="006A4FAE">
        <w:rPr>
          <w:noProof/>
          <w:lang w:val="en-CA"/>
        </w:rPr>
        <w:lastRenderedPageBreak/>
        <w:drawing>
          <wp:inline distT="0" distB="0" distL="0" distR="0" wp14:anchorId="7BC8964F" wp14:editId="2B77D325">
            <wp:extent cx="6192520" cy="2647950"/>
            <wp:effectExtent l="0" t="0" r="0" b="0"/>
            <wp:docPr id="74380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613" b="23242"/>
                    <a:stretch>
                      <a:fillRect/>
                    </a:stretch>
                  </pic:blipFill>
                  <pic:spPr bwMode="auto">
                    <a:xfrm>
                      <a:off x="0" y="0"/>
                      <a:ext cx="619252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4CE86E78" w14:textId="6A7F29EA" w:rsidR="00FE013C" w:rsidRDefault="00FE013C" w:rsidP="00E17344">
      <w:pPr>
        <w:pStyle w:val="Caption"/>
        <w:jc w:val="center"/>
      </w:pPr>
      <w:bookmarkStart w:id="10" w:name="_Ref239529471"/>
      <w:r>
        <w:t xml:space="preserve">Figure </w:t>
      </w:r>
      <w:fldSimple w:instr=" SEQ Figure \* ARABIC ">
        <w:r w:rsidR="00807110">
          <w:rPr>
            <w:noProof/>
          </w:rPr>
          <w:t>5</w:t>
        </w:r>
      </w:fldSimple>
      <w:r>
        <w:t xml:space="preserve"> </w:t>
      </w:r>
      <w:r w:rsidR="006A4FAE">
        <w:t>Seasonal complementarity between wind and solar generation</w:t>
      </w:r>
      <w:bookmarkEnd w:id="10"/>
    </w:p>
    <w:p w14:paraId="62D4BD41" w14:textId="53B371E7" w:rsidR="001B74A6" w:rsidRPr="001B74A6" w:rsidRDefault="00FE013C" w:rsidP="00A95675">
      <w:pPr>
        <w:spacing w:after="120"/>
        <w:ind w:firstLine="480"/>
        <w:rPr>
          <w:lang w:val="en-CA"/>
        </w:rPr>
      </w:pPr>
      <w:r w:rsidRPr="00F07E08">
        <w:t>The most common method for quantifying wind-solar complementarity is correlation analysis using the Spearman or Pearson correlation coefficient over various time scales (hourly, daily, or monthly). In various regions of Europe, the combined deployment of wind and solar power can benefit from cross-country coordination, which can improve the capacity factor of the combined plant by approximately 22</w:t>
      </w:r>
      <w:r>
        <w:t xml:space="preserve">% </w:t>
      </w:r>
      <w:r w:rsidRPr="00F07E08">
        <w:t>compared to a single plant deployment</w:t>
      </w:r>
      <w:r>
        <w:fldChar w:fldCharType="begin"/>
      </w:r>
      <w:r w:rsidR="00A95675">
        <w:instrText xml:space="preserve"> ADDIN ZOTERO_ITEM CSL_CITATION {"citationID":"anSnTjMg","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00A95675" w:rsidRPr="00A95675">
        <w:t>[104]</w:t>
      </w:r>
      <w:r>
        <w:fldChar w:fldCharType="end"/>
      </w:r>
      <w:r w:rsidRPr="00F07E08">
        <w:t xml:space="preserve">. In data </w:t>
      </w:r>
      <w:r w:rsidR="00580BAE">
        <w:t>center</w:t>
      </w:r>
      <w:r w:rsidRPr="00F07E08">
        <w:t xml:space="preserve"> applications, this redundancy provides direct benefits in terms of reduced storage space and system costs. </w:t>
      </w:r>
      <w:r w:rsidR="001B74A6" w:rsidRPr="001B74A6">
        <w:rPr>
          <w:highlight w:val="yellow"/>
          <w:lang w:val="en-CA"/>
        </w:rPr>
        <w:t>For data-center applications, wind-solar complementarity may reduce renewable-generation variability and improve renewable-energy utilization. However, any reduction in storage requirements must be quantified using chronological, site-specific renewable-resource and load data rather than assumed from a universal percentage</w:t>
      </w:r>
      <w:r w:rsidR="001B74A6">
        <w:rPr>
          <w:highlight w:val="yellow"/>
          <w:lang w:val="en-CA"/>
        </w:rPr>
        <w:fldChar w:fldCharType="begin"/>
      </w:r>
      <w:r w:rsidR="00A95675">
        <w:rPr>
          <w:highlight w:val="yellow"/>
          <w:lang w:val="en-CA"/>
        </w:rPr>
        <w:instrText xml:space="preserve"> ADDIN ZOTERO_ITEM CSL_CITATION {"citationID":"jn0yMYkC","properties":{"unsorted":false,"formattedCitation":"[20],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A95675" w:rsidRPr="00A95675">
        <w:rPr>
          <w:highlight w:val="yellow"/>
          <w:lang w:val="en-CA"/>
        </w:rPr>
        <w:t>[20], [104], [105]</w:t>
      </w:r>
      <w:r w:rsidR="001B74A6">
        <w:rPr>
          <w:highlight w:val="yellow"/>
          <w:lang w:val="en-CA"/>
        </w:rPr>
        <w:fldChar w:fldCharType="end"/>
      </w:r>
      <w:r w:rsidR="001B74A6">
        <w:rPr>
          <w:lang w:val="en-CA"/>
        </w:rPr>
        <w:t>.</w:t>
      </w:r>
    </w:p>
    <w:p w14:paraId="17BFC632" w14:textId="166D506A" w:rsidR="00FE013C" w:rsidRDefault="00FE013C" w:rsidP="004E171F">
      <w:pPr>
        <w:pStyle w:val="Heading10"/>
        <w:jc w:val="both"/>
        <w:rPr>
          <w:color w:val="auto"/>
          <w:lang w:eastAsia="zh-CN"/>
        </w:rPr>
      </w:pPr>
      <w:r>
        <w:rPr>
          <w:color w:val="auto"/>
          <w:lang w:eastAsia="zh-CN"/>
        </w:rPr>
        <w:t>5. Energy Storage and Backup Systems</w:t>
      </w:r>
    </w:p>
    <w:p w14:paraId="33232D34" w14:textId="38084EE3" w:rsidR="00FE013C" w:rsidRDefault="00FE013C" w:rsidP="004C16FF">
      <w:pPr>
        <w:spacing w:after="120"/>
        <w:ind w:firstLine="480"/>
      </w:pPr>
      <w:r>
        <w:t xml:space="preserve">Energy storage systems serve as critical enabling technology for renewable-powered AI data </w:t>
      </w:r>
      <w:r w:rsidR="00580BAE">
        <w:t>center</w:t>
      </w:r>
      <w:r>
        <w:t>s, bridging the temporal gaps between variable renewable generation and constant computing loads. This section examines the sizing, selection, and integration of storage technologies, including lithium-ion batteries, long-duration storage alternatives, and conventional backup power systems.</w:t>
      </w:r>
    </w:p>
    <w:p w14:paraId="6789F0D7" w14:textId="77777777" w:rsidR="00FE013C" w:rsidRDefault="00FE013C" w:rsidP="004C16FF">
      <w:pPr>
        <w:pStyle w:val="Heading20"/>
        <w:jc w:val="both"/>
        <w:rPr>
          <w:color w:val="auto"/>
        </w:rPr>
      </w:pPr>
      <w:r>
        <w:rPr>
          <w:color w:val="auto"/>
        </w:rPr>
        <w:t>5.1. Lithium-Ion Battery Systems</w:t>
      </w:r>
    </w:p>
    <w:p w14:paraId="31E956DA" w14:textId="6EAAD922" w:rsidR="00FE013C" w:rsidRDefault="00FE013C" w:rsidP="00A95675">
      <w:pPr>
        <w:spacing w:after="120"/>
        <w:ind w:firstLine="480"/>
      </w:pPr>
      <w:r w:rsidRPr="00ED11B4">
        <w:t xml:space="preserve">The cost of lithium-ion battery technology has </w:t>
      </w:r>
      <w:r w:rsidR="00B94DC8" w:rsidRPr="00B94DC8">
        <w:t>declined substantially</w:t>
      </w:r>
      <w:r w:rsidRPr="00ED11B4">
        <w:t xml:space="preserve">, changing the economics of integrating renewable energy. </w:t>
      </w:r>
      <w:r w:rsidRPr="00D75763">
        <w:t xml:space="preserve">BloombergNEF has reported that utility-scale lithium-ion battery pack prices have declined sharply, from approximately $300/kWh in 2020 to $108/kWh in 2025 at the pack level, with </w:t>
      </w:r>
      <w:r w:rsidR="00963C91" w:rsidRPr="00963C91">
        <w:rPr>
          <w:lang w:val="en-CA"/>
        </w:rPr>
        <w:t xml:space="preserve">Chinese cell-level prices falling below </w:t>
      </w:r>
      <w:r w:rsidR="006D1D9D">
        <w:rPr>
          <w:lang w:val="en-CA"/>
        </w:rPr>
        <w:t>$</w:t>
      </w:r>
      <w:r w:rsidR="00963C91" w:rsidRPr="00963C91">
        <w:rPr>
          <w:lang w:val="en-CA"/>
        </w:rPr>
        <w:t xml:space="preserve">65/kWh at the cell-manufacturing level, compared with a global volume-weighted average battery-pack price of approximately </w:t>
      </w:r>
      <w:r w:rsidR="00AA031A">
        <w:rPr>
          <w:lang w:val="en-CA"/>
        </w:rPr>
        <w:t>$</w:t>
      </w:r>
      <w:r w:rsidR="00963C91" w:rsidRPr="00963C91">
        <w:rPr>
          <w:lang w:val="en-CA"/>
        </w:rPr>
        <w:t>108/kWh in 2025</w:t>
      </w:r>
      <w:r w:rsidR="00963C91">
        <w:rPr>
          <w:lang w:val="en-CA"/>
        </w:rPr>
        <w:t xml:space="preserve"> </w:t>
      </w:r>
      <w:r>
        <w:fldChar w:fldCharType="begin"/>
      </w:r>
      <w:r>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fldChar w:fldCharType="separate"/>
      </w:r>
      <w:r w:rsidRPr="00A44D61">
        <w:t>[17]</w:t>
      </w:r>
      <w:r>
        <w:fldChar w:fldCharType="end"/>
      </w:r>
      <w:r w:rsidRPr="00ED11B4">
        <w:t>. This trend is expected to persist, with the most recent cost estimates from NREL predicting $147 per kWh (low case), $243 per kWh (mid case), and $339 per kWh (high case) for 4-hour utility-scale systems by 2035</w:t>
      </w:r>
      <w:r>
        <w:fldChar w:fldCharType="begin"/>
      </w:r>
      <w:r w:rsidR="00A95675">
        <w:instrText xml:space="preserve"> ADDIN ZOTERO_ITEM CSL_CITATION {"citationID":"RqYr9QXe","properties":{"unsorted":false,"formattedCitation":"[106]","plainCitation":"[106]","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fldChar w:fldCharType="separate"/>
      </w:r>
      <w:r w:rsidR="00A95675" w:rsidRPr="00A95675">
        <w:t>[106]</w:t>
      </w:r>
      <w:r>
        <w:fldChar w:fldCharType="end"/>
      </w:r>
      <w:r w:rsidRPr="00ED11B4">
        <w:t>. A learning rate of approximately 19% for every doubling of cumulative production has been estimated for lithium-ion batteries, indicating further cost reductions with increased production</w:t>
      </w:r>
      <w:r>
        <w:fldChar w:fldCharType="begin"/>
      </w:r>
      <w:r w:rsidR="00A95675">
        <w:instrText xml:space="preserve"> ADDIN ZOTERO_ITEM CSL_CITATION {"citationID":"KdpfBvot","properties":{"unsorted":false,"formattedCitation":"[107]","plainCitation":"[107]","noteIndex":0},"citationItems":[{"id":2068,"uris":["http://zotero.org/users/9870935/items/M4LNHX4F"],"itemData":{"id":2068,"type":"post-weblog","title":"Battery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fldChar w:fldCharType="separate"/>
      </w:r>
      <w:r w:rsidR="00A95675" w:rsidRPr="00A95675">
        <w:t>[107]</w:t>
      </w:r>
      <w:r>
        <w:fldChar w:fldCharType="end"/>
      </w:r>
      <w:r w:rsidRPr="00ED11B4">
        <w:t>.</w:t>
      </w:r>
    </w:p>
    <w:p w14:paraId="5FB5AE81" w14:textId="335B2206" w:rsidR="00FE013C" w:rsidRPr="00ED11B4" w:rsidRDefault="00FE013C" w:rsidP="00A95675">
      <w:pPr>
        <w:spacing w:after="120"/>
        <w:ind w:firstLine="480"/>
      </w:pPr>
      <w:r w:rsidRPr="00ED11B4">
        <w:lastRenderedPageBreak/>
        <w:t>The key factors for battery chemistry selection are cost, energy density, cycle life, safety, and thermal management requirements. Owing to its excellent safety, long cycle life of over 4,000 cycles at 80% depth of discharge, and lower cost because it eliminates the use of cobalt and nickel, LFP (lithium iron phosphate) has become the predominant chemistry for stationary storage applications</w:t>
      </w:r>
      <w:r>
        <w:fldChar w:fldCharType="begin"/>
      </w:r>
      <w:r w:rsidR="00A95675">
        <w:instrText xml:space="preserve"> ADDIN ZOTERO_ITEM CSL_CITATION {"citationID":"sMHhiSGv","properties":{"unsorted":false,"formattedCitation":"[43]","plainCitation":"[43]","noteIndex":0},"citationItems":[{"id":1982,"uris":["http://zotero.org/users/9870935/items/GEX9B6EX"],"itemData":{"id":1982,"type":"article-journal","container-title":"Future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fldChar w:fldCharType="separate"/>
      </w:r>
      <w:r w:rsidR="00A95675" w:rsidRPr="00A95675">
        <w:t>[43]</w:t>
      </w:r>
      <w:r>
        <w:fldChar w:fldCharType="end"/>
      </w:r>
      <w:r w:rsidRPr="00ED11B4">
        <w:t>. NMC chemistries provide higher energy density, lower cycle life, and higher safety concerns. Analysis shows that LFP is about 30% cheaper on a per-kWh basis compared to NMC for stationary use</w:t>
      </w:r>
      <w:r>
        <w:fldChar w:fldCharType="begin"/>
      </w:r>
      <w:r w:rsidR="00A95675">
        <w:instrText xml:space="preserve"> ADDIN ZOTERO_ITEM CSL_CITATION {"citationID":"PsY2P1Jo","properties":{"unsorted":false,"formattedCitation":"[44]","plainCitation":"[44]","noteIndex":0},"citationItems":[{"id":1983,"uris":["http://zotero.org/users/9870935/items/I5Q4VHW6"],"itemData":{"id":1983,"type":"article-journal","abstract":"Abstract\n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fldChar w:fldCharType="separate"/>
      </w:r>
      <w:r w:rsidR="00A95675" w:rsidRPr="00A95675">
        <w:t>[44]</w:t>
      </w:r>
      <w:r>
        <w:fldChar w:fldCharType="end"/>
      </w:r>
      <w:r w:rsidRPr="00ED11B4">
        <w:t>.</w:t>
      </w:r>
    </w:p>
    <w:p w14:paraId="57F46560" w14:textId="504805EC" w:rsidR="00FE013C" w:rsidRPr="00ED11B4" w:rsidRDefault="00FE013C" w:rsidP="00A95675">
      <w:pPr>
        <w:spacing w:after="120"/>
        <w:ind w:firstLine="480"/>
      </w:pPr>
      <w:r w:rsidRPr="00ED11B4">
        <w:t>The round-trip efficiency of lithium-ion batteries varies from 85% to 95</w:t>
      </w:r>
      <w:r>
        <w:t>%,</w:t>
      </w:r>
      <w:r w:rsidRPr="00ED11B4">
        <w:t xml:space="preserve"> depending on the chemistry, cell design, and power conversion system. Thermal management is essential to ensure optimal cell temperature (usually 20</w:t>
      </w:r>
      <w:r>
        <w:t>-</w:t>
      </w:r>
      <w:r w:rsidRPr="00ED11B4">
        <w:t>35</w:t>
      </w:r>
      <w:r w:rsidR="00414119">
        <w:t xml:space="preserve"> </w:t>
      </w:r>
      <w:r w:rsidRPr="00ED11B4">
        <w:t xml:space="preserve">°C) and to avoid accelerated degradation. </w:t>
      </w:r>
      <w:r w:rsidR="00E21024" w:rsidRPr="00E21024">
        <w:t>Battery degradation is commonly divided into calendar aging and cycle aging</w:t>
      </w:r>
      <w:r w:rsidRPr="00ED11B4">
        <w:t>: calendar aging, which runs whether or not the battery is used, and cycle aging, which depends on how much charge or discharge the battery has experienced and at what rate</w:t>
      </w:r>
      <w:r>
        <w:fldChar w:fldCharType="begin"/>
      </w:r>
      <w:r w:rsidR="00A95675">
        <w:instrText xml:space="preserve"> ADDIN ZOTERO_ITEM CSL_CITATION {"citationID":"kxRlR2kx","properties":{"unsorted":false,"formattedCitation":"[69]","plainCitation":"[69]","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fldChar w:fldCharType="separate"/>
      </w:r>
      <w:r w:rsidR="00A95675" w:rsidRPr="00A95675">
        <w:t>[69]</w:t>
      </w:r>
      <w:r>
        <w:fldChar w:fldCharType="end"/>
      </w:r>
      <w:r w:rsidRPr="00ED11B4">
        <w:t>. Limiting the depth of discharge to 50</w:t>
      </w:r>
      <w:r>
        <w:t xml:space="preserve">% </w:t>
      </w:r>
      <w:r w:rsidRPr="00ED11B4">
        <w:t>has been shown to approximately double the cycle life; therefore, the use of larger systems than the nominal capacity requirements can enhance the overall battery system economics of their operation over time, despite the higher up-front capital costs</w:t>
      </w:r>
      <w:r>
        <w:fldChar w:fldCharType="begin"/>
      </w:r>
      <w:r w:rsidR="00A95675">
        <w:instrText xml:space="preserve"> ADDIN ZOTERO_ITEM CSL_CITATION {"citationID":"Amui7OjS","properties":{"unsorted":false,"formattedCitation":"[70]","plainCitation":"[70]","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00A95675" w:rsidRPr="00A95675">
        <w:t>[70]</w:t>
      </w:r>
      <w:r>
        <w:fldChar w:fldCharType="end"/>
      </w:r>
      <w:r w:rsidRPr="00ED11B4">
        <w:t>.</w:t>
      </w:r>
    </w:p>
    <w:p w14:paraId="55E1FDE6" w14:textId="77777777" w:rsidR="00FE013C" w:rsidRDefault="00FE013C" w:rsidP="004C16FF">
      <w:pPr>
        <w:pStyle w:val="Heading20"/>
        <w:jc w:val="both"/>
        <w:rPr>
          <w:color w:val="auto"/>
        </w:rPr>
      </w:pPr>
      <w:r>
        <w:rPr>
          <w:color w:val="auto"/>
        </w:rPr>
        <w:t>5.2. Advanced Storage Technologies</w:t>
      </w:r>
    </w:p>
    <w:p w14:paraId="05AEBA58" w14:textId="6FE9C01A" w:rsidR="004C2D51" w:rsidRPr="00CA73EB" w:rsidRDefault="004C2D51" w:rsidP="00B97835">
      <w:pPr>
        <w:spacing w:after="120"/>
        <w:ind w:firstLine="480"/>
        <w:rPr>
          <w:highlight w:val="yellow"/>
        </w:rPr>
      </w:pPr>
      <w:r w:rsidRPr="00CA73EB">
        <w:rPr>
          <w:highlight w:val="yellow"/>
        </w:rPr>
        <w:t xml:space="preserve">If the duration of the storage is longer, then the economics of lithium-ion systems can be less favorable as more battery energy is typically needed for greater time in storage. This has stimulated interest in technologies that can store energy for long durations (LDES). For instance, vanadium redox flow batteries (VRFBs) can </w:t>
      </w:r>
      <w:r w:rsidR="00B21029" w:rsidRPr="00CA73EB">
        <w:rPr>
          <w:highlight w:val="yellow"/>
        </w:rPr>
        <w:t>be</w:t>
      </w:r>
      <w:r w:rsidRPr="00CA73EB">
        <w:rPr>
          <w:highlight w:val="yellow"/>
        </w:rPr>
        <w:t xml:space="preserve"> independent and can provide long cycle life with relatively low energy capacity degradation </w:t>
      </w:r>
      <w:r w:rsidR="00B21029" w:rsidRPr="00CA73EB">
        <w:rPr>
          <w:highlight w:val="yellow"/>
        </w:rPr>
        <w:fldChar w:fldCharType="begin"/>
      </w:r>
      <w:r w:rsidR="00B21029" w:rsidRPr="00CA73EB">
        <w:rPr>
          <w:highlight w:val="yellow"/>
        </w:rPr>
        <w:instrText xml:space="preserve"> ADDIN ZOTERO_ITEM CSL_CITATION {"citationID":"QWzMyYBC","properties":{"unsorted":false,"formattedCitation":"[45]","plainCitation":"[45]","noteIndex":0},"citationItems":[{"id":1984,"uris":["http://zotero.org/users/9870935/items/M6SVEFZJ"],"itemData":{"id":1984,"type":"article-journal","container-title":"Next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B21029" w:rsidRPr="00CA73EB">
        <w:rPr>
          <w:highlight w:val="yellow"/>
        </w:rPr>
        <w:fldChar w:fldCharType="separate"/>
      </w:r>
      <w:r w:rsidR="00B21029" w:rsidRPr="00CA73EB">
        <w:rPr>
          <w:highlight w:val="yellow"/>
        </w:rPr>
        <w:t>[45]</w:t>
      </w:r>
      <w:r w:rsidR="00B21029" w:rsidRPr="00CA73EB">
        <w:rPr>
          <w:highlight w:val="yellow"/>
        </w:rPr>
        <w:fldChar w:fldCharType="end"/>
      </w:r>
      <w:r w:rsidRPr="00CA73EB">
        <w:rPr>
          <w:highlight w:val="yellow"/>
        </w:rPr>
        <w:t>. There are also commercial flow-battery systems available at multi-MWh and larger sizes, though the upfront capital cost to them is an important limitation.</w:t>
      </w:r>
    </w:p>
    <w:p w14:paraId="052F99CF" w14:textId="4D501BB9" w:rsidR="004C2D51" w:rsidRPr="00CA73EB" w:rsidRDefault="004C2D51" w:rsidP="00AA74AB">
      <w:pPr>
        <w:spacing w:after="120"/>
        <w:ind w:firstLine="480"/>
        <w:rPr>
          <w:highlight w:val="yellow"/>
        </w:rPr>
      </w:pPr>
      <w:r w:rsidRPr="00CA73EB">
        <w:rPr>
          <w:highlight w:val="yellow"/>
        </w:rPr>
        <w:t xml:space="preserve">Another new possibility for multi-day energy storage </w:t>
      </w:r>
      <w:r w:rsidR="006538B7" w:rsidRPr="00CA73EB">
        <w:rPr>
          <w:highlight w:val="yellow"/>
        </w:rPr>
        <w:t>is</w:t>
      </w:r>
      <w:r w:rsidRPr="00CA73EB">
        <w:rPr>
          <w:highlight w:val="yellow"/>
        </w:rPr>
        <w:t xml:space="preserve"> iron-air batteries. Form Energy is working on an iron-air battery that is driven primarily by abundant materials and plans for roughly 100 hours of storage for about </w:t>
      </w:r>
      <w:r w:rsidR="003D6BEB">
        <w:rPr>
          <w:highlight w:val="yellow"/>
        </w:rPr>
        <w:t>$</w:t>
      </w:r>
      <w:r w:rsidRPr="00CA73EB">
        <w:rPr>
          <w:highlight w:val="yellow"/>
        </w:rPr>
        <w:t xml:space="preserve">20/kWh </w:t>
      </w:r>
      <w:r w:rsidR="006538B7" w:rsidRPr="00CA73EB">
        <w:rPr>
          <w:highlight w:val="yellow"/>
        </w:rPr>
        <w:fldChar w:fldCharType="begin"/>
      </w:r>
      <w:r w:rsidR="006538B7" w:rsidRPr="00CA73EB">
        <w:rPr>
          <w:highlight w:val="yellow"/>
        </w:rPr>
        <w:instrText xml:space="preserve"> ADDIN ZOTERO_ITEM CSL_CITATION {"citationID":"IwjNu9hX","properties":{"unsorted":false,"formattedCitation":"[108]","plainCitation":"[108]","noteIndex":0},"citationItems":[{"id":1985,"uris":["http://zotero.org/users/9870935/items/58URKSK2"],"itemData":{"id":1985,"type":"book","abstract":"This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6538B7" w:rsidRPr="00CA73EB">
        <w:rPr>
          <w:highlight w:val="yellow"/>
        </w:rPr>
        <w:fldChar w:fldCharType="separate"/>
      </w:r>
      <w:r w:rsidR="006538B7" w:rsidRPr="00CA73EB">
        <w:rPr>
          <w:highlight w:val="yellow"/>
        </w:rPr>
        <w:t>[108]</w:t>
      </w:r>
      <w:r w:rsidR="006538B7" w:rsidRPr="00CA73EB">
        <w:rPr>
          <w:highlight w:val="yellow"/>
        </w:rPr>
        <w:fldChar w:fldCharType="end"/>
      </w:r>
      <w:r w:rsidRPr="00CA73EB">
        <w:rPr>
          <w:highlight w:val="yellow"/>
        </w:rPr>
        <w:t xml:space="preserve">. </w:t>
      </w:r>
      <w:r w:rsidR="00005C3A" w:rsidRPr="004B61AD">
        <w:rPr>
          <w:highlight w:val="yellow"/>
        </w:rPr>
        <w:t xml:space="preserve">The cited value is a manufacturer cost target rather than an independently verified </w:t>
      </w:r>
      <w:r w:rsidR="004B61AD" w:rsidRPr="004B61AD">
        <w:rPr>
          <w:highlight w:val="yellow"/>
        </w:rPr>
        <w:t>installed system</w:t>
      </w:r>
      <w:r w:rsidR="00005C3A" w:rsidRPr="004B61AD">
        <w:rPr>
          <w:highlight w:val="yellow"/>
        </w:rPr>
        <w:t xml:space="preserve"> cost</w:t>
      </w:r>
      <w:r w:rsidRPr="004B61AD">
        <w:rPr>
          <w:highlight w:val="yellow"/>
        </w:rPr>
        <w:t xml:space="preserve">. </w:t>
      </w:r>
      <w:r w:rsidR="00737C6E" w:rsidRPr="004B61AD">
        <w:rPr>
          <w:highlight w:val="yellow"/>
        </w:rPr>
        <w:t>The technology has also attracted interest for AI data-center applications</w:t>
      </w:r>
      <w:r w:rsidRPr="004B61AD">
        <w:rPr>
          <w:highlight w:val="yellow"/>
        </w:rPr>
        <w:t xml:space="preserve">: Form Energy and Crusoe announced in March 2026 a strategic capacity agreement for 12 GWh of multi-day iron-air battery systems for AI data centers in the United States, deliveries of which were slated as starting in 2027 </w:t>
      </w:r>
      <w:r w:rsidR="005F4264" w:rsidRPr="004B61AD">
        <w:rPr>
          <w:highlight w:val="yellow"/>
        </w:rPr>
        <w:fldChar w:fldCharType="begin"/>
      </w:r>
      <w:r w:rsidR="005F4264" w:rsidRPr="004B61AD">
        <w:rPr>
          <w:highlight w:val="yellow"/>
        </w:rPr>
        <w:instrText xml:space="preserve"> ADDIN ZOTERO_ITEM CSL_CITATION {"citationID":"7kVGcOlZ","properties":{"unsorted":false,"formattedCitation":"[109]","plainCitation":"[109]","noteIndex":0},"citationItems":[{"id":2072,"uris":["http://zotero.org/users/9870935/items/EET8N7XP"],"itemData":{"id":2072,"type":"article","abstract":"Deep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rsidR="005F4264" w:rsidRPr="004B61AD">
        <w:rPr>
          <w:highlight w:val="yellow"/>
        </w:rPr>
        <w:fldChar w:fldCharType="separate"/>
      </w:r>
      <w:r w:rsidR="005F4264" w:rsidRPr="004B61AD">
        <w:rPr>
          <w:highlight w:val="yellow"/>
        </w:rPr>
        <w:t>[109]</w:t>
      </w:r>
      <w:r w:rsidR="005F4264" w:rsidRPr="004B61AD">
        <w:rPr>
          <w:highlight w:val="yellow"/>
        </w:rPr>
        <w:fldChar w:fldCharType="end"/>
      </w:r>
      <w:r w:rsidRPr="004B61AD">
        <w:rPr>
          <w:highlight w:val="yellow"/>
        </w:rPr>
        <w:t>. Consideration of the targeted low energy-capacity cost and multi-day discharge capability of the battery system makes iron-air systems an important trade-off with lower round trip efficiencies than lithium-ion batteries.</w:t>
      </w:r>
    </w:p>
    <w:p w14:paraId="31C55199" w14:textId="11F8D9A1" w:rsidR="004C2D51" w:rsidRDefault="004C2D51" w:rsidP="004C2D51">
      <w:pPr>
        <w:spacing w:after="120"/>
        <w:ind w:firstLine="480"/>
      </w:pPr>
      <w:r w:rsidRPr="00CA73EB">
        <w:rPr>
          <w:highlight w:val="yellow"/>
        </w:rPr>
        <w:t xml:space="preserve">Hydrogen is also being explored as a medium for long-duration and potentially seasonal energy storage, where stored hydrogen can be converted to electricity through use of fuel cells or other generation methods. The hydrogen fuel-cell backups have been performed on increasingly larger sizes: In 2020, a </w:t>
      </w:r>
      <w:r w:rsidR="00657402" w:rsidRPr="00CA73EB">
        <w:rPr>
          <w:highlight w:val="yellow"/>
        </w:rPr>
        <w:t>250-kW</w:t>
      </w:r>
      <w:r w:rsidRPr="00CA73EB">
        <w:rPr>
          <w:highlight w:val="yellow"/>
        </w:rPr>
        <w:t xml:space="preserve"> PEM fuel-cell system powered a line of data-center servers continuously for 48 hours, and in 2022 a 3 MW hydrogen fuel-cell system was demonstrated, which is about the size of a conventional data-center backup generator </w:t>
      </w:r>
      <w:r w:rsidR="00657402" w:rsidRPr="00CA73EB">
        <w:rPr>
          <w:highlight w:val="yellow"/>
        </w:rPr>
        <w:fldChar w:fldCharType="begin"/>
      </w:r>
      <w:r w:rsidR="00657402" w:rsidRPr="00CA73EB">
        <w:rPr>
          <w:highlight w:val="yellow"/>
        </w:rPr>
        <w:instrText xml:space="preserve"> ADDIN ZOTERO_ITEM CSL_CITATION {"citationID":"Lqa6b4Sx","properties":{"unsorted":false,"formattedCitation":"[110]","plainCitation":"[110]","noteIndex":0},"citationItems":[{"id":2074,"uris":["http://zotero.org/users/9870935/items/55X6H6ID"],"itemData":{"id":2074,"type":"article-journal","abstract":"The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rsidR="00657402" w:rsidRPr="00CA73EB">
        <w:rPr>
          <w:highlight w:val="yellow"/>
        </w:rPr>
        <w:fldChar w:fldCharType="separate"/>
      </w:r>
      <w:r w:rsidR="00657402" w:rsidRPr="00CA73EB">
        <w:rPr>
          <w:highlight w:val="yellow"/>
        </w:rPr>
        <w:t>[110]</w:t>
      </w:r>
      <w:r w:rsidR="00657402" w:rsidRPr="00CA73EB">
        <w:rPr>
          <w:highlight w:val="yellow"/>
        </w:rPr>
        <w:fldChar w:fldCharType="end"/>
      </w:r>
      <w:r w:rsidRPr="00CA73EB">
        <w:rPr>
          <w:highlight w:val="yellow"/>
        </w:rPr>
        <w:t xml:space="preserve">. Most recently, Microsoft, Caterpillar, and Ballard showcased a 1.5 MW hydrogen fuel-cell installation in a simulated 48-hour backup-power scenario at a data center, housed by Microsoft. The round-trip efficiency, however, of the electricity-to-hydrogen-to-electricity cycle is low compared to lithium-ion storage in </w:t>
      </w:r>
      <w:r w:rsidR="00657402" w:rsidRPr="00CA73EB">
        <w:rPr>
          <w:highlight w:val="yellow"/>
        </w:rPr>
        <w:t>general and</w:t>
      </w:r>
      <w:r w:rsidRPr="00CA73EB">
        <w:rPr>
          <w:highlight w:val="yellow"/>
        </w:rPr>
        <w:t xml:space="preserve"> is on the order of approximately 30–40% for representative systems, depending on the configuration </w:t>
      </w:r>
      <w:r w:rsidR="00957900" w:rsidRPr="00CA73EB">
        <w:rPr>
          <w:highlight w:val="yellow"/>
        </w:rPr>
        <w:fldChar w:fldCharType="begin"/>
      </w:r>
      <w:r w:rsidR="00957900" w:rsidRPr="00CA73EB">
        <w:rPr>
          <w:highlight w:val="yellow"/>
        </w:rPr>
        <w:instrText xml:space="preserve"> ADDIN ZOTERO_ITEM CSL_CITATION {"citationID":"wSvLouuX","properties":{"unsorted":false,"formattedCitation":"[111]","plainCitation":"[111]","noteIndex":0},"citationItems":[{"id":1987,"uris":["http://zotero.org/users/9870935/items/2TYM8STM"],"itemData":{"id":1987,"type":"article-journal","abstract":"The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957900" w:rsidRPr="00CA73EB">
        <w:rPr>
          <w:highlight w:val="yellow"/>
        </w:rPr>
        <w:fldChar w:fldCharType="separate"/>
      </w:r>
      <w:r w:rsidR="00957900" w:rsidRPr="00CA73EB">
        <w:rPr>
          <w:highlight w:val="yellow"/>
        </w:rPr>
        <w:t>[111]</w:t>
      </w:r>
      <w:r w:rsidR="00957900" w:rsidRPr="00CA73EB">
        <w:rPr>
          <w:highlight w:val="yellow"/>
        </w:rPr>
        <w:fldChar w:fldCharType="end"/>
      </w:r>
      <w:r w:rsidRPr="00CA73EB">
        <w:rPr>
          <w:highlight w:val="yellow"/>
        </w:rPr>
        <w:t xml:space="preserve">. Hydrogen </w:t>
      </w:r>
      <w:r w:rsidRPr="00CA73EB">
        <w:rPr>
          <w:highlight w:val="yellow"/>
        </w:rPr>
        <w:lastRenderedPageBreak/>
        <w:t xml:space="preserve">cost or break even thresholds are therefore highly scenario-dependent, and electricity prices, electrolyzer utilization, hydrogen storage and transport facilities, conversion efficiency, and equipment capital cost have significant influence on the economic competitiveness of green hydrogen, and should therefore not be used without a clear scenario </w:t>
      </w:r>
      <w:r w:rsidR="00B076D9" w:rsidRPr="00CA73EB">
        <w:rPr>
          <w:highlight w:val="yellow"/>
        </w:rPr>
        <w:fldChar w:fldCharType="begin"/>
      </w:r>
      <w:r w:rsidR="00B076D9" w:rsidRPr="00CA73EB">
        <w:rPr>
          <w:highlight w:val="yellow"/>
        </w:rPr>
        <w:instrText xml:space="preserve"> ADDIN ZOTERO_ITEM CSL_CITATION {"citationID":"EV0Ut2pY","properties":{"unsorted":false,"formattedCitation":"[112]","plainCitation":"[112]","noteIndex":0},"citationItems":[{"id":2076,"uris":["http://zotero.org/users/9870935/items/WSZ9BQJG"],"itemData":{"id":2076,"type":"article-journal","abstract":"Abstract\n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B076D9" w:rsidRPr="00CA73EB">
        <w:rPr>
          <w:highlight w:val="yellow"/>
        </w:rPr>
        <w:fldChar w:fldCharType="separate"/>
      </w:r>
      <w:r w:rsidR="00B076D9" w:rsidRPr="00CA73EB">
        <w:rPr>
          <w:highlight w:val="yellow"/>
        </w:rPr>
        <w:t>[112]</w:t>
      </w:r>
      <w:r w:rsidR="00B076D9" w:rsidRPr="00CA73EB">
        <w:rPr>
          <w:highlight w:val="yellow"/>
        </w:rPr>
        <w:fldChar w:fldCharType="end"/>
      </w:r>
      <w:r w:rsidRPr="00CA73EB">
        <w:rPr>
          <w:highlight w:val="yellow"/>
        </w:rPr>
        <w:t>.</w:t>
      </w:r>
    </w:p>
    <w:p w14:paraId="7681B9CD" w14:textId="5BB4869C" w:rsidR="00FE013C" w:rsidRDefault="00FE013C" w:rsidP="004C16FF">
      <w:pPr>
        <w:pStyle w:val="Heading20"/>
        <w:jc w:val="both"/>
        <w:rPr>
          <w:color w:val="auto"/>
        </w:rPr>
      </w:pPr>
      <w:r>
        <w:rPr>
          <w:color w:val="auto"/>
        </w:rPr>
        <w:t xml:space="preserve">5.3. Energy Storage Sizing </w:t>
      </w:r>
      <w:r w:rsidR="007D29E8">
        <w:rPr>
          <w:color w:val="auto"/>
        </w:rPr>
        <w:t>Frameworks</w:t>
      </w:r>
    </w:p>
    <w:p w14:paraId="7DF29F76" w14:textId="2940BC5E" w:rsidR="005C28D3" w:rsidRPr="005C28D3" w:rsidRDefault="005C28D3" w:rsidP="005C28D3">
      <w:pPr>
        <w:spacing w:after="120"/>
        <w:ind w:firstLine="480"/>
        <w:rPr>
          <w:highlight w:val="yellow"/>
        </w:rPr>
      </w:pPr>
      <w:r w:rsidRPr="005C28D3">
        <w:rPr>
          <w:highlight w:val="yellow"/>
        </w:rPr>
        <w:t>The first challenge is energy-storage sizing for data centres running renewable generators, where three objectives must be achieved simultaneously: reliability, economic performance and usage of renewable sources. Regarding reliability, there should be enough storage capacity to store the amount of electricity needed to keep the power on during low-renewable-generation or other energy supply constraints. Excessive storage capacity can lead to higher capital and lifecycle costs from an economic perspective. Storage sizing ought to consider the needs for coverage versus cost, while also maximizing use of renewables and minimizing reliance on grid imports or fossil fuel backup generation.</w:t>
      </w:r>
    </w:p>
    <w:p w14:paraId="263C37DC" w14:textId="3DADFC30" w:rsidR="005C28D3" w:rsidRPr="00000784" w:rsidRDefault="004B61AD" w:rsidP="005C28D3">
      <w:pPr>
        <w:spacing w:after="120"/>
        <w:ind w:firstLine="480"/>
        <w:rPr>
          <w:highlight w:val="yellow"/>
        </w:rPr>
      </w:pPr>
      <w:r w:rsidRPr="004B61AD">
        <w:rPr>
          <w:highlight w:val="yellow"/>
        </w:rPr>
        <w:t>Storage-sizing approaches can generally be classified as deterministic, probabilistic, or optimization-based</w:t>
      </w:r>
      <w:r w:rsidR="005C28D3" w:rsidRPr="00000784">
        <w:rPr>
          <w:highlight w:val="yellow"/>
        </w:rPr>
        <w:t xml:space="preserve">: deterministic, probabilistic, and optimization-based. Deterministic sizing requires an estimate of actual storage potential based on pre-specified operating conditions or conservative assumptions, e.g., low renewable energy </w:t>
      </w:r>
      <w:r w:rsidR="005C28D3" w:rsidRPr="00B66BB3">
        <w:rPr>
          <w:highlight w:val="yellow"/>
        </w:rPr>
        <w:t xml:space="preserve">production over a certain time period. </w:t>
      </w:r>
      <w:r w:rsidR="008E7E14" w:rsidRPr="00B66BB3">
        <w:rPr>
          <w:highlight w:val="yellow"/>
        </w:rPr>
        <w:t>For example, a solar-dominated system may experience multiday periods of reduced generation because of persistent cloud cover or seasonal reductions in solar irradiation</w:t>
      </w:r>
      <w:r w:rsidR="005C28D3" w:rsidRPr="00B66BB3">
        <w:rPr>
          <w:highlight w:val="yellow"/>
        </w:rPr>
        <w:t xml:space="preserve">. Deterministic methods cannot guarantee optimum system sizes, but they can ensure storage margins that are conservative, and the size is vulnerable to the choice of worst-case input scenario and will lead to unnecessarily over-designed and economically unfeasible system sizes </w:t>
      </w:r>
      <w:r w:rsidR="005C28D3" w:rsidRPr="00B66BB3">
        <w:rPr>
          <w:highlight w:val="yellow"/>
        </w:rPr>
        <w:fldChar w:fldCharType="begin"/>
      </w:r>
      <w:r w:rsidR="005C28D3" w:rsidRPr="00B66BB3">
        <w:rPr>
          <w:highlight w:val="yellow"/>
        </w:rPr>
        <w:instrText xml:space="preserve"> ADDIN ZOTERO_ITEM CSL_CITATION {"citationID":"DHpplHe9","properties":{"unsorted":false,"formattedCitation":"[71]","plainCitation":"[71]","noteIndex":0},"citationItems":[{"id":1988,"uris":["http://zotero.org/users/9870935/items/9LH8YF5V"],"itemData":{"id":1988,"type":"article-journal","container-title":"Future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5C28D3" w:rsidRPr="00B66BB3">
        <w:rPr>
          <w:highlight w:val="yellow"/>
        </w:rPr>
        <w:fldChar w:fldCharType="separate"/>
      </w:r>
      <w:r w:rsidR="005C28D3" w:rsidRPr="00B66BB3">
        <w:rPr>
          <w:highlight w:val="yellow"/>
        </w:rPr>
        <w:t>[71]</w:t>
      </w:r>
      <w:r w:rsidR="005C28D3" w:rsidRPr="00B66BB3">
        <w:rPr>
          <w:highlight w:val="yellow"/>
        </w:rPr>
        <w:fldChar w:fldCharType="end"/>
      </w:r>
      <w:r w:rsidR="005C28D3" w:rsidRPr="00B66BB3">
        <w:rPr>
          <w:highlight w:val="yellow"/>
        </w:rPr>
        <w:t>.</w:t>
      </w:r>
    </w:p>
    <w:p w14:paraId="79539472" w14:textId="1D5E2A45" w:rsidR="005C28D3" w:rsidRPr="00000784" w:rsidRDefault="005C28D3" w:rsidP="005C28D3">
      <w:pPr>
        <w:spacing w:after="120"/>
        <w:ind w:firstLine="480"/>
        <w:rPr>
          <w:highlight w:val="yellow"/>
        </w:rPr>
      </w:pPr>
      <w:r w:rsidRPr="00000784">
        <w:rPr>
          <w:highlight w:val="yellow"/>
        </w:rPr>
        <w:t xml:space="preserve">Probabilistic sizing characterizes the adequacy of supply by accounting explicitly for the probability and duration of periods of supply that is less than what the load demands. Loss of Load Expectation (LOLE) is only one of the metrics that can be used to describe adequacy, which is independent of annual availability. Using a simple </w:t>
      </w:r>
      <w:r w:rsidR="00C8610B" w:rsidRPr="00000784">
        <w:rPr>
          <w:highlight w:val="yellow"/>
        </w:rPr>
        <w:t>duration-based</w:t>
      </w:r>
      <w:r w:rsidRPr="00000784">
        <w:rPr>
          <w:highlight w:val="yellow"/>
        </w:rPr>
        <w:t xml:space="preserve"> calculation, the illustrative annual availability target of 99.99% equates to an annual unavailability allowance of 0.876 hours per year, or 52.6 minutes per year. This unavailability allowance is not a LOLE </w:t>
      </w:r>
      <w:r w:rsidR="00C8610B" w:rsidRPr="00000784">
        <w:rPr>
          <w:highlight w:val="yellow"/>
        </w:rPr>
        <w:t>and</w:t>
      </w:r>
      <w:r w:rsidRPr="00000784">
        <w:rPr>
          <w:highlight w:val="yellow"/>
        </w:rPr>
        <w:t xml:space="preserve"> cannot be used as the direct LOLE threshold. In contrast, LOLE should be calculated using time-series data for load, renewable generation, storage operations, grid availability and other supply resources available using chronological adequacy analysis. Probabilistic methods can offer a more representative assessment of system adequacy, as they explicitly consider the frequency and duration of supply-shortage events, but these methods rely on good quality, high-resolution, and representative temporal data </w:t>
      </w:r>
      <w:r w:rsidR="00802FCA" w:rsidRPr="00000784">
        <w:rPr>
          <w:highlight w:val="yellow"/>
        </w:rPr>
        <w:fldChar w:fldCharType="begin"/>
      </w:r>
      <w:r w:rsidR="00802FCA" w:rsidRPr="00000784">
        <w:rPr>
          <w:highlight w:val="yellow"/>
        </w:rPr>
        <w:instrText xml:space="preserve"> ADDIN ZOTERO_ITEM CSL_CITATION {"citationID":"j8SEt2Uy","properties":{"unsorted":false,"formattedCitation":"[113]","plainCitation":"[113]","noteIndex":0},"citationItems":[{"id":2078,"uris":["http://zotero.org/users/9870935/items/UAQIETIN"],"itemData":{"id":2078,"type":"article-journal","abstract":"Large-scale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802FCA" w:rsidRPr="00000784">
        <w:rPr>
          <w:highlight w:val="yellow"/>
        </w:rPr>
        <w:fldChar w:fldCharType="separate"/>
      </w:r>
      <w:r w:rsidR="00802FCA" w:rsidRPr="00000784">
        <w:rPr>
          <w:highlight w:val="yellow"/>
        </w:rPr>
        <w:t>[113]</w:t>
      </w:r>
      <w:r w:rsidR="00802FCA" w:rsidRPr="00000784">
        <w:rPr>
          <w:highlight w:val="yellow"/>
        </w:rPr>
        <w:fldChar w:fldCharType="end"/>
      </w:r>
      <w:r w:rsidRPr="00000784">
        <w:rPr>
          <w:highlight w:val="yellow"/>
        </w:rPr>
        <w:t>.</w:t>
      </w:r>
    </w:p>
    <w:p w14:paraId="1D93CD8D" w14:textId="53A0D6FD" w:rsidR="00FE013C" w:rsidRPr="00482AE3" w:rsidRDefault="00822298" w:rsidP="00482AE3">
      <w:pPr>
        <w:spacing w:after="120"/>
        <w:ind w:firstLine="480"/>
        <w:rPr>
          <w:highlight w:val="yellow"/>
          <w:lang w:val="en-CA"/>
        </w:rPr>
      </w:pPr>
      <w:r w:rsidRPr="00482AE3">
        <w:rPr>
          <w:highlight w:val="yellow"/>
          <w:lang w:val="en-CA"/>
        </w:rPr>
        <w:t xml:space="preserve">A deterministic approach looks at all of the energy shortfall events analysed for a specific period of renewable generation and sizes the energy storage system based on the worst energy shortfall event. </w:t>
      </w:r>
      <w:r w:rsidR="002E1D6C" w:rsidRPr="00A045CF">
        <w:rPr>
          <w:highlight w:val="yellow"/>
          <w:lang w:val="en-CA"/>
        </w:rPr>
        <w:t>A deficit event begins when the combined available non-storage supply is insufficient to meet the critical, non-deferrable load and ends when sufficient supply is restored</w:t>
      </w:r>
      <w:r w:rsidRPr="00A045CF">
        <w:rPr>
          <w:highlight w:val="yellow"/>
          <w:lang w:val="en-CA"/>
        </w:rPr>
        <w:t>. Using this method, the minimum usable battery energy capacity required is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DE87625" w14:textId="77777777" w:rsidTr="009213EE">
        <w:tc>
          <w:tcPr>
            <w:tcW w:w="421" w:type="dxa"/>
          </w:tcPr>
          <w:p w14:paraId="4A4164A0" w14:textId="77777777" w:rsidR="00FE013C" w:rsidRDefault="00FE013C" w:rsidP="004C16FF">
            <w:pPr>
              <w:rPr>
                <w:color w:val="auto"/>
                <w:szCs w:val="24"/>
                <w:lang w:val="en-CA" w:eastAsia="en-CA"/>
              </w:rPr>
            </w:pPr>
          </w:p>
        </w:tc>
        <w:tc>
          <w:tcPr>
            <w:tcW w:w="7908" w:type="dxa"/>
          </w:tcPr>
          <w:p w14:paraId="49BE3620" w14:textId="2EA4A0B4" w:rsidR="00FE013C" w:rsidRDefault="00000000" w:rsidP="004C16FF">
            <w:pPr>
              <w:rPr>
                <w:color w:val="auto"/>
                <w:szCs w:val="24"/>
                <w:lang w:val="en-CA" w:eastAsia="en-CA"/>
              </w:rPr>
            </w:pPr>
            <m:oMathPara>
              <m:oMath>
                <m:sSub>
                  <m:sSubPr>
                    <m:ctrlPr>
                      <w:rPr>
                        <w:rFonts w:ascii="Cambria Math" w:hAnsi="Cambria Math"/>
                        <w:color w:val="auto"/>
                        <w:szCs w:val="24"/>
                      </w:rPr>
                    </m:ctrlPr>
                  </m:sSubPr>
                  <m:e>
                    <m:r>
                      <w:rPr>
                        <w:rFonts w:ascii="Cambria Math" w:hAnsi="Cambria Math"/>
                        <w:color w:val="auto"/>
                        <w:szCs w:val="24"/>
                      </w:rPr>
                      <m:t>E</m:t>
                    </m:r>
                  </m:e>
                  <m:sub>
                    <m:r>
                      <w:rPr>
                        <w:rFonts w:ascii="Cambria Math" w:hAnsi="Cambria Math"/>
                        <w:color w:val="auto"/>
                        <w:szCs w:val="24"/>
                      </w:rPr>
                      <m:t>B,det</m:t>
                    </m:r>
                  </m:sub>
                </m:sSub>
                <m:r>
                  <w:rPr>
                    <w:rFonts w:ascii="Cambria Math" w:hAnsi="Cambria Math"/>
                    <w:color w:val="auto"/>
                    <w:szCs w:val="24"/>
                  </w:rPr>
                  <m:t>=</m:t>
                </m:r>
                <m:func>
                  <m:funcPr>
                    <m:ctrlPr>
                      <w:rPr>
                        <w:rFonts w:ascii="Cambria Math" w:hAnsi="Cambria Math"/>
                        <w:color w:val="auto"/>
                        <w:szCs w:val="24"/>
                      </w:rPr>
                    </m:ctrlPr>
                  </m:funcPr>
                  <m:fName>
                    <m:limLow>
                      <m:limLowPr>
                        <m:ctrlPr>
                          <w:rPr>
                            <w:rFonts w:ascii="Cambria Math" w:hAnsi="Cambria Math"/>
                            <w:color w:val="auto"/>
                            <w:szCs w:val="24"/>
                          </w:rPr>
                        </m:ctrlPr>
                      </m:limLowPr>
                      <m:e>
                        <m:r>
                          <m:rPr>
                            <m:sty m:val="p"/>
                          </m:rPr>
                          <w:rPr>
                            <w:rFonts w:ascii="Cambria Math" w:hAnsi="Cambria Math"/>
                            <w:color w:val="auto"/>
                            <w:szCs w:val="24"/>
                          </w:rPr>
                          <m:t>max</m:t>
                        </m:r>
                      </m:e>
                      <m:lim>
                        <m:r>
                          <w:rPr>
                            <w:rFonts w:ascii="Cambria Math" w:hAnsi="Cambria Math"/>
                            <w:color w:val="auto"/>
                            <w:szCs w:val="24"/>
                          </w:rPr>
                          <m:t>i∈</m:t>
                        </m:r>
                        <m:d>
                          <m:dPr>
                            <m:begChr m:val="{"/>
                            <m:endChr m:val="}"/>
                            <m:ctrlPr>
                              <w:rPr>
                                <w:rFonts w:ascii="Cambria Math" w:hAnsi="Cambria Math"/>
                                <w:color w:val="auto"/>
                                <w:szCs w:val="24"/>
                              </w:rPr>
                            </m:ctrlPr>
                          </m:dPr>
                          <m:e>
                            <m:r>
                              <w:rPr>
                                <w:rFonts w:ascii="Cambria Math" w:hAnsi="Cambria Math"/>
                                <w:color w:val="auto"/>
                                <w:szCs w:val="24"/>
                              </w:rPr>
                              <m:t>1,…,n</m:t>
                            </m:r>
                          </m:e>
                        </m:d>
                      </m:lim>
                    </m:limLow>
                  </m:fName>
                  <m:e>
                    <m:d>
                      <m:dPr>
                        <m:ctrlPr>
                          <w:rPr>
                            <w:rFonts w:ascii="Cambria Math" w:hAnsi="Cambria Math"/>
                            <w:color w:val="auto"/>
                            <w:szCs w:val="24"/>
                          </w:rPr>
                        </m:ctrlPr>
                      </m:dPr>
                      <m:e>
                        <m:nary>
                          <m:naryPr>
                            <m:chr m:val="∑"/>
                            <m:limLoc m:val="undOvr"/>
                            <m:supHide m:val="1"/>
                            <m:ctrlPr>
                              <w:rPr>
                                <w:rFonts w:ascii="Cambria Math" w:hAnsi="Cambria Math"/>
                                <w:color w:val="auto"/>
                                <w:szCs w:val="24"/>
                              </w:rPr>
                            </m:ctrlPr>
                          </m:naryPr>
                          <m:sub>
                            <m:r>
                              <w:rPr>
                                <w:rFonts w:ascii="Cambria Math" w:hAnsi="Cambria Math"/>
                                <w:color w:val="auto"/>
                                <w:szCs w:val="24"/>
                              </w:rPr>
                              <m:t>t∈</m:t>
                            </m:r>
                            <m:sSub>
                              <m:sSubPr>
                                <m:ctrlPr>
                                  <w:rPr>
                                    <w:rFonts w:ascii="Cambria Math" w:hAnsi="Cambria Math"/>
                                    <w:color w:val="auto"/>
                                    <w:szCs w:val="24"/>
                                  </w:rPr>
                                </m:ctrlPr>
                              </m:sSubPr>
                              <m:e>
                                <m:r>
                                  <w:rPr>
                                    <w:rFonts w:ascii="Cambria Math" w:hAnsi="Cambria Math"/>
                                    <w:color w:val="auto"/>
                                    <w:szCs w:val="24"/>
                                  </w:rPr>
                                  <m:t>T</m:t>
                                </m:r>
                              </m:e>
                              <m:sub>
                                <m:r>
                                  <w:rPr>
                                    <w:rFonts w:ascii="Cambria Math" w:hAnsi="Cambria Math"/>
                                    <w:color w:val="auto"/>
                                    <w:szCs w:val="24"/>
                                  </w:rPr>
                                  <m:t>i</m:t>
                                </m:r>
                              </m:sub>
                            </m:sSub>
                          </m:sub>
                          <m:sup/>
                          <m:e>
                            <m:sSup>
                              <m:sSupPr>
                                <m:ctrlPr>
                                  <w:rPr>
                                    <w:rFonts w:ascii="Cambria Math" w:hAnsi="Cambria Math"/>
                                    <w:color w:val="auto"/>
                                    <w:szCs w:val="24"/>
                                  </w:rPr>
                                </m:ctrlPr>
                              </m:sSupPr>
                              <m:e>
                                <m:d>
                                  <m:dPr>
                                    <m:begChr m:val="["/>
                                    <m:endChr m:val="]"/>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crit,t</m:t>
                                        </m:r>
                                      </m:sub>
                                    </m:sSub>
                                    <m:r>
                                      <w:rPr>
                                        <w:rFonts w:ascii="Cambria Math" w:hAnsi="Cambria Math"/>
                                        <w:color w:val="auto"/>
                                        <w:szCs w:val="24"/>
                                      </w:rPr>
                                      <m:t>-</m:t>
                                    </m:r>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supply,t</m:t>
                                        </m:r>
                                      </m:sub>
                                    </m:sSub>
                                  </m:e>
                                </m:d>
                              </m:e>
                              <m:sup>
                                <m:r>
                                  <w:rPr>
                                    <w:rFonts w:ascii="Cambria Math" w:hAnsi="Cambria Math"/>
                                    <w:color w:val="auto"/>
                                    <w:szCs w:val="24"/>
                                  </w:rPr>
                                  <m:t>+</m:t>
                                </m:r>
                              </m:sup>
                            </m:sSup>
                          </m:e>
                        </m:nary>
                        <m:r>
                          <m:rPr>
                            <m:sty m:val="p"/>
                          </m:rPr>
                          <w:rPr>
                            <w:rFonts w:ascii="Cambria Math" w:hAnsi="Cambria Math"/>
                            <w:color w:val="auto"/>
                            <w:szCs w:val="24"/>
                          </w:rPr>
                          <m:t>Δ</m:t>
                        </m:r>
                        <m:r>
                          <w:rPr>
                            <w:rFonts w:ascii="Cambria Math" w:hAnsi="Cambria Math"/>
                            <w:color w:val="auto"/>
                            <w:szCs w:val="24"/>
                          </w:rPr>
                          <m:t>t</m:t>
                        </m:r>
                      </m:e>
                    </m:d>
                  </m:e>
                </m:func>
              </m:oMath>
            </m:oMathPara>
          </w:p>
        </w:tc>
        <w:tc>
          <w:tcPr>
            <w:tcW w:w="505" w:type="dxa"/>
            <w:vAlign w:val="center"/>
          </w:tcPr>
          <w:p w14:paraId="212F47F6" w14:textId="77777777" w:rsidR="00FE013C" w:rsidRDefault="00FE013C" w:rsidP="004C16FF">
            <w:pPr>
              <w:rPr>
                <w:color w:val="auto"/>
                <w:szCs w:val="24"/>
                <w:lang w:val="en-CA" w:eastAsia="en-CA"/>
              </w:rPr>
            </w:pPr>
            <w:r>
              <w:rPr>
                <w:color w:val="auto"/>
                <w:szCs w:val="24"/>
                <w:lang w:val="en-CA" w:eastAsia="en-CA"/>
              </w:rPr>
              <w:t>(1)</w:t>
            </w:r>
          </w:p>
        </w:tc>
      </w:tr>
    </w:tbl>
    <w:p w14:paraId="2ED5C160" w14:textId="14401AA1"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E</m:t>
            </m:r>
          </m:e>
          <m:sub>
            <m:r>
              <w:rPr>
                <w:rFonts w:ascii="Cambria Math" w:hAnsi="Cambria Math" w:cstheme="majorBidi"/>
                <w:color w:val="auto"/>
                <w:szCs w:val="24"/>
                <w:highlight w:val="yellow"/>
                <w:lang w:val="en-CA" w:eastAsia="en-CA"/>
              </w:rPr>
              <m:t>B</m:t>
            </m:r>
            <m:r>
              <m:rPr>
                <m:sty m:val="p"/>
              </m:rPr>
              <w:rPr>
                <w:rFonts w:ascii="Cambria Math" w:hAnsi="Cambria Math" w:cstheme="majorBidi"/>
                <w:color w:val="auto"/>
                <w:szCs w:val="24"/>
                <w:highlight w:val="yellow"/>
                <w:lang w:val="en-CA" w:eastAsia="en-CA"/>
              </w:rPr>
              <m:t>,det</m:t>
            </m:r>
          </m:sub>
        </m:sSub>
      </m:oMath>
      <w:r w:rsidR="00783999" w:rsidRPr="00783999">
        <w:rPr>
          <w:rFonts w:ascii="Cambria Math" w:hAnsi="Cambria Math" w:cstheme="majorBidi"/>
          <w:color w:val="auto"/>
          <w:szCs w:val="24"/>
          <w:highlight w:val="yellow"/>
          <w:lang w:val="en-CA" w:eastAsia="en-CA"/>
        </w:rPr>
        <w:t xml:space="preserve">= minimum usable battery-energy capacity (MWh); </w:t>
      </w:r>
    </w:p>
    <w:p w14:paraId="59684DE0" w14:textId="7A4A4D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i</m:t>
        </m:r>
      </m:oMath>
      <w:r w:rsidRPr="00783999">
        <w:rPr>
          <w:rFonts w:ascii="Cambria Math" w:hAnsi="Cambria Math" w:cstheme="majorBidi"/>
          <w:color w:val="auto"/>
          <w:szCs w:val="24"/>
          <w:highlight w:val="yellow"/>
          <w:lang w:val="en-CA" w:eastAsia="en-CA"/>
        </w:rPr>
        <w:t xml:space="preserve">= renewable-generation deficit event; </w:t>
      </w:r>
    </w:p>
    <w:p w14:paraId="11806797" w14:textId="0F98B8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n</m:t>
        </m:r>
      </m:oMath>
      <w:r w:rsidRPr="00783999">
        <w:rPr>
          <w:rFonts w:ascii="Cambria Math" w:hAnsi="Cambria Math" w:cstheme="majorBidi"/>
          <w:color w:val="auto"/>
          <w:szCs w:val="24"/>
          <w:highlight w:val="yellow"/>
          <w:lang w:val="en-CA" w:eastAsia="en-CA"/>
        </w:rPr>
        <w:t xml:space="preserve">= number of identified deficit events; </w:t>
      </w:r>
    </w:p>
    <w:p w14:paraId="0612BDD6" w14:textId="70F7456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T</m:t>
            </m:r>
          </m:e>
          <m:sub>
            <m:r>
              <w:rPr>
                <w:rFonts w:ascii="Cambria Math" w:hAnsi="Cambria Math" w:cstheme="majorBidi"/>
                <w:color w:val="auto"/>
                <w:szCs w:val="24"/>
                <w:highlight w:val="yellow"/>
                <w:lang w:val="en-CA" w:eastAsia="en-CA"/>
              </w:rPr>
              <m:t>i</m:t>
            </m:r>
          </m:sub>
        </m:sSub>
      </m:oMath>
      <w:r w:rsidR="00783999" w:rsidRPr="00783999">
        <w:rPr>
          <w:rFonts w:ascii="Cambria Math" w:hAnsi="Cambria Math" w:cstheme="majorBidi"/>
          <w:color w:val="auto"/>
          <w:szCs w:val="24"/>
          <w:highlight w:val="yellow"/>
          <w:lang w:val="en-CA" w:eastAsia="en-CA"/>
        </w:rPr>
        <w:t xml:space="preserve">= set of time intervals associated with event </w:t>
      </w:r>
      <m:oMath>
        <m:r>
          <w:rPr>
            <w:rFonts w:ascii="Cambria Math" w:hAnsi="Cambria Math" w:cstheme="majorBidi"/>
            <w:color w:val="auto"/>
            <w:szCs w:val="24"/>
            <w:highlight w:val="yellow"/>
            <w:lang w:val="en-CA" w:eastAsia="en-CA"/>
          </w:rPr>
          <m:t>i</m:t>
        </m:r>
      </m:oMath>
      <w:r w:rsidR="00783999" w:rsidRPr="00783999">
        <w:rPr>
          <w:rFonts w:ascii="Cambria Math" w:hAnsi="Cambria Math" w:cstheme="majorBidi"/>
          <w:color w:val="auto"/>
          <w:szCs w:val="24"/>
          <w:highlight w:val="yellow"/>
          <w:lang w:val="en-CA" w:eastAsia="en-CA"/>
        </w:rPr>
        <w:t xml:space="preserve">; </w:t>
      </w:r>
    </w:p>
    <w:p w14:paraId="18097424" w14:textId="592E569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crit,</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critical, non-deferrable load (MW); </w:t>
      </w:r>
    </w:p>
    <w:p w14:paraId="3DB941CD" w14:textId="61BC8E22"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supply,</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available non-storage supply (renewables, grid imports, and backup generation) (MW); </w:t>
      </w:r>
    </w:p>
    <w:p w14:paraId="071E1C35" w14:textId="19A59FCC"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Δ</m:t>
        </m:r>
        <m:r>
          <w:rPr>
            <w:rFonts w:ascii="Cambria Math" w:hAnsi="Cambria Math" w:cstheme="majorBidi"/>
            <w:color w:val="auto"/>
            <w:szCs w:val="24"/>
            <w:highlight w:val="yellow"/>
            <w:lang w:val="en-CA" w:eastAsia="en-CA"/>
          </w:rPr>
          <m:t>t</m:t>
        </m:r>
      </m:oMath>
      <w:r w:rsidRPr="00783999">
        <w:rPr>
          <w:rFonts w:ascii="Cambria Math" w:hAnsi="Cambria Math" w:cstheme="majorBidi"/>
          <w:color w:val="auto"/>
          <w:szCs w:val="24"/>
          <w:highlight w:val="yellow"/>
          <w:lang w:val="en-CA" w:eastAsia="en-CA"/>
        </w:rPr>
        <w:t xml:space="preserve">= simulation interval (h); </w:t>
      </w:r>
    </w:p>
    <w:p w14:paraId="76A064FC" w14:textId="0DE49469" w:rsidR="005324E9" w:rsidRPr="00712131" w:rsidRDefault="00000000" w:rsidP="00712131">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p>
          <m:sSupPr>
            <m:ctrlPr>
              <w:rPr>
                <w:rFonts w:ascii="Cambria Math" w:hAnsi="Cambria Math" w:cstheme="majorBidi"/>
                <w:color w:val="auto"/>
                <w:szCs w:val="24"/>
                <w:highlight w:val="yellow"/>
                <w:lang w:val="en-CA" w:eastAsia="en-CA"/>
              </w:rPr>
            </m:ctrlPr>
          </m:sSupPr>
          <m:e>
            <m:d>
              <m:dPr>
                <m:begChr m:val="["/>
                <m:end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d>
          </m:e>
          <m:sup>
            <m:r>
              <m:rPr>
                <m:sty m:val="p"/>
              </m:rPr>
              <w:rPr>
                <w:rFonts w:ascii="Cambria Math" w:hAnsi="Cambria Math" w:cstheme="majorBidi"/>
                <w:color w:val="auto"/>
                <w:szCs w:val="24"/>
                <w:highlight w:val="yellow"/>
                <w:lang w:val="en-CA" w:eastAsia="en-CA"/>
              </w:rPr>
              <m:t>+</m:t>
            </m:r>
          </m:sup>
        </m:sSup>
        <m:r>
          <m:rPr>
            <m:sty m:val="p"/>
          </m:rPr>
          <w:rPr>
            <w:rFonts w:ascii="Cambria Math" w:hAnsi="Cambria Math" w:cstheme="majorBidi"/>
            <w:color w:val="auto"/>
            <w:szCs w:val="24"/>
            <w:highlight w:val="yellow"/>
            <w:lang w:val="en-CA" w:eastAsia="en-CA"/>
          </w:rPr>
          <m:t>=max⁡</m:t>
        </m:r>
        <m:d>
          <m:dPr>
            <m:sep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e>
            <m:r>
              <m:rPr>
                <m:sty m:val="p"/>
              </m:rPr>
              <w:rPr>
                <w:rFonts w:ascii="Cambria Math" w:hAnsi="Cambria Math" w:cstheme="majorBidi"/>
                <w:color w:val="auto"/>
                <w:szCs w:val="24"/>
                <w:highlight w:val="yellow"/>
                <w:lang w:val="en-CA" w:eastAsia="en-CA"/>
              </w:rPr>
              <m:t>0</m:t>
            </m:r>
          </m:e>
        </m:d>
      </m:oMath>
      <w:r w:rsidR="00783999" w:rsidRPr="00783999">
        <w:rPr>
          <w:rFonts w:ascii="Cambria Math" w:hAnsi="Cambria Math" w:cstheme="majorBidi"/>
          <w:color w:val="auto"/>
          <w:szCs w:val="24"/>
          <w:highlight w:val="yellow"/>
          <w:lang w:val="en-CA" w:eastAsia="en-CA"/>
        </w:rPr>
        <w:t>is the positive-part operator, ensuring that only positive energy deficits are accumulated.</w:t>
      </w:r>
    </w:p>
    <w:p w14:paraId="16F4CF6A" w14:textId="40EA4686" w:rsidR="002473F3" w:rsidRPr="002473F3" w:rsidRDefault="002473F3" w:rsidP="002473F3">
      <w:pPr>
        <w:spacing w:after="120"/>
        <w:ind w:firstLine="480"/>
        <w:rPr>
          <w:lang w:val="en-CA"/>
        </w:rPr>
      </w:pPr>
      <w:r w:rsidRPr="002473F3">
        <w:rPr>
          <w:highlight w:val="yellow"/>
          <w:lang w:val="en-CA"/>
        </w:rPr>
        <w:t>LOLE quantifies the expected duration during which available electricity supply is insufficient to meet the specified load over a defined assessment period. For an hourly chronological simulation of one year, LOLE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FC60795" w14:textId="77777777" w:rsidTr="00F5352A">
        <w:tc>
          <w:tcPr>
            <w:tcW w:w="421" w:type="dxa"/>
          </w:tcPr>
          <w:p w14:paraId="40D57622" w14:textId="77777777" w:rsidR="00FE013C" w:rsidRDefault="00FE013C" w:rsidP="004C16FF">
            <w:pPr>
              <w:rPr>
                <w:color w:val="auto"/>
                <w:szCs w:val="24"/>
                <w:lang w:val="en-CA" w:eastAsia="en-CA"/>
              </w:rPr>
            </w:pPr>
          </w:p>
        </w:tc>
        <w:tc>
          <w:tcPr>
            <w:tcW w:w="7908" w:type="dxa"/>
          </w:tcPr>
          <w:p w14:paraId="5821DA4E" w14:textId="6A4F6D0D" w:rsidR="00FE013C" w:rsidRPr="005704B6" w:rsidRDefault="00FF34AA" w:rsidP="004C16FF">
            <w:pPr>
              <w:rPr>
                <w:rFonts w:asciiTheme="majorBidi" w:hAnsiTheme="majorBidi" w:cstheme="majorBidi"/>
                <w:color w:val="auto"/>
                <w:szCs w:val="24"/>
                <w:lang w:val="fr-FR" w:eastAsia="en-CA"/>
              </w:rPr>
            </w:pPr>
            <m:oMathPara>
              <m:oMath>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T</m:t>
                    </m:r>
                  </m:sup>
                  <m:e>
                    <m:r>
                      <m:rPr>
                        <m:sty m:val="b"/>
                      </m:rPr>
                      <w:rPr>
                        <w:rFonts w:ascii="Cambria Math" w:hAnsi="Cambria Math" w:cstheme="majorBidi"/>
                      </w:rPr>
                      <m:t>1</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avail,t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crit,t</m:t>
                        </m:r>
                      </m:sub>
                    </m:sSub>
                  </m:e>
                </m:d>
                <m:r>
                  <m:rPr>
                    <m:sty m:val="p"/>
                  </m:rPr>
                  <w:rPr>
                    <w:rFonts w:ascii="Cambria Math" w:hAnsi="Cambria Math" w:cstheme="majorBidi"/>
                  </w:rPr>
                  <m:t>Δ</m:t>
                </m:r>
                <m:r>
                  <w:rPr>
                    <w:rFonts w:ascii="Cambria Math" w:hAnsi="Cambria Math" w:cstheme="majorBidi"/>
                  </w:rPr>
                  <m:t>t</m:t>
                </m:r>
              </m:oMath>
            </m:oMathPara>
          </w:p>
        </w:tc>
        <w:tc>
          <w:tcPr>
            <w:tcW w:w="505" w:type="dxa"/>
            <w:vAlign w:val="center"/>
          </w:tcPr>
          <w:p w14:paraId="25C0C804" w14:textId="77777777" w:rsidR="00FE013C" w:rsidRDefault="00FE013C" w:rsidP="004C16FF">
            <w:pPr>
              <w:rPr>
                <w:color w:val="auto"/>
                <w:szCs w:val="24"/>
                <w:lang w:val="en-CA" w:eastAsia="en-CA"/>
              </w:rPr>
            </w:pPr>
            <w:r>
              <w:rPr>
                <w:color w:val="auto"/>
                <w:szCs w:val="24"/>
                <w:lang w:val="en-CA" w:eastAsia="en-CA"/>
              </w:rPr>
              <w:t>(2)</w:t>
            </w:r>
          </w:p>
        </w:tc>
      </w:tr>
    </w:tbl>
    <w:p w14:paraId="50635876" w14:textId="3A496FD4" w:rsidR="004F2081" w:rsidRPr="0088346E" w:rsidRDefault="00000000"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avail,</m:t>
            </m:r>
            <m:r>
              <w:rPr>
                <w:rFonts w:ascii="Cambria Math" w:hAnsi="Cambria Math" w:cstheme="majorBidi"/>
                <w:color w:val="auto"/>
                <w:szCs w:val="24"/>
                <w:highlight w:val="yellow"/>
                <w:lang w:val="en-CA" w:eastAsia="en-CA"/>
              </w:rPr>
              <m:t>t</m:t>
            </m:r>
          </m:sub>
        </m:sSub>
      </m:oMath>
      <w:r w:rsidR="004F2081" w:rsidRPr="0088346E">
        <w:rPr>
          <w:rFonts w:ascii="Cambria Math" w:hAnsi="Cambria Math" w:cstheme="majorBidi"/>
          <w:color w:val="auto"/>
          <w:szCs w:val="24"/>
          <w:highlight w:val="yellow"/>
          <w:lang w:val="en-CA" w:eastAsia="en-CA"/>
        </w:rPr>
        <w:t xml:space="preserve">= total available power including renewable generation, battery discharge, grid imports, and backup generation; </w:t>
      </w:r>
    </w:p>
    <w:p w14:paraId="0E457A0A" w14:textId="2E53FB26" w:rsidR="004F2081" w:rsidRPr="0088346E" w:rsidRDefault="004F2081"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1</m:t>
        </m:r>
        <m:d>
          <m:dPr>
            <m:begChr m:val="["/>
            <m:endChr m:val="]"/>
            <m:ctrlPr>
              <w:rPr>
                <w:rFonts w:ascii="Cambria Math" w:hAnsi="Cambria Math" w:cstheme="majorBidi"/>
                <w:color w:val="auto"/>
                <w:szCs w:val="24"/>
                <w:highlight w:val="yellow"/>
                <w:lang w:val="en-CA" w:eastAsia="en-CA"/>
              </w:rPr>
            </m:ctrlPr>
          </m:dPr>
          <m:e>
            <m:r>
              <m:rPr>
                <m:sty m:val="p"/>
              </m:rPr>
              <w:rPr>
                <w:rFonts w:ascii="Cambria Math" w:hAnsi="Cambria Math" w:cstheme="majorBidi"/>
                <w:color w:val="auto"/>
                <w:szCs w:val="24"/>
                <w:highlight w:val="yellow"/>
                <w:lang w:val="en-CA" w:eastAsia="en-CA"/>
              </w:rPr>
              <m:t>⋅</m:t>
            </m:r>
          </m:e>
        </m:d>
      </m:oMath>
      <w:r w:rsidRPr="0088346E">
        <w:rPr>
          <w:rFonts w:ascii="Cambria Math" w:hAnsi="Cambria Math" w:cstheme="majorBidi"/>
          <w:color w:val="auto"/>
          <w:szCs w:val="24"/>
          <w:highlight w:val="yellow"/>
          <w:lang w:val="en-CA" w:eastAsia="en-CA"/>
        </w:rPr>
        <w:t xml:space="preserve">= indicator function; </w:t>
      </w:r>
    </w:p>
    <w:p w14:paraId="6424CFDE" w14:textId="47641B1D" w:rsidR="0088346E" w:rsidRPr="009A3F4E" w:rsidRDefault="004F2081" w:rsidP="009A3F4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T</m:t>
        </m:r>
      </m:oMath>
      <w:r w:rsidRPr="0088346E">
        <w:rPr>
          <w:rFonts w:ascii="Cambria Math" w:hAnsi="Cambria Math" w:cstheme="majorBidi"/>
          <w:color w:val="auto"/>
          <w:szCs w:val="24"/>
          <w:highlight w:val="yellow"/>
          <w:lang w:val="en-CA" w:eastAsia="en-CA"/>
        </w:rPr>
        <w:t>= total number of simulation intervals.</w:t>
      </w:r>
    </w:p>
    <w:p w14:paraId="556E0CBF" w14:textId="77777777" w:rsidR="002473F3" w:rsidRPr="002473F3" w:rsidRDefault="002473F3" w:rsidP="002473F3">
      <w:pPr>
        <w:spacing w:after="120"/>
        <w:ind w:firstLine="480"/>
        <w:rPr>
          <w:highlight w:val="yellow"/>
          <w:lang w:val="en-CA"/>
        </w:rPr>
      </w:pPr>
      <w:r w:rsidRPr="002473F3">
        <w:rPr>
          <w:highlight w:val="yellow"/>
          <w:lang w:val="en-CA"/>
        </w:rPr>
        <w:t>The reliability criterion adopted throughout this review is 99.99% annual availability, corresponding to a maximum shortfall duration of 0.876 h/year, or approximately 52.6 min/year, under the simplified relationship between annual availability and shortfall duration. Accordingly, the minimum battery capacity under an LOLE-based sizing approach may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2473F3" w14:paraId="698E61B3" w14:textId="77777777" w:rsidTr="001E5821">
        <w:tc>
          <w:tcPr>
            <w:tcW w:w="421" w:type="dxa"/>
          </w:tcPr>
          <w:p w14:paraId="29A5ABCC" w14:textId="77777777" w:rsidR="002473F3" w:rsidRDefault="002473F3" w:rsidP="001E5821">
            <w:pPr>
              <w:rPr>
                <w:color w:val="auto"/>
                <w:szCs w:val="24"/>
                <w:lang w:val="en-CA" w:eastAsia="en-CA"/>
              </w:rPr>
            </w:pPr>
          </w:p>
        </w:tc>
        <w:tc>
          <w:tcPr>
            <w:tcW w:w="7908" w:type="dxa"/>
          </w:tcPr>
          <w:p w14:paraId="53BC7033" w14:textId="3963A38D" w:rsidR="002473F3" w:rsidRPr="00333CD8" w:rsidRDefault="00000000" w:rsidP="001E5821">
            <w:pPr>
              <w:rPr>
                <w:rFonts w:asciiTheme="majorBidi" w:hAnsiTheme="majorBidi" w:cstheme="majorBidi"/>
                <w:color w:val="auto"/>
                <w:szCs w:val="24"/>
                <w:lang w:val="en-CA" w:eastAsia="en-CA"/>
              </w:rPr>
            </w:pPr>
            <m:oMathPara>
              <m:oMath>
                <m:sSubSup>
                  <m:sSubSupPr>
                    <m:ctrlPr>
                      <w:rPr>
                        <w:rFonts w:ascii="Cambria Math" w:hAnsi="Cambria Math" w:cstheme="majorBidi"/>
                      </w:rPr>
                    </m:ctrlPr>
                  </m:sSubSupPr>
                  <m:e>
                    <m:r>
                      <w:rPr>
                        <w:rFonts w:ascii="Cambria Math" w:hAnsi="Cambria Math" w:cstheme="majorBidi"/>
                      </w:rPr>
                      <m:t>E</m:t>
                    </m:r>
                  </m:e>
                  <m:sub>
                    <m:r>
                      <w:rPr>
                        <w:rFonts w:ascii="Cambria Math" w:hAnsi="Cambria Math" w:cstheme="majorBidi"/>
                      </w:rPr>
                      <m:t>B</m:t>
                    </m:r>
                  </m:sub>
                  <m:sup>
                    <m:r>
                      <w:rPr>
                        <w:rFonts w:ascii="Cambria Math" w:hAnsi="Cambria Math" w:cstheme="majorBidi"/>
                      </w:rPr>
                      <m:t>*</m:t>
                    </m:r>
                  </m:sup>
                </m:sSubSup>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arg</m:t>
                    </m:r>
                  </m:fName>
                  <m:e>
                    <m:func>
                      <m:funcPr>
                        <m:ctrlPr>
                          <w:rPr>
                            <w:rFonts w:ascii="Cambria Math" w:hAnsi="Cambria Math" w:cstheme="majorBidi"/>
                          </w:rPr>
                        </m:ctrlPr>
                      </m:funcPr>
                      <m:fName>
                        <m:limLow>
                          <m:limLowPr>
                            <m:ctrlPr>
                              <w:rPr>
                                <w:rFonts w:ascii="Cambria Math" w:hAnsi="Cambria Math" w:cstheme="majorBidi"/>
                              </w:rPr>
                            </m:ctrlPr>
                          </m:limLowPr>
                          <m:e>
                            <m:r>
                              <m:rPr>
                                <m:sty m:val="p"/>
                              </m:rPr>
                              <w:rPr>
                                <w:rFonts w:ascii="Cambria Math" w:hAnsi="Cambria Math" w:cstheme="majorBidi"/>
                              </w:rPr>
                              <m:t>min</m:t>
                            </m:r>
                          </m:e>
                          <m:lim>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≥0</m:t>
                            </m:r>
                          </m:lim>
                        </m:limLow>
                      </m:fName>
                      <m:e>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≤0.876</m:t>
                            </m:r>
                          </m:e>
                        </m:d>
                      </m:e>
                    </m:func>
                  </m:e>
                </m:func>
              </m:oMath>
            </m:oMathPara>
          </w:p>
        </w:tc>
        <w:tc>
          <w:tcPr>
            <w:tcW w:w="505" w:type="dxa"/>
            <w:vAlign w:val="center"/>
          </w:tcPr>
          <w:p w14:paraId="7F292C1D" w14:textId="7A91438E" w:rsidR="002473F3" w:rsidRDefault="002473F3" w:rsidP="001E5821">
            <w:pPr>
              <w:rPr>
                <w:color w:val="auto"/>
                <w:szCs w:val="24"/>
                <w:lang w:val="en-CA" w:eastAsia="en-CA"/>
              </w:rPr>
            </w:pPr>
            <w:r>
              <w:rPr>
                <w:color w:val="auto"/>
                <w:szCs w:val="24"/>
                <w:lang w:val="en-CA" w:eastAsia="en-CA"/>
              </w:rPr>
              <w:t>(3)</w:t>
            </w:r>
          </w:p>
        </w:tc>
      </w:tr>
    </w:tbl>
    <w:p w14:paraId="416E6540" w14:textId="77777777" w:rsidR="003A221C" w:rsidRPr="003A221C" w:rsidRDefault="003A221C" w:rsidP="003A221C">
      <w:pPr>
        <w:spacing w:after="120"/>
        <w:ind w:firstLine="480"/>
        <w:rPr>
          <w:highlight w:val="yellow"/>
          <w:lang w:val="en-CA"/>
        </w:rPr>
      </w:pPr>
      <w:r w:rsidRPr="003A221C">
        <w:rPr>
          <w:highlight w:val="yellow"/>
          <w:lang w:val="en-CA"/>
        </w:rPr>
        <w:t>Application of this formulation requires chronological load, renewable-generation, battery-dispatch, grid-availability, and backup-generation data. The resulting storage capacity is site-specific and should not be interpreted as a universal design value.</w:t>
      </w:r>
    </w:p>
    <w:p w14:paraId="0016921F" w14:textId="0694655B" w:rsidR="00FE013C" w:rsidRDefault="00FE013C" w:rsidP="004C16FF">
      <w:pPr>
        <w:spacing w:after="120"/>
        <w:ind w:firstLine="480"/>
      </w:pPr>
      <w:r w:rsidRPr="006701FD">
        <w:t xml:space="preserve">The </w:t>
      </w:r>
      <w:r w:rsidR="00580BAE" w:rsidRPr="006701FD">
        <w:t>optimization</w:t>
      </w:r>
      <w:r w:rsidRPr="006701FD">
        <w:t xml:space="preserve">-based approach constructs storage sizing as a mathematical programming problem to </w:t>
      </w:r>
      <w:r w:rsidR="00580BAE" w:rsidRPr="006701FD">
        <w:t>minimize</w:t>
      </w:r>
      <w:r w:rsidRPr="006701FD">
        <w:t xml:space="preserve"> the total system costs (capital expenditure plus operational expenditure throughout the project life cycle) while satisfying the reliability, carbon emission, and capacity constraints of the interconnection. Time-series dispatch simulation is a modelling approach that allows for detailed energy balance calculations at hourly or sub-hourly resolutions for one or more representative years to assess system performance in a realistic operating environment.</w:t>
      </w:r>
      <w:r>
        <w:t xml:space="preserve"> </w:t>
      </w:r>
      <w:r w:rsidR="00713A76">
        <w:fldChar w:fldCharType="begin"/>
      </w:r>
      <w:r w:rsidR="00713A76">
        <w:instrText xml:space="preserve"> REF _Ref239530748 \h </w:instrText>
      </w:r>
      <w:r w:rsidR="00713A76">
        <w:fldChar w:fldCharType="separate"/>
      </w:r>
      <w:r w:rsidR="00713A76">
        <w:t xml:space="preserve">Table </w:t>
      </w:r>
      <w:r w:rsidR="00713A76">
        <w:rPr>
          <w:noProof/>
        </w:rPr>
        <w:t>3</w:t>
      </w:r>
      <w:r w:rsidR="00713A76">
        <w:t xml:space="preserve"> </w:t>
      </w:r>
      <w:r w:rsidR="00713A76" w:rsidRPr="001641AD">
        <w:t xml:space="preserve">Storage </w:t>
      </w:r>
      <w:r w:rsidR="00713A76">
        <w:t>d</w:t>
      </w:r>
      <w:r w:rsidR="00713A76" w:rsidRPr="001641AD">
        <w:t xml:space="preserve">uration </w:t>
      </w:r>
      <w:r w:rsidR="00713A76">
        <w:t>o</w:t>
      </w:r>
      <w:r w:rsidR="00713A76" w:rsidRPr="001641AD">
        <w:t xml:space="preserve">ptions and </w:t>
      </w:r>
      <w:r w:rsidR="00713A76">
        <w:t>t</w:t>
      </w:r>
      <w:r w:rsidR="00713A76" w:rsidRPr="001641AD">
        <w:t>rade-offs</w:t>
      </w:r>
      <w:r w:rsidR="00713A76">
        <w:fldChar w:fldCharType="end"/>
      </w:r>
      <w:r w:rsidR="00713A76">
        <w:t xml:space="preserve">, </w:t>
      </w:r>
      <w:r w:rsidR="00580BAE" w:rsidRPr="002B3E4F">
        <w:t>synthesizes</w:t>
      </w:r>
      <w:r w:rsidRPr="002B3E4F">
        <w:t xml:space="preserve"> the five primary storage duration tiers considered in this framework, comparing the technology options, 2025 cost ranges, round-trip efficiency, recommended sizing methodology, optimal data </w:t>
      </w:r>
      <w:r w:rsidR="00580BAE">
        <w:t>center</w:t>
      </w:r>
      <w:r w:rsidRPr="002B3E4F">
        <w:t xml:space="preserve"> application, and key limitations for each duration class.</w:t>
      </w:r>
    </w:p>
    <w:p w14:paraId="7CF04D61" w14:textId="6EBBF9EB" w:rsidR="00FE013C" w:rsidRDefault="00FE013C" w:rsidP="004C16FF">
      <w:pPr>
        <w:pStyle w:val="Caption"/>
        <w:keepNext/>
      </w:pPr>
      <w:bookmarkStart w:id="11" w:name="_Ref239530748"/>
      <w:r>
        <w:lastRenderedPageBreak/>
        <w:t xml:space="preserve">Table </w:t>
      </w:r>
      <w:fldSimple w:instr=" SEQ Table \* ARABIC ">
        <w:r w:rsidR="003A45CA">
          <w:rPr>
            <w:noProof/>
          </w:rPr>
          <w:t>3</w:t>
        </w:r>
      </w:fldSimple>
      <w:r>
        <w:t xml:space="preserve"> </w:t>
      </w:r>
      <w:r w:rsidRPr="001641AD">
        <w:t xml:space="preserve">Storage </w:t>
      </w:r>
      <w:r>
        <w:t>d</w:t>
      </w:r>
      <w:r w:rsidRPr="001641AD">
        <w:t xml:space="preserve">uration </w:t>
      </w:r>
      <w:r>
        <w:t>o</w:t>
      </w:r>
      <w:r w:rsidRPr="001641AD">
        <w:t xml:space="preserve">ptions and </w:t>
      </w:r>
      <w:r>
        <w:t>t</w:t>
      </w:r>
      <w:r w:rsidRPr="001641AD">
        <w:t>rade-offs</w:t>
      </w:r>
      <w:bookmarkEnd w:id="11"/>
    </w:p>
    <w:tbl>
      <w:tblPr>
        <w:tblStyle w:val="Mdeck5tablebodythreelines"/>
        <w:tblW w:w="0" w:type="auto"/>
        <w:tblLook w:val="04A0" w:firstRow="1" w:lastRow="0" w:firstColumn="1" w:lastColumn="0" w:noHBand="0" w:noVBand="1"/>
      </w:tblPr>
      <w:tblGrid>
        <w:gridCol w:w="839"/>
        <w:gridCol w:w="1283"/>
        <w:gridCol w:w="1392"/>
        <w:gridCol w:w="1180"/>
        <w:gridCol w:w="1455"/>
        <w:gridCol w:w="1902"/>
        <w:gridCol w:w="1701"/>
      </w:tblGrid>
      <w:tr w:rsidR="00FE013C" w:rsidRPr="007E3FC3" w14:paraId="74EB6BC7" w14:textId="77777777" w:rsidTr="00AF3016">
        <w:trPr>
          <w:cnfStyle w:val="100000000000" w:firstRow="1" w:lastRow="0" w:firstColumn="0" w:lastColumn="0" w:oddVBand="0" w:evenVBand="0" w:oddHBand="0" w:evenHBand="0" w:firstRowFirstColumn="0" w:firstRowLastColumn="0" w:lastRowFirstColumn="0" w:lastRowLastColumn="0"/>
        </w:trPr>
        <w:tc>
          <w:tcPr>
            <w:tcW w:w="0" w:type="auto"/>
            <w:hideMark/>
          </w:tcPr>
          <w:p w14:paraId="29D58331"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Duration</w:t>
            </w:r>
          </w:p>
        </w:tc>
        <w:tc>
          <w:tcPr>
            <w:tcW w:w="0" w:type="auto"/>
            <w:hideMark/>
          </w:tcPr>
          <w:p w14:paraId="7F16C723"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Technology</w:t>
            </w:r>
          </w:p>
        </w:tc>
        <w:tc>
          <w:tcPr>
            <w:tcW w:w="0" w:type="auto"/>
            <w:hideMark/>
          </w:tcPr>
          <w:p w14:paraId="27E28FD7" w14:textId="7471D78B"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 xml:space="preserve">Cost </w:t>
            </w:r>
            <w:r w:rsidR="00A232F6" w:rsidRPr="007E3FC3">
              <w:rPr>
                <w:b/>
                <w:bCs/>
                <w:color w:val="auto"/>
                <w:sz w:val="16"/>
                <w:szCs w:val="16"/>
                <w:highlight w:val="yellow"/>
                <w:lang w:val="en-US"/>
              </w:rPr>
              <w:t>Bas</w:t>
            </w:r>
            <w:r w:rsidR="007F0967" w:rsidRPr="007E3FC3">
              <w:rPr>
                <w:b/>
                <w:bCs/>
                <w:color w:val="auto"/>
                <w:sz w:val="16"/>
                <w:szCs w:val="16"/>
                <w:highlight w:val="yellow"/>
                <w:lang w:val="en-US"/>
              </w:rPr>
              <w:t>is</w:t>
            </w:r>
            <w:r w:rsidRPr="007E3FC3">
              <w:rPr>
                <w:b/>
                <w:bCs/>
                <w:color w:val="auto"/>
                <w:sz w:val="16"/>
                <w:szCs w:val="16"/>
                <w:highlight w:val="yellow"/>
                <w:lang w:val="en-US"/>
              </w:rPr>
              <w:t xml:space="preserve"> (2025)</w:t>
            </w:r>
          </w:p>
        </w:tc>
        <w:tc>
          <w:tcPr>
            <w:tcW w:w="0" w:type="auto"/>
            <w:hideMark/>
          </w:tcPr>
          <w:p w14:paraId="39B4E3FA"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Efficiency</w:t>
            </w:r>
          </w:p>
        </w:tc>
        <w:tc>
          <w:tcPr>
            <w:tcW w:w="0" w:type="auto"/>
            <w:hideMark/>
          </w:tcPr>
          <w:p w14:paraId="6B9AC27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Sizing Method</w:t>
            </w:r>
          </w:p>
        </w:tc>
        <w:tc>
          <w:tcPr>
            <w:tcW w:w="0" w:type="auto"/>
            <w:hideMark/>
          </w:tcPr>
          <w:p w14:paraId="2B2418F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Best Application (Data Center Context)</w:t>
            </w:r>
          </w:p>
        </w:tc>
        <w:tc>
          <w:tcPr>
            <w:tcW w:w="0" w:type="auto"/>
            <w:hideMark/>
          </w:tcPr>
          <w:p w14:paraId="22DF8B30"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Key Limitation</w:t>
            </w:r>
          </w:p>
        </w:tc>
      </w:tr>
      <w:tr w:rsidR="00FE013C" w:rsidRPr="007E3FC3" w14:paraId="1DEB16FB" w14:textId="77777777" w:rsidTr="00AF3016">
        <w:tc>
          <w:tcPr>
            <w:tcW w:w="0" w:type="auto"/>
            <w:hideMark/>
          </w:tcPr>
          <w:p w14:paraId="0692AC1B"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 h</w:t>
            </w:r>
          </w:p>
        </w:tc>
        <w:tc>
          <w:tcPr>
            <w:tcW w:w="0" w:type="auto"/>
            <w:hideMark/>
          </w:tcPr>
          <w:p w14:paraId="43E13032"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63D938CF" w14:textId="3D3A641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Battery-pack price: approximately </w:t>
            </w:r>
            <w:r w:rsidR="005503C9">
              <w:rPr>
                <w:color w:val="auto"/>
                <w:sz w:val="16"/>
                <w:szCs w:val="16"/>
                <w:highlight w:val="yellow"/>
                <w:lang w:val="en-CA"/>
              </w:rPr>
              <w:t>$</w:t>
            </w:r>
            <w:r w:rsidRPr="007E3FC3">
              <w:rPr>
                <w:color w:val="auto"/>
                <w:sz w:val="16"/>
                <w:szCs w:val="16"/>
                <w:highlight w:val="yellow"/>
                <w:lang w:val="en-CA"/>
              </w:rPr>
              <w:t xml:space="preserve">108/kWh </w:t>
            </w:r>
          </w:p>
          <w:p w14:paraId="3102C455" w14:textId="64341976" w:rsidR="00FE013C"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fldChar w:fldCharType="begin"/>
            </w:r>
            <w:r w:rsidRPr="007E3FC3">
              <w:rPr>
                <w:color w:val="auto"/>
                <w:sz w:val="16"/>
                <w:szCs w:val="16"/>
                <w:highlight w:val="yellow"/>
                <w:lang w:val="en-CA"/>
              </w:rPr>
              <w:instrText xml:space="preserve"> ADDIN ZOTERO_ITEM CSL_CITATION {"citationID":"xf3Tsy3x","properties":{"unsorted":false,"formattedCitation":"[17]","plainCitation":"[17]","noteIndex":0},"citationItems":[{"id":1923,"uris":["http://zotero.org/users/9870935/items/K5N743Z5"],"itemData":{"id":1923,"type":"post-weblog","title":"BNEF: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7E3FC3">
              <w:rPr>
                <w:color w:val="auto"/>
                <w:sz w:val="16"/>
                <w:szCs w:val="16"/>
                <w:highlight w:val="yellow"/>
                <w:lang w:val="en-CA"/>
              </w:rPr>
              <w:fldChar w:fldCharType="separate"/>
            </w:r>
            <w:r w:rsidRPr="007E3FC3">
              <w:rPr>
                <w:sz w:val="16"/>
                <w:highlight w:val="yellow"/>
                <w:lang w:val="en-CA"/>
              </w:rPr>
              <w:t>[17]</w:t>
            </w:r>
            <w:r w:rsidRPr="007E3FC3">
              <w:rPr>
                <w:color w:val="auto"/>
                <w:sz w:val="16"/>
                <w:szCs w:val="16"/>
                <w:highlight w:val="yellow"/>
                <w:lang w:val="en-CA"/>
              </w:rPr>
              <w:fldChar w:fldCharType="end"/>
            </w:r>
          </w:p>
        </w:tc>
        <w:tc>
          <w:tcPr>
            <w:tcW w:w="0" w:type="auto"/>
            <w:hideMark/>
          </w:tcPr>
          <w:p w14:paraId="5232C65F" w14:textId="42A9AB6D"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85–95%</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{"citationID":"bO4ebft7","properties":{"unsorted":false,"formattedCitation":"[43]","plainCitation":"[43]","noteIndex":0},"citationItems":[{"id":1982,"uris":["http://zotero.org/users/9870935/items/GEX9B6EX"],"itemData":{"id":1982,"type":"article-journal","container-title":"Future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[43]</w:t>
            </w:r>
            <w:r w:rsidRPr="007E3FC3">
              <w:rPr>
                <w:color w:val="auto"/>
                <w:sz w:val="16"/>
                <w:szCs w:val="16"/>
                <w:highlight w:val="yellow"/>
              </w:rPr>
              <w:fldChar w:fldCharType="end"/>
            </w:r>
            <w:r w:rsidRPr="007E3FC3">
              <w:rPr>
                <w:color w:val="auto"/>
                <w:sz w:val="16"/>
                <w:szCs w:val="16"/>
                <w:highlight w:val="yellow"/>
                <w:lang w:val="en-US"/>
              </w:rPr>
              <w:t xml:space="preserve"> </w:t>
            </w:r>
          </w:p>
        </w:tc>
        <w:tc>
          <w:tcPr>
            <w:tcW w:w="0" w:type="auto"/>
            <w:hideMark/>
          </w:tcPr>
          <w:p w14:paraId="00F10E05" w14:textId="3905684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Deterministic or Probabilistic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{"citationID":"0PMpbWjw","properties":{"unsorted":false,"formattedCitation":"[46], [78]","plainCitation":"[46], [78]","noteIndex":0},"citationItems":[{"id":1989,"uris":["http://zotero.org/users/9870935/items/3AV4CVJ6"],"itemData":{"id":1989,"type":"article-journal","container-title":"Journal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[46], [78]</w:t>
            </w:r>
            <w:r w:rsidRPr="007E3FC3">
              <w:rPr>
                <w:color w:val="auto"/>
                <w:sz w:val="16"/>
                <w:szCs w:val="16"/>
                <w:highlight w:val="yellow"/>
              </w:rPr>
              <w:fldChar w:fldCharType="end"/>
            </w:r>
          </w:p>
        </w:tc>
        <w:tc>
          <w:tcPr>
            <w:tcW w:w="0" w:type="auto"/>
            <w:hideMark/>
          </w:tcPr>
          <w:p w14:paraId="3AB391AF" w14:textId="135485B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Intra-day peak shaving; frequency regulation during solar ramp events; UPS replacement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{"citationID":"FmJd4TSi","properties":{"unsorted":false,"formattedCitation":"[60],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[114]</w:t>
            </w:r>
            <w:r w:rsidRPr="007E3FC3">
              <w:rPr>
                <w:color w:val="auto"/>
                <w:sz w:val="16"/>
                <w:szCs w:val="16"/>
                <w:highlight w:val="yellow"/>
              </w:rPr>
              <w:fldChar w:fldCharType="end"/>
            </w:r>
          </w:p>
        </w:tc>
        <w:tc>
          <w:tcPr>
            <w:tcW w:w="0" w:type="auto"/>
            <w:hideMark/>
          </w:tcPr>
          <w:p w14:paraId="15E8C570" w14:textId="1E3BA886"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Insufficient for multi-day cloudiness; requires grid backup or workload deferral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{"citationID":"kbgWUIaN","properties":{"unsorted":false,"formattedCitation":"[78], [115]","plainCitation":"[78], [115]","noteIndex":0},"citationItems":[{"id":2021,"uris":["http://zotero.org/users/9870935/items/AHEUC4DF"],"itemData":{"id":2021,"type":"article","abstract":"Artificial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id":2084,"uris":["http://zotero.org/users/9870935/items/TIB5XQM5"],"itemData":{"id":2084,"type":"post-weblog","title":"Electric Power Annual 2024","URL":"https://www.eia.gov/electricity/annual/pdf/epa.pdf","author":[{"family":"EIA","given":""}]}}],"schema":"https://github.com/citation-style-language/schema/raw/master/csl-citation.json"}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[78], [115]</w:t>
            </w:r>
            <w:r w:rsidRPr="007E3FC3">
              <w:rPr>
                <w:color w:val="auto"/>
                <w:sz w:val="16"/>
                <w:szCs w:val="16"/>
                <w:highlight w:val="yellow"/>
              </w:rPr>
              <w:fldChar w:fldCharType="end"/>
            </w:r>
          </w:p>
        </w:tc>
      </w:tr>
      <w:tr w:rsidR="00FE013C" w:rsidRPr="007E3FC3" w14:paraId="39BDEAB9" w14:textId="77777777" w:rsidTr="00AF3016">
        <w:tc>
          <w:tcPr>
            <w:tcW w:w="0" w:type="auto"/>
            <w:hideMark/>
          </w:tcPr>
          <w:p w14:paraId="5EDD64F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4–8 h</w:t>
            </w:r>
          </w:p>
        </w:tc>
        <w:tc>
          <w:tcPr>
            <w:tcW w:w="0" w:type="auto"/>
            <w:hideMark/>
          </w:tcPr>
          <w:p w14:paraId="6E78148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34061474" w14:textId="517948D3"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Installed-system cost: </w:t>
            </w:r>
            <w:r w:rsidR="00A713CE">
              <w:rPr>
                <w:color w:val="auto"/>
                <w:sz w:val="16"/>
                <w:szCs w:val="16"/>
                <w:highlight w:val="yellow"/>
                <w:lang w:val="en-CA"/>
              </w:rPr>
              <w:t>$</w:t>
            </w:r>
            <w:r w:rsidRPr="007E3FC3">
              <w:rPr>
                <w:color w:val="auto"/>
                <w:sz w:val="16"/>
                <w:szCs w:val="16"/>
                <w:highlight w:val="yellow"/>
                <w:lang w:val="en-CA"/>
              </w:rPr>
              <w:t>180–320/kWh-system</w:t>
            </w:r>
          </w:p>
          <w:p w14:paraId="0FB857FC" w14:textId="618960A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{"citationID":"3cdqhCT9","properties":{"unsorted":false,"formattedCitation":"[17], [116]","plainCitation":"[17], [116]","noteIndex":0},"citationItems":[{"id":1923,"uris":["http://zotero.org/users/9870935/items/K5N743Z5"],"itemData":{"id":1923,"type":"post-weblog","title":"BNEF: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id":2715,"uris":["http://zotero.org/users/9870935/items/7394XZ5J"],"itemData":{"id":2715,"type":"post-weblog","title":"Annual Technoogy Baseline","URL":"https://atb-archive.nlr.gov/","author":[{"literal":"NREL"}]}}],"schema":"https://github.com/citation-style-language/schema/raw/master/csl-citation.json"}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[17], [116]</w:t>
            </w:r>
            <w:r w:rsidRPr="007E3FC3">
              <w:rPr>
                <w:color w:val="auto"/>
                <w:sz w:val="16"/>
                <w:szCs w:val="16"/>
                <w:highlight w:val="yellow"/>
              </w:rPr>
              <w:fldChar w:fldCharType="end"/>
            </w:r>
          </w:p>
        </w:tc>
        <w:tc>
          <w:tcPr>
            <w:tcW w:w="0" w:type="auto"/>
            <w:hideMark/>
          </w:tcPr>
          <w:p w14:paraId="2E142967" w14:textId="4530B54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85–95%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{"citationID":"78MVeDMD","properties":{"unsorted":false,"formattedCitation":"[43]","plainCitation":"[43]","noteIndex":0},"citationItems":[{"id":1982,"uris":["http://zotero.org/users/9870935/items/GEX9B6EX"],"itemData":{"id":1982,"type":"article-journal","container-title":"Future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[43]</w:t>
            </w:r>
            <w:r w:rsidRPr="007E3FC3">
              <w:rPr>
                <w:color w:val="auto"/>
                <w:sz w:val="16"/>
                <w:szCs w:val="16"/>
                <w:highlight w:val="yellow"/>
              </w:rPr>
              <w:fldChar w:fldCharType="end"/>
            </w:r>
          </w:p>
        </w:tc>
        <w:tc>
          <w:tcPr>
            <w:tcW w:w="0" w:type="auto"/>
            <w:hideMark/>
          </w:tcPr>
          <w:p w14:paraId="56851980" w14:textId="46EA6721"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Probabilistic (LOLE targeting 99.9%–99.99%)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{"citationID":"AtlXoIhz","properties":{"unsorted":false,"formattedCitation":"[46], [78]","plainCitation":"[46], [78]","noteIndex":0},"citationItems":[{"id":1989,"uris":["http://zotero.org/users/9870935/items/3AV4CVJ6"],"itemData":{"id":1989,"type":"article-journal","container-title":"Journal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[46], [78]</w:t>
            </w:r>
            <w:r w:rsidRPr="007E3FC3">
              <w:rPr>
                <w:color w:val="auto"/>
                <w:sz w:val="16"/>
                <w:szCs w:val="16"/>
                <w:highlight w:val="yellow"/>
              </w:rPr>
              <w:fldChar w:fldCharType="end"/>
            </w:r>
          </w:p>
        </w:tc>
        <w:tc>
          <w:tcPr>
            <w:tcW w:w="0" w:type="auto"/>
            <w:hideMark/>
          </w:tcPr>
          <w:p w14:paraId="4B302F79" w14:textId="24CA9FED"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Overnight solar-to-solar shifting; seasonal solar dip management; cost reduction vs deterministic design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{"citationID":"m5ijxbq1","properties":{"unsorted":false,"formattedCitation":"[60], [64]","plainCitation":"[60], [64]","noteIndex":0},"citationItems":[{"id":2119,"uris":["http://zotero.org/users/9870935/items/HCPVHF7M"],"itemData":{"id":2119,"type":"article-journal","container-title":"Energy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[64]</w:t>
            </w:r>
            <w:r w:rsidRPr="007E3FC3">
              <w:rPr>
                <w:color w:val="auto"/>
                <w:sz w:val="16"/>
                <w:szCs w:val="16"/>
                <w:highlight w:val="yellow"/>
              </w:rPr>
              <w:fldChar w:fldCharType="end"/>
            </w:r>
          </w:p>
        </w:tc>
        <w:tc>
          <w:tcPr>
            <w:tcW w:w="0" w:type="auto"/>
            <w:hideMark/>
          </w:tcPr>
          <w:p w14:paraId="129A04FC" w14:textId="71C02C8C"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Efficiency loss (5–15%); degradation limits 20–25 yr economic life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{"citationID":"cLfqQeVF","properties":{"unsorted":false,"formattedCitation":"[64], [71]","plainCitation":"[64], [71]","noteIndex":0},"citationItems":[{"id":1988,"uris":["http://zotero.org/users/9870935/items/9LH8YF5V"],"itemData":{"id":1988,"type":"article-journal","container-title":"Future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[64], [71]</w:t>
            </w:r>
            <w:r w:rsidRPr="007E3FC3">
              <w:rPr>
                <w:color w:val="auto"/>
                <w:sz w:val="16"/>
                <w:szCs w:val="16"/>
                <w:highlight w:val="yellow"/>
              </w:rPr>
              <w:fldChar w:fldCharType="end"/>
            </w:r>
          </w:p>
        </w:tc>
      </w:tr>
      <w:tr w:rsidR="00FE013C" w:rsidRPr="007E3FC3" w14:paraId="0A6DEBE1" w14:textId="77777777" w:rsidTr="00AF3016">
        <w:tc>
          <w:tcPr>
            <w:tcW w:w="0" w:type="auto"/>
            <w:hideMark/>
          </w:tcPr>
          <w:p w14:paraId="45E2975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8–24 h</w:t>
            </w:r>
          </w:p>
        </w:tc>
        <w:tc>
          <w:tcPr>
            <w:tcW w:w="0" w:type="auto"/>
            <w:hideMark/>
          </w:tcPr>
          <w:p w14:paraId="20D5DB0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Flow Battery (VRFB) or Li-ion extended DoD</w:t>
            </w:r>
          </w:p>
        </w:tc>
        <w:tc>
          <w:tcPr>
            <w:tcW w:w="0" w:type="auto"/>
            <w:hideMark/>
          </w:tcPr>
          <w:p w14:paraId="06AE34D2" w14:textId="4FCEC838"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Installed-system cost: </w:t>
            </w:r>
            <w:r w:rsidR="006735BE">
              <w:rPr>
                <w:color w:val="auto"/>
                <w:sz w:val="16"/>
                <w:szCs w:val="16"/>
                <w:highlight w:val="yellow"/>
                <w:lang w:val="en-CA"/>
              </w:rPr>
              <w:t>$</w:t>
            </w:r>
            <w:r w:rsidRPr="007E3FC3">
              <w:rPr>
                <w:color w:val="auto"/>
                <w:sz w:val="16"/>
                <w:szCs w:val="16"/>
                <w:highlight w:val="yellow"/>
                <w:lang w:val="en-CA"/>
              </w:rPr>
              <w:t>180–350/kWh-system</w:t>
            </w:r>
          </w:p>
          <w:p w14:paraId="474041E8" w14:textId="5AB6C697"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{"citationID":"kGRd6P2t","properties":{"unsorted":false,"formattedCitation":"[45], [94]","plainCitation":"[45], [94]","noteIndex":0},"citationItems":[{"id":1984,"uris":["http://zotero.org/users/9870935/items/M6SVEFZJ"],"itemData":{"id":1984,"type":"article-journal","container-title":"Next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S"},{"family":"Hosseinalipour","given":"S.M."}],"issued":{"date-parts":[["2025",12]]}}},{"id":2049,"uris":["http://zotero.org/users/9870935/items/HTQQE34D"],"itemData":{"id":2049,"type":"post-weblog","title":"National Renewable Energy Laboratory (NREL)","URL":"https://atb.nrel.gov/","author":[{"family":"NREL","given":""}]}}],"schema":"https://github.com/citation-style-language/schema/raw/master/csl-citation.json"}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[45], [94]</w:t>
            </w:r>
            <w:r w:rsidRPr="007E3FC3">
              <w:rPr>
                <w:color w:val="auto"/>
                <w:sz w:val="16"/>
                <w:szCs w:val="16"/>
                <w:highlight w:val="yellow"/>
              </w:rPr>
              <w:fldChar w:fldCharType="end"/>
            </w:r>
          </w:p>
        </w:tc>
        <w:tc>
          <w:tcPr>
            <w:tcW w:w="0" w:type="auto"/>
            <w:hideMark/>
          </w:tcPr>
          <w:p w14:paraId="072D3B20"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65–80% </w:t>
            </w:r>
            <w:r w:rsidRPr="007E3FC3">
              <w:rPr>
                <w:sz w:val="16"/>
                <w:highlight w:val="yellow"/>
                <w:lang w:val="en-US"/>
              </w:rPr>
              <w:t>[47]</w:t>
            </w:r>
          </w:p>
        </w:tc>
        <w:tc>
          <w:tcPr>
            <w:tcW w:w="0" w:type="auto"/>
            <w:hideMark/>
          </w:tcPr>
          <w:p w14:paraId="6D41E5EE" w14:textId="0C063D1F"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Optimization (MILP with reliability constraint)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{"citationID":"RhyYQ92V","properties":{"unsorted":false,"formattedCitation":"[71], [78]","plainCitation":"[71], [78]","noteIndex":0},"citationItems":[{"id":1988,"uris":["http://zotero.org/users/9870935/items/9LH8YF5V"],"itemData":{"id":1988,"type":"article-journal","container-title":"Future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[71], [78]</w:t>
            </w:r>
            <w:r w:rsidRPr="007E3FC3">
              <w:rPr>
                <w:color w:val="auto"/>
                <w:sz w:val="16"/>
                <w:szCs w:val="16"/>
                <w:highlight w:val="yellow"/>
              </w:rPr>
              <w:fldChar w:fldCharType="end"/>
            </w:r>
          </w:p>
        </w:tc>
        <w:tc>
          <w:tcPr>
            <w:tcW w:w="0" w:type="auto"/>
            <w:hideMark/>
          </w:tcPr>
          <w:p w14:paraId="141EDB37" w14:textId="0DE39FE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Multi-day firming; weak-grid support; MPC-integrated dispatch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{"citationID":"c2qz5NNw","properties":{"unsorted":false,"formattedCitation":"[60], [117], [118]","plainCitation":"[60], [117], [118]","noteIndex":0},"citationItems":[{"id":2119,"uris":["http://zotero.org/users/9870935/items/HCPVHF7M"],"itemData":{"id":2119,"type":"article-journal","container-title":"Energy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[117], [118]</w:t>
            </w:r>
            <w:r w:rsidRPr="007E3FC3">
              <w:rPr>
                <w:color w:val="auto"/>
                <w:sz w:val="16"/>
                <w:szCs w:val="16"/>
                <w:highlight w:val="yellow"/>
              </w:rPr>
              <w:fldChar w:fldCharType="end"/>
            </w:r>
          </w:p>
        </w:tc>
        <w:tc>
          <w:tcPr>
            <w:tcW w:w="0" w:type="auto"/>
            <w:hideMark/>
          </w:tcPr>
          <w:p w14:paraId="7ECC9B47"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Higher CapEx; VRFB still emerging at scale </w:t>
            </w:r>
            <w:r w:rsidRPr="007E3FC3">
              <w:rPr>
                <w:sz w:val="16"/>
                <w:highlight w:val="yellow"/>
                <w:lang w:val="en-US"/>
              </w:rPr>
              <w:t>[47]</w:t>
            </w:r>
          </w:p>
        </w:tc>
      </w:tr>
      <w:tr w:rsidR="00FE013C" w:rsidRPr="007E3FC3" w14:paraId="13657801" w14:textId="77777777" w:rsidTr="00AF3016">
        <w:tc>
          <w:tcPr>
            <w:tcW w:w="0" w:type="auto"/>
            <w:hideMark/>
          </w:tcPr>
          <w:p w14:paraId="35FEDE98"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24–100 h</w:t>
            </w:r>
          </w:p>
        </w:tc>
        <w:tc>
          <w:tcPr>
            <w:tcW w:w="0" w:type="auto"/>
            <w:hideMark/>
          </w:tcPr>
          <w:p w14:paraId="0DAE4E7B"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Iron-Air / CAES</w:t>
            </w:r>
          </w:p>
        </w:tc>
        <w:tc>
          <w:tcPr>
            <w:tcW w:w="0" w:type="auto"/>
            <w:hideMark/>
          </w:tcPr>
          <w:p w14:paraId="78096A53" w14:textId="77777777" w:rsidR="00B07A7D" w:rsidRPr="007E3FC3" w:rsidRDefault="00B07A7D" w:rsidP="00B07A7D">
            <w:pPr>
              <w:pStyle w:val="TableBody"/>
              <w:jc w:val="both"/>
              <w:rPr>
                <w:color w:val="auto"/>
                <w:sz w:val="16"/>
                <w:szCs w:val="16"/>
                <w:highlight w:val="yellow"/>
                <w:lang w:val="en-CA"/>
              </w:rPr>
            </w:pPr>
            <w:r w:rsidRPr="007E3FC3">
              <w:rPr>
                <w:color w:val="auto"/>
                <w:sz w:val="16"/>
                <w:szCs w:val="16"/>
                <w:highlight w:val="yellow"/>
                <w:lang w:val="en-CA"/>
              </w:rPr>
              <w:t xml:space="preserve">Technology-specific reported system costs </w:t>
            </w:r>
          </w:p>
          <w:p w14:paraId="73056F51" w14:textId="6DF014F3"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{"citationID":"1u4tqan1","properties":{"unsorted":false,"formattedCitation":"[108], [119]","plainCitation":"[108], [119]","noteIndex":0},"citationItems":[{"id":1985,"uris":["http://zotero.org/users/9870935/items/58URKSK2"],"itemData":{"id":1985,"type":"book","abstract":"This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[108], [119]</w:t>
            </w:r>
            <w:r w:rsidRPr="007E3FC3">
              <w:rPr>
                <w:color w:val="auto"/>
                <w:sz w:val="16"/>
                <w:szCs w:val="16"/>
                <w:highlight w:val="yellow"/>
              </w:rPr>
              <w:fldChar w:fldCharType="end"/>
            </w:r>
          </w:p>
        </w:tc>
        <w:tc>
          <w:tcPr>
            <w:tcW w:w="0" w:type="auto"/>
            <w:hideMark/>
          </w:tcPr>
          <w:p w14:paraId="328C5DD4" w14:textId="42D2CC6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40–70%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{"citationID":"uEb1ccwo","properties":{"unsorted":false,"formattedCitation":"[108], [119]","plainCitation":"[108], [119]","noteIndex":0},"citationItems":[{"id":1985,"uris":["http://zotero.org/users/9870935/items/58URKSK2"],"itemData":{"id":1985,"type":"book","abstract":"This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[108], [119]</w:t>
            </w:r>
            <w:r w:rsidRPr="007E3FC3">
              <w:rPr>
                <w:color w:val="auto"/>
                <w:sz w:val="16"/>
                <w:szCs w:val="16"/>
                <w:highlight w:val="yellow"/>
              </w:rPr>
              <w:fldChar w:fldCharType="end"/>
            </w:r>
          </w:p>
        </w:tc>
        <w:tc>
          <w:tcPr>
            <w:tcW w:w="0" w:type="auto"/>
            <w:hideMark/>
          </w:tcPr>
          <w:p w14:paraId="4DF85AF7" w14:textId="66CEFF93"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Optimization with seasonal reliability constraints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{"citationID":"1raQF4FR","properties":{"unsorted":false,"formattedCitation":"[71], [78]","plainCitation":"[71], [78]","noteIndex":0},"citationItems":[{"id":1988,"uris":["http://zotero.org/users/9870935/items/9LH8YF5V"],"itemData":{"id":1988,"type":"article-journal","container-title":"Future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[71], [78]</w:t>
            </w:r>
            <w:r w:rsidRPr="007E3FC3">
              <w:rPr>
                <w:color w:val="auto"/>
                <w:sz w:val="16"/>
                <w:szCs w:val="16"/>
                <w:highlight w:val="yellow"/>
              </w:rPr>
              <w:fldChar w:fldCharType="end"/>
            </w:r>
          </w:p>
        </w:tc>
        <w:tc>
          <w:tcPr>
            <w:tcW w:w="0" w:type="auto"/>
            <w:hideMark/>
          </w:tcPr>
          <w:p w14:paraId="4BC6A479" w14:textId="3A4EE2E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Multi-day drought resilience; renewable firming in high variability climates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{"citationID":"8mVrVFgP","properties":{"unsorted":false,"formattedCitation":"[104], [120]","plainCitation":"[104], [120]","noteIndex":0},"citationItems":[{"id":2063,"uris":["http://zotero.org/users/9870935/items/47PEXHYC"],"itemData":{"id":2063,"type":"article-journal","container-title":"Communications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[104], [120]</w:t>
            </w:r>
            <w:r w:rsidRPr="007E3FC3">
              <w:rPr>
                <w:color w:val="auto"/>
                <w:sz w:val="16"/>
                <w:szCs w:val="16"/>
                <w:highlight w:val="yellow"/>
              </w:rPr>
              <w:fldChar w:fldCharType="end"/>
            </w:r>
          </w:p>
        </w:tc>
        <w:tc>
          <w:tcPr>
            <w:tcW w:w="0" w:type="auto"/>
            <w:hideMark/>
          </w:tcPr>
          <w:p w14:paraId="1EA0A1A2" w14:textId="545FEF60"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Low round-trip efficiency; limited commercial deployment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{"citationID":"t4hhsG9p","properties":{"unsorted":false,"formattedCitation":"[78], [108]","plainCitation":"[78], [108]","noteIndex":0},"citationItems":[{"id":1985,"uris":["http://zotero.org/users/9870935/items/58URKSK2"],"itemData":{"id":1985,"type":"book","abstract":"This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[78], [108]</w:t>
            </w:r>
            <w:r w:rsidRPr="007E3FC3">
              <w:rPr>
                <w:color w:val="auto"/>
                <w:sz w:val="16"/>
                <w:szCs w:val="16"/>
                <w:highlight w:val="yellow"/>
              </w:rPr>
              <w:fldChar w:fldCharType="end"/>
            </w:r>
          </w:p>
        </w:tc>
      </w:tr>
      <w:tr w:rsidR="00FE013C" w:rsidRPr="00AF3016" w14:paraId="2F482E53" w14:textId="77777777" w:rsidTr="00AF3016">
        <w:tc>
          <w:tcPr>
            <w:tcW w:w="0" w:type="auto"/>
            <w:hideMark/>
          </w:tcPr>
          <w:p w14:paraId="36B98206"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100+ h</w:t>
            </w:r>
          </w:p>
        </w:tc>
        <w:tc>
          <w:tcPr>
            <w:tcW w:w="0" w:type="auto"/>
            <w:hideMark/>
          </w:tcPr>
          <w:p w14:paraId="05BDFAD9"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Green H₂ / Seasonal thermal storage</w:t>
            </w:r>
          </w:p>
        </w:tc>
        <w:tc>
          <w:tcPr>
            <w:tcW w:w="0" w:type="auto"/>
            <w:hideMark/>
          </w:tcPr>
          <w:p w14:paraId="140EB887" w14:textId="77777777" w:rsidR="00831EE0" w:rsidRPr="007E3FC3" w:rsidRDefault="00831EE0" w:rsidP="00831EE0">
            <w:pPr>
              <w:pStyle w:val="TableBody"/>
              <w:jc w:val="both"/>
              <w:rPr>
                <w:color w:val="auto"/>
                <w:sz w:val="16"/>
                <w:szCs w:val="16"/>
                <w:highlight w:val="yellow"/>
                <w:lang w:val="en-CA"/>
              </w:rPr>
            </w:pPr>
            <w:r w:rsidRPr="007E3FC3">
              <w:rPr>
                <w:color w:val="auto"/>
                <w:sz w:val="16"/>
                <w:szCs w:val="16"/>
                <w:highlight w:val="yellow"/>
                <w:lang w:val="en-CA"/>
              </w:rPr>
              <w:t>Technology-specific system cost basis</w:t>
            </w:r>
          </w:p>
          <w:p w14:paraId="644D0210" w14:textId="59DE8D23"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{"citationID":"fVrMURwJ","properties":{"unsorted":false,"formattedCitation":"[111], [112]","plainCitation":"[111], [112]","noteIndex":0},"citationItems":[{"id":1987,"uris":["http://zotero.org/users/9870935/items/2TYM8STM"],"itemData":{"id":1987,"type":"article-journal","abstract":"The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[112]</w:t>
            </w:r>
            <w:r w:rsidRPr="007E3FC3">
              <w:rPr>
                <w:color w:val="auto"/>
                <w:sz w:val="16"/>
                <w:szCs w:val="16"/>
                <w:highlight w:val="yellow"/>
              </w:rPr>
              <w:fldChar w:fldCharType="end"/>
            </w:r>
          </w:p>
        </w:tc>
        <w:tc>
          <w:tcPr>
            <w:tcW w:w="0" w:type="auto"/>
            <w:hideMark/>
          </w:tcPr>
          <w:p w14:paraId="79551898" w14:textId="36F1393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30–41% (H₂), 60–80% (thermal)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{"citationID":"f34Vou48","properties":{"unsorted":false,"formattedCitation":"[111], [112]","plainCitation":"[111], [112]","noteIndex":0},"citationItems":[{"id":1987,"uris":["http://zotero.org/users/9870935/items/2TYM8STM"],"itemData":{"id":1987,"type":"article-journal","abstract":"The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[112]</w:t>
            </w:r>
            <w:r w:rsidRPr="007E3FC3">
              <w:rPr>
                <w:color w:val="auto"/>
                <w:sz w:val="16"/>
                <w:szCs w:val="16"/>
                <w:highlight w:val="yellow"/>
              </w:rPr>
              <w:fldChar w:fldCharType="end"/>
            </w:r>
          </w:p>
        </w:tc>
        <w:tc>
          <w:tcPr>
            <w:tcW w:w="0" w:type="auto"/>
            <w:hideMark/>
          </w:tcPr>
          <w:p w14:paraId="509D77ED" w14:textId="17BFD7DC"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Optimization with inter-seasonal constraints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{"citationID":"NFfiyigM","properties":{"unsorted":false,"formattedCitation":"[71], [121]","plainCitation":"[71], [121]","noteIndex":0},"citationItems":[{"id":1988,"uris":["http://zotero.org/users/9870935/items/9LH8YF5V"],"itemData":{"id":1988,"type":"article-journal","container-title":"Future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[71], [121]</w:t>
            </w:r>
            <w:r w:rsidRPr="007E3FC3">
              <w:rPr>
                <w:color w:val="auto"/>
                <w:sz w:val="16"/>
                <w:szCs w:val="16"/>
                <w:highlight w:val="yellow"/>
              </w:rPr>
              <w:fldChar w:fldCharType="end"/>
            </w:r>
          </w:p>
        </w:tc>
        <w:tc>
          <w:tcPr>
            <w:tcW w:w="0" w:type="auto"/>
            <w:hideMark/>
          </w:tcPr>
          <w:p w14:paraId="440EB0EA" w14:textId="352D2CF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Seasonal shifting; long-duration backup for extreme events; grid independence support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{"citationID":"pVfEVGCr","properties":{"unsorted":false,"formattedCitation":"[122], [123]","plainCitation":"[122], [123]","noteIndex":0},"citationItems":[{"id":2141,"uris":["http://zotero.org/users/9870935/items/G3GVLHVX"],"itemData":{"id":2141,"type":"article-journal","container-title":"Renewable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[122], [123]</w:t>
            </w:r>
            <w:r w:rsidRPr="007E3FC3">
              <w:rPr>
                <w:color w:val="auto"/>
                <w:sz w:val="16"/>
                <w:szCs w:val="16"/>
                <w:highlight w:val="yellow"/>
              </w:rPr>
              <w:fldChar w:fldCharType="end"/>
            </w:r>
          </w:p>
        </w:tc>
        <w:tc>
          <w:tcPr>
            <w:tcW w:w="0" w:type="auto"/>
            <w:hideMark/>
          </w:tcPr>
          <w:p w14:paraId="02A5D77B" w14:textId="74285D71" w:rsidR="00FE013C" w:rsidRPr="00D31E21" w:rsidRDefault="00FE013C" w:rsidP="00A95675">
            <w:pPr>
              <w:pStyle w:val="TableBody"/>
              <w:jc w:val="both"/>
              <w:rPr>
                <w:color w:val="auto"/>
                <w:sz w:val="16"/>
                <w:szCs w:val="16"/>
                <w:lang w:val="en-US"/>
              </w:rPr>
            </w:pPr>
            <w:r w:rsidRPr="007E3FC3">
              <w:rPr>
                <w:color w:val="auto"/>
                <w:sz w:val="16"/>
                <w:szCs w:val="16"/>
                <w:highlight w:val="yellow"/>
                <w:lang w:val="en-US"/>
              </w:rPr>
              <w:t xml:space="preserve">High losses; weak economic maturity; infrastructure dependency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{"citationID":"QpAKC3k6","properties":{"unsorted":false,"formattedCitation":"[111], [122]","plainCitation":"[111], [122]","noteIndex":0},"citationItems":[{"id":1987,"uris":["http://zotero.org/users/9870935/items/2TYM8STM"],"itemData":{"id":1987,"type":"article-journal","abstract":"The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[122]</w:t>
            </w:r>
            <w:r w:rsidRPr="007E3FC3">
              <w:rPr>
                <w:color w:val="auto"/>
                <w:sz w:val="16"/>
                <w:szCs w:val="16"/>
                <w:highlight w:val="yellow"/>
              </w:rPr>
              <w:fldChar w:fldCharType="end"/>
            </w:r>
          </w:p>
        </w:tc>
      </w:tr>
    </w:tbl>
    <w:p w14:paraId="2BAC50E7" w14:textId="51C20BF6" w:rsidR="000665E7" w:rsidRDefault="000665E7" w:rsidP="000665E7">
      <w:pPr>
        <w:spacing w:after="120"/>
        <w:ind w:firstLine="480"/>
        <w:rPr>
          <w:lang w:val="en-CA"/>
        </w:rPr>
      </w:pPr>
      <w:r w:rsidRPr="009A7CA8">
        <w:rPr>
          <w:highlight w:val="yellow"/>
          <w:lang w:val="en-CA"/>
        </w:rPr>
        <w:t>Lithium-ion values in Table 3 refer to battery-pack prices where indicated. Installed battery-system costs are higher because they include power-conversion equipment, thermal management, controls, engineering, procurement, construction, and grid-interconnection costs.</w:t>
      </w:r>
      <w:r w:rsidR="00B204E7">
        <w:rPr>
          <w:lang w:val="en-CA"/>
        </w:rPr>
        <w:t xml:space="preserve"> </w:t>
      </w:r>
    </w:p>
    <w:p w14:paraId="069C975C" w14:textId="22E6E423" w:rsidR="00B204E7" w:rsidRPr="000665E7" w:rsidRDefault="00B204E7" w:rsidP="00B204E7">
      <w:pPr>
        <w:spacing w:after="120"/>
        <w:ind w:firstLine="480"/>
        <w:rPr>
          <w:lang w:val="en-CA"/>
        </w:rPr>
      </w:pPr>
      <w:r w:rsidRPr="00B204E7">
        <w:rPr>
          <w:highlight w:val="yellow"/>
          <w:lang w:val="en-CA"/>
        </w:rPr>
        <w:t>The following equations provide a generic mathematical structure for optimization-based storage and generation sizing. They are included as a conceptual formulation synthesized from the literature and were not used in this review to generate site-specific numerical results. Application of the formulation requires project-specific time-series data, technology parameters, reliability assumptions, and validation.</w:t>
      </w:r>
    </w:p>
    <w:p w14:paraId="6ED507B7" w14:textId="2E0FB555" w:rsidR="00FE013C" w:rsidRDefault="00FE013C" w:rsidP="004C16FF">
      <w:pPr>
        <w:spacing w:after="120"/>
        <w:ind w:firstLine="480"/>
      </w:pPr>
      <w:r w:rsidRPr="00A91FD2">
        <w:t xml:space="preserve">The </w:t>
      </w:r>
      <w:r w:rsidR="00580BAE" w:rsidRPr="00A91FD2">
        <w:t>optimization</w:t>
      </w:r>
      <w:r w:rsidRPr="00A91FD2">
        <w:t xml:space="preserve"> approach formulates storage (and renewable) sizing as a mixed-integer linear program (MILP) to </w:t>
      </w:r>
      <w:r w:rsidR="00580BAE" w:rsidRPr="00A91FD2">
        <w:t>minimize</w:t>
      </w:r>
      <w:r w:rsidRPr="00A91FD2">
        <w:t xml:space="preserve"> lifecycle cost while satisfying reliability and regulatory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2396E331" w14:textId="77777777" w:rsidTr="00F5352A">
        <w:tc>
          <w:tcPr>
            <w:tcW w:w="421" w:type="dxa"/>
          </w:tcPr>
          <w:p w14:paraId="7D95E5B2" w14:textId="77777777" w:rsidR="00FE013C" w:rsidRDefault="00FE013C" w:rsidP="004C16FF">
            <w:pPr>
              <w:rPr>
                <w:color w:val="auto"/>
                <w:szCs w:val="24"/>
                <w:lang w:val="en-CA" w:eastAsia="en-CA"/>
              </w:rPr>
            </w:pPr>
          </w:p>
        </w:tc>
        <w:tc>
          <w:tcPr>
            <w:tcW w:w="7908" w:type="dxa"/>
          </w:tcPr>
          <w:p w14:paraId="7A99E55B" w14:textId="702FAD7A" w:rsidR="00FE013C" w:rsidRPr="009C0925" w:rsidRDefault="00000000" w:rsidP="004C16FF">
            <w:pPr>
              <w:rPr>
                <w:rFonts w:asciiTheme="majorBidi" w:hAnsiTheme="majorBidi" w:cstheme="majorBidi"/>
                <w:color w:val="auto"/>
                <w:sz w:val="22"/>
                <w:szCs w:val="22"/>
                <w:highlight w:val="yellow"/>
                <w:lang w:val="en-CA" w:eastAsia="en-CA"/>
              </w:rPr>
            </w:pPr>
            <m:oMathPara>
              <m:oMath>
                <m:func>
                  <m:funcPr>
                    <m:ctrlPr>
                      <w:rPr>
                        <w:rFonts w:ascii="Cambria Math" w:hAnsi="Cambria Math"/>
                        <w:color w:val="auto"/>
                        <w:sz w:val="22"/>
                        <w:szCs w:val="22"/>
                        <w:highlight w:val="yellow"/>
                      </w:rPr>
                    </m:ctrlPr>
                  </m:funcPr>
                  <m:fName>
                    <m:r>
                      <m:rPr>
                        <m:sty m:val="p"/>
                      </m:rPr>
                      <w:rPr>
                        <w:rFonts w:ascii="Cambria Math" w:hAnsi="Cambria Math"/>
                        <w:color w:val="auto"/>
                        <w:sz w:val="22"/>
                        <w:szCs w:val="22"/>
                        <w:highlight w:val="yellow"/>
                      </w:rPr>
                      <m:t>min</m:t>
                    </m:r>
                  </m:fName>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total</m:t>
                        </m:r>
                      </m:sub>
                    </m:sSub>
                  </m:e>
                </m:func>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cap</m:t>
                    </m:r>
                  </m:sub>
                </m:sSub>
                <m:r>
                  <w:rPr>
                    <w:rFonts w:ascii="Cambria Math" w:hAnsi="Cambria Math"/>
                    <w:color w:val="auto"/>
                    <w:sz w:val="22"/>
                    <w:szCs w:val="22"/>
                    <w:highlight w:val="yellow"/>
                  </w:rPr>
                  <m:t>+</m:t>
                </m:r>
                <m:nary>
                  <m:naryPr>
                    <m:chr m:val="∑"/>
                    <m:limLoc m:val="undOvr"/>
                    <m:ctrlPr>
                      <w:rPr>
                        <w:rFonts w:ascii="Cambria Math" w:hAnsi="Cambria Math"/>
                        <w:color w:val="auto"/>
                        <w:sz w:val="22"/>
                        <w:szCs w:val="22"/>
                        <w:highlight w:val="yellow"/>
                      </w:rPr>
                    </m:ctrlPr>
                  </m:naryPr>
                  <m:sub>
                    <m:r>
                      <w:rPr>
                        <w:rFonts w:ascii="Cambria Math" w:hAnsi="Cambria Math"/>
                        <w:color w:val="auto"/>
                        <w:sz w:val="22"/>
                        <w:szCs w:val="22"/>
                        <w:highlight w:val="yellow"/>
                      </w:rPr>
                      <m:t>t=1</m:t>
                    </m:r>
                  </m:sub>
                  <m:sup>
                    <m:r>
                      <w:rPr>
                        <w:rFonts w:ascii="Cambria Math" w:hAnsi="Cambria Math"/>
                        <w:color w:val="auto"/>
                        <w:sz w:val="22"/>
                        <w:szCs w:val="22"/>
                        <w:highlight w:val="yellow"/>
                      </w:rPr>
                      <m:t>T</m:t>
                    </m:r>
                  </m:sup>
                  <m:e>
                    <m:d>
                      <m:dPr>
                        <m:ctrlPr>
                          <w:rPr>
                            <w:rFonts w:ascii="Cambria Math" w:hAnsi="Cambria Math"/>
                            <w:color w:val="auto"/>
                            <w:sz w:val="22"/>
                            <w:szCs w:val="22"/>
                            <w:highlight w:val="yellow"/>
                          </w:rPr>
                        </m:ctrlPr>
                      </m:dPr>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op,t</m:t>
                            </m:r>
                          </m:sub>
                        </m:sSub>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deg,t</m:t>
                            </m:r>
                          </m:sub>
                        </m:sSub>
                      </m:e>
                    </m:d>
                  </m:e>
                </m:nary>
              </m:oMath>
            </m:oMathPara>
          </w:p>
        </w:tc>
        <w:tc>
          <w:tcPr>
            <w:tcW w:w="505" w:type="dxa"/>
            <w:vAlign w:val="center"/>
          </w:tcPr>
          <w:p w14:paraId="7D00D276"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(4)</w:t>
            </w:r>
          </w:p>
        </w:tc>
      </w:tr>
    </w:tbl>
    <w:p w14:paraId="0DE9B04A" w14:textId="77777777" w:rsidR="00C53C94" w:rsidRPr="00C53C94" w:rsidRDefault="00C53C94" w:rsidP="00C53C94">
      <w:pPr>
        <w:spacing w:before="100" w:beforeAutospacing="1" w:after="100" w:afterAutospacing="1"/>
        <w:rPr>
          <w:color w:val="auto"/>
          <w:szCs w:val="24"/>
          <w:highlight w:val="yellow"/>
          <w:lang w:eastAsia="en-CA"/>
        </w:rPr>
      </w:pPr>
      <w:r w:rsidRPr="00C53C94">
        <w:rPr>
          <w:color w:val="auto"/>
          <w:szCs w:val="24"/>
          <w:highlight w:val="yellow"/>
          <w:lang w:eastAsia="en-CA"/>
        </w:rPr>
        <w:t>where</w:t>
      </w:r>
    </w:p>
    <w:p w14:paraId="591CB736" w14:textId="1669E819"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cap</m:t>
            </m:r>
          </m:sub>
        </m:sSub>
      </m:oMath>
      <w:r w:rsidR="00C53C94" w:rsidRPr="00C53C94">
        <w:rPr>
          <w:color w:val="auto"/>
          <w:szCs w:val="24"/>
          <w:highlight w:val="yellow"/>
          <w:lang w:eastAsia="en-CA"/>
        </w:rPr>
        <w:t>= annualized capital cost;</w:t>
      </w:r>
    </w:p>
    <w:p w14:paraId="3DAD7287" w14:textId="72A74F0C"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op</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operating cost;</w:t>
      </w:r>
    </w:p>
    <w:p w14:paraId="420F6BB3" w14:textId="78A8B790"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deg</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battery degradation cost.</w:t>
      </w:r>
    </w:p>
    <w:p w14:paraId="6E969F0C" w14:textId="1E2C0508" w:rsidR="00FE013C" w:rsidRPr="009C0925" w:rsidRDefault="00FE013C" w:rsidP="004C16FF">
      <w:pPr>
        <w:spacing w:before="100" w:beforeAutospacing="1" w:after="100" w:afterAutospacing="1"/>
        <w:rPr>
          <w:color w:val="auto"/>
          <w:szCs w:val="24"/>
          <w:highlight w:val="yellow"/>
          <w:lang w:val="en-CA" w:eastAsia="en-CA"/>
        </w:rPr>
      </w:pPr>
      <w:r w:rsidRPr="009C0925">
        <w:rPr>
          <w:color w:val="auto"/>
          <w:szCs w:val="24"/>
          <w:highlight w:val="yellow"/>
          <w:lang w:val="en-CA" w:eastAsia="en-CA"/>
        </w:rPr>
        <w:t>subject to:</w:t>
      </w:r>
    </w:p>
    <w:p w14:paraId="23607DCE" w14:textId="7777777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Energy Balance (hourly):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799DB136" w14:textId="77777777" w:rsidTr="00F5352A">
        <w:tc>
          <w:tcPr>
            <w:tcW w:w="421" w:type="dxa"/>
          </w:tcPr>
          <w:p w14:paraId="47C717C9" w14:textId="77777777" w:rsidR="00FE013C" w:rsidRPr="009C0925" w:rsidRDefault="00FE013C" w:rsidP="004C16FF">
            <w:pPr>
              <w:rPr>
                <w:color w:val="auto"/>
                <w:szCs w:val="24"/>
                <w:highlight w:val="yellow"/>
                <w:lang w:val="en-CA" w:eastAsia="en-CA"/>
              </w:rPr>
            </w:pPr>
          </w:p>
        </w:tc>
        <w:tc>
          <w:tcPr>
            <w:tcW w:w="7908" w:type="dxa"/>
          </w:tcPr>
          <w:p w14:paraId="3BE84C97" w14:textId="42EF9EF8" w:rsidR="00FE013C" w:rsidRPr="009C0925" w:rsidRDefault="00000000" w:rsidP="004C16FF">
            <w:pPr>
              <w:rPr>
                <w:rFonts w:asciiTheme="majorBidi" w:hAnsiTheme="majorBidi" w:cstheme="majorBidi"/>
                <w:color w:val="auto"/>
                <w:sz w:val="22"/>
                <w:szCs w:val="22"/>
                <w:highlight w:val="yellow"/>
                <w:lang w:val="en-CA" w:eastAsia="en-CA"/>
              </w:rPr>
            </w:pPr>
            <m:oMathPara>
              <m:oMath>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load,t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curt,t</m:t>
                    </m:r>
                  </m:sub>
                </m:sSub>
              </m:oMath>
            </m:oMathPara>
          </w:p>
        </w:tc>
        <w:tc>
          <w:tcPr>
            <w:tcW w:w="505" w:type="dxa"/>
            <w:vAlign w:val="center"/>
          </w:tcPr>
          <w:p w14:paraId="59CF1D2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(5)</w:t>
            </w:r>
          </w:p>
        </w:tc>
      </w:tr>
    </w:tbl>
    <w:p w14:paraId="31A45B3B" w14:textId="6DA5548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 xml:space="preserve">Battery State-of-Charge </w:t>
      </w:r>
      <w:r w:rsidR="009238A0" w:rsidRPr="009C0925">
        <w:rPr>
          <w:b/>
          <w:bCs/>
          <w:color w:val="auto"/>
          <w:szCs w:val="24"/>
          <w:highlight w:val="yellow"/>
          <w:lang w:val="en-CA" w:eastAsia="en-CA"/>
        </w:rPr>
        <w:t>Equation</w:t>
      </w:r>
      <w:r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323BBD1E" w14:textId="77777777" w:rsidTr="00F5352A">
        <w:tc>
          <w:tcPr>
            <w:tcW w:w="421" w:type="dxa"/>
          </w:tcPr>
          <w:p w14:paraId="094CAE98" w14:textId="77777777" w:rsidR="00FE013C" w:rsidRPr="009C0925" w:rsidRDefault="00FE013C" w:rsidP="004C16FF">
            <w:pPr>
              <w:rPr>
                <w:color w:val="auto"/>
                <w:szCs w:val="24"/>
                <w:highlight w:val="yellow"/>
                <w:lang w:val="en-CA" w:eastAsia="en-CA"/>
              </w:rPr>
            </w:pPr>
          </w:p>
        </w:tc>
        <w:tc>
          <w:tcPr>
            <w:tcW w:w="7908" w:type="dxa"/>
          </w:tcPr>
          <w:p w14:paraId="5DD2AD9F" w14:textId="39372E74" w:rsidR="00FE013C" w:rsidRPr="009C0925" w:rsidRDefault="00DB02E1"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t+1</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ch</m:t>
                    </m:r>
                  </m:sub>
                </m:sSub>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m:rPr>
                    <m:sty m:val="p"/>
                  </m:rPr>
                  <w:rPr>
                    <w:rFonts w:ascii="Cambria Math" w:hAnsi="Cambria Math"/>
                    <w:color w:val="auto"/>
                    <w:szCs w:val="24"/>
                    <w:highlight w:val="yellow"/>
                  </w:rPr>
                  <m:t>Δ</m:t>
                </m:r>
                <m:r>
                  <w:rPr>
                    <w:rFonts w:ascii="Cambria Math" w:hAnsi="Cambria Math"/>
                    <w:color w:val="auto"/>
                    <w:szCs w:val="24"/>
                    <w:highlight w:val="yellow"/>
                  </w:rPr>
                  <m:t>t-</m:t>
                </m:r>
                <m:f>
                  <m:fPr>
                    <m:ctrlPr>
                      <w:rPr>
                        <w:rFonts w:ascii="Cambria Math" w:hAnsi="Cambria Math"/>
                        <w:color w:val="auto"/>
                        <w:szCs w:val="24"/>
                        <w:highlight w:val="yellow"/>
                      </w:rPr>
                    </m:ctrlPr>
                  </m:fPr>
                  <m:num>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m:rPr>
                        <m:sty m:val="p"/>
                      </m:rPr>
                      <w:rPr>
                        <w:rFonts w:ascii="Cambria Math" w:hAnsi="Cambria Math"/>
                        <w:color w:val="auto"/>
                        <w:szCs w:val="24"/>
                        <w:highlight w:val="yellow"/>
                      </w:rPr>
                      <m:t>Δ</m:t>
                    </m:r>
                    <m:r>
                      <w:rPr>
                        <w:rFonts w:ascii="Cambria Math" w:hAnsi="Cambria Math"/>
                        <w:color w:val="auto"/>
                        <w:szCs w:val="24"/>
                        <w:highlight w:val="yellow"/>
                      </w:rPr>
                      <m:t>t</m:t>
                    </m:r>
                  </m:num>
                  <m:den>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dis</m:t>
                        </m:r>
                      </m:sub>
                    </m:sSub>
                  </m:den>
                </m:f>
              </m:oMath>
            </m:oMathPara>
          </w:p>
        </w:tc>
        <w:tc>
          <w:tcPr>
            <w:tcW w:w="505" w:type="dxa"/>
            <w:vAlign w:val="center"/>
          </w:tcPr>
          <w:p w14:paraId="765B93A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(6)</w:t>
            </w:r>
          </w:p>
        </w:tc>
      </w:tr>
    </w:tbl>
    <w:p w14:paraId="0110B78D" w14:textId="77777777" w:rsidR="009238A0" w:rsidRPr="009C0925" w:rsidRDefault="009238A0" w:rsidP="009238A0">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Battery State-of-Charge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9238A0" w:rsidRPr="009C0925" w14:paraId="235A0989" w14:textId="77777777" w:rsidTr="001E5821">
        <w:tc>
          <w:tcPr>
            <w:tcW w:w="421" w:type="dxa"/>
          </w:tcPr>
          <w:p w14:paraId="795E3C4A" w14:textId="77777777" w:rsidR="009238A0" w:rsidRPr="009C0925" w:rsidRDefault="009238A0" w:rsidP="001E5821">
            <w:pPr>
              <w:rPr>
                <w:color w:val="auto"/>
                <w:szCs w:val="24"/>
                <w:highlight w:val="yellow"/>
                <w:lang w:val="en-CA" w:eastAsia="en-CA"/>
              </w:rPr>
            </w:pPr>
          </w:p>
        </w:tc>
        <w:tc>
          <w:tcPr>
            <w:tcW w:w="7908" w:type="dxa"/>
          </w:tcPr>
          <w:p w14:paraId="2F3BD932" w14:textId="601F0EFD" w:rsidR="009238A0" w:rsidRPr="009C0925" w:rsidRDefault="0083233D" w:rsidP="001E5821">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min</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max</m:t>
                    </m:r>
                  </m:sub>
                </m:sSub>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608315A" w14:textId="2D303BDC" w:rsidR="009238A0" w:rsidRPr="009C0925" w:rsidRDefault="009238A0" w:rsidP="001E5821">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7</w:t>
            </w:r>
            <w:r w:rsidRPr="009C0925">
              <w:rPr>
                <w:color w:val="auto"/>
                <w:szCs w:val="24"/>
                <w:highlight w:val="yellow"/>
                <w:lang w:val="en-CA" w:eastAsia="en-CA"/>
              </w:rPr>
              <w:t>)</w:t>
            </w:r>
          </w:p>
        </w:tc>
      </w:tr>
    </w:tbl>
    <w:p w14:paraId="38D2E6C4" w14:textId="10B52A21" w:rsidR="00FE013C" w:rsidRPr="009C0925" w:rsidRDefault="006F30FD"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Battery Power Limits</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663CE828" w14:textId="77777777" w:rsidTr="00F5352A">
        <w:tc>
          <w:tcPr>
            <w:tcW w:w="421" w:type="dxa"/>
          </w:tcPr>
          <w:p w14:paraId="0DEBAFE5" w14:textId="77777777" w:rsidR="00FE013C" w:rsidRPr="009C0925" w:rsidRDefault="00FE013C" w:rsidP="004C16FF">
            <w:pPr>
              <w:rPr>
                <w:color w:val="auto"/>
                <w:szCs w:val="24"/>
                <w:highlight w:val="yellow"/>
                <w:lang w:val="en-CA" w:eastAsia="en-CA"/>
              </w:rPr>
            </w:pPr>
          </w:p>
        </w:tc>
        <w:tc>
          <w:tcPr>
            <w:tcW w:w="7908" w:type="dxa"/>
          </w:tcPr>
          <w:p w14:paraId="25C78AA2" w14:textId="5E02CDA9" w:rsidR="00FE013C" w:rsidRPr="00F57AF4" w:rsidRDefault="00BB2420"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ch</m:t>
                    </m:r>
                  </m:sub>
                  <m:sup>
                    <m:r>
                      <w:rPr>
                        <w:rFonts w:ascii="Cambria Math" w:hAnsi="Cambria Math"/>
                        <w:color w:val="auto"/>
                        <w:szCs w:val="24"/>
                        <w:highlight w:val="yellow"/>
                      </w:rPr>
                      <m:t>max</m:t>
                    </m:r>
                  </m:sup>
                </m:sSubSup>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731E234B" w14:textId="5E5FE2C4"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8</w:t>
            </w:r>
            <w:r w:rsidRPr="009C0925">
              <w:rPr>
                <w:color w:val="auto"/>
                <w:szCs w:val="24"/>
                <w:highlight w:val="yellow"/>
                <w:lang w:val="en-CA" w:eastAsia="en-CA"/>
              </w:rPr>
              <w:t>)</w:t>
            </w:r>
          </w:p>
        </w:tc>
      </w:tr>
      <w:tr w:rsidR="00FE013C" w:rsidRPr="009C0925" w14:paraId="72947D45" w14:textId="77777777" w:rsidTr="00FF0DBE">
        <w:tc>
          <w:tcPr>
            <w:tcW w:w="421" w:type="dxa"/>
          </w:tcPr>
          <w:p w14:paraId="49A346BC" w14:textId="77777777" w:rsidR="00FE013C" w:rsidRPr="009C0925" w:rsidRDefault="00FE013C" w:rsidP="004C16FF">
            <w:pPr>
              <w:rPr>
                <w:color w:val="auto"/>
                <w:szCs w:val="24"/>
                <w:highlight w:val="yellow"/>
                <w:lang w:val="en-CA" w:eastAsia="en-CA"/>
              </w:rPr>
            </w:pPr>
          </w:p>
        </w:tc>
        <w:tc>
          <w:tcPr>
            <w:tcW w:w="7908" w:type="dxa"/>
          </w:tcPr>
          <w:p w14:paraId="17DD6BF9" w14:textId="70E00028" w:rsidR="00FE013C" w:rsidRPr="00F57AF4" w:rsidRDefault="00F57AF4"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dis</m:t>
                    </m:r>
                  </m:sub>
                  <m:sup>
                    <m:r>
                      <w:rPr>
                        <w:rFonts w:ascii="Cambria Math" w:hAnsi="Cambria Math"/>
                        <w:color w:val="auto"/>
                        <w:szCs w:val="24"/>
                        <w:highlight w:val="yellow"/>
                      </w:rPr>
                      <m:t>max</m:t>
                    </m:r>
                  </m:sup>
                </m:sSubSup>
              </m:oMath>
            </m:oMathPara>
          </w:p>
        </w:tc>
        <w:tc>
          <w:tcPr>
            <w:tcW w:w="505" w:type="dxa"/>
          </w:tcPr>
          <w:p w14:paraId="2483E27C" w14:textId="431C8F35"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9</w:t>
            </w:r>
            <w:r w:rsidRPr="009C0925">
              <w:rPr>
                <w:color w:val="auto"/>
                <w:szCs w:val="24"/>
                <w:highlight w:val="yellow"/>
                <w:lang w:val="en-CA" w:eastAsia="en-CA"/>
              </w:rPr>
              <w:t>)</w:t>
            </w:r>
          </w:p>
        </w:tc>
      </w:tr>
    </w:tbl>
    <w:p w14:paraId="4596B22F" w14:textId="1BCC231C" w:rsidR="00FE013C" w:rsidRPr="009C0925" w:rsidRDefault="00F57AF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Charge/Discharge Exclusivity</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rsidRPr="009C0925" w14:paraId="601130DC" w14:textId="77777777" w:rsidTr="00F5352A">
        <w:tc>
          <w:tcPr>
            <w:tcW w:w="421" w:type="dxa"/>
          </w:tcPr>
          <w:p w14:paraId="413E8120" w14:textId="77777777" w:rsidR="00FE013C" w:rsidRPr="009C0925" w:rsidRDefault="00FE013C" w:rsidP="004C16FF">
            <w:pPr>
              <w:rPr>
                <w:color w:val="auto"/>
                <w:szCs w:val="24"/>
                <w:highlight w:val="yellow"/>
                <w:lang w:val="en-CA" w:eastAsia="en-CA"/>
              </w:rPr>
            </w:pPr>
          </w:p>
        </w:tc>
        <w:tc>
          <w:tcPr>
            <w:tcW w:w="7908" w:type="dxa"/>
          </w:tcPr>
          <w:p w14:paraId="15EC907A" w14:textId="1CE86AD7" w:rsidR="00FE013C" w:rsidRPr="009C0925" w:rsidRDefault="00000000" w:rsidP="004C16FF">
            <w:pPr>
              <w:rPr>
                <w:rFonts w:asciiTheme="majorBidi" w:hAnsiTheme="majorBidi" w:cstheme="majorBidi"/>
                <w:color w:val="auto"/>
                <w:sz w:val="22"/>
                <w:szCs w:val="22"/>
                <w:highlight w:val="yellow"/>
                <w:lang w:val="en-CA" w:eastAsia="en-CA"/>
              </w:rPr>
            </w:pPr>
            <m:oMathPara>
              <m:oMath>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ch</m:t>
                    </m:r>
                  </m:sup>
                </m:sSubSup>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dis</m:t>
                    </m:r>
                  </m:sup>
                </m:sSubSup>
                <m:r>
                  <w:rPr>
                    <w:rFonts w:ascii="Cambria Math" w:hAnsi="Cambria Math"/>
                    <w:color w:val="auto"/>
                    <w:szCs w:val="24"/>
                    <w:highlight w:val="yellow"/>
                  </w:rPr>
                  <m:t>≤1</m:t>
                </m:r>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F6F68B8" w14:textId="78E4859A"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D524ED">
              <w:rPr>
                <w:color w:val="auto"/>
                <w:szCs w:val="24"/>
                <w:highlight w:val="yellow"/>
                <w:lang w:val="en-CA" w:eastAsia="en-CA"/>
              </w:rPr>
              <w:t>10</w:t>
            </w:r>
            <w:r w:rsidRPr="009C0925">
              <w:rPr>
                <w:color w:val="auto"/>
                <w:szCs w:val="24"/>
                <w:highlight w:val="yellow"/>
                <w:lang w:val="en-CA" w:eastAsia="en-CA"/>
              </w:rPr>
              <w:t>)</w:t>
            </w:r>
          </w:p>
        </w:tc>
      </w:tr>
    </w:tbl>
    <w:p w14:paraId="77DBA264" w14:textId="6FC875CE" w:rsidR="00D65E78" w:rsidRPr="00D65E78" w:rsidRDefault="00D65E78" w:rsidP="00D65E78">
      <w:pPr>
        <w:spacing w:before="100" w:beforeAutospacing="1" w:after="100" w:afterAutospacing="1"/>
        <w:rPr>
          <w:color w:val="auto"/>
          <w:szCs w:val="24"/>
          <w:highlight w:val="yellow"/>
          <w:lang w:eastAsia="en-CA"/>
        </w:rPr>
      </w:pPr>
      <w:r w:rsidRPr="00D65E78">
        <w:rPr>
          <w:color w:val="auto"/>
          <w:szCs w:val="24"/>
          <w:highlight w:val="yellow"/>
          <w:lang w:eastAsia="en-CA"/>
        </w:rPr>
        <w:t xml:space="preserve">where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ch</m:t>
            </m:r>
          </m:sup>
        </m:sSubSup>
      </m:oMath>
      <w:r w:rsidRPr="00D65E78">
        <w:rPr>
          <w:color w:val="auto"/>
          <w:szCs w:val="24"/>
          <w:highlight w:val="yellow"/>
          <w:lang w:eastAsia="en-CA"/>
        </w:rPr>
        <w:t xml:space="preserve">and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dis</m:t>
            </m:r>
          </m:sup>
        </m:sSubSup>
      </m:oMath>
      <w:r w:rsidRPr="00D65E78">
        <w:rPr>
          <w:color w:val="auto"/>
          <w:szCs w:val="24"/>
          <w:highlight w:val="yellow"/>
          <w:lang w:eastAsia="en-CA"/>
        </w:rPr>
        <w:t>are binary variables preventing simultaneous charging and discharging.</w:t>
      </w:r>
    </w:p>
    <w:p w14:paraId="0E8C55D8" w14:textId="693C92E9" w:rsidR="00FE013C" w:rsidRPr="009C0925" w:rsidRDefault="00D22FD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Renewable-Generation Limits</w:t>
      </w:r>
      <w:r w:rsidR="00787DBF">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418CEACA" w14:textId="77777777" w:rsidTr="003A4B5D">
        <w:tc>
          <w:tcPr>
            <w:tcW w:w="421" w:type="dxa"/>
          </w:tcPr>
          <w:p w14:paraId="38C604DA" w14:textId="77777777" w:rsidR="00FE013C" w:rsidRPr="009C0925" w:rsidRDefault="00FE013C" w:rsidP="004C16FF">
            <w:pPr>
              <w:rPr>
                <w:color w:val="auto"/>
                <w:szCs w:val="24"/>
                <w:highlight w:val="yellow"/>
                <w:lang w:val="en-CA" w:eastAsia="en-CA"/>
              </w:rPr>
            </w:pPr>
          </w:p>
        </w:tc>
        <w:tc>
          <w:tcPr>
            <w:tcW w:w="7908" w:type="dxa"/>
          </w:tcPr>
          <w:p w14:paraId="1FB500AE" w14:textId="37889D69" w:rsidR="00FE013C" w:rsidRPr="009C0925" w:rsidRDefault="00787DBF"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PV,t</m:t>
                    </m:r>
                  </m:sub>
                </m:sSub>
              </m:oMath>
            </m:oMathPara>
          </w:p>
        </w:tc>
        <w:tc>
          <w:tcPr>
            <w:tcW w:w="616" w:type="dxa"/>
            <w:vAlign w:val="center"/>
          </w:tcPr>
          <w:p w14:paraId="7DE7D2BF" w14:textId="3055A272" w:rsidR="00FE013C" w:rsidRDefault="00FE013C" w:rsidP="004C16FF">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1</w:t>
            </w:r>
            <w:r w:rsidRPr="009C0925">
              <w:rPr>
                <w:color w:val="auto"/>
                <w:szCs w:val="24"/>
                <w:highlight w:val="yellow"/>
                <w:lang w:val="en-CA" w:eastAsia="en-CA"/>
              </w:rPr>
              <w:t>)</w:t>
            </w:r>
          </w:p>
        </w:tc>
      </w:tr>
      <w:tr w:rsidR="003A4B5D" w14:paraId="16B3DBCC" w14:textId="77777777" w:rsidTr="00246B4C">
        <w:tc>
          <w:tcPr>
            <w:tcW w:w="421" w:type="dxa"/>
          </w:tcPr>
          <w:p w14:paraId="61BCC342" w14:textId="77777777" w:rsidR="003A4B5D" w:rsidRPr="009C0925" w:rsidRDefault="003A4B5D" w:rsidP="000B7FFD">
            <w:pPr>
              <w:rPr>
                <w:color w:val="auto"/>
                <w:szCs w:val="24"/>
                <w:highlight w:val="yellow"/>
                <w:lang w:val="en-CA" w:eastAsia="en-CA"/>
              </w:rPr>
            </w:pPr>
          </w:p>
        </w:tc>
        <w:tc>
          <w:tcPr>
            <w:tcW w:w="7908" w:type="dxa"/>
          </w:tcPr>
          <w:p w14:paraId="219BA97F" w14:textId="12551703" w:rsidR="003A4B5D" w:rsidRPr="009C0925" w:rsidRDefault="00B07900"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wind,t</m:t>
                    </m:r>
                  </m:sub>
                </m:sSub>
              </m:oMath>
            </m:oMathPara>
          </w:p>
        </w:tc>
        <w:tc>
          <w:tcPr>
            <w:tcW w:w="616" w:type="dxa"/>
          </w:tcPr>
          <w:p w14:paraId="6BC243E7" w14:textId="710A0B7D" w:rsidR="003A4B5D" w:rsidRDefault="003A4B5D" w:rsidP="000B7FFD">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2</w:t>
            </w:r>
            <w:r w:rsidRPr="009C0925">
              <w:rPr>
                <w:color w:val="auto"/>
                <w:szCs w:val="24"/>
                <w:highlight w:val="yellow"/>
                <w:lang w:val="en-CA" w:eastAsia="en-CA"/>
              </w:rPr>
              <w:t>)</w:t>
            </w:r>
          </w:p>
        </w:tc>
      </w:tr>
    </w:tbl>
    <w:p w14:paraId="56181588" w14:textId="55D86C76" w:rsidR="00FE013C" w:rsidRDefault="0027718E" w:rsidP="004C16FF">
      <w:pPr>
        <w:rPr>
          <w:b/>
          <w:bCs/>
          <w:color w:val="auto"/>
          <w:szCs w:val="24"/>
          <w:lang w:val="en-CA" w:eastAsia="en-CA"/>
        </w:rPr>
      </w:pPr>
      <w:r w:rsidRPr="00050446">
        <w:rPr>
          <w:b/>
          <w:bCs/>
          <w:color w:val="auto"/>
          <w:szCs w:val="24"/>
          <w:highlight w:val="yellow"/>
          <w:lang w:val="en-CA" w:eastAsia="en-CA"/>
        </w:rPr>
        <w:t>Grid Import/Export Limits</w:t>
      </w:r>
      <w:r w:rsidR="00FE013C"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3104FF9E" w14:textId="77777777" w:rsidTr="00C469F6">
        <w:tc>
          <w:tcPr>
            <w:tcW w:w="421" w:type="dxa"/>
          </w:tcPr>
          <w:p w14:paraId="74FEED8D" w14:textId="77777777" w:rsidR="00FE013C" w:rsidRDefault="00FE013C" w:rsidP="004C16FF">
            <w:pPr>
              <w:rPr>
                <w:color w:val="auto"/>
                <w:szCs w:val="24"/>
                <w:lang w:val="en-CA" w:eastAsia="en-CA"/>
              </w:rPr>
            </w:pPr>
          </w:p>
        </w:tc>
        <w:tc>
          <w:tcPr>
            <w:tcW w:w="7908" w:type="dxa"/>
          </w:tcPr>
          <w:p w14:paraId="72EC30AE" w14:textId="54BD108A" w:rsidR="00FE013C" w:rsidRPr="00DF6FAE" w:rsidRDefault="00450642"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grid,exp</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grid,imp</m:t>
                    </m:r>
                  </m:sub>
                </m:sSub>
              </m:oMath>
            </m:oMathPara>
          </w:p>
        </w:tc>
        <w:tc>
          <w:tcPr>
            <w:tcW w:w="616" w:type="dxa"/>
            <w:vAlign w:val="center"/>
          </w:tcPr>
          <w:p w14:paraId="6A148A28" w14:textId="099D3FBD" w:rsidR="00FE013C" w:rsidRPr="00DF6FAE" w:rsidRDefault="00FE013C" w:rsidP="004C16FF">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3</w:t>
            </w:r>
            <w:r w:rsidRPr="00DF6FAE">
              <w:rPr>
                <w:color w:val="auto"/>
                <w:szCs w:val="24"/>
                <w:highlight w:val="yellow"/>
                <w:lang w:val="en-CA" w:eastAsia="en-CA"/>
              </w:rPr>
              <w:t>)</w:t>
            </w:r>
          </w:p>
        </w:tc>
      </w:tr>
    </w:tbl>
    <w:p w14:paraId="2AC0B359" w14:textId="306242ED" w:rsidR="00C469F6" w:rsidRDefault="001B3BFE" w:rsidP="00C469F6">
      <w:pPr>
        <w:rPr>
          <w:b/>
          <w:bCs/>
          <w:color w:val="auto"/>
          <w:szCs w:val="24"/>
          <w:lang w:val="en-CA" w:eastAsia="en-CA"/>
        </w:rPr>
      </w:pPr>
      <w:r>
        <w:rPr>
          <w:b/>
          <w:bCs/>
          <w:color w:val="auto"/>
          <w:szCs w:val="24"/>
          <w:highlight w:val="yellow"/>
          <w:lang w:val="en-CA" w:eastAsia="en-CA"/>
        </w:rPr>
        <w:t>Backup-Generation Limits</w:t>
      </w:r>
      <w:r w:rsidR="00C469F6"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469F6" w14:paraId="66EDAF75" w14:textId="77777777" w:rsidTr="009D1777">
        <w:tc>
          <w:tcPr>
            <w:tcW w:w="421" w:type="dxa"/>
          </w:tcPr>
          <w:p w14:paraId="3DAD372C" w14:textId="77777777" w:rsidR="00C469F6" w:rsidRDefault="00C469F6" w:rsidP="000B7FFD">
            <w:pPr>
              <w:rPr>
                <w:color w:val="auto"/>
                <w:szCs w:val="24"/>
                <w:lang w:val="en-CA" w:eastAsia="en-CA"/>
              </w:rPr>
            </w:pPr>
          </w:p>
        </w:tc>
        <w:tc>
          <w:tcPr>
            <w:tcW w:w="7908" w:type="dxa"/>
          </w:tcPr>
          <w:p w14:paraId="392A64A8" w14:textId="3C5D25F8" w:rsidR="00C469F6" w:rsidRPr="00DF6FAE" w:rsidRDefault="00A746D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m:t>
                    </m:r>
                  </m:sub>
                </m:sSub>
              </m:oMath>
            </m:oMathPara>
          </w:p>
        </w:tc>
        <w:tc>
          <w:tcPr>
            <w:tcW w:w="616" w:type="dxa"/>
            <w:vAlign w:val="center"/>
          </w:tcPr>
          <w:p w14:paraId="2A645A6C" w14:textId="326131B6" w:rsidR="00C469F6" w:rsidRPr="00DF6FAE" w:rsidRDefault="00C469F6" w:rsidP="000B7FFD">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4</w:t>
            </w:r>
            <w:r w:rsidRPr="00DF6FAE">
              <w:rPr>
                <w:color w:val="auto"/>
                <w:szCs w:val="24"/>
                <w:highlight w:val="yellow"/>
                <w:lang w:val="en-CA" w:eastAsia="en-CA"/>
              </w:rPr>
              <w:t>)</w:t>
            </w:r>
          </w:p>
        </w:tc>
      </w:tr>
    </w:tbl>
    <w:p w14:paraId="303E347A" w14:textId="41B48433" w:rsidR="009D1777" w:rsidRPr="00727E3B" w:rsidRDefault="0023740C" w:rsidP="009D1777">
      <w:pPr>
        <w:rPr>
          <w:b/>
          <w:bCs/>
          <w:color w:val="auto"/>
          <w:szCs w:val="24"/>
          <w:highlight w:val="yellow"/>
          <w:lang w:val="en-CA" w:eastAsia="en-CA"/>
        </w:rPr>
      </w:pPr>
      <w:r w:rsidRPr="00727E3B">
        <w:rPr>
          <w:b/>
          <w:bCs/>
          <w:color w:val="auto"/>
          <w:szCs w:val="24"/>
          <w:highlight w:val="yellow"/>
          <w:lang w:val="en-CA" w:eastAsia="en-CA"/>
        </w:rPr>
        <w:t>Reliability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6815963C" w14:textId="77777777" w:rsidTr="009D1777">
        <w:tc>
          <w:tcPr>
            <w:tcW w:w="421" w:type="dxa"/>
          </w:tcPr>
          <w:p w14:paraId="5D7001AA" w14:textId="77777777" w:rsidR="009D1777" w:rsidRPr="00727E3B" w:rsidRDefault="009D1777" w:rsidP="000B7FFD">
            <w:pPr>
              <w:rPr>
                <w:color w:val="auto"/>
                <w:szCs w:val="24"/>
                <w:highlight w:val="yellow"/>
                <w:lang w:val="en-CA" w:eastAsia="en-CA"/>
              </w:rPr>
            </w:pPr>
          </w:p>
        </w:tc>
        <w:tc>
          <w:tcPr>
            <w:tcW w:w="7908" w:type="dxa"/>
          </w:tcPr>
          <w:p w14:paraId="2CFCAC54" w14:textId="351B9292" w:rsidR="009D1777" w:rsidRPr="00727E3B" w:rsidRDefault="002445F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LOLE≤0.876</m:t>
                </m:r>
                <m:r>
                  <m:rPr>
                    <m:nor/>
                  </m:rPr>
                  <w:rPr>
                    <w:rFonts w:ascii="Cambria Math" w:hAnsi="Cambria Math"/>
                    <w:color w:val="auto"/>
                    <w:szCs w:val="24"/>
                    <w:highlight w:val="yellow"/>
                  </w:rPr>
                  <m:t> h/year</m:t>
                </m:r>
              </m:oMath>
            </m:oMathPara>
          </w:p>
        </w:tc>
        <w:tc>
          <w:tcPr>
            <w:tcW w:w="616" w:type="dxa"/>
            <w:vAlign w:val="center"/>
          </w:tcPr>
          <w:p w14:paraId="746BD69F" w14:textId="491264C0"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5</w:t>
            </w:r>
            <w:r w:rsidRPr="00727E3B">
              <w:rPr>
                <w:color w:val="auto"/>
                <w:szCs w:val="24"/>
                <w:highlight w:val="yellow"/>
                <w:lang w:val="en-CA" w:eastAsia="en-CA"/>
              </w:rPr>
              <w:t>)</w:t>
            </w:r>
          </w:p>
        </w:tc>
      </w:tr>
    </w:tbl>
    <w:p w14:paraId="6D096A00" w14:textId="2B896E52" w:rsidR="009D1777" w:rsidRPr="00727E3B" w:rsidRDefault="00000154" w:rsidP="009D1777">
      <w:pPr>
        <w:rPr>
          <w:b/>
          <w:bCs/>
          <w:color w:val="auto"/>
          <w:szCs w:val="24"/>
          <w:highlight w:val="yellow"/>
          <w:lang w:val="en-CA" w:eastAsia="en-CA"/>
        </w:rPr>
      </w:pPr>
      <w:r w:rsidRPr="00727E3B">
        <w:rPr>
          <w:b/>
          <w:bCs/>
          <w:color w:val="auto"/>
          <w:szCs w:val="24"/>
          <w:highlight w:val="yellow"/>
          <w:lang w:val="en-CA" w:eastAsia="en-CA"/>
        </w:rPr>
        <w:t xml:space="preserve">Cyclic End-State </w:t>
      </w:r>
      <w:r w:rsidR="0016087D" w:rsidRPr="00727E3B">
        <w:rPr>
          <w:b/>
          <w:bCs/>
          <w:color w:val="auto"/>
          <w:szCs w:val="24"/>
          <w:highlight w:val="yellow"/>
          <w:lang w:val="en-CA" w:eastAsia="en-CA"/>
        </w:rPr>
        <w:t>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06EF487A" w14:textId="77777777" w:rsidTr="009D1777">
        <w:tc>
          <w:tcPr>
            <w:tcW w:w="421" w:type="dxa"/>
          </w:tcPr>
          <w:p w14:paraId="1D346788" w14:textId="77777777" w:rsidR="009D1777" w:rsidRPr="00727E3B" w:rsidRDefault="009D1777" w:rsidP="000B7FFD">
            <w:pPr>
              <w:rPr>
                <w:color w:val="auto"/>
                <w:szCs w:val="24"/>
                <w:highlight w:val="yellow"/>
                <w:lang w:val="en-CA" w:eastAsia="en-CA"/>
              </w:rPr>
            </w:pPr>
          </w:p>
        </w:tc>
        <w:tc>
          <w:tcPr>
            <w:tcW w:w="7908" w:type="dxa"/>
          </w:tcPr>
          <w:p w14:paraId="7E7484AD" w14:textId="4512CD0C" w:rsidR="009D1777" w:rsidRPr="00727E3B" w:rsidRDefault="001F01F2"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1</m:t>
                    </m:r>
                  </m:sub>
                </m:sSub>
              </m:oMath>
            </m:oMathPara>
          </w:p>
        </w:tc>
        <w:tc>
          <w:tcPr>
            <w:tcW w:w="616" w:type="dxa"/>
            <w:vAlign w:val="center"/>
          </w:tcPr>
          <w:p w14:paraId="5712CA7F" w14:textId="7B725F29"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6</w:t>
            </w:r>
            <w:r w:rsidRPr="00727E3B">
              <w:rPr>
                <w:color w:val="auto"/>
                <w:szCs w:val="24"/>
                <w:highlight w:val="yellow"/>
                <w:lang w:val="en-CA" w:eastAsia="en-CA"/>
              </w:rPr>
              <w:t>)</w:t>
            </w:r>
          </w:p>
        </w:tc>
      </w:tr>
    </w:tbl>
    <w:p w14:paraId="6CF96D39" w14:textId="41371520" w:rsidR="009D1777" w:rsidRPr="00727E3B" w:rsidRDefault="0016087D" w:rsidP="009D1777">
      <w:pPr>
        <w:rPr>
          <w:b/>
          <w:bCs/>
          <w:color w:val="auto"/>
          <w:szCs w:val="24"/>
          <w:highlight w:val="yellow"/>
          <w:lang w:val="en-CA" w:eastAsia="en-CA"/>
        </w:rPr>
      </w:pPr>
      <w:r w:rsidRPr="00727E3B">
        <w:rPr>
          <w:b/>
          <w:bCs/>
          <w:color w:val="auto"/>
          <w:szCs w:val="24"/>
          <w:highlight w:val="yellow"/>
          <w:lang w:val="en-CA" w:eastAsia="en-CA"/>
        </w:rPr>
        <w:t>Optional Emissions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14:paraId="5C1D77AD" w14:textId="77777777" w:rsidTr="007732EC">
        <w:tc>
          <w:tcPr>
            <w:tcW w:w="421" w:type="dxa"/>
          </w:tcPr>
          <w:p w14:paraId="37E014A0" w14:textId="77777777" w:rsidR="009D1777" w:rsidRPr="00727E3B" w:rsidRDefault="009D1777" w:rsidP="000B7FFD">
            <w:pPr>
              <w:rPr>
                <w:color w:val="auto"/>
                <w:szCs w:val="24"/>
                <w:highlight w:val="yellow"/>
                <w:lang w:val="en-CA" w:eastAsia="en-CA"/>
              </w:rPr>
            </w:pPr>
          </w:p>
        </w:tc>
        <w:tc>
          <w:tcPr>
            <w:tcW w:w="7908" w:type="dxa"/>
          </w:tcPr>
          <w:p w14:paraId="2A840DC7" w14:textId="52B69279" w:rsidR="009D1777" w:rsidRPr="00727E3B" w:rsidRDefault="00000000" w:rsidP="000B7FFD">
            <w:pPr>
              <w:rPr>
                <w:rFonts w:asciiTheme="majorBidi" w:hAnsiTheme="majorBidi" w:cstheme="majorBidi"/>
                <w:color w:val="auto"/>
                <w:sz w:val="22"/>
                <w:szCs w:val="22"/>
                <w:highlight w:val="yellow"/>
                <w:lang w:val="en-CA" w:eastAsia="en-CA"/>
              </w:rPr>
            </w:pPr>
            <m:oMathPara>
              <m:oMath>
                <m:nary>
                  <m:naryPr>
                    <m:chr m:val="∑"/>
                    <m:limLoc m:val="undOvr"/>
                    <m:subHide m:val="1"/>
                    <m:supHide m:val="1"/>
                    <m:ctrlPr>
                      <w:rPr>
                        <w:rFonts w:ascii="Cambria Math" w:hAnsi="Cambria Math"/>
                        <w:color w:val="auto"/>
                        <w:szCs w:val="24"/>
                        <w:highlight w:val="yellow"/>
                      </w:rPr>
                    </m:ctrlPr>
                  </m:naryPr>
                  <m:sub/>
                  <m:sup/>
                  <m:e>
                    <m:sSubSup>
                      <m:sSubSupPr>
                        <m:ctrlPr>
                          <w:rPr>
                            <w:rFonts w:ascii="Cambria Math" w:hAnsi="Cambria Math"/>
                            <w:color w:val="auto"/>
                            <w:szCs w:val="24"/>
                            <w:highlight w:val="yellow"/>
                          </w:rPr>
                        </m:ctrlPr>
                      </m:sSubSupPr>
                      <m:e>
                        <m:r>
                          <w:rPr>
                            <w:rFonts w:ascii="Cambria Math" w:hAnsi="Cambria Math"/>
                            <w:color w:val="auto"/>
                            <w:szCs w:val="24"/>
                            <w:highlight w:val="yellow"/>
                          </w:rPr>
                          <m:t>C</m:t>
                        </m:r>
                      </m:e>
                      <m:sub>
                        <m:r>
                          <w:rPr>
                            <w:rFonts w:ascii="Cambria Math" w:hAnsi="Cambria Math"/>
                            <w:color w:val="auto"/>
                            <w:szCs w:val="24"/>
                            <w:highlight w:val="yellow"/>
                          </w:rPr>
                          <m:t>I</m:t>
                        </m:r>
                      </m:sub>
                      <m:sup>
                        <m:r>
                          <w:rPr>
                            <w:rFonts w:ascii="Cambria Math" w:hAnsi="Cambria Math"/>
                            <w:color w:val="auto"/>
                            <w:szCs w:val="24"/>
                            <w:highlight w:val="yellow"/>
                          </w:rPr>
                          <m:t>t</m:t>
                        </m:r>
                      </m:sup>
                    </m:sSubSup>
                  </m:e>
                </m:nary>
                <m:d>
                  <m:dPr>
                    <m:ctrlPr>
                      <w:rPr>
                        <w:rFonts w:ascii="Cambria Math" w:hAnsi="Cambria Math"/>
                        <w:color w:val="auto"/>
                        <w:szCs w:val="24"/>
                        <w:highlight w:val="yellow"/>
                      </w:rPr>
                    </m:ctrlPr>
                  </m:dPr>
                  <m:e>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e>
                </m:d>
                <m:r>
                  <m:rPr>
                    <m:sty m:val="p"/>
                  </m:rPr>
                  <w:rPr>
                    <w:rFonts w:ascii="Cambria Math" w:hAnsi="Cambria Math"/>
                    <w:color w:val="auto"/>
                    <w:szCs w:val="24"/>
                    <w:highlight w:val="yellow"/>
                  </w:rPr>
                  <m:t>Δ</m:t>
                </m:r>
                <m:r>
                  <w:rPr>
                    <w:rFonts w:ascii="Cambria Math" w:hAnsi="Cambria Math"/>
                    <w:color w:val="auto"/>
                    <w:szCs w:val="24"/>
                    <w:highlight w:val="yellow"/>
                  </w:rPr>
                  <m:t>t≤C</m:t>
                </m:r>
                <m:sSubSup>
                  <m:sSubSupPr>
                    <m:ctrlPr>
                      <w:rPr>
                        <w:rFonts w:ascii="Cambria Math" w:hAnsi="Cambria Math"/>
                        <w:color w:val="auto"/>
                        <w:szCs w:val="24"/>
                        <w:highlight w:val="yellow"/>
                      </w:rPr>
                    </m:ctrlPr>
                  </m:sSubSupPr>
                  <m:e>
                    <m:r>
                      <w:rPr>
                        <w:rFonts w:ascii="Cambria Math" w:hAnsi="Cambria Math"/>
                        <w:color w:val="auto"/>
                        <w:szCs w:val="24"/>
                        <w:highlight w:val="yellow"/>
                      </w:rPr>
                      <m:t>O</m:t>
                    </m:r>
                  </m:e>
                  <m:sub>
                    <m:r>
                      <w:rPr>
                        <w:rFonts w:ascii="Cambria Math" w:hAnsi="Cambria Math"/>
                        <w:color w:val="auto"/>
                        <w:szCs w:val="24"/>
                        <w:highlight w:val="yellow"/>
                      </w:rPr>
                      <m:t>2</m:t>
                    </m:r>
                  </m:sub>
                  <m:sup>
                    <m:r>
                      <w:rPr>
                        <w:rFonts w:ascii="Cambria Math" w:hAnsi="Cambria Math"/>
                        <w:color w:val="auto"/>
                        <w:szCs w:val="24"/>
                        <w:highlight w:val="yellow"/>
                      </w:rPr>
                      <m:t>target</m:t>
                    </m:r>
                  </m:sup>
                </m:sSubSup>
              </m:oMath>
            </m:oMathPara>
          </w:p>
        </w:tc>
        <w:tc>
          <w:tcPr>
            <w:tcW w:w="616" w:type="dxa"/>
            <w:vAlign w:val="center"/>
          </w:tcPr>
          <w:p w14:paraId="271141FE" w14:textId="0658BA12"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7</w:t>
            </w:r>
            <w:r w:rsidRPr="00727E3B">
              <w:rPr>
                <w:color w:val="auto"/>
                <w:szCs w:val="24"/>
                <w:highlight w:val="yellow"/>
                <w:lang w:val="en-CA" w:eastAsia="en-CA"/>
              </w:rPr>
              <w:t>)</w:t>
            </w:r>
          </w:p>
        </w:tc>
      </w:tr>
    </w:tbl>
    <w:p w14:paraId="509261BF" w14:textId="5504B830" w:rsidR="007732EC" w:rsidRPr="00B56231" w:rsidRDefault="007732EC" w:rsidP="00510910">
      <w:pPr>
        <w:spacing w:after="120"/>
        <w:ind w:firstLine="480"/>
      </w:pPr>
      <w:r w:rsidRPr="00510910">
        <w:rPr>
          <w:highlight w:val="yellow"/>
        </w:rPr>
        <w:t xml:space="preserve">Deterministic, probabilistic, and optimization-based approaches serve different planning purposes. Deterministic sizing estimates storage requirements under specified deficit conditions and may be appropriate where conservative margins are required. Probabilistic methods quantify supply </w:t>
      </w:r>
      <w:r w:rsidRPr="00510910">
        <w:rPr>
          <w:highlight w:val="yellow"/>
        </w:rPr>
        <w:lastRenderedPageBreak/>
        <w:t>inadequacy against a stated reliability criterion, while optimization-based methods jointly consider capital cost, operating cost, emissions, and physical constraints. Each approach requires transparent input data, assumptions, formulation, time resolution, solver information where applicable, and validation procedures. This review does not claim a universal storage reduction or a site-specific Pareto-optimal configuration.</w:t>
      </w:r>
      <w:r w:rsidR="00510910" w:rsidRPr="00510910">
        <w:rPr>
          <w:highlight w:val="yellow"/>
        </w:rPr>
        <w:t xml:space="preserve"> </w:t>
      </w:r>
      <w:r w:rsidR="00510910" w:rsidRPr="00510910">
        <w:rPr>
          <w:highlight w:val="yellow"/>
        </w:rPr>
        <w:fldChar w:fldCharType="begin"/>
      </w:r>
      <w:r w:rsidR="00510910" w:rsidRPr="00510910">
        <w:rPr>
          <w:highlight w:val="yellow"/>
        </w:rPr>
        <w:instrText xml:space="preserve"> REF _Ref239529506 \h </w:instrText>
      </w:r>
      <w:r w:rsidR="00510910">
        <w:rPr>
          <w:highlight w:val="yellow"/>
        </w:rPr>
        <w:instrText xml:space="preserve"> \* MERGEFORMAT </w:instrText>
      </w:r>
      <w:r w:rsidR="00510910" w:rsidRPr="00510910">
        <w:rPr>
          <w:highlight w:val="yellow"/>
        </w:rPr>
      </w:r>
      <w:r w:rsidR="00510910" w:rsidRPr="00510910">
        <w:rPr>
          <w:highlight w:val="yellow"/>
        </w:rPr>
        <w:fldChar w:fldCharType="separate"/>
      </w:r>
      <w:r w:rsidR="00510910" w:rsidRPr="00510910">
        <w:rPr>
          <w:highlight w:val="yellow"/>
        </w:rPr>
        <w:t xml:space="preserve">Figure </w:t>
      </w:r>
      <w:r w:rsidR="00510910" w:rsidRPr="00510910">
        <w:rPr>
          <w:noProof/>
          <w:highlight w:val="yellow"/>
        </w:rPr>
        <w:t>6</w:t>
      </w:r>
      <w:r w:rsidR="00510910" w:rsidRPr="00510910">
        <w:rPr>
          <w:highlight w:val="yellow"/>
        </w:rPr>
        <w:t xml:space="preserve"> Energy storage technology landscape: duration vs. cost trade-offs</w:t>
      </w:r>
      <w:r w:rsidR="00510910" w:rsidRPr="00510910">
        <w:rPr>
          <w:highlight w:val="yellow"/>
        </w:rPr>
        <w:fldChar w:fldCharType="end"/>
      </w:r>
      <w:r w:rsidR="00510910" w:rsidRPr="00510910">
        <w:rPr>
          <w:highlight w:val="yellow"/>
        </w:rPr>
        <w:t>, summarizes the principal trade-off between storage duration, technology characteristics, and relative cost, illustrating why different storage technologies are suited to different operational timescales rather than representing interchangeable alternatives.</w:t>
      </w:r>
    </w:p>
    <w:p w14:paraId="7EED3019" w14:textId="34CF6C19" w:rsidR="00FE013C" w:rsidRDefault="00FE013C" w:rsidP="00FC3188">
      <w:pPr>
        <w:keepNext/>
        <w:spacing w:after="120"/>
        <w:jc w:val="center"/>
      </w:pPr>
      <w:r w:rsidRPr="00582570">
        <w:rPr>
          <w:noProof/>
          <w:lang w:val="en-CA"/>
        </w:rPr>
        <w:drawing>
          <wp:inline distT="0" distB="0" distL="0" distR="0" wp14:anchorId="30D28A52" wp14:editId="3DCC70FB">
            <wp:extent cx="5537835" cy="3016250"/>
            <wp:effectExtent l="0" t="0" r="5715" b="0"/>
            <wp:docPr id="130172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3768"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317" b="8983"/>
                    <a:stretch>
                      <a:fillRect/>
                    </a:stretch>
                  </pic:blipFill>
                  <pic:spPr bwMode="auto">
                    <a:xfrm>
                      <a:off x="0" y="0"/>
                      <a:ext cx="5539079" cy="3016928"/>
                    </a:xfrm>
                    <a:prstGeom prst="rect">
                      <a:avLst/>
                    </a:prstGeom>
                    <a:noFill/>
                    <a:ln>
                      <a:noFill/>
                    </a:ln>
                    <a:extLst>
                      <a:ext uri="{53640926-AAD7-44D8-BBD7-CCE9431645EC}">
                        <a14:shadowObscured xmlns:a14="http://schemas.microsoft.com/office/drawing/2010/main"/>
                      </a:ext>
                    </a:extLst>
                  </pic:spPr>
                </pic:pic>
              </a:graphicData>
            </a:graphic>
          </wp:inline>
        </w:drawing>
      </w:r>
    </w:p>
    <w:p w14:paraId="6C5B3953" w14:textId="175FD557" w:rsidR="00FE013C" w:rsidRDefault="00FE013C" w:rsidP="00FC3188">
      <w:pPr>
        <w:pStyle w:val="Caption"/>
        <w:jc w:val="center"/>
      </w:pPr>
      <w:bookmarkStart w:id="12" w:name="_Ref239529506"/>
      <w:r w:rsidRPr="00BA3D74">
        <w:rPr>
          <w:highlight w:val="yellow"/>
        </w:rPr>
        <w:t xml:space="preserve">Figure </w:t>
      </w:r>
      <w:r w:rsidRPr="00BA3D74">
        <w:rPr>
          <w:highlight w:val="yellow"/>
        </w:rPr>
        <w:fldChar w:fldCharType="begin"/>
      </w:r>
      <w:r w:rsidRPr="00BA3D74">
        <w:rPr>
          <w:highlight w:val="yellow"/>
        </w:rPr>
        <w:instrText xml:space="preserve"> SEQ Figure \* ARABIC </w:instrText>
      </w:r>
      <w:r w:rsidRPr="00BA3D74">
        <w:rPr>
          <w:highlight w:val="yellow"/>
        </w:rPr>
        <w:fldChar w:fldCharType="separate"/>
      </w:r>
      <w:r w:rsidR="00807110" w:rsidRPr="00BA3D74">
        <w:rPr>
          <w:noProof/>
          <w:highlight w:val="yellow"/>
        </w:rPr>
        <w:t>6</w:t>
      </w:r>
      <w:r w:rsidRPr="00BA3D74">
        <w:rPr>
          <w:noProof/>
          <w:highlight w:val="yellow"/>
        </w:rPr>
        <w:fldChar w:fldCharType="end"/>
      </w:r>
      <w:r w:rsidRPr="00BA3D74">
        <w:rPr>
          <w:highlight w:val="yellow"/>
        </w:rPr>
        <w:t xml:space="preserve"> Energy storage technology landscape: duration vs. cost trade-offs</w:t>
      </w:r>
      <w:bookmarkEnd w:id="12"/>
    </w:p>
    <w:p w14:paraId="02B303F1" w14:textId="77777777" w:rsidR="00FE013C" w:rsidRDefault="00FE013C" w:rsidP="004C16FF">
      <w:pPr>
        <w:pStyle w:val="Heading20"/>
        <w:jc w:val="both"/>
        <w:rPr>
          <w:color w:val="auto"/>
        </w:rPr>
      </w:pPr>
      <w:r>
        <w:rPr>
          <w:color w:val="auto"/>
        </w:rPr>
        <w:t>5.4. Hybrid Backup Power Systems</w:t>
      </w:r>
    </w:p>
    <w:p w14:paraId="28AADF7D" w14:textId="75FB3214" w:rsidR="00FE013C" w:rsidRPr="00EE0471" w:rsidRDefault="00FE013C" w:rsidP="00A95675">
      <w:pPr>
        <w:spacing w:after="120"/>
        <w:ind w:firstLine="480"/>
      </w:pPr>
      <w:r w:rsidRPr="00EE0471">
        <w:t xml:space="preserve">Choosing a technology for backup power means balancing reliability, cost, emissions, and fuel logistics. </w:t>
      </w:r>
      <w:r w:rsidR="004D0D7D" w:rsidRPr="004D0D7D">
        <w:t xml:space="preserve">Despite decarbonization objectives and local air-quality constraints </w:t>
      </w:r>
      <w:r w:rsidRPr="00EE0471">
        <w:t>and the drive to reduce carbon emissions, diesel generators are the most widely adopted backup solution, with capital costs between $300 to $600 per kW, a track record of reliability, and well-established fuel supply chains. However, diesel generators generate substantial air pollutants (NOx, PM2.5) and CO</w:t>
      </w:r>
      <w:r w:rsidRPr="00ED5900">
        <w:rPr>
          <w:vertAlign w:val="subscript"/>
        </w:rPr>
        <w:t>2</w:t>
      </w:r>
      <w:r w:rsidRPr="00EE0471">
        <w:t xml:space="preserve"> emissions locally, which conflicts with corporate sustainability objectives</w:t>
      </w:r>
      <w:r>
        <w:fldChar w:fldCharType="begin"/>
      </w:r>
      <w:r w:rsidR="00A95675">
        <w:instrText xml:space="preserve"> ADDIN ZOTERO_ITEM CSL_CITATION {"citationID":"y7cVLr5U","properties":{"unsorted":false,"formattedCitation":"[124]","plainCitation":"[124]","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fldChar w:fldCharType="separate"/>
      </w:r>
      <w:r w:rsidR="00A95675" w:rsidRPr="00A95675">
        <w:t>[124]</w:t>
      </w:r>
      <w:r>
        <w:fldChar w:fldCharType="end"/>
      </w:r>
      <w:r w:rsidRPr="00EE0471">
        <w:t xml:space="preserve">. Typical diesel generator installations for a 100 MW data </w:t>
      </w:r>
      <w:r w:rsidR="00580BAE">
        <w:t>center</w:t>
      </w:r>
      <w:r w:rsidRPr="00EE0471">
        <w:t xml:space="preserve"> with N+1 redundancy are about 20 to 30 MW, with 24 to 72 hours of fuel storage to operate at full load.</w:t>
      </w:r>
    </w:p>
    <w:p w14:paraId="3E4C74F6" w14:textId="2E2D6597" w:rsidR="00FE013C" w:rsidRPr="00EE0471" w:rsidRDefault="00FE013C" w:rsidP="00A95675">
      <w:pPr>
        <w:spacing w:after="120"/>
        <w:ind w:firstLine="480"/>
      </w:pPr>
      <w:r w:rsidRPr="00EE0471">
        <w:t>Natural gas generators produce lower emissions than diesel. CO</w:t>
      </w:r>
      <w:r w:rsidRPr="004A0F17">
        <w:rPr>
          <w:vertAlign w:val="subscript"/>
        </w:rPr>
        <w:t>2</w:t>
      </w:r>
      <w:r w:rsidRPr="00EE0471">
        <w:t xml:space="preserve"> emissions are approximately 20–30</w:t>
      </w:r>
      <w:r>
        <w:t xml:space="preserve">% </w:t>
      </w:r>
      <w:r w:rsidRPr="00EE0471">
        <w:t>lower per kWh, and the local air quality impact is much lower. Capital costs are similar to those of diesel ($350 - $650/kW), but the reliability of the fuel supply is dependent on the natural gas pipeline infrastructure, which might be vulnerable during extreme weather events</w:t>
      </w:r>
      <w:r>
        <w:fldChar w:fldCharType="begin"/>
      </w:r>
      <w:r w:rsidR="00A95675">
        <w:instrText xml:space="preserve"> ADDIN ZOTERO_ITEM CSL_CITATION {"citationID":"KkWqXrYg","properties":{"unsorted":false,"formattedCitation":"[125]","plainCitation":"[125]","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fldChar w:fldCharType="separate"/>
      </w:r>
      <w:r w:rsidR="00A95675" w:rsidRPr="00A95675">
        <w:t>[125]</w:t>
      </w:r>
      <w:r>
        <w:fldChar w:fldCharType="end"/>
      </w:r>
      <w:r w:rsidRPr="00EE0471">
        <w:t>. Microturbines, which are powered by natural gas or biogas, have lower efficiencies (25–35</w:t>
      </w:r>
      <w:r>
        <w:t>%</w:t>
      </w:r>
      <w:r w:rsidRPr="00EE0471">
        <w:t>) than reciprocating engines and have smaller footprints and less maintenance</w:t>
      </w:r>
      <w:r>
        <w:fldChar w:fldCharType="begin"/>
      </w:r>
      <w:r w:rsidR="00F77E8E">
        <w:instrText xml:space="preserve"> ADDIN ZOTERO_ITEM CSL_CITATION {"citationID":"H0M4Pu4F","properties":{"unsorted":false,"formattedCitation":"[117]","plainCitation":"[117]","dontUpdate":true,"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fldChar w:fldCharType="separate"/>
      </w:r>
      <w:r w:rsidRPr="00584BC7">
        <w:t xml:space="preserve"> requirements [117]</w:t>
      </w:r>
      <w:r>
        <w:fldChar w:fldCharType="end"/>
      </w:r>
      <w:r w:rsidRPr="00EE0471">
        <w:t>.</w:t>
      </w:r>
    </w:p>
    <w:p w14:paraId="162FD4D7" w14:textId="28E87308" w:rsidR="00FE013C" w:rsidRPr="00EE0471" w:rsidRDefault="00FE013C" w:rsidP="00A95675">
      <w:pPr>
        <w:spacing w:after="120"/>
        <w:ind w:firstLine="480"/>
      </w:pPr>
      <w:r w:rsidRPr="00EE0471">
        <w:t xml:space="preserve">Assessing grid connection as a backup method assumes that the utility grid is reliable and has dual utility feeds from separate substations, </w:t>
      </w:r>
      <w:r w:rsidR="00580BAE" w:rsidRPr="00EE0471">
        <w:t>minimizing</w:t>
      </w:r>
      <w:r w:rsidRPr="00EE0471">
        <w:t xml:space="preserve"> the likelihood of a dual outage. Tiered power </w:t>
      </w:r>
      <w:r w:rsidRPr="00EE0471">
        <w:lastRenderedPageBreak/>
        <w:t>contracts are a mix of firm capacity and interruptible lower-powered rates that offer economic flexibility along with backup power</w:t>
      </w:r>
      <w:r>
        <w:fldChar w:fldCharType="begin"/>
      </w:r>
      <w:r w:rsidR="00A95675">
        <w:instrText xml:space="preserve"> ADDIN ZOTERO_ITEM CSL_CITATION {"citationID":"a5J6f3tN","properties":{"unsorted":false,"formattedCitation":"[126]","plainCitation":"[126]","noteIndex":0},"citationItems":[{"id":2083,"uris":["http://zotero.org/users/9870935/items/XWHBFKKT"],"itemData":{"id":2083,"type":"post-weblog","title":"Powering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fldChar w:fldCharType="separate"/>
      </w:r>
      <w:r w:rsidR="00A95675" w:rsidRPr="00A95675">
        <w:t>[126]</w:t>
      </w:r>
      <w:r>
        <w:fldChar w:fldCharType="end"/>
      </w:r>
      <w:r w:rsidRPr="00EE0471">
        <w:t>. Grid backup varies widely from region to region, with an average of 1.5 to 6 hours of utility outages per year in the U.S. for each utility and geographic area</w:t>
      </w:r>
      <w:r>
        <w:fldChar w:fldCharType="begin"/>
      </w:r>
      <w:r w:rsidR="00A95675">
        <w:instrText xml:space="preserve"> ADDIN ZOTERO_ITEM CSL_CITATION {"citationID":"UpEoxyqs","properties":{"unsorted":false,"formattedCitation":"[115]","plainCitation":"[115]","noteIndex":0},"citationItems":[{"id":2084,"uris":["http://zotero.org/users/9870935/items/TIB5XQM5"],"itemData":{"id":2084,"type":"post-weblog","title":"Electric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fldChar w:fldCharType="separate"/>
      </w:r>
      <w:r w:rsidR="00A95675" w:rsidRPr="00A95675">
        <w:t>[115]</w:t>
      </w:r>
      <w:r>
        <w:fldChar w:fldCharType="end"/>
      </w:r>
      <w:r w:rsidRPr="00EE0471">
        <w:t>.</w:t>
      </w:r>
    </w:p>
    <w:p w14:paraId="4404FCEB" w14:textId="77777777" w:rsidR="00FE013C" w:rsidRDefault="00FE013C" w:rsidP="004C16FF">
      <w:pPr>
        <w:pStyle w:val="Heading20"/>
        <w:jc w:val="both"/>
        <w:rPr>
          <w:color w:val="auto"/>
        </w:rPr>
      </w:pPr>
      <w:r>
        <w:rPr>
          <w:color w:val="auto"/>
        </w:rPr>
        <w:t>5.5. Integration and Control Architecture</w:t>
      </w:r>
    </w:p>
    <w:p w14:paraId="56AD0648" w14:textId="71255FCD" w:rsidR="009A7507" w:rsidRPr="004E7A62" w:rsidRDefault="009A7507" w:rsidP="009A7507">
      <w:pPr>
        <w:spacing w:after="120"/>
        <w:ind w:firstLine="480"/>
        <w:rPr>
          <w:highlight w:val="yellow"/>
        </w:rPr>
      </w:pPr>
      <w:r w:rsidRPr="004E7A62">
        <w:rPr>
          <w:highlight w:val="yellow"/>
        </w:rPr>
        <w:t>A renewable-powered data-center microgrid includes an energy management system (EMS) that manages the coordination of renewable generation, energy-storage dispatch, exchange with the grid, energy backups, and eligible demand-side flexibility. These functions can be structured in a hierarchical control architecture spanning multiple timescales. The power-electronic interface and local electrical variables are regulated at the device level, whereas the facility-level EMS monitors, optimizes, and coordinates the dispatching of distributed energy resources. Higher-level coordination may additionally incorporate energy-procurement decisions and flexible computing workloads. IEEE Standard for Specification of Microgrid Controllers offers standardized functional specification and testing of microgrid-controller capabilities</w:t>
      </w:r>
      <w:r w:rsidRPr="004E7A62">
        <w:rPr>
          <w:highlight w:val="yellow"/>
        </w:rPr>
        <w:fldChar w:fldCharType="begin"/>
      </w:r>
      <w:r w:rsidRPr="004E7A62">
        <w:rPr>
          <w:highlight w:val="yellow"/>
        </w:rPr>
        <w:instrText xml:space="preserve"> ADDIN ZOTERO_ITEM CSL_CITATION {"citationID":"Su7JK8qA","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Pr="004E7A62">
        <w:rPr>
          <w:highlight w:val="yellow"/>
        </w:rPr>
        <w:fldChar w:fldCharType="separate"/>
      </w:r>
      <w:r w:rsidRPr="004E7A62">
        <w:rPr>
          <w:highlight w:val="yellow"/>
        </w:rPr>
        <w:t>[127]</w:t>
      </w:r>
      <w:r w:rsidRPr="004E7A62">
        <w:rPr>
          <w:highlight w:val="yellow"/>
        </w:rPr>
        <w:fldChar w:fldCharType="end"/>
      </w:r>
      <w:r w:rsidRPr="004E7A62">
        <w:rPr>
          <w:highlight w:val="yellow"/>
        </w:rPr>
        <w:t>.</w:t>
      </w:r>
    </w:p>
    <w:p w14:paraId="3A7F5298" w14:textId="65E84A08" w:rsidR="009A7507" w:rsidRPr="004E7A62" w:rsidRDefault="009A7507" w:rsidP="004E7A62">
      <w:pPr>
        <w:spacing w:after="120"/>
        <w:ind w:firstLine="480"/>
        <w:rPr>
          <w:highlight w:val="yellow"/>
        </w:rPr>
      </w:pPr>
      <w:r w:rsidRPr="004E7A62">
        <w:rPr>
          <w:highlight w:val="yellow"/>
        </w:rPr>
        <w:t xml:space="preserve">Model-predictive control (MPC) is an established technique that can easily incorporate forecasts, measured or estimated system state and operational constraints in a receding-horizon optimization framework, making it a suitable technique for energy management and microgrid-dispatch applications </w:t>
      </w:r>
      <w:r w:rsidRPr="004E7A62">
        <w:rPr>
          <w:highlight w:val="yellow"/>
        </w:rPr>
        <w:fldChar w:fldCharType="begin"/>
      </w:r>
      <w:r w:rsidRPr="004E7A62">
        <w:rPr>
          <w:highlight w:val="yellow"/>
        </w:rPr>
        <w:instrText xml:space="preserve"> ADDIN ZOTERO_ITEM CSL_CITATION {"citationID":"jnwOrutm","properties":{"unsorted":false,"formattedCitation":"[117], [118], [128]","plainCitation":"[117], [118], [128]","noteIndex":0},"citationItems":[{"id":2086,"uris":["http://zotero.org/users/9870935/items/PSX5T5NE"],"itemData":{"id":2086,"type":"article-journal","abstract":"Renewable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rsidRPr="004E7A62">
        <w:rPr>
          <w:highlight w:val="yellow"/>
        </w:rPr>
        <w:fldChar w:fldCharType="separate"/>
      </w:r>
      <w:r w:rsidRPr="004E7A62">
        <w:rPr>
          <w:highlight w:val="yellow"/>
        </w:rPr>
        <w:t>[117], [118], [128]</w:t>
      </w:r>
      <w:r w:rsidRPr="004E7A62">
        <w:rPr>
          <w:highlight w:val="yellow"/>
        </w:rPr>
        <w:fldChar w:fldCharType="end"/>
      </w:r>
      <w:r w:rsidRPr="004E7A62">
        <w:rPr>
          <w:highlight w:val="yellow"/>
        </w:rPr>
        <w:t xml:space="preserve">. The MPC objective function can incorporate energy-procurement costs, battery-degradation costs, demand-related charges, carbon-related terms, or weighted combinations of these, as long as they are constrained by battery state of charge, charging/discharging power limits, inverter ratings, or limits on grid-import/export, etc. </w:t>
      </w:r>
      <w:r w:rsidR="00EC74AE" w:rsidRPr="004E7A62">
        <w:rPr>
          <w:highlight w:val="yellow"/>
        </w:rPr>
        <w:fldChar w:fldCharType="begin"/>
      </w:r>
      <w:r w:rsidR="00EC74AE" w:rsidRPr="004E7A62">
        <w:rPr>
          <w:highlight w:val="yellow"/>
        </w:rPr>
        <w:instrText xml:space="preserve"> ADDIN ZOTERO_ITEM CSL_CITATION {"citationID":"mjbGEcPS","properties":{"unsorted":false,"formattedCitation":"[118]","plainCitation":"[118]","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EC74AE" w:rsidRPr="004E7A62">
        <w:rPr>
          <w:highlight w:val="yellow"/>
        </w:rPr>
        <w:fldChar w:fldCharType="separate"/>
      </w:r>
      <w:r w:rsidR="00EC74AE" w:rsidRPr="004E7A62">
        <w:rPr>
          <w:highlight w:val="yellow"/>
        </w:rPr>
        <w:t>[118]</w:t>
      </w:r>
      <w:r w:rsidR="00EC74AE" w:rsidRPr="004E7A62">
        <w:rPr>
          <w:highlight w:val="yellow"/>
        </w:rPr>
        <w:fldChar w:fldCharType="end"/>
      </w:r>
      <w:r w:rsidRPr="004E7A62">
        <w:rPr>
          <w:highlight w:val="yellow"/>
        </w:rPr>
        <w:t>. Renewable generation and load forecasts can be included in the optimization to ensure that dispatch decisions at least periodically are adjusted to the new forecasts and measurements of the system. The prediction horizon and the control interval can vary from short-term operational control to day-ahead scheduling, depending on the application. Despite this, MPC performance relies on the quality of the forecasting, the fidelity of the model, the computational demand, the choice of prediction horizon, the formulation of the objective function and constraints, and a number of other factors. While some studies have presented technical or economic gains over conventional control methods, these gains vary by study and should not be assumed to be valid without similar load, tariff, renewable-resource, storage-degradation, and reliability assumptions</w:t>
      </w:r>
      <w:r w:rsidR="004E7A62" w:rsidRPr="004E7A62">
        <w:rPr>
          <w:highlight w:val="yellow"/>
        </w:rPr>
        <w:fldChar w:fldCharType="begin"/>
      </w:r>
      <w:r w:rsidR="004E7A62" w:rsidRPr="004E7A62">
        <w:rPr>
          <w:highlight w:val="yellow"/>
        </w:rPr>
        <w:instrText xml:space="preserve"> ADDIN ZOTERO_ITEM CSL_CITATION {"citationID":"ZomZ0nse","properties":{"unsorted":false,"formattedCitation":"[117], [118]","plainCitation":"[117], [118]","noteIndex":0},"citationItems":[{"id":2086,"uris":["http://zotero.org/users/9870935/items/PSX5T5NE"],"itemData":{"id":2086,"type":"article-journal","abstract":"Renewable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4E7A62" w:rsidRPr="004E7A62">
        <w:rPr>
          <w:highlight w:val="yellow"/>
        </w:rPr>
        <w:fldChar w:fldCharType="separate"/>
      </w:r>
      <w:r w:rsidR="004E7A62" w:rsidRPr="004E7A62">
        <w:rPr>
          <w:highlight w:val="yellow"/>
        </w:rPr>
        <w:t>[117], [118]</w:t>
      </w:r>
      <w:r w:rsidR="004E7A62" w:rsidRPr="004E7A62">
        <w:rPr>
          <w:highlight w:val="yellow"/>
        </w:rPr>
        <w:fldChar w:fldCharType="end"/>
      </w:r>
      <w:r w:rsidRPr="004E7A62">
        <w:rPr>
          <w:highlight w:val="yellow"/>
        </w:rPr>
        <w:t>.</w:t>
      </w:r>
    </w:p>
    <w:p w14:paraId="3AA2776D" w14:textId="6AD4D394" w:rsidR="009A7507" w:rsidRPr="009A7507" w:rsidRDefault="009A7507" w:rsidP="004E7A62">
      <w:pPr>
        <w:spacing w:after="120"/>
        <w:ind w:firstLine="480"/>
      </w:pPr>
      <w:r w:rsidRPr="004E7A62">
        <w:rPr>
          <w:highlight w:val="yellow"/>
        </w:rPr>
        <w:t>Fault detection, redundancy and failover mechanisms suitable for the criticality of the controlled functions are also required for reliable EMS operation. The critical controllers, communication paths, and monitoring systems therefore can be designed in a redundant manner, meaning that no single component or communication failure need block essential control functions</w:t>
      </w:r>
      <w:r w:rsidR="004E7A62" w:rsidRPr="004E7A62">
        <w:rPr>
          <w:highlight w:val="yellow"/>
        </w:rPr>
        <w:fldChar w:fldCharType="begin"/>
      </w:r>
      <w:r w:rsidR="004E7A62" w:rsidRPr="004E7A62">
        <w:rPr>
          <w:highlight w:val="yellow"/>
        </w:rPr>
        <w:instrText xml:space="preserve"> ADDIN ZOTERO_ITEM CSL_CITATION {"citationID":"Ba1QrXi0","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004E7A62" w:rsidRPr="004E7A62">
        <w:rPr>
          <w:highlight w:val="yellow"/>
        </w:rPr>
        <w:fldChar w:fldCharType="separate"/>
      </w:r>
      <w:r w:rsidR="004E7A62" w:rsidRPr="004E7A62">
        <w:rPr>
          <w:highlight w:val="yellow"/>
        </w:rPr>
        <w:t>[127]</w:t>
      </w:r>
      <w:r w:rsidR="004E7A62" w:rsidRPr="004E7A62">
        <w:rPr>
          <w:highlight w:val="yellow"/>
        </w:rPr>
        <w:fldChar w:fldCharType="end"/>
      </w:r>
      <w:r w:rsidRPr="004E7A62">
        <w:rPr>
          <w:highlight w:val="yellow"/>
        </w:rPr>
        <w:t xml:space="preserve">. Cybersecurity is also significant since the EMS connects to operational technology (OT), power-electronic equipment, metering and control systems, and enterprise information technology (IT). Cybersecurity mechanisms for power-system communication environments encompass authentication, access control, power-system communications security, and other mechanisms designed to ensure the security of operational data and control functions; IEC 61850 based systems </w:t>
      </w:r>
      <w:r w:rsidR="004E7A62" w:rsidRPr="004E7A62">
        <w:rPr>
          <w:highlight w:val="yellow"/>
        </w:rPr>
        <w:fldChar w:fldCharType="begin"/>
      </w:r>
      <w:r w:rsidR="004E7A62" w:rsidRPr="004E7A62">
        <w:rPr>
          <w:highlight w:val="yellow"/>
        </w:rPr>
        <w:instrText xml:space="preserve"> ADDIN ZOTERO_ITEM CSL_CITATION {"citationID":"ydGD47UY","properties":{"unsorted":false,"formattedCitation":"[129]","plainCitation":"[129]","noteIndex":0},"citationItems":[{"id":2153,"uris":["http://zotero.org/users/9870935/items/BM962LGX"],"itemData":{"id":2153,"type":"article-journal","abstract":"Power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004E7A62" w:rsidRPr="004E7A62">
        <w:rPr>
          <w:highlight w:val="yellow"/>
        </w:rPr>
        <w:fldChar w:fldCharType="separate"/>
      </w:r>
      <w:r w:rsidR="004E7A62" w:rsidRPr="004E7A62">
        <w:rPr>
          <w:highlight w:val="yellow"/>
        </w:rPr>
        <w:t>[129]</w:t>
      </w:r>
      <w:r w:rsidR="004E7A62" w:rsidRPr="004E7A62">
        <w:rPr>
          <w:highlight w:val="yellow"/>
        </w:rPr>
        <w:fldChar w:fldCharType="end"/>
      </w:r>
      <w:r w:rsidRPr="004E7A62">
        <w:rPr>
          <w:highlight w:val="yellow"/>
        </w:rPr>
        <w:t xml:space="preserve"> are an important, standards-based framework for protecting power-system communications.</w:t>
      </w:r>
    </w:p>
    <w:p w14:paraId="75B69A05" w14:textId="7C072EFC" w:rsidR="00FE013C" w:rsidRDefault="00FE013C" w:rsidP="009A7507">
      <w:pPr>
        <w:pStyle w:val="Heading10"/>
        <w:jc w:val="both"/>
        <w:rPr>
          <w:color w:val="auto"/>
        </w:rPr>
      </w:pPr>
      <w:r>
        <w:rPr>
          <w:color w:val="auto"/>
          <w:lang w:eastAsia="zh-CN"/>
        </w:rPr>
        <w:t xml:space="preserve">6. </w:t>
      </w:r>
      <w:r>
        <w:rPr>
          <w:color w:val="auto"/>
        </w:rPr>
        <w:t>Power System Modeling and Simulation</w:t>
      </w:r>
    </w:p>
    <w:p w14:paraId="793FB34A" w14:textId="3DFC4318" w:rsidR="00FE013C" w:rsidRDefault="00FE013C" w:rsidP="004C16FF">
      <w:pPr>
        <w:spacing w:after="120"/>
        <w:ind w:firstLine="480"/>
      </w:pPr>
      <w:r>
        <w:lastRenderedPageBreak/>
        <w:t xml:space="preserve">This section examines the tools, methodologies, and validation approaches for the design and analysis of hybrid microgrid systems for renewable-powered AI data </w:t>
      </w:r>
      <w:r w:rsidR="00580BAE">
        <w:t>center</w:t>
      </w:r>
      <w:r>
        <w:t xml:space="preserve">s. Accurate modelling is essential for predicting system performance under varying operating conditions, </w:t>
      </w:r>
      <w:r w:rsidR="00580BAE">
        <w:t>optimizing</w:t>
      </w:r>
      <w:r>
        <w:t xml:space="preserve"> component sizes, and validating control strategies before deployment.</w:t>
      </w:r>
    </w:p>
    <w:p w14:paraId="1BCE194B" w14:textId="77777777" w:rsidR="00FE013C" w:rsidRDefault="00FE013C" w:rsidP="004C16FF">
      <w:pPr>
        <w:pStyle w:val="Heading20"/>
        <w:jc w:val="both"/>
        <w:rPr>
          <w:color w:val="auto"/>
        </w:rPr>
      </w:pPr>
      <w:r>
        <w:rPr>
          <w:color w:val="auto"/>
        </w:rPr>
        <w:t>6.1. Steady-State Power Flow Analysis</w:t>
      </w:r>
    </w:p>
    <w:p w14:paraId="4CAD0C04" w14:textId="5DFA634F" w:rsidR="00FE013C" w:rsidRPr="00970159" w:rsidRDefault="00FE013C" w:rsidP="004E7A62">
      <w:pPr>
        <w:spacing w:after="120"/>
        <w:ind w:firstLine="480"/>
      </w:pPr>
      <w:r w:rsidRPr="00970159">
        <w:t xml:space="preserve">The voltage profile, power flow, and losses derived from the steady-state power flow analysis are the basis for the design of electrical systems, as they define equipment ratings and protection settings. The power flow equations are nonlinear, and the Newton–Raphson method is the standard algorithm used to solve them, requiring four to eight iterations to converge for well-conditioned systems </w:t>
      </w:r>
      <w:r>
        <w:fldChar w:fldCharType="begin"/>
      </w:r>
      <w:r w:rsidR="001D1223">
        <w:instrText xml:space="preserve"> ADDIN ZOTERO_ITEM CSL_CITATION {"citationID":"R69gUmT3","properties":{"unsorted":false,"formattedCitation":"[58]","plainCitation":"[58]","noteIndex":0},"citationItems":[{"id":2090,"uris":["http://zotero.org/users/9870935/items/MW6JYBRT"],"itemData":{"id":2090,"type":"article-journal","container-title":"IEEE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1D1223" w:rsidRPr="001D1223">
        <w:t>[58]</w:t>
      </w:r>
      <w:r>
        <w:fldChar w:fldCharType="end"/>
      </w:r>
      <w:r w:rsidRPr="00970159">
        <w:t xml:space="preserve">. The DC power flow approximation also includes a </w:t>
      </w:r>
      <w:r w:rsidR="00580BAE" w:rsidRPr="00970159">
        <w:t>linearization</w:t>
      </w:r>
      <w:r w:rsidRPr="00970159">
        <w:t xml:space="preserve"> of the AC power flow equations, omitting reactive power and voltage magnitude changes, and leads to computationally efficient results appropriate for screening-level analysis and large-scale system studies</w:t>
      </w:r>
      <w:r>
        <w:fldChar w:fldCharType="begin"/>
      </w:r>
      <w:r w:rsidR="004E7A62">
        <w:instrText xml:space="preserve"> ADDIN ZOTERO_ITEM CSL_CITATION {"citationID":"mJtqhMx4","properties":{"unsorted":false,"formattedCitation":"[130]","plainCitation":"[130]","noteIndex":0},"citationItems":[{"id":2091,"uris":["http://zotero.org/users/9870935/items/P7FFXDCA"],"itemData":{"id":2091,"type":"article-journal","container-title":"IEEE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fldChar w:fldCharType="separate"/>
      </w:r>
      <w:r w:rsidR="004E7A62" w:rsidRPr="004E7A62">
        <w:t>[130]</w:t>
      </w:r>
      <w:r>
        <w:fldChar w:fldCharType="end"/>
      </w:r>
      <w:r w:rsidRPr="00970159">
        <w:t>.</w:t>
      </w:r>
    </w:p>
    <w:p w14:paraId="25B2D104" w14:textId="5FA4C4DE" w:rsidR="00FE013C" w:rsidRPr="00970159" w:rsidRDefault="00FE013C" w:rsidP="004E7A62">
      <w:pPr>
        <w:spacing w:after="120"/>
        <w:ind w:firstLine="480"/>
      </w:pPr>
      <w:r w:rsidRPr="00970159">
        <w:t xml:space="preserve">Optimal power flow (OPF) is an extension of the basic power flow formulation with an objective function (typically cost or loss </w:t>
      </w:r>
      <w:r w:rsidR="00580BAE" w:rsidRPr="00970159">
        <w:t>minimization</w:t>
      </w:r>
      <w:r w:rsidRPr="00970159">
        <w:t xml:space="preserve">) and operational constraints on voltage magnitudes, line flows, and generator outputs. OPF can be employed in renewable-powered data </w:t>
      </w:r>
      <w:r w:rsidR="00580BAE">
        <w:t>center</w:t>
      </w:r>
      <w:r w:rsidRPr="00970159">
        <w:t xml:space="preserve">s to </w:t>
      </w:r>
      <w:r w:rsidR="00580BAE" w:rsidRPr="00970159">
        <w:t>optimize</w:t>
      </w:r>
      <w:r w:rsidRPr="00970159">
        <w:t xml:space="preserve"> the dispatch of renewable generators, battery storage, and grid interconnection to </w:t>
      </w:r>
      <w:r w:rsidR="00580BAE" w:rsidRPr="00970159">
        <w:t>minimize</w:t>
      </w:r>
      <w:r w:rsidRPr="00970159">
        <w:t xml:space="preserve"> energy costs while maintaining power quality and reliability</w:t>
      </w:r>
      <w:r>
        <w:fldChar w:fldCharType="begin"/>
      </w:r>
      <w:r w:rsidR="004E7A62">
        <w:instrText xml:space="preserve"> ADDIN ZOTERO_ITEM CSL_CITATION {"citationID":"ZkcxuEkd","properties":{"unsorted":false,"formattedCitation":"[131]","plainCitation":"[131]","noteIndex":0},"citationItems":[{"id":2092,"uris":["http://zotero.org/users/9870935/items/5VTNPVIA"],"itemData":{"id":2092,"type":"article-journal","container-title":"IEEE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fldChar w:fldCharType="separate"/>
      </w:r>
      <w:r w:rsidR="004E7A62" w:rsidRPr="004E7A62">
        <w:t>[131]</w:t>
      </w:r>
      <w:r>
        <w:fldChar w:fldCharType="end"/>
      </w:r>
      <w:r w:rsidRPr="00970159">
        <w:t>. In contingency analysis, which is based on the N-1 reliability criterion, the performance of a system is tested when one component fails to ensure that the system can still operate satisfactorily after this failure</w:t>
      </w:r>
      <w:r>
        <w:fldChar w:fldCharType="begin"/>
      </w:r>
      <w:r w:rsidR="004E7A62">
        <w:instrText xml:space="preserve"> ADDIN ZOTERO_ITEM CSL_CITATION {"citationID":"ipICDqP7","properties":{"unsorted":false,"formattedCitation":"[132]","plainCitation":"[132]","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fldChar w:fldCharType="separate"/>
      </w:r>
      <w:r w:rsidR="004E7A62" w:rsidRPr="004E7A62">
        <w:t>[132]</w:t>
      </w:r>
      <w:r>
        <w:fldChar w:fldCharType="end"/>
      </w:r>
      <w:r w:rsidRPr="00970159">
        <w:t>. The tools often used for power flow analysis are MATPOWER, an open-source MATLAB toolbox; PSS/E, a commercial tool; and DIgSILENT PowerFactory, a commercial and popular tool in Europe</w:t>
      </w:r>
      <w:r>
        <w:fldChar w:fldCharType="begin"/>
      </w:r>
      <w:r w:rsidR="004E7A62">
        <w:instrText xml:space="preserve"> ADDIN ZOTERO_ITEM CSL_CITATION {"citationID":"BkNp7by7","properties":{"unsorted":false,"formattedCitation":"[133]","plainCitation":"[133]","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fldChar w:fldCharType="separate"/>
      </w:r>
      <w:r w:rsidR="004E7A62" w:rsidRPr="004E7A62">
        <w:t>[133]</w:t>
      </w:r>
      <w:r>
        <w:fldChar w:fldCharType="end"/>
      </w:r>
      <w:r w:rsidRPr="00970159">
        <w:t>.</w:t>
      </w:r>
    </w:p>
    <w:p w14:paraId="58095EF1" w14:textId="77777777" w:rsidR="00FE013C" w:rsidRDefault="00FE013C" w:rsidP="004C16FF">
      <w:pPr>
        <w:pStyle w:val="Heading20"/>
        <w:jc w:val="both"/>
        <w:rPr>
          <w:color w:val="auto"/>
        </w:rPr>
      </w:pPr>
      <w:r>
        <w:rPr>
          <w:color w:val="auto"/>
        </w:rPr>
        <w:t>6.2. Transient Stability and Grid Dynamics</w:t>
      </w:r>
    </w:p>
    <w:p w14:paraId="7A8C313E" w14:textId="36648CF5" w:rsidR="00FE013C" w:rsidRPr="0070515F" w:rsidRDefault="00FE013C" w:rsidP="004E7A62">
      <w:pPr>
        <w:spacing w:after="120"/>
        <w:ind w:firstLine="480"/>
      </w:pPr>
      <w:r w:rsidRPr="0070515F">
        <w:t xml:space="preserve">Transient stability analysis involves studying the transient dynamic response of the power system after a large fault, generator trip, or sudden load change. Transient stability is also an important issue for microgrids in data </w:t>
      </w:r>
      <w:r w:rsidR="00580BAE">
        <w:t>center</w:t>
      </w:r>
      <w:r w:rsidRPr="0070515F">
        <w:t xml:space="preserve">s with high renewable penetration owing to the lack of inherent rotational inertia in inverter-based resources. Virtual inertia can be achieved by grid-forming inverters, where the reference voltage and frequency are generated by the inverter without using a grid </w:t>
      </w:r>
      <w:r w:rsidR="00580BAE" w:rsidRPr="0070515F">
        <w:t>synchronizing</w:t>
      </w:r>
      <w:r w:rsidRPr="0070515F">
        <w:t xml:space="preserve"> signal, by controlling their dynamic response, as that of a synchronous machine</w:t>
      </w:r>
      <w:r>
        <w:fldChar w:fldCharType="begin"/>
      </w:r>
      <w:r w:rsidR="004E7A62">
        <w:instrText xml:space="preserve"> ADDIN ZOTERO_ITEM CSL_CITATION {"citationID":"EnZx5jNZ","properties":{"unsorted":false,"formattedCitation":"[18], [134]","plainCitation":"[18], [134]","noteIndex":0},"citationItems":[{"id":1927,"uris":["http://zotero.org/users/9870935/items/PZK7R79L"],"itemData":{"id":1927,"type":"article-journal","abstract":"The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fldChar w:fldCharType="separate"/>
      </w:r>
      <w:r w:rsidR="004E7A62" w:rsidRPr="004E7A62">
        <w:t>[18], [134]</w:t>
      </w:r>
      <w:r>
        <w:fldChar w:fldCharType="end"/>
      </w:r>
      <w:r w:rsidRPr="0070515F">
        <w:t>. The transition from on-grid to off-grid (islanded operation) is a significant transient event that occurs when the utility grid suffers a disturbance, and for which careful design of inverter control parameters, protection settings, and load shedding schemes is required</w:t>
      </w:r>
      <w:r>
        <w:fldChar w:fldCharType="begin"/>
      </w:r>
      <w:r w:rsidR="009A7507">
        <w:instrText xml:space="preserve"> ADDIN ZOTERO_ITEM CSL_CITATION {"citationID":"AdxixQhk","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fldChar w:fldCharType="separate"/>
      </w:r>
      <w:r w:rsidR="009A7507" w:rsidRPr="009A7507">
        <w:t>[127]</w:t>
      </w:r>
      <w:r>
        <w:fldChar w:fldCharType="end"/>
      </w:r>
      <w:r w:rsidRPr="0070515F">
        <w:t>.</w:t>
      </w:r>
    </w:p>
    <w:p w14:paraId="6F4A14BA" w14:textId="274E0066" w:rsidR="00FE013C" w:rsidRPr="0070515F" w:rsidRDefault="00FE013C" w:rsidP="004E7A62">
      <w:pPr>
        <w:spacing w:after="120"/>
        <w:ind w:firstLine="480"/>
      </w:pPr>
      <w:r w:rsidRPr="0070515F">
        <w:t xml:space="preserve">The challenge of PLL stability arises with increasing renewable penetration. However, PLL-based grid-following inverters can suffer from oscillatory operation or complete loss of </w:t>
      </w:r>
      <w:r w:rsidR="00580BAE" w:rsidRPr="0070515F">
        <w:t>synchronization</w:t>
      </w:r>
      <w:r w:rsidRPr="0070515F">
        <w:t xml:space="preserve"> in weak grid conditions when the short circuit ratio (SCR) at the point of interconnection is low, which can cause cascading failures</w:t>
      </w:r>
      <w:r>
        <w:fldChar w:fldCharType="begin"/>
      </w:r>
      <w:r w:rsidR="004E7A62">
        <w:instrText xml:space="preserve"> ADDIN ZOTERO_ITEM CSL_CITATION {"citationID":"nNqJkW4n","properties":{"unsorted":false,"formattedCitation":"[135]","plainCitation":"[135]","noteIndex":0},"citationItems":[{"id":2097,"uris":["http://zotero.org/users/9870935/items/KGQXJHH9"],"itemData":{"id":2097,"type":"article-journal","container-title":"IEEE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fldChar w:fldCharType="separate"/>
      </w:r>
      <w:r w:rsidR="004E7A62" w:rsidRPr="004E7A62">
        <w:t>[135]</w:t>
      </w:r>
      <w:r>
        <w:fldChar w:fldCharType="end"/>
      </w:r>
      <w:r w:rsidRPr="0070515F">
        <w:t>. There are several well-documented examples of the occurrence of the sub-synchronous resonance (SSR) phenomenon between the inverter controls and series-compensated (SC) transmission lines, and these interactions require detailed electromagnetic transient (EMT) simulation studies for grid-connected renewable plants</w:t>
      </w:r>
      <w:r>
        <w:fldChar w:fldCharType="begin"/>
      </w:r>
      <w:r w:rsidR="004E7A62">
        <w:instrText xml:space="preserve"> ADDIN ZOTERO_ITEM CSL_CITATION {"citationID":"VvGA3otY","properties":{"unsorted":false,"formattedCitation":"[136]","plainCitation":"[136]","noteIndex":0},"citationItems":[{"id":2100,"uris":["http://zotero.org/users/9870935/items/CW9DIYPL"],"itemData":{"id":2100,"type":"document","title":"Inverter-Based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fldChar w:fldCharType="separate"/>
      </w:r>
      <w:r w:rsidR="004E7A62" w:rsidRPr="004E7A62">
        <w:t>[136]</w:t>
      </w:r>
      <w:r>
        <w:fldChar w:fldCharType="end"/>
      </w:r>
      <w:r w:rsidRPr="0070515F">
        <w:t>.</w:t>
      </w:r>
    </w:p>
    <w:p w14:paraId="080A117E" w14:textId="77777777" w:rsidR="00FE013C" w:rsidRDefault="00FE013C" w:rsidP="004C16FF">
      <w:pPr>
        <w:pStyle w:val="Heading20"/>
        <w:jc w:val="both"/>
        <w:rPr>
          <w:color w:val="auto"/>
        </w:rPr>
      </w:pPr>
      <w:r>
        <w:rPr>
          <w:color w:val="auto"/>
        </w:rPr>
        <w:t>6.3. Harmonic Analysis and Power Quality</w:t>
      </w:r>
    </w:p>
    <w:p w14:paraId="054DD43C" w14:textId="7370BD52" w:rsidR="00FE013C" w:rsidRPr="00637E25" w:rsidRDefault="00FE013C" w:rsidP="001D1223">
      <w:pPr>
        <w:spacing w:after="120"/>
        <w:ind w:firstLine="480"/>
      </w:pPr>
      <w:r w:rsidRPr="00637E25">
        <w:lastRenderedPageBreak/>
        <w:t xml:space="preserve">Harmonic analysis is crucial to ensure compliance with power quality standards set in IEEE 519 and to help develop the correct mitigation. The harmonic profile of a data </w:t>
      </w:r>
      <w:r w:rsidR="00580BAE">
        <w:t>center</w:t>
      </w:r>
      <w:r w:rsidRPr="00637E25">
        <w:t xml:space="preserve"> microgrid depends on the combined effect of all the data </w:t>
      </w:r>
      <w:r w:rsidR="00580BAE">
        <w:t>center</w:t>
      </w:r>
      <w:r w:rsidRPr="00637E25">
        <w:t xml:space="preserve"> nonlinear loads such as IT equipment SMPSs, cooling system VFDs, LED lights, and the harmonic currents produced by the renewable inverter</w:t>
      </w:r>
      <w:r>
        <w:fldChar w:fldCharType="begin"/>
      </w:r>
      <w:r>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fldChar w:fldCharType="separate"/>
      </w:r>
      <w:r w:rsidRPr="00C44659">
        <w:t>[22]</w:t>
      </w:r>
      <w:r>
        <w:fldChar w:fldCharType="end"/>
      </w:r>
      <w:r w:rsidRPr="00637E25">
        <w:t>. Frequency-domain analysis techniques such as Fourier decomposition and harmonic impedance scanning are employed to detect resonance conditions which could increase the level of specific harmonic orders</w:t>
      </w:r>
      <w:r>
        <w:fldChar w:fldCharType="begin"/>
      </w:r>
      <w:r w:rsidR="001D1223">
        <w:instrText xml:space="preserve"> ADDIN ZOTERO_ITEM CSL_CITATION {"citationID":"9pAXEXox","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1D1223" w:rsidRPr="001D1223">
        <w:t>[59]</w:t>
      </w:r>
      <w:r>
        <w:fldChar w:fldCharType="end"/>
      </w:r>
      <w:r w:rsidRPr="00637E25">
        <w:t>.</w:t>
      </w:r>
    </w:p>
    <w:p w14:paraId="15D3C3E3" w14:textId="681DD8CA" w:rsidR="00FE013C" w:rsidRPr="00637E25" w:rsidRDefault="00FE013C" w:rsidP="004E7A62">
      <w:pPr>
        <w:spacing w:after="120"/>
        <w:ind w:firstLine="480"/>
      </w:pPr>
      <w:r w:rsidRPr="00637E25">
        <w:t xml:space="preserve">Passive filters (tuned LC circuits), active power filters (APFs), multi-pulse rectifier configurations, and advanced inverter control algorithms can be used to reduce harmonic current injection </w:t>
      </w:r>
      <w:r>
        <w:fldChar w:fldCharType="begin"/>
      </w:r>
      <w:r w:rsidR="001D1223">
        <w:instrText xml:space="preserve"> ADDIN ZOTERO_ITEM CSL_CITATION {"citationID":"mqXTld0r","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1D1223" w:rsidRPr="001D1223">
        <w:t>[59]</w:t>
      </w:r>
      <w:r>
        <w:fldChar w:fldCharType="end"/>
      </w:r>
      <w:r w:rsidRPr="00637E25">
        <w:t xml:space="preserve">. The choice of mitigation technology depends on the harmonic spectrum, loading dynamics, and cost considerations. Active filters are the preferred choice for AI data </w:t>
      </w:r>
      <w:r w:rsidR="00580BAE">
        <w:t>center</w:t>
      </w:r>
      <w:r w:rsidRPr="00637E25">
        <w:t>s, where the loads are often irregular, as they can continuously adapt to shifts in the harmonic profile</w:t>
      </w:r>
      <w:r>
        <w:fldChar w:fldCharType="begin"/>
      </w:r>
      <w:r w:rsidR="004E7A62">
        <w:instrText xml:space="preserve"> ADDIN ZOTERO_ITEM CSL_CITATION {"citationID":"dBxza6Dz","properties":{"unsorted":false,"formattedCitation":"[137]","plainCitation":"[137]","noteIndex":0},"citationItems":[{"id":2102,"uris":["http://zotero.org/users/9870935/items/V6QTZZ73"],"itemData":{"id":2102,"type":"article-journal","abstract":"Power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fldChar w:fldCharType="separate"/>
      </w:r>
      <w:r w:rsidR="004E7A62" w:rsidRPr="004E7A62">
        <w:t>[137]</w:t>
      </w:r>
      <w:r>
        <w:fldChar w:fldCharType="end"/>
      </w:r>
      <w:r w:rsidRPr="00637E25">
        <w:t>.</w:t>
      </w:r>
    </w:p>
    <w:p w14:paraId="780E96E1" w14:textId="77777777" w:rsidR="00FE013C" w:rsidRDefault="00FE013C" w:rsidP="004C16FF">
      <w:pPr>
        <w:pStyle w:val="Heading20"/>
        <w:jc w:val="both"/>
        <w:rPr>
          <w:color w:val="auto"/>
        </w:rPr>
      </w:pPr>
      <w:r>
        <w:rPr>
          <w:color w:val="auto"/>
        </w:rPr>
        <w:t>6.4. Microgrid Modeling Frameworks</w:t>
      </w:r>
    </w:p>
    <w:p w14:paraId="62BF3783" w14:textId="36B0A2E9" w:rsidR="00FE013C" w:rsidRPr="0014185D" w:rsidRDefault="00FE013C" w:rsidP="004E7A62">
      <w:pPr>
        <w:spacing w:after="120"/>
        <w:ind w:firstLine="480"/>
      </w:pPr>
      <w:r w:rsidRPr="0014185D">
        <w:t>There are a variety of software packages for microgrid modelling and simulation, ranging in fidelity and efficiency. HOMER (Hybrid Optimization Model for Electric Renewables)</w:t>
      </w:r>
      <w:r w:rsidR="004D0D7D" w:rsidRPr="00952FD2">
        <w:t xml:space="preserve"> is a widely used microgrid and hybrid-energy modeling platform that combines chronological dispatch simulation with techno-economic optimization [verified source]. Avoid uncertain ownership-history wording</w:t>
      </w:r>
      <w:r>
        <w:fldChar w:fldCharType="begin"/>
      </w:r>
      <w:r w:rsidR="004E7A62">
        <w:instrText xml:space="preserve"> ADDIN ZOTERO_ITEM CSL_CITATION {"citationID":"TEOEDiB7","properties":{"unsorted":false,"formattedCitation":"[138]","plainCitation":"[138]","noteIndex":0},"citationItems":[{"id":2104,"uris":["http://zotero.org/users/9870935/items/VUEBTNAU"],"itemData":{"id":2104,"type":"post-weblog","title":"Microgrid and Hybrid Power Modeling","URL":"https://homerenergy.com/","author":[{"family":"HOMER","given":""}]}}],"schema":"https://github.com/citation-style-language/schema/raw/master/csl-citation.json"} </w:instrText>
      </w:r>
      <w:r>
        <w:fldChar w:fldCharType="separate"/>
      </w:r>
      <w:r w:rsidR="004E7A62" w:rsidRPr="004E7A62">
        <w:t>[138]</w:t>
      </w:r>
      <w:r>
        <w:fldChar w:fldCharType="end"/>
      </w:r>
      <w:r w:rsidRPr="0014185D">
        <w:t>. HOMER Pro has built-in component models of solar PV, wind turbines, batteries, generators, and grid interconnection, and sensitivity analysis to explore parameter uncertainty. However, HOMER’s hourly time resolution may not be adequate for sub-hourly phenomena, such as frequency regulation and voltage transients.</w:t>
      </w:r>
    </w:p>
    <w:p w14:paraId="5CC18D81" w14:textId="10EF4C93" w:rsidR="00FE013C" w:rsidRPr="0014185D" w:rsidRDefault="00FE013C" w:rsidP="004E7A62">
      <w:pPr>
        <w:spacing w:after="120"/>
        <w:ind w:firstLine="480"/>
      </w:pPr>
      <w:r w:rsidRPr="0014185D">
        <w:t xml:space="preserve">For detailed electromagnetic transient simulations, MATLAB Simulink with the Simscape Electrical toolbox delivers analysis of the dynamics of inverter control, protection system co-ordination, and fast-switching power electronics. Several open-source tools are available, such as Pandapower (Python power flow), </w:t>
      </w:r>
      <w:r w:rsidRPr="002A1323">
        <w:t>PYPOWER (a Python port of the MATPOWER optimal power flow toolbox)</w:t>
      </w:r>
      <w:r w:rsidRPr="0014185D">
        <w:t>, and OpenModelica (equation-based modelling) for research and preliminary engineering studies</w:t>
      </w:r>
      <w:r>
        <w:fldChar w:fldCharType="begin"/>
      </w:r>
      <w:r w:rsidR="001D1223">
        <w:instrText xml:space="preserve"> ADDIN ZOTERO_ITEM CSL_CITATION {"citationID":"9MlNjf5g","properties":{"unsorted":false,"formattedCitation":"[58]","plainCitation":"[58]","noteIndex":0},"citationItems":[{"id":2090,"uris":["http://zotero.org/users/9870935/items/MW6JYBRT"],"itemData":{"id":2090,"type":"article-journal","container-title":"IEEE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1D1223" w:rsidRPr="001D1223">
        <w:t>[58]</w:t>
      </w:r>
      <w:r>
        <w:fldChar w:fldCharType="end"/>
      </w:r>
      <w:r w:rsidRPr="0014185D">
        <w:t xml:space="preserve">. The choice of the modelling framework should be determined by the analysis needs: HOMER for system sizing and economic </w:t>
      </w:r>
      <w:r w:rsidR="00580BAE" w:rsidRPr="0014185D">
        <w:t>optimization</w:t>
      </w:r>
      <w:r w:rsidRPr="0014185D">
        <w:t>, MATLAB/ETAP for detailed electrical design and protection coordination, and PSCAD/EMTDC for electromagnetic transient studies of inverter-dominated systems</w:t>
      </w:r>
      <w:r>
        <w:fldChar w:fldCharType="begin"/>
      </w:r>
      <w:r w:rsidR="004E7A62">
        <w:instrText xml:space="preserve"> ADDIN ZOTERO_ITEM CSL_CITATION {"citationID":"B1rst5wh","properties":{"unsorted":false,"formattedCitation":"[139]","plainCitation":"[139]","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fldChar w:fldCharType="separate"/>
      </w:r>
      <w:r w:rsidR="004E7A62" w:rsidRPr="004E7A62">
        <w:t>[139]</w:t>
      </w:r>
      <w:r>
        <w:fldChar w:fldCharType="end"/>
      </w:r>
      <w:r w:rsidRPr="0014185D">
        <w:t>.</w:t>
      </w:r>
    </w:p>
    <w:p w14:paraId="085E83CE" w14:textId="77777777" w:rsidR="00FE013C" w:rsidRDefault="00FE013C" w:rsidP="004C16FF">
      <w:pPr>
        <w:pStyle w:val="Heading20"/>
        <w:jc w:val="both"/>
        <w:rPr>
          <w:color w:val="auto"/>
        </w:rPr>
      </w:pPr>
      <w:r>
        <w:rPr>
          <w:color w:val="auto"/>
        </w:rPr>
        <w:t>6.5. Time-Series Simulation and Forecasting</w:t>
      </w:r>
    </w:p>
    <w:p w14:paraId="2CF32591" w14:textId="5102F4AD" w:rsidR="00FE013C" w:rsidRPr="00AA52FF" w:rsidRDefault="00FE013C" w:rsidP="009A7507">
      <w:pPr>
        <w:spacing w:after="120"/>
        <w:ind w:firstLine="480"/>
      </w:pPr>
      <w:r w:rsidRPr="00AA52FF">
        <w:t xml:space="preserve">To assess renewable energy-based data </w:t>
      </w:r>
      <w:r w:rsidR="00580BAE">
        <w:t>center</w:t>
      </w:r>
      <w:r w:rsidRPr="00AA52FF">
        <w:t xml:space="preserve">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fldChar w:fldCharType="begin"/>
      </w:r>
      <w:r w:rsidR="009A7507">
        <w:instrText xml:space="preserve"> ADDIN ZOTERO_ITEM CSL_CITATION {"citationID":"bPQv1yvI","properties":{"unsorted":false,"formattedCitation":"[128]","plainCitation":"[128]","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fldChar w:fldCharType="separate"/>
      </w:r>
      <w:r w:rsidR="009A7507" w:rsidRPr="009A7507">
        <w:t>[128]</w:t>
      </w:r>
      <w:r>
        <w:fldChar w:fldCharType="end"/>
      </w:r>
      <w:r w:rsidRPr="00AA52FF">
        <w:t>. At 5–15-min resolution, sub-hourly simulation can capture the rapid transients from cloud transients, wind gusts, and load steps, which impact power quality and frequency regulation.</w:t>
      </w:r>
    </w:p>
    <w:p w14:paraId="06F4FA34" w14:textId="196CCDFE" w:rsidR="00FE013C" w:rsidRPr="00AA52FF" w:rsidRDefault="00FE013C" w:rsidP="00C00287">
      <w:pPr>
        <w:spacing w:after="120"/>
        <w:ind w:firstLine="480"/>
      </w:pPr>
      <w:r w:rsidRPr="00AA52FF">
        <w:t xml:space="preserve">Stochastic simulation methods, especially Monte Carlo methods, can be used to quantify uncertainty in the performance of a system, resulting from errors in forecasts, equipment failures, and </w:t>
      </w:r>
      <w:r w:rsidRPr="00AA52FF">
        <w:lastRenderedPageBreak/>
        <w:t xml:space="preserve">climate variability. Monte Carlo analysis runs thousands of simulation runs, with the input parameters randomly sampled across the range, which generates a probability distribution of key output metrics such as annual energy cost, LOLE, and renewable </w:t>
      </w:r>
      <w:r w:rsidR="00580BAE" w:rsidRPr="00AA52FF">
        <w:t>utilization</w:t>
      </w:r>
      <w:r w:rsidRPr="00AA52FF">
        <w:t xml:space="preserve"> fraction</w:t>
      </w:r>
      <w:r>
        <w:fldChar w:fldCharType="begin"/>
      </w:r>
      <w:r w:rsidR="00A95675">
        <w:instrText xml:space="preserve"> ADDIN ZOTERO_ITEM CSL_CITATION {"citationID":"axvHbxNa","properties":{"unsorted":false,"formattedCitation":"[121]","plainCitation":"[121]","noteIndex":0},"citationItems":[{"id":2110,"uris":["http://zotero.org/users/9870935/items/WXV5HE5P"],"itemData":{"id":2110,"type":"book","abstract":"This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fldChar w:fldCharType="separate"/>
      </w:r>
      <w:r w:rsidR="00A95675" w:rsidRPr="00A95675">
        <w:t>[121]</w:t>
      </w:r>
      <w:r>
        <w:fldChar w:fldCharType="end"/>
      </w:r>
      <w:r w:rsidRPr="00AA52FF">
        <w:t xml:space="preserve">. Forecast integration is essential for model-predictive control strategies and for day-ahead dispatch planning, </w:t>
      </w:r>
      <w:r w:rsidR="00C00287">
        <w:t>prediction horizons from several hours to one or more days may be used, depending on the dispatch application and forecast source increasingly used</w:t>
      </w:r>
      <w:r w:rsidRPr="00AA52FF">
        <w:t>. The accuracy of these forecasts directly impacts the performance of optimization-based dispatch, with day-ahead solar forecast errors of 10</w:t>
      </w:r>
      <w:r>
        <w:t>-15%</w:t>
      </w:r>
      <w:r w:rsidRPr="00AA52FF">
        <w:t xml:space="preserve"> MAPE and intra-day errors of </w:t>
      </w:r>
      <w:r>
        <w:t>5-10%</w:t>
      </w:r>
      <w:r w:rsidRPr="00AA52FF">
        <w:t xml:space="preserve"> MAPE being typical of state-of-the-art systems</w:t>
      </w:r>
      <w:r>
        <w:fldChar w:fldCharType="begin"/>
      </w:r>
      <w:r w:rsidR="004E7A62">
        <w:instrText xml:space="preserve"> ADDIN ZOTERO_ITEM CSL_CITATION {"citationID":"ExCX3b0d","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4E7A62" w:rsidRPr="004E7A62">
        <w:t>[140]</w:t>
      </w:r>
      <w:r>
        <w:fldChar w:fldCharType="end"/>
      </w:r>
      <w:r w:rsidRPr="00AA52FF">
        <w:t>.</w:t>
      </w:r>
    </w:p>
    <w:p w14:paraId="7F2F5E26" w14:textId="77777777" w:rsidR="00FE013C" w:rsidRDefault="00FE013C" w:rsidP="004C16FF">
      <w:pPr>
        <w:pStyle w:val="Heading20"/>
        <w:jc w:val="both"/>
        <w:rPr>
          <w:color w:val="auto"/>
        </w:rPr>
      </w:pPr>
      <w:r>
        <w:rPr>
          <w:color w:val="auto"/>
        </w:rPr>
        <w:t>6.6. Machine Learning for Control and Forecasting</w:t>
      </w:r>
    </w:p>
    <w:p w14:paraId="729A9149" w14:textId="4D424D97" w:rsidR="006D572A" w:rsidRPr="008F308F" w:rsidRDefault="006D572A" w:rsidP="00E842C0">
      <w:pPr>
        <w:spacing w:after="120"/>
        <w:ind w:firstLine="480"/>
        <w:rPr>
          <w:highlight w:val="yellow"/>
        </w:rPr>
      </w:pPr>
      <w:r w:rsidRPr="008F308F">
        <w:rPr>
          <w:highlight w:val="yellow"/>
        </w:rPr>
        <w:t xml:space="preserve">Machine learning methods are used for prediction, energy management and control in renewable energy systems more and more. Data-driven methods can be used in conjunction with traditional physical and statistical forecasting techniques to capture the nonlinear dependencies and temporal dynamics among meteorological parameters and renewable energy generation. Performance forecasting, however, is highly dependent on the data set under consideration, the prediction horizon, geographic and climatic conditions, features used as input to the model, model architecture, and benchmark method. It is important, therefore, to recognize that any </w:t>
      </w:r>
      <w:r w:rsidR="009B136F" w:rsidRPr="00B67DF0">
        <w:rPr>
          <w:highlight w:val="yellow"/>
        </w:rPr>
        <w:t>reported performance improvement in an individual study</w:t>
      </w:r>
      <w:r w:rsidRPr="00B67DF0">
        <w:rPr>
          <w:highlight w:val="yellow"/>
        </w:rPr>
        <w:t xml:space="preserve"> over the conventional forecasting methods is study-specific, and no common </w:t>
      </w:r>
      <w:r w:rsidRPr="00020923">
        <w:rPr>
          <w:highlight w:val="yellow"/>
        </w:rPr>
        <w:t xml:space="preserve">percentage improvement is adopted in this review </w:t>
      </w:r>
      <w:r w:rsidRPr="00020923">
        <w:rPr>
          <w:highlight w:val="yellow"/>
        </w:rPr>
        <w:fldChar w:fldCharType="begin"/>
      </w:r>
      <w:r w:rsidRPr="00020923">
        <w:rPr>
          <w:highlight w:val="yellow"/>
        </w:rPr>
        <w:instrText xml:space="preserve"> ADDIN ZOTERO_ITEM CSL_CITATION {"citationID":"aXxbu5p8","properties":{"unsorted":false,"formattedCitation":"[141]","plainCitation":"[141]","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rsidRPr="00020923">
        <w:rPr>
          <w:highlight w:val="yellow"/>
        </w:rPr>
        <w:fldChar w:fldCharType="separate"/>
      </w:r>
      <w:r w:rsidRPr="00020923">
        <w:rPr>
          <w:highlight w:val="yellow"/>
        </w:rPr>
        <w:t>[141]</w:t>
      </w:r>
      <w:r w:rsidRPr="00020923">
        <w:rPr>
          <w:highlight w:val="yellow"/>
        </w:rPr>
        <w:fldChar w:fldCharType="end"/>
      </w:r>
      <w:r w:rsidRPr="00020923">
        <w:rPr>
          <w:highlight w:val="yellow"/>
        </w:rPr>
        <w:t xml:space="preserve">. Deep reinforcement learning (DRL) is also a </w:t>
      </w:r>
      <w:r w:rsidR="00B67DF0" w:rsidRPr="00020923">
        <w:rPr>
          <w:highlight w:val="yellow"/>
        </w:rPr>
        <w:t xml:space="preserve">candidate approach </w:t>
      </w:r>
      <w:r w:rsidRPr="00020923">
        <w:rPr>
          <w:highlight w:val="yellow"/>
        </w:rPr>
        <w:t xml:space="preserve">for microgrid energy management where an agent iteratively interacts with the simulated or real environment and attempts to learn a dispatch policy to achieve a defined objective under certain constraints </w:t>
      </w:r>
      <w:r w:rsidRPr="008F308F">
        <w:rPr>
          <w:highlight w:val="yellow"/>
        </w:rPr>
        <w:t xml:space="preserve">on the system </w:t>
      </w:r>
      <w:r w:rsidR="00503D6B" w:rsidRPr="008F308F">
        <w:rPr>
          <w:highlight w:val="yellow"/>
        </w:rPr>
        <w:fldChar w:fldCharType="begin"/>
      </w:r>
      <w:r w:rsidR="00E842C0">
        <w:rPr>
          <w:highlight w:val="yellow"/>
        </w:rPr>
        <w:instrText xml:space="preserve"> ADDIN ZOTERO_ITEM CSL_CITATION {"citationID":"atzHcWL3","properties":{"unsorted":false,"formattedCitation":"[142]","plainCitation":"[142]","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rsidR="00503D6B" w:rsidRPr="008F308F">
        <w:rPr>
          <w:highlight w:val="yellow"/>
        </w:rPr>
        <w:fldChar w:fldCharType="separate"/>
      </w:r>
      <w:r w:rsidR="00E842C0" w:rsidRPr="00E842C0">
        <w:rPr>
          <w:highlight w:val="yellow"/>
        </w:rPr>
        <w:t>[142]</w:t>
      </w:r>
      <w:r w:rsidR="00503D6B" w:rsidRPr="008F308F">
        <w:rPr>
          <w:highlight w:val="yellow"/>
        </w:rPr>
        <w:fldChar w:fldCharType="end"/>
      </w:r>
      <w:r w:rsidRPr="008F308F">
        <w:rPr>
          <w:highlight w:val="yellow"/>
        </w:rPr>
        <w:t>.</w:t>
      </w:r>
    </w:p>
    <w:p w14:paraId="13ADDC7D" w14:textId="7D40DDAD" w:rsidR="006D572A" w:rsidRDefault="006D572A" w:rsidP="00E842C0">
      <w:pPr>
        <w:spacing w:after="120"/>
        <w:ind w:firstLine="480"/>
      </w:pPr>
      <w:r w:rsidRPr="008F308F">
        <w:rPr>
          <w:highlight w:val="yellow"/>
        </w:rPr>
        <w:t xml:space="preserve">Another avenue of enhanced monitoring and control is the digital-twin approach, which is based on a virtual model of a physical system that is continuously updated with data from operations and sensors. Digital twins can be used in power systems and microgrids to analyze scenarios, monitor the state of the system, </w:t>
      </w:r>
      <w:r w:rsidR="00020923" w:rsidRPr="00020923">
        <w:rPr>
          <w:highlight w:val="yellow"/>
        </w:rPr>
        <w:t>support prediction and condition assessment</w:t>
      </w:r>
      <w:r w:rsidRPr="00020923">
        <w:rPr>
          <w:highlight w:val="yellow"/>
        </w:rPr>
        <w:t xml:space="preserve">, and </w:t>
      </w:r>
      <w:r w:rsidRPr="008F308F">
        <w:rPr>
          <w:highlight w:val="yellow"/>
        </w:rPr>
        <w:t xml:space="preserve">evaluate alternative control actions </w:t>
      </w:r>
      <w:r w:rsidR="00A033FB" w:rsidRPr="008F308F">
        <w:rPr>
          <w:highlight w:val="yellow"/>
        </w:rPr>
        <w:fldChar w:fldCharType="begin"/>
      </w:r>
      <w:r w:rsidR="00E842C0">
        <w:rPr>
          <w:highlight w:val="yellow"/>
        </w:rPr>
        <w:instrText xml:space="preserve"> ADDIN ZOTERO_ITEM CSL_CITATION {"citationID":"jbAPFFwd","properties":{"unsorted":false,"formattedCitation":"[143]","plainCitation":"[143]","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A033FB" w:rsidRPr="008F308F">
        <w:rPr>
          <w:highlight w:val="yellow"/>
        </w:rPr>
        <w:fldChar w:fldCharType="separate"/>
      </w:r>
      <w:r w:rsidR="00E842C0" w:rsidRPr="00E842C0">
        <w:rPr>
          <w:highlight w:val="yellow"/>
        </w:rPr>
        <w:t>[143]</w:t>
      </w:r>
      <w:r w:rsidR="00A033FB" w:rsidRPr="008F308F">
        <w:rPr>
          <w:highlight w:val="yellow"/>
        </w:rPr>
        <w:fldChar w:fldCharType="end"/>
      </w:r>
      <w:r w:rsidRPr="008F308F">
        <w:rPr>
          <w:highlight w:val="yellow"/>
        </w:rPr>
        <w:t xml:space="preserve">. For example, when applied to a data-center microgrid, this framework could be used to examine the impact of renewable generation forecasts on battery dispatch, to </w:t>
      </w:r>
      <w:r w:rsidR="00020923" w:rsidRPr="008F308F">
        <w:rPr>
          <w:highlight w:val="yellow"/>
        </w:rPr>
        <w:t>compare</w:t>
      </w:r>
      <w:r w:rsidRPr="008F308F">
        <w:rPr>
          <w:highlight w:val="yellow"/>
        </w:rPr>
        <w:t xml:space="preserve"> alternate workload scheduling strategies, and to enable condition-based assessment of critical equipment. The capabilities, however, rely on the fidelity of the underlying models, quality and availability of operational data, and accuracy of the forecasting and state-estimation techniques which are included in the digital twin </w:t>
      </w:r>
      <w:r w:rsidR="00A0372B" w:rsidRPr="008F308F">
        <w:rPr>
          <w:highlight w:val="yellow"/>
        </w:rPr>
        <w:fldChar w:fldCharType="begin"/>
      </w:r>
      <w:r w:rsidR="00E842C0">
        <w:rPr>
          <w:highlight w:val="yellow"/>
        </w:rPr>
        <w:instrText xml:space="preserve"> ADDIN ZOTERO_ITEM CSL_CITATION {"citationID":"yfM1Wvpd","properties":{"unsorted":false,"formattedCitation":"[143]","plainCitation":"[143]","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A0372B" w:rsidRPr="008F308F">
        <w:rPr>
          <w:highlight w:val="yellow"/>
        </w:rPr>
        <w:fldChar w:fldCharType="separate"/>
      </w:r>
      <w:r w:rsidR="00E842C0" w:rsidRPr="00E842C0">
        <w:rPr>
          <w:highlight w:val="yellow"/>
        </w:rPr>
        <w:t>[143]</w:t>
      </w:r>
      <w:r w:rsidR="00A0372B" w:rsidRPr="008F308F">
        <w:rPr>
          <w:highlight w:val="yellow"/>
        </w:rPr>
        <w:fldChar w:fldCharType="end"/>
      </w:r>
      <w:r w:rsidRPr="008F308F">
        <w:rPr>
          <w:highlight w:val="yellow"/>
        </w:rPr>
        <w:t>. In general, machine learning approaches to energy management present a challenge of model generalizability, especially if the operating conditions vary significantly from those in the training set. This restriction becomes particularly important for rare disturbances, varying load patterns, and extreme weather conditions, where historical training data may be limited or unrepresentative.</w:t>
      </w:r>
    </w:p>
    <w:p w14:paraId="05522F7C" w14:textId="16A31D1E" w:rsidR="003A3C82" w:rsidRPr="003A3C82" w:rsidRDefault="003A3C82" w:rsidP="003A3C82">
      <w:pPr>
        <w:spacing w:after="120"/>
        <w:ind w:firstLine="480"/>
        <w:rPr>
          <w:lang w:val="en-CA"/>
        </w:rPr>
      </w:pPr>
      <w:r w:rsidRPr="00357DE5">
        <w:rPr>
          <w:highlight w:val="yellow"/>
          <w:lang w:val="en-CA"/>
        </w:rPr>
        <w:t xml:space="preserve">Because different engineering questions require different modelling approaches, no single method is sufficient to evaluate all aspects of renewable-powered AI data-center design and operation. </w:t>
      </w:r>
      <w:r w:rsidR="009C1F99">
        <w:rPr>
          <w:highlight w:val="yellow"/>
          <w:lang w:val="en-CA"/>
        </w:rPr>
        <w:fldChar w:fldCharType="begin"/>
      </w:r>
      <w:r w:rsidR="009C1F99">
        <w:rPr>
          <w:highlight w:val="yellow"/>
          <w:lang w:val="en-CA"/>
        </w:rPr>
        <w:instrText xml:space="preserve"> REF _Ref239530766 \h </w:instrText>
      </w:r>
      <w:r w:rsidR="009C1F99">
        <w:rPr>
          <w:highlight w:val="yellow"/>
          <w:lang w:val="en-CA"/>
        </w:rPr>
      </w:r>
      <w:r w:rsidR="009C1F99">
        <w:rPr>
          <w:highlight w:val="yellow"/>
          <w:lang w:val="en-CA"/>
        </w:rPr>
        <w:fldChar w:fldCharType="separate"/>
      </w:r>
      <w:r w:rsidR="009C1F99" w:rsidRPr="00357DE5">
        <w:rPr>
          <w:highlight w:val="yellow"/>
        </w:rPr>
        <w:t xml:space="preserve">Table </w:t>
      </w:r>
      <w:r w:rsidR="009C1F99">
        <w:rPr>
          <w:noProof/>
          <w:highlight w:val="yellow"/>
        </w:rPr>
        <w:t>4</w:t>
      </w:r>
      <w:r w:rsidR="009C1F99" w:rsidRPr="00357DE5">
        <w:rPr>
          <w:highlight w:val="yellow"/>
        </w:rPr>
        <w:t xml:space="preserve"> Recommended Modeling Approaches for Renewable-Powered AI Data Centers</w:t>
      </w:r>
      <w:r w:rsidR="009C1F99">
        <w:rPr>
          <w:highlight w:val="yellow"/>
          <w:lang w:val="en-CA"/>
        </w:rPr>
        <w:fldChar w:fldCharType="end"/>
      </w:r>
      <w:r w:rsidR="009C1F99">
        <w:rPr>
          <w:highlight w:val="yellow"/>
          <w:lang w:val="en-CA"/>
        </w:rPr>
        <w:t xml:space="preserve">, </w:t>
      </w:r>
      <w:r w:rsidRPr="00357DE5">
        <w:rPr>
          <w:highlight w:val="yellow"/>
          <w:lang w:val="en-CA"/>
        </w:rPr>
        <w:t>summarizes the recommended modelling approach, time resolution, input-data requirements, and primary limitations associated with the most common engineering and operational questions addressed in this review.</w:t>
      </w:r>
    </w:p>
    <w:p w14:paraId="7C1F80D4" w14:textId="10AC0308" w:rsidR="003A3C82" w:rsidRDefault="003A3C82" w:rsidP="003A3C82">
      <w:pPr>
        <w:pStyle w:val="Caption"/>
        <w:keepNext/>
      </w:pPr>
      <w:bookmarkStart w:id="13" w:name="_Ref239530766"/>
      <w:r w:rsidRPr="00357DE5">
        <w:rPr>
          <w:highlight w:val="yellow"/>
        </w:rPr>
        <w:lastRenderedPageBreak/>
        <w:t xml:space="preserve">Table </w:t>
      </w:r>
      <w:r w:rsidRPr="00357DE5">
        <w:rPr>
          <w:highlight w:val="yellow"/>
        </w:rPr>
        <w:fldChar w:fldCharType="begin"/>
      </w:r>
      <w:r w:rsidRPr="00357DE5">
        <w:rPr>
          <w:highlight w:val="yellow"/>
        </w:rPr>
        <w:instrText xml:space="preserve"> SEQ Table \* ARABIC </w:instrText>
      </w:r>
      <w:r w:rsidRPr="00357DE5">
        <w:rPr>
          <w:highlight w:val="yellow"/>
        </w:rPr>
        <w:fldChar w:fldCharType="separate"/>
      </w:r>
      <w:r w:rsidR="003A45CA">
        <w:rPr>
          <w:noProof/>
          <w:highlight w:val="yellow"/>
        </w:rPr>
        <w:t>4</w:t>
      </w:r>
      <w:r w:rsidRPr="00357DE5">
        <w:rPr>
          <w:highlight w:val="yellow"/>
        </w:rPr>
        <w:fldChar w:fldCharType="end"/>
      </w:r>
      <w:r w:rsidRPr="00357DE5">
        <w:rPr>
          <w:highlight w:val="yellow"/>
        </w:rPr>
        <w:t xml:space="preserve"> Recommended Modeling Approaches for Renewable-Powered AI Data Centers</w:t>
      </w:r>
      <w:bookmarkEnd w:id="13"/>
    </w:p>
    <w:tbl>
      <w:tblPr>
        <w:tblStyle w:val="MDPI41threelinetable"/>
        <w:tblW w:w="5000" w:type="pct"/>
        <w:tblLook w:val="04A0" w:firstRow="1" w:lastRow="0" w:firstColumn="1" w:lastColumn="0" w:noHBand="0" w:noVBand="1"/>
      </w:tblPr>
      <w:tblGrid>
        <w:gridCol w:w="2310"/>
        <w:gridCol w:w="2000"/>
        <w:gridCol w:w="1492"/>
        <w:gridCol w:w="2105"/>
        <w:gridCol w:w="1845"/>
      </w:tblGrid>
      <w:tr w:rsidR="00C3472F" w:rsidRPr="00C3472F" w14:paraId="0A32EC07" w14:textId="77777777" w:rsidTr="008F308F">
        <w:trPr>
          <w:cnfStyle w:val="100000000000" w:firstRow="1" w:lastRow="0" w:firstColumn="0" w:lastColumn="0" w:oddVBand="0" w:evenVBand="0" w:oddHBand="0" w:evenHBand="0" w:firstRowFirstColumn="0" w:firstRowLastColumn="0" w:lastRowFirstColumn="0" w:lastRowLastColumn="0"/>
        </w:trPr>
        <w:tc>
          <w:tcPr>
            <w:tcW w:w="0" w:type="auto"/>
            <w:hideMark/>
          </w:tcPr>
          <w:p w14:paraId="717BD62A" w14:textId="77777777" w:rsidR="00C3472F" w:rsidRPr="00C3472F" w:rsidRDefault="00C3472F" w:rsidP="00B67F8D">
            <w:pPr>
              <w:spacing w:after="120"/>
              <w:rPr>
                <w:b w:val="0"/>
                <w:bCs/>
                <w:sz w:val="18"/>
                <w:szCs w:val="18"/>
                <w:lang w:val="en-CA"/>
              </w:rPr>
            </w:pPr>
            <w:r w:rsidRPr="00C3472F">
              <w:rPr>
                <w:bCs/>
                <w:sz w:val="18"/>
                <w:szCs w:val="18"/>
                <w:lang w:val="en-CA"/>
              </w:rPr>
              <w:t>Engineering Question</w:t>
            </w:r>
          </w:p>
        </w:tc>
        <w:tc>
          <w:tcPr>
            <w:tcW w:w="0" w:type="auto"/>
            <w:hideMark/>
          </w:tcPr>
          <w:p w14:paraId="36D40EC8" w14:textId="77777777" w:rsidR="00C3472F" w:rsidRPr="00C3472F" w:rsidRDefault="00C3472F" w:rsidP="00B67F8D">
            <w:pPr>
              <w:spacing w:after="120"/>
              <w:rPr>
                <w:b w:val="0"/>
                <w:bCs/>
                <w:sz w:val="18"/>
                <w:szCs w:val="18"/>
                <w:lang w:val="en-CA"/>
              </w:rPr>
            </w:pPr>
            <w:r w:rsidRPr="00C3472F">
              <w:rPr>
                <w:bCs/>
                <w:sz w:val="18"/>
                <w:szCs w:val="18"/>
                <w:lang w:val="en-CA"/>
              </w:rPr>
              <w:t>Recommended Method</w:t>
            </w:r>
          </w:p>
        </w:tc>
        <w:tc>
          <w:tcPr>
            <w:tcW w:w="0" w:type="auto"/>
            <w:hideMark/>
          </w:tcPr>
          <w:p w14:paraId="0047DC83" w14:textId="77777777" w:rsidR="00C3472F" w:rsidRPr="00C3472F" w:rsidRDefault="00C3472F" w:rsidP="00B67F8D">
            <w:pPr>
              <w:spacing w:after="120"/>
              <w:rPr>
                <w:b w:val="0"/>
                <w:bCs/>
                <w:sz w:val="18"/>
                <w:szCs w:val="18"/>
                <w:lang w:val="en-CA"/>
              </w:rPr>
            </w:pPr>
            <w:r w:rsidRPr="00C3472F">
              <w:rPr>
                <w:bCs/>
                <w:sz w:val="18"/>
                <w:szCs w:val="18"/>
                <w:lang w:val="en-CA"/>
              </w:rPr>
              <w:t>Typical Time Resolution</w:t>
            </w:r>
          </w:p>
        </w:tc>
        <w:tc>
          <w:tcPr>
            <w:tcW w:w="0" w:type="auto"/>
            <w:hideMark/>
          </w:tcPr>
          <w:p w14:paraId="5FE33680" w14:textId="77777777" w:rsidR="00C3472F" w:rsidRPr="00C3472F" w:rsidRDefault="00C3472F" w:rsidP="00B67F8D">
            <w:pPr>
              <w:spacing w:after="120"/>
              <w:rPr>
                <w:b w:val="0"/>
                <w:bCs/>
                <w:sz w:val="18"/>
                <w:szCs w:val="18"/>
                <w:lang w:val="en-CA"/>
              </w:rPr>
            </w:pPr>
            <w:r w:rsidRPr="00C3472F">
              <w:rPr>
                <w:bCs/>
                <w:sz w:val="18"/>
                <w:szCs w:val="18"/>
                <w:lang w:val="en-CA"/>
              </w:rPr>
              <w:t>Required Inputs</w:t>
            </w:r>
          </w:p>
        </w:tc>
        <w:tc>
          <w:tcPr>
            <w:tcW w:w="0" w:type="auto"/>
            <w:hideMark/>
          </w:tcPr>
          <w:p w14:paraId="2AAEAD16" w14:textId="77777777" w:rsidR="00C3472F" w:rsidRPr="00C3472F" w:rsidRDefault="00C3472F" w:rsidP="00B67F8D">
            <w:pPr>
              <w:spacing w:after="120"/>
              <w:rPr>
                <w:b w:val="0"/>
                <w:bCs/>
                <w:sz w:val="18"/>
                <w:szCs w:val="18"/>
                <w:lang w:val="en-CA"/>
              </w:rPr>
            </w:pPr>
            <w:r w:rsidRPr="00C3472F">
              <w:rPr>
                <w:bCs/>
                <w:sz w:val="18"/>
                <w:szCs w:val="18"/>
                <w:lang w:val="en-CA"/>
              </w:rPr>
              <w:t>Primary Limitation</w:t>
            </w:r>
          </w:p>
        </w:tc>
      </w:tr>
      <w:tr w:rsidR="00C3472F" w:rsidRPr="00C3472F" w14:paraId="0D2B9448" w14:textId="77777777" w:rsidTr="008F308F">
        <w:tc>
          <w:tcPr>
            <w:tcW w:w="0" w:type="auto"/>
            <w:hideMark/>
          </w:tcPr>
          <w:p w14:paraId="5E958383" w14:textId="77777777" w:rsidR="00C3472F" w:rsidRPr="00C3472F" w:rsidRDefault="00C3472F" w:rsidP="00B67F8D">
            <w:pPr>
              <w:spacing w:after="120"/>
              <w:rPr>
                <w:sz w:val="18"/>
                <w:szCs w:val="18"/>
                <w:lang w:val="en-CA"/>
              </w:rPr>
            </w:pPr>
            <w:r w:rsidRPr="00C3472F">
              <w:rPr>
                <w:sz w:val="18"/>
                <w:szCs w:val="18"/>
                <w:lang w:val="en-CA"/>
              </w:rPr>
              <w:t>Power-flow analysis, voltage profile assessment, line loading, and loss estimation</w:t>
            </w:r>
          </w:p>
        </w:tc>
        <w:tc>
          <w:tcPr>
            <w:tcW w:w="0" w:type="auto"/>
            <w:hideMark/>
          </w:tcPr>
          <w:p w14:paraId="28E3108F" w14:textId="77777777" w:rsidR="00C3472F" w:rsidRPr="00C3472F" w:rsidRDefault="00C3472F" w:rsidP="00B67F8D">
            <w:pPr>
              <w:spacing w:after="120"/>
              <w:rPr>
                <w:sz w:val="18"/>
                <w:szCs w:val="18"/>
                <w:lang w:val="en-CA"/>
              </w:rPr>
            </w:pPr>
            <w:r w:rsidRPr="00C3472F">
              <w:rPr>
                <w:sz w:val="18"/>
                <w:szCs w:val="18"/>
                <w:lang w:val="en-CA"/>
              </w:rPr>
              <w:t>AC Power Flow</w:t>
            </w:r>
          </w:p>
        </w:tc>
        <w:tc>
          <w:tcPr>
            <w:tcW w:w="0" w:type="auto"/>
            <w:hideMark/>
          </w:tcPr>
          <w:p w14:paraId="29FEFADE" w14:textId="77777777" w:rsidR="00C3472F" w:rsidRPr="00C3472F" w:rsidRDefault="00C3472F" w:rsidP="00B67F8D">
            <w:pPr>
              <w:spacing w:after="120"/>
              <w:rPr>
                <w:sz w:val="18"/>
                <w:szCs w:val="18"/>
                <w:lang w:val="en-CA"/>
              </w:rPr>
            </w:pPr>
            <w:r w:rsidRPr="00C3472F">
              <w:rPr>
                <w:sz w:val="18"/>
                <w:szCs w:val="18"/>
                <w:lang w:val="en-CA"/>
              </w:rPr>
              <w:t>Steady-state</w:t>
            </w:r>
          </w:p>
        </w:tc>
        <w:tc>
          <w:tcPr>
            <w:tcW w:w="0" w:type="auto"/>
            <w:hideMark/>
          </w:tcPr>
          <w:p w14:paraId="35EAE3FA" w14:textId="77777777" w:rsidR="00C3472F" w:rsidRPr="00C3472F" w:rsidRDefault="00C3472F" w:rsidP="00B67F8D">
            <w:pPr>
              <w:spacing w:after="120"/>
              <w:rPr>
                <w:sz w:val="18"/>
                <w:szCs w:val="18"/>
                <w:lang w:val="en-CA"/>
              </w:rPr>
            </w:pPr>
            <w:r w:rsidRPr="00C3472F">
              <w:rPr>
                <w:sz w:val="18"/>
                <w:szCs w:val="18"/>
                <w:lang w:val="en-CA"/>
              </w:rPr>
              <w:t>Network topology, line impedances, load data</w:t>
            </w:r>
          </w:p>
        </w:tc>
        <w:tc>
          <w:tcPr>
            <w:tcW w:w="0" w:type="auto"/>
            <w:hideMark/>
          </w:tcPr>
          <w:p w14:paraId="0F38B2AF" w14:textId="77777777" w:rsidR="00C3472F" w:rsidRPr="00C3472F" w:rsidRDefault="00C3472F" w:rsidP="00B67F8D">
            <w:pPr>
              <w:spacing w:after="120"/>
              <w:rPr>
                <w:sz w:val="18"/>
                <w:szCs w:val="18"/>
                <w:lang w:val="en-CA"/>
              </w:rPr>
            </w:pPr>
            <w:r w:rsidRPr="00C3472F">
              <w:rPr>
                <w:sz w:val="18"/>
                <w:szCs w:val="18"/>
                <w:lang w:val="en-CA"/>
              </w:rPr>
              <w:t>Does not capture dynamic behaviour</w:t>
            </w:r>
          </w:p>
        </w:tc>
      </w:tr>
      <w:tr w:rsidR="00C3472F" w:rsidRPr="00C3472F" w14:paraId="6B9092CC" w14:textId="77777777" w:rsidTr="008F308F">
        <w:tc>
          <w:tcPr>
            <w:tcW w:w="0" w:type="auto"/>
            <w:hideMark/>
          </w:tcPr>
          <w:p w14:paraId="5BE4442E" w14:textId="77777777" w:rsidR="00C3472F" w:rsidRPr="00C3472F" w:rsidRDefault="00C3472F" w:rsidP="00B67F8D">
            <w:pPr>
              <w:spacing w:after="120"/>
              <w:rPr>
                <w:sz w:val="18"/>
                <w:szCs w:val="18"/>
                <w:lang w:val="en-CA"/>
              </w:rPr>
            </w:pPr>
            <w:r w:rsidRPr="00C3472F">
              <w:rPr>
                <w:sz w:val="18"/>
                <w:szCs w:val="18"/>
                <w:lang w:val="en-CA"/>
              </w:rPr>
              <w:t>Large-scale transmission screening studies</w:t>
            </w:r>
          </w:p>
        </w:tc>
        <w:tc>
          <w:tcPr>
            <w:tcW w:w="0" w:type="auto"/>
            <w:hideMark/>
          </w:tcPr>
          <w:p w14:paraId="5F187120" w14:textId="77777777" w:rsidR="00C3472F" w:rsidRPr="00C3472F" w:rsidRDefault="00C3472F" w:rsidP="00B67F8D">
            <w:pPr>
              <w:spacing w:after="120"/>
              <w:rPr>
                <w:sz w:val="18"/>
                <w:szCs w:val="18"/>
                <w:lang w:val="en-CA"/>
              </w:rPr>
            </w:pPr>
            <w:r w:rsidRPr="00C3472F">
              <w:rPr>
                <w:sz w:val="18"/>
                <w:szCs w:val="18"/>
                <w:lang w:val="en-CA"/>
              </w:rPr>
              <w:t>DC Power Flow</w:t>
            </w:r>
          </w:p>
        </w:tc>
        <w:tc>
          <w:tcPr>
            <w:tcW w:w="0" w:type="auto"/>
            <w:hideMark/>
          </w:tcPr>
          <w:p w14:paraId="47B8BF5A" w14:textId="77777777" w:rsidR="00C3472F" w:rsidRPr="00C3472F" w:rsidRDefault="00C3472F" w:rsidP="00B67F8D">
            <w:pPr>
              <w:spacing w:after="120"/>
              <w:rPr>
                <w:sz w:val="18"/>
                <w:szCs w:val="18"/>
                <w:lang w:val="en-CA"/>
              </w:rPr>
            </w:pPr>
            <w:r w:rsidRPr="00C3472F">
              <w:rPr>
                <w:sz w:val="18"/>
                <w:szCs w:val="18"/>
                <w:lang w:val="en-CA"/>
              </w:rPr>
              <w:t>Steady-state</w:t>
            </w:r>
          </w:p>
        </w:tc>
        <w:tc>
          <w:tcPr>
            <w:tcW w:w="0" w:type="auto"/>
            <w:hideMark/>
          </w:tcPr>
          <w:p w14:paraId="1591BAA9" w14:textId="77777777" w:rsidR="00C3472F" w:rsidRPr="00C3472F" w:rsidRDefault="00C3472F" w:rsidP="00B67F8D">
            <w:pPr>
              <w:spacing w:after="120"/>
              <w:rPr>
                <w:sz w:val="18"/>
                <w:szCs w:val="18"/>
                <w:lang w:val="en-CA"/>
              </w:rPr>
            </w:pPr>
            <w:r w:rsidRPr="00C3472F">
              <w:rPr>
                <w:sz w:val="18"/>
                <w:szCs w:val="18"/>
                <w:lang w:val="en-CA"/>
              </w:rPr>
              <w:t>Network topology and active-power data</w:t>
            </w:r>
          </w:p>
        </w:tc>
        <w:tc>
          <w:tcPr>
            <w:tcW w:w="0" w:type="auto"/>
            <w:hideMark/>
          </w:tcPr>
          <w:p w14:paraId="12B2AC81" w14:textId="77777777" w:rsidR="00C3472F" w:rsidRPr="00C3472F" w:rsidRDefault="00C3472F" w:rsidP="00B67F8D">
            <w:pPr>
              <w:spacing w:after="120"/>
              <w:rPr>
                <w:sz w:val="18"/>
                <w:szCs w:val="18"/>
                <w:lang w:val="en-CA"/>
              </w:rPr>
            </w:pPr>
            <w:r w:rsidRPr="00C3472F">
              <w:rPr>
                <w:sz w:val="18"/>
                <w:szCs w:val="18"/>
                <w:lang w:val="en-CA"/>
              </w:rPr>
              <w:t>Ignores reactive power and voltage constraints</w:t>
            </w:r>
          </w:p>
        </w:tc>
      </w:tr>
      <w:tr w:rsidR="00C3472F" w:rsidRPr="00C3472F" w14:paraId="7EF239CA" w14:textId="77777777" w:rsidTr="008F308F">
        <w:tc>
          <w:tcPr>
            <w:tcW w:w="0" w:type="auto"/>
            <w:hideMark/>
          </w:tcPr>
          <w:p w14:paraId="245C9652" w14:textId="77777777" w:rsidR="00C3472F" w:rsidRPr="00C3472F" w:rsidRDefault="00C3472F" w:rsidP="00B67F8D">
            <w:pPr>
              <w:spacing w:after="120"/>
              <w:rPr>
                <w:sz w:val="18"/>
                <w:szCs w:val="18"/>
                <w:lang w:val="en-CA"/>
              </w:rPr>
            </w:pPr>
            <w:r w:rsidRPr="00C3472F">
              <w:rPr>
                <w:sz w:val="18"/>
                <w:szCs w:val="18"/>
                <w:lang w:val="en-CA"/>
              </w:rPr>
              <w:t>Harmonic compliance and filter design</w:t>
            </w:r>
          </w:p>
        </w:tc>
        <w:tc>
          <w:tcPr>
            <w:tcW w:w="0" w:type="auto"/>
            <w:hideMark/>
          </w:tcPr>
          <w:p w14:paraId="0EFF8529" w14:textId="77777777" w:rsidR="00C3472F" w:rsidRPr="00C3472F" w:rsidRDefault="00C3472F" w:rsidP="00B67F8D">
            <w:pPr>
              <w:spacing w:after="120"/>
              <w:rPr>
                <w:sz w:val="18"/>
                <w:szCs w:val="18"/>
                <w:lang w:val="en-CA"/>
              </w:rPr>
            </w:pPr>
            <w:r w:rsidRPr="00C3472F">
              <w:rPr>
                <w:sz w:val="18"/>
                <w:szCs w:val="18"/>
                <w:lang w:val="en-CA"/>
              </w:rPr>
              <w:t>Harmonic Analysis / Frequency-Domain Simulation</w:t>
            </w:r>
          </w:p>
        </w:tc>
        <w:tc>
          <w:tcPr>
            <w:tcW w:w="0" w:type="auto"/>
            <w:hideMark/>
          </w:tcPr>
          <w:p w14:paraId="7BA4204D" w14:textId="77777777" w:rsidR="00C3472F" w:rsidRPr="00C3472F" w:rsidRDefault="00C3472F" w:rsidP="00B67F8D">
            <w:pPr>
              <w:spacing w:after="120"/>
              <w:rPr>
                <w:sz w:val="18"/>
                <w:szCs w:val="18"/>
                <w:lang w:val="en-CA"/>
              </w:rPr>
            </w:pPr>
            <w:r w:rsidRPr="00C3472F">
              <w:rPr>
                <w:sz w:val="18"/>
                <w:szCs w:val="18"/>
                <w:lang w:val="en-CA"/>
              </w:rPr>
              <w:t>Frequency domain</w:t>
            </w:r>
          </w:p>
        </w:tc>
        <w:tc>
          <w:tcPr>
            <w:tcW w:w="0" w:type="auto"/>
            <w:hideMark/>
          </w:tcPr>
          <w:p w14:paraId="627822D5" w14:textId="77777777" w:rsidR="00C3472F" w:rsidRPr="00C3472F" w:rsidRDefault="00C3472F" w:rsidP="00B67F8D">
            <w:pPr>
              <w:spacing w:after="120"/>
              <w:rPr>
                <w:sz w:val="18"/>
                <w:szCs w:val="18"/>
                <w:lang w:val="en-CA"/>
              </w:rPr>
            </w:pPr>
            <w:r w:rsidRPr="00C3472F">
              <w:rPr>
                <w:sz w:val="18"/>
                <w:szCs w:val="18"/>
                <w:lang w:val="en-CA"/>
              </w:rPr>
              <w:t>Harmonic spectra, network impedance data</w:t>
            </w:r>
          </w:p>
        </w:tc>
        <w:tc>
          <w:tcPr>
            <w:tcW w:w="0" w:type="auto"/>
            <w:hideMark/>
          </w:tcPr>
          <w:p w14:paraId="35DD1EC5" w14:textId="77777777" w:rsidR="00C3472F" w:rsidRPr="00C3472F" w:rsidRDefault="00C3472F" w:rsidP="00B67F8D">
            <w:pPr>
              <w:spacing w:after="120"/>
              <w:rPr>
                <w:sz w:val="18"/>
                <w:szCs w:val="18"/>
                <w:lang w:val="en-CA"/>
              </w:rPr>
            </w:pPr>
            <w:r w:rsidRPr="00C3472F">
              <w:rPr>
                <w:sz w:val="18"/>
                <w:szCs w:val="18"/>
                <w:lang w:val="en-CA"/>
              </w:rPr>
              <w:t>Limited representation of transient behaviour</w:t>
            </w:r>
          </w:p>
        </w:tc>
      </w:tr>
      <w:tr w:rsidR="00C3472F" w:rsidRPr="00C3472F" w14:paraId="3685A29D" w14:textId="77777777" w:rsidTr="008F308F">
        <w:tc>
          <w:tcPr>
            <w:tcW w:w="0" w:type="auto"/>
            <w:hideMark/>
          </w:tcPr>
          <w:p w14:paraId="2D9FEC80" w14:textId="77777777" w:rsidR="00C3472F" w:rsidRPr="00C3472F" w:rsidRDefault="00C3472F" w:rsidP="00B67F8D">
            <w:pPr>
              <w:spacing w:after="120"/>
              <w:rPr>
                <w:sz w:val="18"/>
                <w:szCs w:val="18"/>
                <w:lang w:val="en-CA"/>
              </w:rPr>
            </w:pPr>
            <w:r w:rsidRPr="00C3472F">
              <w:rPr>
                <w:sz w:val="18"/>
                <w:szCs w:val="18"/>
                <w:lang w:val="en-CA"/>
              </w:rPr>
              <w:t>Inverter interactions, protection studies, and transient stability assessment</w:t>
            </w:r>
          </w:p>
        </w:tc>
        <w:tc>
          <w:tcPr>
            <w:tcW w:w="0" w:type="auto"/>
            <w:hideMark/>
          </w:tcPr>
          <w:p w14:paraId="6B40B68D" w14:textId="77777777" w:rsidR="00C3472F" w:rsidRPr="00C3472F" w:rsidRDefault="00C3472F" w:rsidP="00B67F8D">
            <w:pPr>
              <w:spacing w:after="120"/>
              <w:rPr>
                <w:sz w:val="18"/>
                <w:szCs w:val="18"/>
                <w:lang w:val="en-CA"/>
              </w:rPr>
            </w:pPr>
            <w:r w:rsidRPr="00C3472F">
              <w:rPr>
                <w:sz w:val="18"/>
                <w:szCs w:val="18"/>
                <w:lang w:val="en-CA"/>
              </w:rPr>
              <w:t>Electromagnetic Transient (EMT) Simulation</w:t>
            </w:r>
          </w:p>
        </w:tc>
        <w:tc>
          <w:tcPr>
            <w:tcW w:w="0" w:type="auto"/>
            <w:hideMark/>
          </w:tcPr>
          <w:p w14:paraId="2CA82713" w14:textId="77777777" w:rsidR="00C3472F" w:rsidRPr="00C3472F" w:rsidRDefault="00C3472F" w:rsidP="00B67F8D">
            <w:pPr>
              <w:spacing w:after="120"/>
              <w:rPr>
                <w:sz w:val="18"/>
                <w:szCs w:val="18"/>
                <w:lang w:val="en-CA"/>
              </w:rPr>
            </w:pPr>
            <w:r w:rsidRPr="00C3472F">
              <w:rPr>
                <w:sz w:val="18"/>
                <w:szCs w:val="18"/>
                <w:lang w:val="en-CA"/>
              </w:rPr>
              <w:t>Microseconds to milliseconds</w:t>
            </w:r>
          </w:p>
        </w:tc>
        <w:tc>
          <w:tcPr>
            <w:tcW w:w="0" w:type="auto"/>
            <w:hideMark/>
          </w:tcPr>
          <w:p w14:paraId="49EFD473" w14:textId="77777777" w:rsidR="00C3472F" w:rsidRPr="00C3472F" w:rsidRDefault="00C3472F" w:rsidP="00B67F8D">
            <w:pPr>
              <w:spacing w:after="120"/>
              <w:rPr>
                <w:sz w:val="18"/>
                <w:szCs w:val="18"/>
                <w:lang w:val="en-CA"/>
              </w:rPr>
            </w:pPr>
            <w:r w:rsidRPr="00C3472F">
              <w:rPr>
                <w:sz w:val="18"/>
                <w:szCs w:val="18"/>
                <w:lang w:val="en-CA"/>
              </w:rPr>
              <w:t>Detailed inverter and controller models</w:t>
            </w:r>
          </w:p>
        </w:tc>
        <w:tc>
          <w:tcPr>
            <w:tcW w:w="0" w:type="auto"/>
            <w:hideMark/>
          </w:tcPr>
          <w:p w14:paraId="10B623BC" w14:textId="77777777" w:rsidR="00C3472F" w:rsidRPr="00C3472F" w:rsidRDefault="00C3472F" w:rsidP="00B67F8D">
            <w:pPr>
              <w:spacing w:after="120"/>
              <w:rPr>
                <w:sz w:val="18"/>
                <w:szCs w:val="18"/>
                <w:lang w:val="en-CA"/>
              </w:rPr>
            </w:pPr>
            <w:r w:rsidRPr="00C3472F">
              <w:rPr>
                <w:sz w:val="18"/>
                <w:szCs w:val="18"/>
                <w:lang w:val="en-CA"/>
              </w:rPr>
              <w:t>High computational requirements</w:t>
            </w:r>
          </w:p>
        </w:tc>
      </w:tr>
      <w:tr w:rsidR="00C3472F" w:rsidRPr="00C3472F" w14:paraId="1D0C39FD" w14:textId="77777777" w:rsidTr="008F308F">
        <w:tc>
          <w:tcPr>
            <w:tcW w:w="0" w:type="auto"/>
            <w:hideMark/>
          </w:tcPr>
          <w:p w14:paraId="3FBC272B" w14:textId="77777777" w:rsidR="00C3472F" w:rsidRPr="00C3472F" w:rsidRDefault="00C3472F" w:rsidP="00B67F8D">
            <w:pPr>
              <w:spacing w:after="120"/>
              <w:rPr>
                <w:sz w:val="18"/>
                <w:szCs w:val="18"/>
                <w:lang w:val="en-CA"/>
              </w:rPr>
            </w:pPr>
            <w:r w:rsidRPr="00C3472F">
              <w:rPr>
                <w:sz w:val="18"/>
                <w:szCs w:val="18"/>
                <w:lang w:val="en-CA"/>
              </w:rPr>
              <w:t>Renewable-generation and energy-storage sizing</w:t>
            </w:r>
          </w:p>
        </w:tc>
        <w:tc>
          <w:tcPr>
            <w:tcW w:w="0" w:type="auto"/>
            <w:hideMark/>
          </w:tcPr>
          <w:p w14:paraId="30377710" w14:textId="77777777" w:rsidR="00C3472F" w:rsidRPr="00C3472F" w:rsidRDefault="00C3472F" w:rsidP="00B67F8D">
            <w:pPr>
              <w:spacing w:after="120"/>
              <w:rPr>
                <w:sz w:val="18"/>
                <w:szCs w:val="18"/>
                <w:lang w:val="en-CA"/>
              </w:rPr>
            </w:pPr>
            <w:r w:rsidRPr="00C3472F">
              <w:rPr>
                <w:sz w:val="18"/>
                <w:szCs w:val="18"/>
                <w:lang w:val="en-CA"/>
              </w:rPr>
              <w:t>Chronological Time-Series Simulation</w:t>
            </w:r>
          </w:p>
        </w:tc>
        <w:tc>
          <w:tcPr>
            <w:tcW w:w="0" w:type="auto"/>
            <w:hideMark/>
          </w:tcPr>
          <w:p w14:paraId="5ADF5D81" w14:textId="77777777" w:rsidR="00C3472F" w:rsidRPr="00C3472F" w:rsidRDefault="00C3472F" w:rsidP="00B67F8D">
            <w:pPr>
              <w:spacing w:after="120"/>
              <w:rPr>
                <w:sz w:val="18"/>
                <w:szCs w:val="18"/>
                <w:lang w:val="en-CA"/>
              </w:rPr>
            </w:pPr>
            <w:r w:rsidRPr="00C3472F">
              <w:rPr>
                <w:sz w:val="18"/>
                <w:szCs w:val="18"/>
                <w:lang w:val="en-CA"/>
              </w:rPr>
              <w:t>Hourly or sub-hourly</w:t>
            </w:r>
          </w:p>
        </w:tc>
        <w:tc>
          <w:tcPr>
            <w:tcW w:w="0" w:type="auto"/>
            <w:hideMark/>
          </w:tcPr>
          <w:p w14:paraId="4612FCA6" w14:textId="77777777" w:rsidR="00C3472F" w:rsidRPr="00C3472F" w:rsidRDefault="00C3472F" w:rsidP="00B67F8D">
            <w:pPr>
              <w:spacing w:after="120"/>
              <w:rPr>
                <w:sz w:val="18"/>
                <w:szCs w:val="18"/>
                <w:lang w:val="en-CA"/>
              </w:rPr>
            </w:pPr>
            <w:r w:rsidRPr="00C3472F">
              <w:rPr>
                <w:sz w:val="18"/>
                <w:szCs w:val="18"/>
                <w:lang w:val="en-CA"/>
              </w:rPr>
              <w:t>Renewable resource and load profiles</w:t>
            </w:r>
          </w:p>
        </w:tc>
        <w:tc>
          <w:tcPr>
            <w:tcW w:w="0" w:type="auto"/>
            <w:hideMark/>
          </w:tcPr>
          <w:p w14:paraId="61733D86" w14:textId="77777777" w:rsidR="00C3472F" w:rsidRPr="00C3472F" w:rsidRDefault="00C3472F" w:rsidP="00B67F8D">
            <w:pPr>
              <w:spacing w:after="120"/>
              <w:rPr>
                <w:sz w:val="18"/>
                <w:szCs w:val="18"/>
                <w:lang w:val="en-CA"/>
              </w:rPr>
            </w:pPr>
            <w:r w:rsidRPr="00C3472F">
              <w:rPr>
                <w:sz w:val="18"/>
                <w:szCs w:val="18"/>
                <w:lang w:val="en-CA"/>
              </w:rPr>
              <w:t>Requires extensive historical data</w:t>
            </w:r>
          </w:p>
        </w:tc>
      </w:tr>
      <w:tr w:rsidR="00C3472F" w:rsidRPr="00C3472F" w14:paraId="35CBFB7D" w14:textId="77777777" w:rsidTr="008F308F">
        <w:tc>
          <w:tcPr>
            <w:tcW w:w="0" w:type="auto"/>
            <w:hideMark/>
          </w:tcPr>
          <w:p w14:paraId="79195F7F" w14:textId="77777777" w:rsidR="00C3472F" w:rsidRPr="00C3472F" w:rsidRDefault="00C3472F" w:rsidP="00B67F8D">
            <w:pPr>
              <w:spacing w:after="120"/>
              <w:rPr>
                <w:sz w:val="18"/>
                <w:szCs w:val="18"/>
                <w:lang w:val="en-CA"/>
              </w:rPr>
            </w:pPr>
            <w:r w:rsidRPr="00C3472F">
              <w:rPr>
                <w:sz w:val="18"/>
                <w:szCs w:val="18"/>
                <w:lang w:val="en-CA"/>
              </w:rPr>
              <w:t>Technology selection and financial assessment</w:t>
            </w:r>
          </w:p>
        </w:tc>
        <w:tc>
          <w:tcPr>
            <w:tcW w:w="0" w:type="auto"/>
            <w:hideMark/>
          </w:tcPr>
          <w:p w14:paraId="5D717B01" w14:textId="77777777" w:rsidR="00C3472F" w:rsidRPr="00C3472F" w:rsidRDefault="00C3472F" w:rsidP="00B67F8D">
            <w:pPr>
              <w:spacing w:after="120"/>
              <w:rPr>
                <w:sz w:val="18"/>
                <w:szCs w:val="18"/>
                <w:lang w:val="en-CA"/>
              </w:rPr>
            </w:pPr>
            <w:r w:rsidRPr="00C3472F">
              <w:rPr>
                <w:sz w:val="18"/>
                <w:szCs w:val="18"/>
                <w:lang w:val="en-CA"/>
              </w:rPr>
              <w:t>Lifecycle Cost Analysis / MILP Optimization</w:t>
            </w:r>
          </w:p>
        </w:tc>
        <w:tc>
          <w:tcPr>
            <w:tcW w:w="0" w:type="auto"/>
            <w:hideMark/>
          </w:tcPr>
          <w:p w14:paraId="6588B68B" w14:textId="77777777" w:rsidR="00C3472F" w:rsidRPr="00C3472F" w:rsidRDefault="00C3472F" w:rsidP="00B67F8D">
            <w:pPr>
              <w:spacing w:after="120"/>
              <w:rPr>
                <w:sz w:val="18"/>
                <w:szCs w:val="18"/>
                <w:lang w:val="en-CA"/>
              </w:rPr>
            </w:pPr>
            <w:r w:rsidRPr="00C3472F">
              <w:rPr>
                <w:sz w:val="18"/>
                <w:szCs w:val="18"/>
                <w:lang w:val="en-CA"/>
              </w:rPr>
              <w:t>Hourly to annual</w:t>
            </w:r>
          </w:p>
        </w:tc>
        <w:tc>
          <w:tcPr>
            <w:tcW w:w="0" w:type="auto"/>
            <w:hideMark/>
          </w:tcPr>
          <w:p w14:paraId="48CFE2E3" w14:textId="77777777" w:rsidR="00C3472F" w:rsidRPr="00C3472F" w:rsidRDefault="00C3472F" w:rsidP="00B67F8D">
            <w:pPr>
              <w:spacing w:after="120"/>
              <w:rPr>
                <w:sz w:val="18"/>
                <w:szCs w:val="18"/>
                <w:lang w:val="en-CA"/>
              </w:rPr>
            </w:pPr>
            <w:r w:rsidRPr="00C3472F">
              <w:rPr>
                <w:sz w:val="18"/>
                <w:szCs w:val="18"/>
                <w:lang w:val="en-CA"/>
              </w:rPr>
              <w:t>Cost, tariff, technology, and resource data</w:t>
            </w:r>
          </w:p>
        </w:tc>
        <w:tc>
          <w:tcPr>
            <w:tcW w:w="0" w:type="auto"/>
            <w:hideMark/>
          </w:tcPr>
          <w:p w14:paraId="6A4009FC" w14:textId="77777777" w:rsidR="00C3472F" w:rsidRPr="00C3472F" w:rsidRDefault="00C3472F" w:rsidP="00B67F8D">
            <w:pPr>
              <w:spacing w:after="120"/>
              <w:rPr>
                <w:sz w:val="18"/>
                <w:szCs w:val="18"/>
                <w:lang w:val="en-CA"/>
              </w:rPr>
            </w:pPr>
            <w:r w:rsidRPr="00C3472F">
              <w:rPr>
                <w:sz w:val="18"/>
                <w:szCs w:val="18"/>
                <w:lang w:val="en-CA"/>
              </w:rPr>
              <w:t>Results are sensitive to assumptions</w:t>
            </w:r>
          </w:p>
        </w:tc>
      </w:tr>
      <w:tr w:rsidR="00C3472F" w:rsidRPr="00C3472F" w14:paraId="264307A9" w14:textId="77777777" w:rsidTr="008F308F">
        <w:tc>
          <w:tcPr>
            <w:tcW w:w="0" w:type="auto"/>
            <w:hideMark/>
          </w:tcPr>
          <w:p w14:paraId="6D7BB64F" w14:textId="77777777" w:rsidR="00C3472F" w:rsidRPr="00C3472F" w:rsidRDefault="00C3472F" w:rsidP="00B67F8D">
            <w:pPr>
              <w:spacing w:after="120"/>
              <w:rPr>
                <w:sz w:val="18"/>
                <w:szCs w:val="18"/>
                <w:lang w:val="en-CA"/>
              </w:rPr>
            </w:pPr>
            <w:r w:rsidRPr="00C3472F">
              <w:rPr>
                <w:sz w:val="18"/>
                <w:szCs w:val="18"/>
                <w:lang w:val="en-CA"/>
              </w:rPr>
              <w:t>Real-time operation and dispatch optimization</w:t>
            </w:r>
          </w:p>
        </w:tc>
        <w:tc>
          <w:tcPr>
            <w:tcW w:w="0" w:type="auto"/>
            <w:hideMark/>
          </w:tcPr>
          <w:p w14:paraId="3E0DF4FA" w14:textId="77777777" w:rsidR="00C3472F" w:rsidRPr="00C3472F" w:rsidRDefault="00C3472F" w:rsidP="00B67F8D">
            <w:pPr>
              <w:spacing w:after="120"/>
              <w:rPr>
                <w:sz w:val="18"/>
                <w:szCs w:val="18"/>
                <w:lang w:val="en-CA"/>
              </w:rPr>
            </w:pPr>
            <w:r w:rsidRPr="00C3472F">
              <w:rPr>
                <w:sz w:val="18"/>
                <w:szCs w:val="18"/>
                <w:lang w:val="en-CA"/>
              </w:rPr>
              <w:t>Model Predictive Control (MPC)</w:t>
            </w:r>
          </w:p>
        </w:tc>
        <w:tc>
          <w:tcPr>
            <w:tcW w:w="0" w:type="auto"/>
            <w:hideMark/>
          </w:tcPr>
          <w:p w14:paraId="387BF376" w14:textId="77777777" w:rsidR="00C3472F" w:rsidRPr="00C3472F" w:rsidRDefault="00C3472F" w:rsidP="00B67F8D">
            <w:pPr>
              <w:spacing w:after="120"/>
              <w:rPr>
                <w:sz w:val="18"/>
                <w:szCs w:val="18"/>
                <w:lang w:val="en-CA"/>
              </w:rPr>
            </w:pPr>
            <w:r w:rsidRPr="00C3472F">
              <w:rPr>
                <w:sz w:val="18"/>
                <w:szCs w:val="18"/>
                <w:lang w:val="en-CA"/>
              </w:rPr>
              <w:t>Minutes to hours</w:t>
            </w:r>
          </w:p>
        </w:tc>
        <w:tc>
          <w:tcPr>
            <w:tcW w:w="0" w:type="auto"/>
            <w:hideMark/>
          </w:tcPr>
          <w:p w14:paraId="0637CB24" w14:textId="77777777" w:rsidR="00C3472F" w:rsidRPr="00C3472F" w:rsidRDefault="00C3472F" w:rsidP="00B67F8D">
            <w:pPr>
              <w:spacing w:after="120"/>
              <w:rPr>
                <w:sz w:val="18"/>
                <w:szCs w:val="18"/>
                <w:lang w:val="en-CA"/>
              </w:rPr>
            </w:pPr>
            <w:r w:rsidRPr="00C3472F">
              <w:rPr>
                <w:sz w:val="18"/>
                <w:szCs w:val="18"/>
                <w:lang w:val="en-CA"/>
              </w:rPr>
              <w:t>Forecasts, state variables, operating constraints</w:t>
            </w:r>
          </w:p>
        </w:tc>
        <w:tc>
          <w:tcPr>
            <w:tcW w:w="0" w:type="auto"/>
            <w:hideMark/>
          </w:tcPr>
          <w:p w14:paraId="2578CC51" w14:textId="77777777" w:rsidR="00C3472F" w:rsidRPr="00C3472F" w:rsidRDefault="00C3472F" w:rsidP="00B67F8D">
            <w:pPr>
              <w:spacing w:after="120"/>
              <w:rPr>
                <w:sz w:val="18"/>
                <w:szCs w:val="18"/>
                <w:lang w:val="en-CA"/>
              </w:rPr>
            </w:pPr>
            <w:r w:rsidRPr="00C3472F">
              <w:rPr>
                <w:sz w:val="18"/>
                <w:szCs w:val="18"/>
                <w:lang w:val="en-CA"/>
              </w:rPr>
              <w:t>Depends on forecast accuracy</w:t>
            </w:r>
          </w:p>
        </w:tc>
      </w:tr>
      <w:tr w:rsidR="00C3472F" w:rsidRPr="00C3472F" w14:paraId="47CDBBCF" w14:textId="77777777" w:rsidTr="008F308F">
        <w:tc>
          <w:tcPr>
            <w:tcW w:w="0" w:type="auto"/>
            <w:hideMark/>
          </w:tcPr>
          <w:p w14:paraId="748995C3" w14:textId="77777777" w:rsidR="00C3472F" w:rsidRPr="00C3472F" w:rsidRDefault="00C3472F" w:rsidP="00B67F8D">
            <w:pPr>
              <w:spacing w:after="120"/>
              <w:rPr>
                <w:sz w:val="18"/>
                <w:szCs w:val="18"/>
                <w:lang w:val="en-CA"/>
              </w:rPr>
            </w:pPr>
            <w:r w:rsidRPr="00C3472F">
              <w:rPr>
                <w:sz w:val="18"/>
                <w:szCs w:val="18"/>
                <w:lang w:val="en-CA"/>
              </w:rPr>
              <w:t>Workload scheduling and carbon-aware computing</w:t>
            </w:r>
          </w:p>
        </w:tc>
        <w:tc>
          <w:tcPr>
            <w:tcW w:w="0" w:type="auto"/>
            <w:hideMark/>
          </w:tcPr>
          <w:p w14:paraId="5D4362F5" w14:textId="77777777" w:rsidR="00C3472F" w:rsidRPr="00C3472F" w:rsidRDefault="00C3472F" w:rsidP="00B67F8D">
            <w:pPr>
              <w:spacing w:after="120"/>
              <w:rPr>
                <w:sz w:val="18"/>
                <w:szCs w:val="18"/>
                <w:lang w:val="en-CA"/>
              </w:rPr>
            </w:pPr>
            <w:r w:rsidRPr="00C3472F">
              <w:rPr>
                <w:sz w:val="18"/>
                <w:szCs w:val="18"/>
                <w:lang w:val="en-CA"/>
              </w:rPr>
              <w:t>Optimization and Scheduling Algorithms</w:t>
            </w:r>
          </w:p>
        </w:tc>
        <w:tc>
          <w:tcPr>
            <w:tcW w:w="0" w:type="auto"/>
            <w:hideMark/>
          </w:tcPr>
          <w:p w14:paraId="7D383A6D" w14:textId="77777777" w:rsidR="00C3472F" w:rsidRPr="00C3472F" w:rsidRDefault="00C3472F" w:rsidP="00B67F8D">
            <w:pPr>
              <w:spacing w:after="120"/>
              <w:rPr>
                <w:sz w:val="18"/>
                <w:szCs w:val="18"/>
                <w:lang w:val="en-CA"/>
              </w:rPr>
            </w:pPr>
            <w:r w:rsidRPr="00C3472F">
              <w:rPr>
                <w:sz w:val="18"/>
                <w:szCs w:val="18"/>
                <w:lang w:val="en-CA"/>
              </w:rPr>
              <w:t>Minutes to days</w:t>
            </w:r>
          </w:p>
        </w:tc>
        <w:tc>
          <w:tcPr>
            <w:tcW w:w="0" w:type="auto"/>
            <w:hideMark/>
          </w:tcPr>
          <w:p w14:paraId="7126573D" w14:textId="77777777" w:rsidR="00C3472F" w:rsidRPr="00C3472F" w:rsidRDefault="00C3472F" w:rsidP="00B67F8D">
            <w:pPr>
              <w:spacing w:after="120"/>
              <w:rPr>
                <w:sz w:val="18"/>
                <w:szCs w:val="18"/>
                <w:lang w:val="en-CA"/>
              </w:rPr>
            </w:pPr>
            <w:r w:rsidRPr="00C3472F">
              <w:rPr>
                <w:sz w:val="18"/>
                <w:szCs w:val="18"/>
                <w:lang w:val="en-CA"/>
              </w:rPr>
              <w:t>Workload characteristics, renewable forecasts, SLA constraints</w:t>
            </w:r>
          </w:p>
        </w:tc>
        <w:tc>
          <w:tcPr>
            <w:tcW w:w="0" w:type="auto"/>
            <w:hideMark/>
          </w:tcPr>
          <w:p w14:paraId="66EDB1E0" w14:textId="77777777" w:rsidR="00C3472F" w:rsidRPr="00C3472F" w:rsidRDefault="00C3472F" w:rsidP="00B67F8D">
            <w:pPr>
              <w:spacing w:after="120"/>
              <w:rPr>
                <w:sz w:val="18"/>
                <w:szCs w:val="18"/>
                <w:lang w:val="en-CA"/>
              </w:rPr>
            </w:pPr>
            <w:r w:rsidRPr="00C3472F">
              <w:rPr>
                <w:sz w:val="18"/>
                <w:szCs w:val="18"/>
                <w:lang w:val="en-CA"/>
              </w:rPr>
              <w:t>Limited by operational and business requirements</w:t>
            </w:r>
          </w:p>
        </w:tc>
      </w:tr>
    </w:tbl>
    <w:p w14:paraId="43030986" w14:textId="0150FF15" w:rsidR="00C3472F" w:rsidRPr="00E56043" w:rsidRDefault="00C3472F" w:rsidP="00E56043">
      <w:pPr>
        <w:spacing w:after="120"/>
        <w:ind w:firstLine="480"/>
      </w:pPr>
      <w:r w:rsidRPr="00C3472F">
        <w:rPr>
          <w:lang w:val="en-CA"/>
        </w:rPr>
        <w:br/>
      </w:r>
      <w:r w:rsidR="00357DE5" w:rsidRPr="00E56043">
        <w:rPr>
          <w:highlight w:val="yellow"/>
        </w:rPr>
        <w:t>The recommended workflow is to begin with site assessment and resource characterization, followed by power-flow and interconnection studies, chronological renewable-generation and storage analysis, lifecycle-cost evaluation, and finally real-time operational optimization. More detailed EMT and harmonic studies should be reserved for final design stages where equipment models and protection requirements are available.</w:t>
      </w:r>
    </w:p>
    <w:p w14:paraId="4D3CA27C" w14:textId="77777777" w:rsidR="00FE013C" w:rsidRDefault="00FE013C" w:rsidP="004C16FF">
      <w:pPr>
        <w:pStyle w:val="Heading10"/>
        <w:jc w:val="both"/>
        <w:rPr>
          <w:color w:val="auto"/>
        </w:rPr>
      </w:pPr>
      <w:r>
        <w:rPr>
          <w:color w:val="auto"/>
          <w:lang w:eastAsia="zh-CN"/>
        </w:rPr>
        <w:t xml:space="preserve">7. </w:t>
      </w:r>
      <w:r>
        <w:rPr>
          <w:color w:val="auto"/>
        </w:rPr>
        <w:t>Framework for Renewable-Powered AI Data Centers</w:t>
      </w:r>
    </w:p>
    <w:p w14:paraId="1B37DF74" w14:textId="504518FF" w:rsidR="00357DE5" w:rsidRDefault="00357DE5" w:rsidP="00357DE5">
      <w:pPr>
        <w:spacing w:after="120"/>
        <w:ind w:firstLine="480"/>
      </w:pPr>
      <w:r w:rsidRPr="00357DE5">
        <w:t xml:space="preserve">This section presents the core contribution of this study: </w:t>
      </w:r>
      <w:r w:rsidR="00F5293F">
        <w:t>A</w:t>
      </w:r>
      <w:r w:rsidRPr="00357DE5">
        <w:t xml:space="preserve"> comprehensive seven-component framework for designing, deploying, and operating AI data centers powered predominantly by renewable energy. The framework integrates site assessment, technology selection, electrical integration, control strategy, workload flexibility modeling, economic viability, and sustainability compliance into a unified decision-making methodology.</w:t>
      </w:r>
    </w:p>
    <w:p w14:paraId="692B1B37" w14:textId="77777777" w:rsidR="00FE013C" w:rsidRDefault="00FE013C" w:rsidP="004C16FF">
      <w:pPr>
        <w:pStyle w:val="Heading20"/>
        <w:jc w:val="both"/>
        <w:rPr>
          <w:color w:val="auto"/>
        </w:rPr>
      </w:pPr>
      <w:r>
        <w:rPr>
          <w:color w:val="auto"/>
        </w:rPr>
        <w:t xml:space="preserve">7.1. </w:t>
      </w:r>
      <w:r w:rsidRPr="00EA2FA4">
        <w:rPr>
          <w:color w:val="auto"/>
        </w:rPr>
        <w:t>Seven-Component Framework Overview</w:t>
      </w:r>
    </w:p>
    <w:p w14:paraId="35C00C96" w14:textId="216BCFD3" w:rsidR="00FE013C" w:rsidRPr="003110B3" w:rsidRDefault="00FE013C" w:rsidP="004C16FF">
      <w:pPr>
        <w:spacing w:after="120"/>
        <w:ind w:firstLine="480"/>
      </w:pPr>
      <w:r w:rsidRPr="00B4497F">
        <w:t xml:space="preserve">The framework consists of seven interrelated elements that cover key aspects of renewable-based data </w:t>
      </w:r>
      <w:r w:rsidR="00580BAE">
        <w:t>center</w:t>
      </w:r>
      <w:r w:rsidRPr="00B4497F">
        <w:t xml:space="preserve"> design and operation. These components are not separate, but rather are interdependent, with decisions made in one component affecting and limiting choices in another component. </w:t>
      </w:r>
      <w:r w:rsidRPr="003D7C63">
        <w:t>The framework is modular and scalable and adaptable to facilities ranging from mid-scale colocation nodes (10–50 MW)</w:t>
      </w:r>
      <w:r>
        <w:t xml:space="preserve"> </w:t>
      </w:r>
      <w:r w:rsidRPr="00B4497F">
        <w:t xml:space="preserve">to hyperscale cloud data </w:t>
      </w:r>
      <w:r w:rsidR="00580BAE">
        <w:t>center</w:t>
      </w:r>
      <w:r w:rsidRPr="00B4497F">
        <w:t>s (100+ MW) located in different geographic and climatic conditions.</w:t>
      </w:r>
    </w:p>
    <w:p w14:paraId="23AF96C8" w14:textId="36A74AB0" w:rsidR="00FE013C" w:rsidRPr="00B4497F" w:rsidRDefault="00FE013C" w:rsidP="004F7EB4">
      <w:pPr>
        <w:spacing w:after="120"/>
        <w:ind w:firstLine="480"/>
      </w:pPr>
      <w:r w:rsidRPr="00B4497F">
        <w:t xml:space="preserve">Site Assessment (Component 1) covers renewable resource availability, grid interconnection feasibility, water and land availability, and climate resilience. </w:t>
      </w:r>
      <w:r w:rsidR="008E7521" w:rsidRPr="008E7521">
        <w:t xml:space="preserve">Component 2 evaluates candidate </w:t>
      </w:r>
      <w:r w:rsidR="008E7521" w:rsidRPr="008E7521">
        <w:lastRenderedPageBreak/>
        <w:t>renewable-generation, storage, grid, and backup-resource combinations under site-specific constraints</w:t>
      </w:r>
      <w:r w:rsidRPr="00B4497F">
        <w:t>. Component 3, Electrical Integration, specifies the voltage ranges, topology, redundancy, and power quality mitigation. Control Strategy relates to dispatch algorithms, forecasting integration, and demand response mechanisms (component 4). Workload Flexibility (</w:t>
      </w:r>
      <w:r>
        <w:t>c</w:t>
      </w:r>
      <w:r w:rsidRPr="00B4497F">
        <w:t xml:space="preserve">omponent 5) measures the extent to which the load can be shifted, deferred, or </w:t>
      </w:r>
      <w:r w:rsidR="00580BAE" w:rsidRPr="00B4497F">
        <w:t>prioritized</w:t>
      </w:r>
      <w:r w:rsidRPr="00B4497F">
        <w:t xml:space="preserve">. </w:t>
      </w:r>
      <w:r w:rsidR="00EB7BC6" w:rsidRPr="00EB7BC6">
        <w:t>Component 6 establishes consistent cost boundaries and identifies the assumptions required for project-specific lifecycle-cost and financial analysis</w:t>
      </w:r>
      <w:r w:rsidRPr="00B4497F">
        <w:t xml:space="preserve">. Component 7: Resilience and Sustainability </w:t>
      </w:r>
      <w:r w:rsidR="00580BAE" w:rsidRPr="00B4497F">
        <w:t>focus</w:t>
      </w:r>
      <w:r w:rsidRPr="00B4497F">
        <w:t xml:space="preserve"> on reliability measures, </w:t>
      </w:r>
      <w:r w:rsidR="00B0479C" w:rsidRPr="00B0479C">
        <w:t>carbon accounting</w:t>
      </w:r>
      <w:r w:rsidRPr="00B4497F">
        <w:t>, and regulatory adherence.</w:t>
      </w:r>
    </w:p>
    <w:p w14:paraId="22384AA7" w14:textId="55AD9C12" w:rsidR="00FE013C" w:rsidRDefault="00C31A10" w:rsidP="00CB0ADE">
      <w:pPr>
        <w:spacing w:after="120"/>
        <w:ind w:firstLine="480"/>
      </w:pPr>
      <w:r w:rsidRPr="00C31A10">
        <w:t>The framework considers three principal performance dimensions: delivered-electricity cost, reliability, and operational carbon intensity. These dimensions may conflict and should be evaluated using project-specific data and decision criteria</w:t>
      </w:r>
      <w:r w:rsidR="00CB0ADE">
        <w:t xml:space="preserve">. </w:t>
      </w:r>
      <w:r w:rsidR="00FE013C" w:rsidRPr="00B4497F">
        <w:t xml:space="preserve">The objectives are also frequently conflicting and must be balanced by means of multi-objective </w:t>
      </w:r>
      <w:r w:rsidR="000B7BFE" w:rsidRPr="00B4497F">
        <w:t>optimization</w:t>
      </w:r>
      <w:r w:rsidR="00FE013C" w:rsidRPr="00B4497F">
        <w:t xml:space="preserve"> techniques. The main variables are the capacity factor of renewables, the duration of storage (in hours), the type of backup power, interconnection capacity of the grid, and flexibility parameters of the demand.</w:t>
      </w:r>
      <w:r w:rsidR="00FE013C">
        <w:t xml:space="preserve"> </w:t>
      </w:r>
      <w:r w:rsidR="00E30EE0">
        <w:fldChar w:fldCharType="begin"/>
      </w:r>
      <w:r w:rsidR="00E30EE0">
        <w:instrText xml:space="preserve"> REF _Ref239529617 \h </w:instrText>
      </w:r>
      <w:r w:rsidR="00E30EE0">
        <w:fldChar w:fldCharType="separate"/>
      </w:r>
      <w:r w:rsidR="00E30EE0">
        <w:t xml:space="preserve">Figure </w:t>
      </w:r>
      <w:r w:rsidR="00E30EE0">
        <w:rPr>
          <w:noProof/>
        </w:rPr>
        <w:t>7</w:t>
      </w:r>
      <w:r w:rsidR="00E30EE0">
        <w:t xml:space="preserve"> Seven-component framework architecture for renewable-powered AI data</w:t>
      </w:r>
      <w:r w:rsidR="00E30EE0">
        <w:fldChar w:fldCharType="end"/>
      </w:r>
      <w:r w:rsidR="00E30EE0">
        <w:t xml:space="preserve">, </w:t>
      </w:r>
      <w:r w:rsidR="00FE013C" w:rsidRPr="0073470D">
        <w:t xml:space="preserve">illustrates the seven-component framework architecture, showing how each component connects to the others through feedback loops: site characteristics constrain technology selection, technology selection drives electrical architecture, and economic outcomes </w:t>
      </w:r>
      <w:r w:rsidR="000B7BFE" w:rsidRPr="0073470D">
        <w:t>feedback</w:t>
      </w:r>
      <w:r w:rsidR="00FE013C" w:rsidRPr="0073470D">
        <w:t xml:space="preserve"> to revise technology choices iteratively</w:t>
      </w:r>
      <w:r w:rsidR="00FE013C">
        <w:t>.</w:t>
      </w:r>
    </w:p>
    <w:p w14:paraId="6494B3E5" w14:textId="77777777" w:rsidR="00FE013C" w:rsidRDefault="00FE013C" w:rsidP="004A620F">
      <w:pPr>
        <w:keepNext/>
        <w:jc w:val="center"/>
      </w:pPr>
      <w:r>
        <w:rPr>
          <w:noProof/>
        </w:rPr>
        <w:drawing>
          <wp:inline distT="0" distB="0" distL="0" distR="0" wp14:anchorId="6A32FCF3" wp14:editId="411EF009">
            <wp:extent cx="4197350" cy="2514993"/>
            <wp:effectExtent l="0" t="0" r="0" b="0"/>
            <wp:docPr id="5452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0091"/>
                    <a:stretch>
                      <a:fillRect/>
                    </a:stretch>
                  </pic:blipFill>
                  <pic:spPr bwMode="auto">
                    <a:xfrm>
                      <a:off x="0" y="0"/>
                      <a:ext cx="4197350" cy="2514993"/>
                    </a:xfrm>
                    <a:prstGeom prst="rect">
                      <a:avLst/>
                    </a:prstGeom>
                    <a:noFill/>
                    <a:ln>
                      <a:noFill/>
                    </a:ln>
                    <a:extLst>
                      <a:ext uri="{53640926-AAD7-44D8-BBD7-CCE9431645EC}">
                        <a14:shadowObscured xmlns:a14="http://schemas.microsoft.com/office/drawing/2010/main"/>
                      </a:ext>
                    </a:extLst>
                  </pic:spPr>
                </pic:pic>
              </a:graphicData>
            </a:graphic>
          </wp:inline>
        </w:drawing>
      </w:r>
    </w:p>
    <w:p w14:paraId="37C6401E" w14:textId="62AD6699" w:rsidR="00FE013C" w:rsidRDefault="00FE013C" w:rsidP="004A620F">
      <w:pPr>
        <w:pStyle w:val="Caption"/>
        <w:jc w:val="center"/>
      </w:pPr>
      <w:bookmarkStart w:id="14" w:name="_Ref239529617"/>
      <w:r>
        <w:t xml:space="preserve">Figure </w:t>
      </w:r>
      <w:fldSimple w:instr=" SEQ Figure \* ARABIC ">
        <w:r w:rsidR="00807110">
          <w:rPr>
            <w:noProof/>
          </w:rPr>
          <w:t>7</w:t>
        </w:r>
      </w:fldSimple>
      <w:r>
        <w:t xml:space="preserve"> Seven-component framework architecture for renewable-powered AI data</w:t>
      </w:r>
      <w:bookmarkEnd w:id="14"/>
    </w:p>
    <w:p w14:paraId="4B969644" w14:textId="77777777" w:rsidR="00FE013C" w:rsidRDefault="00FE013C" w:rsidP="004C16FF">
      <w:pPr>
        <w:pStyle w:val="Heading20"/>
        <w:jc w:val="both"/>
        <w:rPr>
          <w:color w:val="auto"/>
        </w:rPr>
      </w:pPr>
      <w:r>
        <w:rPr>
          <w:color w:val="auto"/>
        </w:rPr>
        <w:t>7.2. Site Selection and Resource Assessment</w:t>
      </w:r>
    </w:p>
    <w:p w14:paraId="1423BC45" w14:textId="1A65B1B1" w:rsidR="00CA624D" w:rsidRPr="009F5B51" w:rsidRDefault="00957B20" w:rsidP="00B67F8D">
      <w:pPr>
        <w:spacing w:after="120"/>
        <w:ind w:firstLine="480"/>
        <w:rPr>
          <w:highlight w:val="yellow"/>
        </w:rPr>
      </w:pPr>
      <w:r w:rsidRPr="009F5B51">
        <w:rPr>
          <w:highlight w:val="yellow"/>
        </w:rPr>
        <w:t>Site selection is undertaken using multi-criteria decision analysis (MCDA), incorporating renewable-resource quality, infrastructure access, economic conditions, environmental and climate exposure, and regulatory feasibility. The Analytic Hierarchy Process (AHP) is used to structure the criteria, derive their relative weights, and evaluate candidate sites</w:t>
      </w:r>
      <w:r w:rsidRPr="009F5B51">
        <w:rPr>
          <w:highlight w:val="yellow"/>
        </w:rPr>
        <w:fldChar w:fldCharType="begin"/>
      </w:r>
      <w:r w:rsidR="00A95675">
        <w:rPr>
          <w:highlight w:val="yellow"/>
        </w:rPr>
        <w:instrText xml:space="preserve"> ADDIN ZOTERO_ITEM CSL_CITATION {"citationID":"gfAWXcqd","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Pr="009F5B51">
        <w:rPr>
          <w:highlight w:val="yellow"/>
        </w:rPr>
        <w:fldChar w:fldCharType="separate"/>
      </w:r>
      <w:r w:rsidR="00A95675" w:rsidRPr="00A95675">
        <w:rPr>
          <w:highlight w:val="yellow"/>
        </w:rPr>
        <w:t>[104]</w:t>
      </w:r>
      <w:r w:rsidRPr="009F5B51">
        <w:rPr>
          <w:highlight w:val="yellow"/>
        </w:rPr>
        <w:fldChar w:fldCharType="end"/>
      </w:r>
      <w:r w:rsidRPr="009F5B51">
        <w:rPr>
          <w:highlight w:val="yellow"/>
        </w:rPr>
        <w:t>.</w:t>
      </w:r>
      <w:r w:rsidR="00AB2F5A" w:rsidRPr="00AB2F5A">
        <w:rPr>
          <w:rFonts w:ascii="Segoe UI" w:hAnsi="Segoe UI" w:cs="Segoe UI"/>
          <w:color w:val="auto"/>
          <w:sz w:val="21"/>
          <w:szCs w:val="21"/>
          <w:lang w:val="en-CA" w:eastAsia="en-CA"/>
        </w:rPr>
        <w:t xml:space="preserve"> </w:t>
      </w:r>
      <w:r w:rsidR="00AB2F5A" w:rsidRPr="00AB2F5A">
        <w:rPr>
          <w:highlight w:val="yellow"/>
          <w:lang w:val="en-CA"/>
        </w:rPr>
        <w:t xml:space="preserve">Pairwise comparisons are used to derive the criterion weights, and consistency is evaluated using the AHP consistency </w:t>
      </w:r>
      <w:r w:rsidR="00AB2F5A" w:rsidRPr="000408F5">
        <w:rPr>
          <w:highlight w:val="yellow"/>
          <w:lang w:val="en-CA"/>
        </w:rPr>
        <w:t>ratio.</w:t>
      </w:r>
      <w:r w:rsidR="00BB4243" w:rsidRPr="000408F5">
        <w:rPr>
          <w:highlight w:val="yellow"/>
        </w:rPr>
        <w:t xml:space="preserve"> </w:t>
      </w:r>
      <w:r w:rsidR="00BB4243" w:rsidRPr="000408F5">
        <w:rPr>
          <w:highlight w:val="yellow"/>
        </w:rPr>
        <w:fldChar w:fldCharType="begin"/>
      </w:r>
      <w:r w:rsidR="00BB4243" w:rsidRPr="000408F5">
        <w:rPr>
          <w:highlight w:val="yellow"/>
        </w:rPr>
        <w:instrText xml:space="preserve"> REF _Ref239530812 \h </w:instrText>
      </w:r>
      <w:r w:rsidR="000408F5">
        <w:rPr>
          <w:highlight w:val="yellow"/>
        </w:rPr>
        <w:instrText xml:space="preserve"> \* MERGEFORMAT </w:instrText>
      </w:r>
      <w:r w:rsidR="00BB4243" w:rsidRPr="000408F5">
        <w:rPr>
          <w:highlight w:val="yellow"/>
        </w:rPr>
      </w:r>
      <w:r w:rsidR="00BB4243" w:rsidRPr="000408F5">
        <w:rPr>
          <w:highlight w:val="yellow"/>
        </w:rPr>
        <w:fldChar w:fldCharType="separate"/>
      </w:r>
      <w:r w:rsidR="00BB4243" w:rsidRPr="000408F5">
        <w:rPr>
          <w:highlight w:val="yellow"/>
        </w:rPr>
        <w:t xml:space="preserve">Table </w:t>
      </w:r>
      <w:r w:rsidR="00BB4243" w:rsidRPr="000408F5">
        <w:rPr>
          <w:noProof/>
          <w:highlight w:val="yellow"/>
        </w:rPr>
        <w:t>5</w:t>
      </w:r>
      <w:r w:rsidR="00BB4243" w:rsidRPr="000408F5">
        <w:rPr>
          <w:highlight w:val="yellow"/>
        </w:rPr>
        <w:t xml:space="preserve"> Proposed weights for each component</w:t>
      </w:r>
      <w:r w:rsidR="00BB4243" w:rsidRPr="000408F5">
        <w:rPr>
          <w:highlight w:val="yellow"/>
        </w:rPr>
        <w:fldChar w:fldCharType="end"/>
      </w:r>
      <w:r w:rsidR="00BB4243" w:rsidRPr="000408F5">
        <w:rPr>
          <w:highlight w:val="yellow"/>
        </w:rPr>
        <w:t xml:space="preserve">, </w:t>
      </w:r>
      <w:r w:rsidR="00CA624D" w:rsidRPr="00CA624D">
        <w:rPr>
          <w:highlight w:val="yellow"/>
        </w:rPr>
        <w:t xml:space="preserve">presents five criteria and illustrative baseline weights for demonstrating the proposed AHP-based MCDA procedure. The weights are not intended to represent universally applicable priorities; project-specific applications should establish the pairwise </w:t>
      </w:r>
      <w:r w:rsidR="00CA624D" w:rsidRPr="00CA624D">
        <w:rPr>
          <w:highlight w:val="yellow"/>
        </w:rPr>
        <w:lastRenderedPageBreak/>
        <w:t>comparisons and resulting weights using stakeholder preferences, site conditions, applicable regulations, and project objectives.</w:t>
      </w:r>
    </w:p>
    <w:p w14:paraId="17492423" w14:textId="0C2C1123" w:rsidR="006953CF" w:rsidRDefault="006953CF" w:rsidP="006953CF">
      <w:pPr>
        <w:pStyle w:val="Caption"/>
        <w:keepNext/>
      </w:pPr>
      <w:bookmarkStart w:id="15" w:name="_Ref239530812"/>
      <w:r>
        <w:t xml:space="preserve">Table </w:t>
      </w:r>
      <w:fldSimple w:instr=" SEQ Table \* ARABIC ">
        <w:r w:rsidR="003A45CA">
          <w:rPr>
            <w:noProof/>
          </w:rPr>
          <w:t>5</w:t>
        </w:r>
      </w:fldSimple>
      <w:r>
        <w:t xml:space="preserve"> Proposed weights for each component</w:t>
      </w:r>
      <w:bookmarkEnd w:id="15"/>
    </w:p>
    <w:tbl>
      <w:tblPr>
        <w:tblStyle w:val="Mdeck5tablebodythreelines"/>
        <w:tblW w:w="4947" w:type="pct"/>
        <w:jc w:val="left"/>
        <w:tblLook w:val="04A0" w:firstRow="1" w:lastRow="0" w:firstColumn="1" w:lastColumn="0" w:noHBand="0" w:noVBand="1"/>
      </w:tblPr>
      <w:tblGrid>
        <w:gridCol w:w="2634"/>
        <w:gridCol w:w="5164"/>
        <w:gridCol w:w="1851"/>
      </w:tblGrid>
      <w:tr w:rsidR="00957B20" w:rsidRPr="00957B20" w14:paraId="3E23FE8D" w14:textId="77777777" w:rsidTr="006953CF">
        <w:trPr>
          <w:cnfStyle w:val="100000000000" w:firstRow="1" w:lastRow="0" w:firstColumn="0" w:lastColumn="0" w:oddVBand="0" w:evenVBand="0" w:oddHBand="0" w:evenHBand="0" w:firstRowFirstColumn="0" w:firstRowLastColumn="0" w:lastRowFirstColumn="0" w:lastRowLastColumn="0"/>
          <w:jc w:val="left"/>
        </w:trPr>
        <w:tc>
          <w:tcPr>
            <w:tcW w:w="1365" w:type="pct"/>
            <w:hideMark/>
          </w:tcPr>
          <w:p w14:paraId="7AB758EF" w14:textId="77777777" w:rsidR="00957B20" w:rsidRPr="00957B20" w:rsidRDefault="00957B20" w:rsidP="003100BA">
            <w:pPr>
              <w:spacing w:after="120" w:line="240" w:lineRule="auto"/>
              <w:rPr>
                <w:b/>
                <w:bCs/>
                <w:sz w:val="18"/>
                <w:szCs w:val="18"/>
                <w:lang w:val="en-CA"/>
              </w:rPr>
            </w:pPr>
            <w:r w:rsidRPr="00957B20">
              <w:rPr>
                <w:b/>
                <w:bCs/>
                <w:sz w:val="18"/>
                <w:szCs w:val="18"/>
                <w:lang w:val="en-CA"/>
              </w:rPr>
              <w:t>Criterion</w:t>
            </w:r>
          </w:p>
        </w:tc>
        <w:tc>
          <w:tcPr>
            <w:tcW w:w="2676" w:type="pct"/>
            <w:hideMark/>
          </w:tcPr>
          <w:p w14:paraId="66DBC354" w14:textId="77777777" w:rsidR="00957B20" w:rsidRPr="00957B20" w:rsidRDefault="00957B20" w:rsidP="003100BA">
            <w:pPr>
              <w:spacing w:after="120" w:line="240" w:lineRule="auto"/>
              <w:rPr>
                <w:b/>
                <w:bCs/>
                <w:sz w:val="18"/>
                <w:szCs w:val="18"/>
                <w:lang w:val="en-CA"/>
              </w:rPr>
            </w:pPr>
            <w:r w:rsidRPr="00957B20">
              <w:rPr>
                <w:b/>
                <w:bCs/>
                <w:sz w:val="18"/>
                <w:szCs w:val="18"/>
                <w:lang w:val="en-CA"/>
              </w:rPr>
              <w:t>Main considerations</w:t>
            </w:r>
          </w:p>
        </w:tc>
        <w:tc>
          <w:tcPr>
            <w:tcW w:w="959" w:type="pct"/>
            <w:hideMark/>
          </w:tcPr>
          <w:p w14:paraId="17E16D1F" w14:textId="77777777" w:rsidR="00957B20" w:rsidRPr="00957B20" w:rsidRDefault="00957B20" w:rsidP="006953CF">
            <w:pPr>
              <w:spacing w:after="120" w:line="240" w:lineRule="auto"/>
              <w:rPr>
                <w:b/>
                <w:bCs/>
                <w:sz w:val="18"/>
                <w:szCs w:val="18"/>
                <w:lang w:val="en-CA"/>
              </w:rPr>
            </w:pPr>
            <w:r w:rsidRPr="00957B20">
              <w:rPr>
                <w:b/>
                <w:bCs/>
                <w:sz w:val="18"/>
                <w:szCs w:val="18"/>
                <w:lang w:val="en-CA"/>
              </w:rPr>
              <w:t>Illustrative weight</w:t>
            </w:r>
          </w:p>
        </w:tc>
      </w:tr>
      <w:tr w:rsidR="00957B20" w:rsidRPr="00957B20" w14:paraId="0D7F911A" w14:textId="77777777" w:rsidTr="006953CF">
        <w:trPr>
          <w:jc w:val="left"/>
        </w:trPr>
        <w:tc>
          <w:tcPr>
            <w:tcW w:w="1365" w:type="pct"/>
            <w:hideMark/>
          </w:tcPr>
          <w:p w14:paraId="05E93B39" w14:textId="77777777" w:rsidR="00957B20" w:rsidRPr="00957B20" w:rsidRDefault="00957B20" w:rsidP="003100BA">
            <w:pPr>
              <w:spacing w:after="120" w:line="240" w:lineRule="auto"/>
              <w:rPr>
                <w:sz w:val="18"/>
                <w:szCs w:val="18"/>
                <w:lang w:val="en-CA"/>
              </w:rPr>
            </w:pPr>
            <w:r w:rsidRPr="00957B20">
              <w:rPr>
                <w:sz w:val="18"/>
                <w:szCs w:val="18"/>
                <w:lang w:val="en-CA"/>
              </w:rPr>
              <w:t>Renewable-resource quality</w:t>
            </w:r>
          </w:p>
        </w:tc>
        <w:tc>
          <w:tcPr>
            <w:tcW w:w="2676" w:type="pct"/>
            <w:hideMark/>
          </w:tcPr>
          <w:p w14:paraId="5F919E92" w14:textId="77777777" w:rsidR="00957B20" w:rsidRPr="00957B20" w:rsidRDefault="00957B20" w:rsidP="003100BA">
            <w:pPr>
              <w:spacing w:after="120" w:line="240" w:lineRule="auto"/>
              <w:rPr>
                <w:sz w:val="18"/>
                <w:szCs w:val="18"/>
                <w:lang w:val="en-CA"/>
              </w:rPr>
            </w:pPr>
            <w:r w:rsidRPr="00957B20">
              <w:rPr>
                <w:sz w:val="18"/>
                <w:szCs w:val="18"/>
                <w:lang w:val="en-CA"/>
              </w:rPr>
              <w:t>Solar capacity factor, wind capacity factor, seasonal complementarity, forecast uncertainty</w:t>
            </w:r>
          </w:p>
        </w:tc>
        <w:tc>
          <w:tcPr>
            <w:tcW w:w="959" w:type="pct"/>
            <w:hideMark/>
          </w:tcPr>
          <w:p w14:paraId="707D2EF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0.30</w:t>
            </w:r>
          </w:p>
        </w:tc>
      </w:tr>
      <w:tr w:rsidR="00957B20" w:rsidRPr="00957B20" w14:paraId="10FE23DE" w14:textId="77777777" w:rsidTr="006953CF">
        <w:trPr>
          <w:jc w:val="left"/>
        </w:trPr>
        <w:tc>
          <w:tcPr>
            <w:tcW w:w="1365" w:type="pct"/>
            <w:hideMark/>
          </w:tcPr>
          <w:p w14:paraId="71EE3E20" w14:textId="77777777" w:rsidR="00957B20" w:rsidRPr="00957B20" w:rsidRDefault="00957B20" w:rsidP="003100BA">
            <w:pPr>
              <w:spacing w:after="120" w:line="240" w:lineRule="auto"/>
              <w:rPr>
                <w:sz w:val="18"/>
                <w:szCs w:val="18"/>
                <w:lang w:val="en-CA"/>
              </w:rPr>
            </w:pPr>
            <w:r w:rsidRPr="00957B20">
              <w:rPr>
                <w:sz w:val="18"/>
                <w:szCs w:val="18"/>
                <w:lang w:val="en-CA"/>
              </w:rPr>
              <w:t>Infrastructure access</w:t>
            </w:r>
          </w:p>
        </w:tc>
        <w:tc>
          <w:tcPr>
            <w:tcW w:w="2676" w:type="pct"/>
            <w:hideMark/>
          </w:tcPr>
          <w:p w14:paraId="5BD24DDB" w14:textId="77777777" w:rsidR="00957B20" w:rsidRPr="00957B20" w:rsidRDefault="00957B20" w:rsidP="003100BA">
            <w:pPr>
              <w:spacing w:after="120" w:line="240" w:lineRule="auto"/>
              <w:rPr>
                <w:sz w:val="18"/>
                <w:szCs w:val="18"/>
                <w:lang w:val="en-CA"/>
              </w:rPr>
            </w:pPr>
            <w:r w:rsidRPr="00957B20">
              <w:rPr>
                <w:sz w:val="18"/>
                <w:szCs w:val="18"/>
                <w:lang w:val="en-CA"/>
              </w:rPr>
              <w:t>Interconnection availability, grid proximity, transmission capacity, water availability, communications</w:t>
            </w:r>
          </w:p>
        </w:tc>
        <w:tc>
          <w:tcPr>
            <w:tcW w:w="959" w:type="pct"/>
            <w:hideMark/>
          </w:tcPr>
          <w:p w14:paraId="2E01AAB1"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0.25</w:t>
            </w:r>
          </w:p>
        </w:tc>
      </w:tr>
      <w:tr w:rsidR="00957B20" w:rsidRPr="00957B20" w14:paraId="0E7E0F0B" w14:textId="77777777" w:rsidTr="006953CF">
        <w:trPr>
          <w:jc w:val="left"/>
        </w:trPr>
        <w:tc>
          <w:tcPr>
            <w:tcW w:w="1365" w:type="pct"/>
            <w:hideMark/>
          </w:tcPr>
          <w:p w14:paraId="00B2ADC8" w14:textId="77777777" w:rsidR="00957B20" w:rsidRPr="00957B20" w:rsidRDefault="00957B20" w:rsidP="003100BA">
            <w:pPr>
              <w:spacing w:after="120" w:line="240" w:lineRule="auto"/>
              <w:rPr>
                <w:sz w:val="18"/>
                <w:szCs w:val="18"/>
                <w:lang w:val="en-CA"/>
              </w:rPr>
            </w:pPr>
            <w:r w:rsidRPr="00957B20">
              <w:rPr>
                <w:sz w:val="18"/>
                <w:szCs w:val="18"/>
                <w:lang w:val="en-CA"/>
              </w:rPr>
              <w:t>Economic conditions</w:t>
            </w:r>
          </w:p>
        </w:tc>
        <w:tc>
          <w:tcPr>
            <w:tcW w:w="2676" w:type="pct"/>
            <w:hideMark/>
          </w:tcPr>
          <w:p w14:paraId="61C1729F" w14:textId="77777777" w:rsidR="00957B20" w:rsidRPr="00957B20" w:rsidRDefault="00957B20" w:rsidP="003100BA">
            <w:pPr>
              <w:spacing w:after="120" w:line="240" w:lineRule="auto"/>
              <w:rPr>
                <w:sz w:val="18"/>
                <w:szCs w:val="18"/>
                <w:lang w:val="en-CA"/>
              </w:rPr>
            </w:pPr>
            <w:r w:rsidRPr="00957B20">
              <w:rPr>
                <w:sz w:val="18"/>
                <w:szCs w:val="18"/>
                <w:lang w:val="en-CA"/>
              </w:rPr>
              <w:t>Land cost, electricity tariffs, development cost, incentives, PPA availability</w:t>
            </w:r>
          </w:p>
        </w:tc>
        <w:tc>
          <w:tcPr>
            <w:tcW w:w="959" w:type="pct"/>
            <w:hideMark/>
          </w:tcPr>
          <w:p w14:paraId="55573AF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0.20</w:t>
            </w:r>
          </w:p>
        </w:tc>
      </w:tr>
      <w:tr w:rsidR="00957B20" w:rsidRPr="00957B20" w14:paraId="6BA9F9DE" w14:textId="77777777" w:rsidTr="006953CF">
        <w:trPr>
          <w:jc w:val="left"/>
        </w:trPr>
        <w:tc>
          <w:tcPr>
            <w:tcW w:w="1365" w:type="pct"/>
            <w:hideMark/>
          </w:tcPr>
          <w:p w14:paraId="1513CF66" w14:textId="77777777" w:rsidR="00957B20" w:rsidRPr="00957B20" w:rsidRDefault="00957B20" w:rsidP="003100BA">
            <w:pPr>
              <w:spacing w:after="120" w:line="240" w:lineRule="auto"/>
              <w:rPr>
                <w:sz w:val="18"/>
                <w:szCs w:val="18"/>
                <w:lang w:val="en-CA"/>
              </w:rPr>
            </w:pPr>
            <w:r w:rsidRPr="00957B20">
              <w:rPr>
                <w:sz w:val="18"/>
                <w:szCs w:val="18"/>
                <w:lang w:val="en-CA"/>
              </w:rPr>
              <w:t>Environmental and climate exposure</w:t>
            </w:r>
          </w:p>
        </w:tc>
        <w:tc>
          <w:tcPr>
            <w:tcW w:w="2676" w:type="pct"/>
            <w:hideMark/>
          </w:tcPr>
          <w:p w14:paraId="34082A96" w14:textId="77777777" w:rsidR="00957B20" w:rsidRPr="00957B20" w:rsidRDefault="00957B20" w:rsidP="003100BA">
            <w:pPr>
              <w:spacing w:after="120" w:line="240" w:lineRule="auto"/>
              <w:rPr>
                <w:sz w:val="18"/>
                <w:szCs w:val="18"/>
                <w:lang w:val="en-CA"/>
              </w:rPr>
            </w:pPr>
            <w:r w:rsidRPr="00957B20">
              <w:rPr>
                <w:sz w:val="18"/>
                <w:szCs w:val="18"/>
                <w:lang w:val="en-CA"/>
              </w:rPr>
              <w:t>Flooding, wildfire, hurricanes, ice, extreme heat, water stress</w:t>
            </w:r>
          </w:p>
        </w:tc>
        <w:tc>
          <w:tcPr>
            <w:tcW w:w="959" w:type="pct"/>
            <w:hideMark/>
          </w:tcPr>
          <w:p w14:paraId="38568E9D"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0.15</w:t>
            </w:r>
          </w:p>
        </w:tc>
      </w:tr>
      <w:tr w:rsidR="00957B20" w:rsidRPr="00957B20" w14:paraId="1A1C55FD" w14:textId="77777777" w:rsidTr="006953CF">
        <w:trPr>
          <w:jc w:val="left"/>
        </w:trPr>
        <w:tc>
          <w:tcPr>
            <w:tcW w:w="1365" w:type="pct"/>
            <w:hideMark/>
          </w:tcPr>
          <w:p w14:paraId="72E3BBDF" w14:textId="77777777" w:rsidR="00957B20" w:rsidRPr="00957B20" w:rsidRDefault="00957B20" w:rsidP="003100BA">
            <w:pPr>
              <w:spacing w:after="120" w:line="240" w:lineRule="auto"/>
              <w:rPr>
                <w:sz w:val="18"/>
                <w:szCs w:val="18"/>
                <w:lang w:val="en-CA"/>
              </w:rPr>
            </w:pPr>
            <w:r w:rsidRPr="00957B20">
              <w:rPr>
                <w:sz w:val="18"/>
                <w:szCs w:val="18"/>
                <w:lang w:val="en-CA"/>
              </w:rPr>
              <w:t>Regulatory feasibility</w:t>
            </w:r>
          </w:p>
        </w:tc>
        <w:tc>
          <w:tcPr>
            <w:tcW w:w="2676" w:type="pct"/>
            <w:hideMark/>
          </w:tcPr>
          <w:p w14:paraId="25AB4E87" w14:textId="77777777" w:rsidR="00957B20" w:rsidRPr="00957B20" w:rsidRDefault="00957B20" w:rsidP="003100BA">
            <w:pPr>
              <w:spacing w:after="120" w:line="240" w:lineRule="auto"/>
              <w:rPr>
                <w:sz w:val="18"/>
                <w:szCs w:val="18"/>
                <w:lang w:val="en-CA"/>
              </w:rPr>
            </w:pPr>
            <w:r w:rsidRPr="00957B20">
              <w:rPr>
                <w:sz w:val="18"/>
                <w:szCs w:val="18"/>
                <w:lang w:val="en-CA"/>
              </w:rPr>
              <w:t>Permitting requirements, grid codes, zoning, renewable-energy policy, approval times</w:t>
            </w:r>
          </w:p>
        </w:tc>
        <w:tc>
          <w:tcPr>
            <w:tcW w:w="959" w:type="pct"/>
            <w:hideMark/>
          </w:tcPr>
          <w:p w14:paraId="37F055E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0.10</w:t>
            </w:r>
          </w:p>
        </w:tc>
      </w:tr>
    </w:tbl>
    <w:p w14:paraId="60B9452D" w14:textId="78DD44FF" w:rsidR="000C3519" w:rsidRDefault="00D454C8" w:rsidP="000C3519">
      <w:pPr>
        <w:spacing w:after="120"/>
        <w:ind w:firstLine="480"/>
        <w:rPr>
          <w:highlight w:val="yellow"/>
        </w:rPr>
      </w:pPr>
      <w:r w:rsidRPr="000E53CC">
        <w:rPr>
          <w:highlight w:val="yellow"/>
        </w:rPr>
        <w:t>The criteria presented in Table 5 are</w:t>
      </w:r>
      <w:r w:rsidR="000C3519" w:rsidRPr="000E53CC">
        <w:rPr>
          <w:highlight w:val="yellow"/>
        </w:rPr>
        <w:t xml:space="preserve"> illustrative </w:t>
      </w:r>
      <w:r w:rsidR="000C3519" w:rsidRPr="000C3519">
        <w:rPr>
          <w:highlight w:val="yellow"/>
        </w:rPr>
        <w:t>baseline values intended to demonstrate the MCDA procedure rather than universal weights for data-center site selection. In a project specific application, the weights should be derived from stakeholder priorities and applicable technical, economic, environmental, and regulatory requirements. The consistency of the AHP pairwise-comparison matrix should be evaluated using the consistency ratio (CR), with CR &lt; 0.10 used as the conventional acceptability criterion. To evaluate the robustness of the resulting site rankings, a one-at-a-time sensitivity analysis can be performed by increasing and decreasing each baseline criterion weight by 20% relative to its baseline value. For each perturbation, the remaining criterion weights are proportionally renormalized so that the sum of all weights remains equal to 1.0, after which the MCDA scores and candidate-site rankings are recalculated. Rank stability can then be assessed by recording whether the ordering of the highest-ranked candidate sites changes across the sensitivity cases.</w:t>
      </w:r>
    </w:p>
    <w:p w14:paraId="0FEB30AF" w14:textId="39327B84" w:rsidR="00FA09B8" w:rsidRDefault="00FA09B8" w:rsidP="00FA09B8">
      <w:pPr>
        <w:spacing w:after="120"/>
        <w:ind w:firstLine="480"/>
        <w:rPr>
          <w:highlight w:val="yellow"/>
        </w:rPr>
      </w:pPr>
      <w:r w:rsidRPr="009F5B51">
        <w:rPr>
          <w:highlight w:val="yellow"/>
        </w:rPr>
        <w:t xml:space="preserve">The weights should be established through project-stakeholder pairwise comparisons rather than treated as universally applicable values. The AHP consistency ratio should be evaluated, and a ratio below 0.10 should normally be targeted. Each candidate site is assigned a normalized score </w:t>
      </w:r>
      <m:oMath>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ij</m:t>
            </m:r>
          </m:sub>
        </m:sSub>
      </m:oMath>
      <w:r w:rsidRPr="009F5B51">
        <w:rPr>
          <w:highlight w:val="yellow"/>
        </w:rPr>
        <w:t xml:space="preserve">between 0 and 1 for each criterion. The total score for candidate site </w:t>
      </w:r>
      <m:oMath>
        <m:r>
          <w:rPr>
            <w:rFonts w:ascii="Cambria Math" w:hAnsi="Cambria Math"/>
            <w:highlight w:val="yellow"/>
          </w:rPr>
          <m:t>j</m:t>
        </m:r>
      </m:oMath>
      <w:r w:rsidRPr="009F5B51">
        <w:rPr>
          <w:highlight w:val="yellow"/>
        </w:rPr>
        <w:t>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3C6158" w14:paraId="63848827" w14:textId="77777777" w:rsidTr="001D13F4">
        <w:tc>
          <w:tcPr>
            <w:tcW w:w="421" w:type="dxa"/>
          </w:tcPr>
          <w:p w14:paraId="0D0C3B07" w14:textId="77777777" w:rsidR="003C6158" w:rsidRDefault="003C6158" w:rsidP="001E5821">
            <w:pPr>
              <w:rPr>
                <w:color w:val="auto"/>
                <w:szCs w:val="24"/>
                <w:lang w:val="en-CA" w:eastAsia="en-CA"/>
              </w:rPr>
            </w:pPr>
          </w:p>
        </w:tc>
        <w:tc>
          <w:tcPr>
            <w:tcW w:w="7908" w:type="dxa"/>
          </w:tcPr>
          <w:p w14:paraId="294142A7" w14:textId="72BBFA4A" w:rsidR="003C6158" w:rsidRPr="00225E6D" w:rsidRDefault="00000000" w:rsidP="001E5821">
            <w:pPr>
              <w:rPr>
                <w:rFonts w:asciiTheme="majorBidi" w:hAnsiTheme="majorBidi" w:cstheme="majorBidi"/>
                <w:color w:val="auto"/>
                <w:sz w:val="22"/>
                <w:szCs w:val="22"/>
                <w:lang w:val="en-CA" w:eastAsia="en-CA"/>
              </w:rPr>
            </w:pPr>
            <m:oMathPara>
              <m:oMath>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j</m:t>
                    </m:r>
                  </m:sub>
                </m:sSub>
                <m:r>
                  <w:rPr>
                    <w:rFonts w:ascii="Cambria Math" w:hAnsi="Cambria Math"/>
                    <w:color w:val="auto"/>
                    <w:szCs w:val="24"/>
                  </w:rPr>
                  <m:t>=</m:t>
                </m:r>
                <m:nary>
                  <m:naryPr>
                    <m:chr m:val="∑"/>
                    <m:limLoc m:val="undOvr"/>
                    <m:ctrlPr>
                      <w:rPr>
                        <w:rFonts w:ascii="Cambria Math" w:hAnsi="Cambria Math"/>
                        <w:color w:val="auto"/>
                        <w:szCs w:val="24"/>
                      </w:rPr>
                    </m:ctrlPr>
                  </m:naryPr>
                  <m:sub>
                    <m:r>
                      <w:rPr>
                        <w:rFonts w:ascii="Cambria Math" w:hAnsi="Cambria Math"/>
                        <w:color w:val="auto"/>
                        <w:szCs w:val="24"/>
                      </w:rPr>
                      <m:t>i=1</m:t>
                    </m:r>
                  </m:sub>
                  <m:sup>
                    <m:r>
                      <w:rPr>
                        <w:rFonts w:ascii="Cambria Math" w:hAnsi="Cambria Math"/>
                        <w:color w:val="auto"/>
                        <w:szCs w:val="24"/>
                      </w:rPr>
                      <m:t>m</m:t>
                    </m:r>
                  </m:sup>
                  <m:e>
                    <m:sSub>
                      <m:sSubPr>
                        <m:ctrlPr>
                          <w:rPr>
                            <w:rFonts w:ascii="Cambria Math" w:hAnsi="Cambria Math"/>
                            <w:color w:val="auto"/>
                            <w:szCs w:val="24"/>
                          </w:rPr>
                        </m:ctrlPr>
                      </m:sSubPr>
                      <m:e>
                        <m:r>
                          <w:rPr>
                            <w:rFonts w:ascii="Cambria Math" w:hAnsi="Cambria Math"/>
                            <w:color w:val="auto"/>
                            <w:szCs w:val="24"/>
                          </w:rPr>
                          <m:t>w</m:t>
                        </m:r>
                      </m:e>
                      <m:sub>
                        <m:r>
                          <w:rPr>
                            <w:rFonts w:ascii="Cambria Math" w:hAnsi="Cambria Math"/>
                            <w:color w:val="auto"/>
                            <w:szCs w:val="24"/>
                          </w:rPr>
                          <m:t>i</m:t>
                        </m:r>
                      </m:sub>
                    </m:sSub>
                  </m:e>
                </m:nary>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ij</m:t>
                    </m:r>
                  </m:sub>
                </m:sSub>
              </m:oMath>
            </m:oMathPara>
          </w:p>
        </w:tc>
        <w:tc>
          <w:tcPr>
            <w:tcW w:w="616" w:type="dxa"/>
            <w:vAlign w:val="center"/>
          </w:tcPr>
          <w:p w14:paraId="47A6C29B" w14:textId="1CAB0CAB" w:rsidR="003C6158" w:rsidRDefault="003C6158" w:rsidP="001E5821">
            <w:pPr>
              <w:rPr>
                <w:color w:val="auto"/>
                <w:szCs w:val="24"/>
                <w:lang w:val="en-CA" w:eastAsia="en-CA"/>
              </w:rPr>
            </w:pPr>
            <w:r>
              <w:rPr>
                <w:color w:val="auto"/>
                <w:szCs w:val="24"/>
                <w:lang w:val="en-CA" w:eastAsia="en-CA"/>
              </w:rPr>
              <w:t>(1</w:t>
            </w:r>
            <w:r w:rsidR="004E0509">
              <w:rPr>
                <w:color w:val="auto"/>
                <w:szCs w:val="24"/>
                <w:lang w:val="en-CA" w:eastAsia="en-CA"/>
              </w:rPr>
              <w:t>8</w:t>
            </w:r>
            <w:r>
              <w:rPr>
                <w:color w:val="auto"/>
                <w:szCs w:val="24"/>
                <w:lang w:val="en-CA" w:eastAsia="en-CA"/>
              </w:rPr>
              <w:t>)</w:t>
            </w:r>
          </w:p>
        </w:tc>
      </w:tr>
    </w:tbl>
    <w:p w14:paraId="5CCBF018" w14:textId="18CB8D4B" w:rsidR="001D13F4" w:rsidRPr="001D13F4" w:rsidRDefault="001D13F4" w:rsidP="001D13F4">
      <w:pPr>
        <w:spacing w:after="120"/>
        <w:ind w:firstLine="480"/>
        <w:rPr>
          <w:highlight w:val="yellow"/>
          <w:lang w:val="en-CA"/>
        </w:rPr>
      </w:pPr>
      <w:r w:rsidRPr="001D13F4">
        <w:rPr>
          <w:highlight w:val="yellow"/>
          <w:lang w:val="en-CA"/>
        </w:rPr>
        <w:t xml:space="preserve">where </w:t>
      </w:r>
      <m:oMath>
        <m:sSub>
          <m:sSubPr>
            <m:ctrlPr>
              <w:rPr>
                <w:rFonts w:ascii="Cambria Math" w:hAnsi="Cambria Math"/>
                <w:highlight w:val="yellow"/>
                <w:lang w:val="en-CA"/>
              </w:rPr>
            </m:ctrlPr>
          </m:sSubPr>
          <m:e>
            <m:r>
              <w:rPr>
                <w:rFonts w:ascii="Cambria Math" w:hAnsi="Cambria Math"/>
                <w:highlight w:val="yellow"/>
                <w:lang w:val="en-CA"/>
              </w:rPr>
              <m:t>w</m:t>
            </m:r>
          </m:e>
          <m:sub>
            <m:r>
              <w:rPr>
                <w:rFonts w:ascii="Cambria Math" w:hAnsi="Cambria Math"/>
                <w:highlight w:val="yellow"/>
                <w:lang w:val="en-CA"/>
              </w:rPr>
              <m:t>i</m:t>
            </m:r>
          </m:sub>
        </m:sSub>
      </m:oMath>
      <w:r w:rsidRPr="001D13F4">
        <w:rPr>
          <w:highlight w:val="yellow"/>
          <w:lang w:val="en-CA"/>
        </w:rPr>
        <w:t xml:space="preserve">is the weight assigned to criterion </w:t>
      </w:r>
      <m:oMath>
        <m:r>
          <w:rPr>
            <w:rFonts w:ascii="Cambria Math" w:hAnsi="Cambria Math"/>
            <w:highlight w:val="yellow"/>
            <w:lang w:val="en-CA"/>
          </w:rPr>
          <m:t>i</m:t>
        </m:r>
      </m:oMath>
      <w:r w:rsidRPr="001D13F4">
        <w:rPr>
          <w:highlight w:val="yellow"/>
          <w:lang w:val="en-CA"/>
        </w:rPr>
        <w:t xml:space="preserve">, </w:t>
      </w:r>
      <m:oMath>
        <m:sSub>
          <m:sSubPr>
            <m:ctrlPr>
              <w:rPr>
                <w:rFonts w:ascii="Cambria Math" w:hAnsi="Cambria Math"/>
                <w:highlight w:val="yellow"/>
                <w:lang w:val="en-CA"/>
              </w:rPr>
            </m:ctrlPr>
          </m:sSubPr>
          <m:e>
            <m:r>
              <w:rPr>
                <w:rFonts w:ascii="Cambria Math" w:hAnsi="Cambria Math"/>
                <w:highlight w:val="yellow"/>
                <w:lang w:val="en-CA"/>
              </w:rPr>
              <m:t>s</m:t>
            </m:r>
          </m:e>
          <m:sub>
            <m:r>
              <w:rPr>
                <w:rFonts w:ascii="Cambria Math" w:hAnsi="Cambria Math"/>
                <w:highlight w:val="yellow"/>
                <w:lang w:val="en-CA"/>
              </w:rPr>
              <m:t>ij</m:t>
            </m:r>
          </m:sub>
        </m:sSub>
      </m:oMath>
      <w:r w:rsidRPr="001D13F4">
        <w:rPr>
          <w:highlight w:val="yellow"/>
          <w:lang w:val="en-CA"/>
        </w:rPr>
        <w:t xml:space="preserve">is the normalized performance of candidate site </w:t>
      </w:r>
      <m:oMath>
        <m:r>
          <w:rPr>
            <w:rFonts w:ascii="Cambria Math" w:hAnsi="Cambria Math"/>
            <w:highlight w:val="yellow"/>
            <w:lang w:val="en-CA"/>
          </w:rPr>
          <m:t>j</m:t>
        </m:r>
      </m:oMath>
      <w:r w:rsidRPr="001D13F4">
        <w:rPr>
          <w:highlight w:val="yellow"/>
          <w:lang w:val="en-CA"/>
        </w:rPr>
        <w:t xml:space="preserve">under criterion </w:t>
      </w:r>
      <m:oMath>
        <m:r>
          <w:rPr>
            <w:rFonts w:ascii="Cambria Math" w:hAnsi="Cambria Math"/>
            <w:highlight w:val="yellow"/>
            <w:lang w:val="en-CA"/>
          </w:rPr>
          <m:t>i</m:t>
        </m:r>
      </m:oMath>
      <w:r w:rsidRPr="001D13F4">
        <w:rPr>
          <w:highlight w:val="yellow"/>
          <w:lang w:val="en-CA"/>
        </w:rPr>
        <w:t xml:space="preserve">, and </w:t>
      </w:r>
      <m:oMath>
        <m:r>
          <w:rPr>
            <w:rFonts w:ascii="Cambria Math" w:hAnsi="Cambria Math"/>
            <w:highlight w:val="yellow"/>
            <w:lang w:val="en-CA"/>
          </w:rPr>
          <m:t>m</m:t>
        </m:r>
      </m:oMath>
      <w:r w:rsidRPr="001D13F4">
        <w:rPr>
          <w:highlight w:val="yellow"/>
          <w:lang w:val="en-CA"/>
        </w:rPr>
        <w:t>is the number of criteria.</w:t>
      </w:r>
    </w:p>
    <w:p w14:paraId="61E14B35" w14:textId="4B3FBB81" w:rsidR="000028D9" w:rsidRDefault="000028D9" w:rsidP="00A95675">
      <w:pPr>
        <w:spacing w:after="120"/>
        <w:ind w:firstLine="480"/>
      </w:pPr>
      <w:r w:rsidRPr="009473CB">
        <w:rPr>
          <w:highlight w:val="yellow"/>
        </w:rPr>
        <w:t xml:space="preserve">The ranking of candidate sites should be repeated by changing the weightings assigned to the </w:t>
      </w:r>
      <w:r w:rsidR="00563BD0" w:rsidRPr="009473CB">
        <w:rPr>
          <w:highlight w:val="yellow"/>
        </w:rPr>
        <w:t>principal</w:t>
      </w:r>
      <w:r w:rsidRPr="009473CB">
        <w:rPr>
          <w:highlight w:val="yellow"/>
        </w:rPr>
        <w:t xml:space="preserve"> criterion, and the results should be recorded in a sensitivity analysis. Sites that move significantly with reasonable variations in weight should be marked for additional scrutiny. This step is required because MCDA outcomes may be prone to </w:t>
      </w:r>
      <w:r w:rsidR="00563BD0" w:rsidRPr="00563BD0">
        <w:rPr>
          <w:highlight w:val="yellow"/>
        </w:rPr>
        <w:t>subjective weighting assumptions</w:t>
      </w:r>
      <w:r w:rsidRPr="00563BD0">
        <w:rPr>
          <w:highlight w:val="yellow"/>
        </w:rPr>
        <w:t xml:space="preserve">. Satellite or ground-measured irradiance corrected for local terrain, shading, temperature, and system losses should </w:t>
      </w:r>
      <w:r w:rsidRPr="009473CB">
        <w:rPr>
          <w:highlight w:val="yellow"/>
        </w:rPr>
        <w:t>be used for solar-resource evaluation. The minimum solar capacity factor is set as an annual value typically greater than 20%, which is a reasonable starting point, but should not be considered a generic project criterion. Likewise, even if a project is within the boundaries of an onshore wind capacity factor greater than ~25%, project development can be based on validated meteorological-mast or LiDAR measurements of sufficient duration</w:t>
      </w:r>
      <w:r w:rsidR="00F91991" w:rsidRPr="009473CB">
        <w:rPr>
          <w:highlight w:val="yellow"/>
        </w:rPr>
        <w:fldChar w:fldCharType="begin"/>
      </w:r>
      <w:r w:rsidR="00A95675">
        <w:rPr>
          <w:highlight w:val="yellow"/>
        </w:rPr>
        <w:instrText xml:space="preserve"> ADDIN ZOTERO_ITEM CSL_CITATION {"citationID":"XVy3XeZ0","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91991" w:rsidRPr="009473CB">
        <w:rPr>
          <w:highlight w:val="yellow"/>
        </w:rPr>
        <w:fldChar w:fldCharType="separate"/>
      </w:r>
      <w:r w:rsidR="00A95675" w:rsidRPr="00A95675">
        <w:rPr>
          <w:highlight w:val="yellow"/>
        </w:rPr>
        <w:t>[104]</w:t>
      </w:r>
      <w:r w:rsidR="00F91991" w:rsidRPr="009473CB">
        <w:rPr>
          <w:highlight w:val="yellow"/>
        </w:rPr>
        <w:fldChar w:fldCharType="end"/>
      </w:r>
      <w:r w:rsidRPr="009473CB">
        <w:rPr>
          <w:highlight w:val="yellow"/>
        </w:rPr>
        <w:t>.</w:t>
      </w:r>
    </w:p>
    <w:p w14:paraId="083DA38F" w14:textId="61308439" w:rsidR="00957B20" w:rsidRPr="002F6018" w:rsidRDefault="000028D9" w:rsidP="00E842C0">
      <w:pPr>
        <w:spacing w:after="120"/>
        <w:ind w:firstLine="480"/>
        <w:rPr>
          <w:highlight w:val="yellow"/>
          <w:lang w:val="en-CA"/>
        </w:rPr>
      </w:pPr>
      <w:r w:rsidRPr="009473CB">
        <w:rPr>
          <w:highlight w:val="yellow"/>
        </w:rPr>
        <w:lastRenderedPageBreak/>
        <w:t>The proposed site may be affected in a significant way by grid-interconnection feasibility. The costs for interconnection vary greatly depending on project size, voltage, network capacity, new protection and substation equipment, transmission reinforcement and utility procedures. Therefore, interconnection costs can be defined based on the study that is relevant to the specific utility or system-operator and not as a universal cost range.</w:t>
      </w:r>
      <w:r w:rsidR="00F73394" w:rsidRPr="009473CB">
        <w:rPr>
          <w:highlight w:val="yellow"/>
        </w:rPr>
        <w:t xml:space="preserve"> </w:t>
      </w:r>
      <w:r w:rsidRPr="009473CB">
        <w:rPr>
          <w:highlight w:val="yellow"/>
        </w:rPr>
        <w:t>Assessments for climate resilience should include hazards that could impact renewable generation, grid supply, cooling performance, or access to the facility</w:t>
      </w:r>
      <w:r w:rsidR="009473CB">
        <w:rPr>
          <w:highlight w:val="yellow"/>
        </w:rPr>
        <w:fldChar w:fldCharType="begin"/>
      </w:r>
      <w:r w:rsidR="00E842C0">
        <w:rPr>
          <w:highlight w:val="yellow"/>
        </w:rPr>
        <w:instrText xml:space="preserve"> ADDIN ZOTERO_ITEM CSL_CITATION {"citationID":"frkHKcY9","properties":{"unsorted":false,"formattedCitation":"[144]","plainCitation":"[144]","noteIndex":0},"citationItems":[{"id":2127,"uris":["http://zotero.org/users/9870935/items/TPD6JBT4"],"itemData":{"id":2127,"type":"article","abstract":"As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9473CB">
        <w:rPr>
          <w:highlight w:val="yellow"/>
        </w:rPr>
        <w:fldChar w:fldCharType="separate"/>
      </w:r>
      <w:r w:rsidR="00E842C0" w:rsidRPr="00E842C0">
        <w:rPr>
          <w:highlight w:val="yellow"/>
        </w:rPr>
        <w:t>[144]</w:t>
      </w:r>
      <w:r w:rsidR="009473CB">
        <w:rPr>
          <w:highlight w:val="yellow"/>
        </w:rPr>
        <w:fldChar w:fldCharType="end"/>
      </w:r>
      <w:r w:rsidRPr="009473CB">
        <w:rPr>
          <w:highlight w:val="yellow"/>
        </w:rPr>
        <w:t>. Higher-risk sites could benefit from raised equipment platforms, additional structural ratings, redundant utility connections, extra backup resources and/ or alternate cooling solutions.</w:t>
      </w:r>
      <w:r w:rsidR="00DF4B39">
        <w:rPr>
          <w:highlight w:val="yellow"/>
        </w:rPr>
        <w:t xml:space="preserve"> </w:t>
      </w:r>
      <w:r w:rsidR="00DF4B39" w:rsidRPr="00DF4B39">
        <w:rPr>
          <w:highlight w:val="yellow"/>
          <w:lang w:val="en-CA"/>
        </w:rPr>
        <w:t>The output of Component 1 is a ranked shortlist of candidate sites, together with supporting renewable-resource profiles, interconnection constraints, water and land limitations, environmental risks, regulatory considerations, and sensitivity results.</w:t>
      </w:r>
    </w:p>
    <w:p w14:paraId="134032C6" w14:textId="40137360" w:rsidR="00AF4131" w:rsidRPr="00AF4131" w:rsidRDefault="00FE013C" w:rsidP="00AF4131">
      <w:pPr>
        <w:pStyle w:val="Heading20"/>
        <w:jc w:val="both"/>
        <w:rPr>
          <w:color w:val="auto"/>
        </w:rPr>
      </w:pPr>
      <w:r>
        <w:rPr>
          <w:color w:val="auto"/>
        </w:rPr>
        <w:t xml:space="preserve">7.3. Technology </w:t>
      </w:r>
      <w:r w:rsidR="008D2B0F">
        <w:rPr>
          <w:color w:val="auto"/>
        </w:rPr>
        <w:t>Selection and Trade-Off Analysis</w:t>
      </w:r>
    </w:p>
    <w:p w14:paraId="2563CF3F" w14:textId="75C517CD" w:rsidR="002F6018" w:rsidRPr="002F6018" w:rsidRDefault="0005521E" w:rsidP="002F6018">
      <w:pPr>
        <w:spacing w:after="120"/>
        <w:ind w:firstLine="480"/>
        <w:rPr>
          <w:highlight w:val="yellow"/>
          <w:lang w:val="en-CA"/>
        </w:rPr>
      </w:pPr>
      <w:r w:rsidRPr="0005521E">
        <w:rPr>
          <w:lang w:val="en-CA"/>
        </w:rPr>
        <w:t>The required inputs for this component are</w:t>
      </w:r>
      <w:r w:rsidR="002F6018" w:rsidRPr="002F6018">
        <w:rPr>
          <w:highlight w:val="yellow"/>
          <w:lang w:val="en-CA"/>
        </w:rPr>
        <w:t>:</w:t>
      </w:r>
    </w:p>
    <w:p w14:paraId="0112694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hourly or sub-hourly solar and wind resource profiles;</w:t>
      </w:r>
    </w:p>
    <w:p w14:paraId="3A5D5D8C"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total and critical-load profiles;</w:t>
      </w:r>
    </w:p>
    <w:p w14:paraId="2ADAA9C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workload-flexibility constraints;</w:t>
      </w:r>
    </w:p>
    <w:p w14:paraId="21AF84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renewable-generation capital and operating costs;</w:t>
      </w:r>
    </w:p>
    <w:p w14:paraId="6574EA0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battery pack and installed BESS costs;</w:t>
      </w:r>
    </w:p>
    <w:p w14:paraId="5142E203"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storage efficiency, degradation, and operating limits;</w:t>
      </w:r>
    </w:p>
    <w:p w14:paraId="0DE57445"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grid-import and export limits;</w:t>
      </w:r>
    </w:p>
    <w:p w14:paraId="36AA331D"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electricity tariffs and demand charges;</w:t>
      </w:r>
    </w:p>
    <w:p w14:paraId="3A77B44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availability;</w:t>
      </w:r>
    </w:p>
    <w:p w14:paraId="1D4BF2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reliability objectives;</w:t>
      </w:r>
    </w:p>
    <w:p w14:paraId="059CD8B0"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carbon-intensity data and emissions targets; and</w:t>
      </w:r>
    </w:p>
    <w:p w14:paraId="6D318C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applicable regulatory and physical constraints.</w:t>
      </w:r>
    </w:p>
    <w:p w14:paraId="3746684A" w14:textId="31E45156" w:rsidR="002F6018" w:rsidRPr="00963ECF" w:rsidRDefault="002F6018" w:rsidP="00963ECF">
      <w:pPr>
        <w:spacing w:after="120"/>
        <w:ind w:firstLine="480"/>
        <w:rPr>
          <w:highlight w:val="yellow"/>
        </w:rPr>
      </w:pPr>
      <w:r w:rsidRPr="002F6018">
        <w:rPr>
          <w:highlight w:val="yellow"/>
        </w:rPr>
        <w:t>The technology-mix selection process assesses combinations of renewable energy generation, energy storage, grid services and backup resources among a list of competing technologies. Chronological energy-balance analysis and a unified lifecycle-cost framework are used to evaluate each candidate configuration. Configurations incompatible with reliability, interconnection, power, energy, or emissions requirements are not considered. The other options are evaluated using lifecycle cost, renewable energy use, emissions, flexibility, implementation risk, and reliance on grid or fuel supply.</w:t>
      </w:r>
      <w:r w:rsidRPr="00963ECF">
        <w:rPr>
          <w:highlight w:val="yellow"/>
        </w:rPr>
        <w:t xml:space="preserve"> If an optimization model is used, the model, data, solver, time resolution, model assumptions and the output of the model should be documented. The framework does not specify an optimum configuration in general.</w:t>
      </w:r>
    </w:p>
    <w:p w14:paraId="78DDEAA3" w14:textId="3D1AADBA" w:rsidR="002F6018" w:rsidRPr="00BF65C5" w:rsidRDefault="002F6018" w:rsidP="00BF65C5">
      <w:pPr>
        <w:spacing w:after="120"/>
        <w:ind w:firstLine="480"/>
        <w:rPr>
          <w:highlight w:val="yellow"/>
        </w:rPr>
      </w:pPr>
      <w:r w:rsidRPr="00963ECF">
        <w:rPr>
          <w:highlight w:val="yellow"/>
        </w:rPr>
        <w:t>The result is a shortlist of practicable technology options specific to the site, such as:</w:t>
      </w:r>
    </w:p>
    <w:p w14:paraId="747F59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 energy capacity, including solar power, wind power;</w:t>
      </w:r>
    </w:p>
    <w:p w14:paraId="54A0931F" w14:textId="65611EFB"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 xml:space="preserve">Usable </w:t>
      </w:r>
      <w:r w:rsidR="00CB0ADE">
        <w:rPr>
          <w:highlight w:val="yellow"/>
          <w:lang w:val="en-CA"/>
        </w:rPr>
        <w:t>battery-</w:t>
      </w:r>
      <w:r w:rsidRPr="003E1B02">
        <w:rPr>
          <w:highlight w:val="yellow"/>
          <w:lang w:val="en-CA"/>
        </w:rPr>
        <w:t>energy capacity; and</w:t>
      </w:r>
    </w:p>
    <w:p w14:paraId="2F38F28A" w14:textId="7BAA1237" w:rsidR="002F6018" w:rsidRPr="003E1B02" w:rsidRDefault="00F74580" w:rsidP="00BF65C5">
      <w:pPr>
        <w:pStyle w:val="ListParagraph"/>
        <w:numPr>
          <w:ilvl w:val="0"/>
          <w:numId w:val="26"/>
        </w:numPr>
        <w:spacing w:after="120"/>
        <w:rPr>
          <w:highlight w:val="yellow"/>
          <w:lang w:val="en-CA"/>
        </w:rPr>
      </w:pPr>
      <w:r>
        <w:rPr>
          <w:highlight w:val="yellow"/>
          <w:lang w:val="en-CA"/>
        </w:rPr>
        <w:t>S</w:t>
      </w:r>
      <w:r w:rsidR="002F6018" w:rsidRPr="003E1B02">
        <w:rPr>
          <w:highlight w:val="yellow"/>
          <w:lang w:val="en-CA"/>
        </w:rPr>
        <w:t>torage duration;</w:t>
      </w:r>
    </w:p>
    <w:p w14:paraId="36BD6FA6" w14:textId="56E4DC86" w:rsidR="002F6018" w:rsidRPr="003E1B02" w:rsidRDefault="00F74580" w:rsidP="00BF65C5">
      <w:pPr>
        <w:pStyle w:val="ListParagraph"/>
        <w:numPr>
          <w:ilvl w:val="0"/>
          <w:numId w:val="26"/>
        </w:numPr>
        <w:spacing w:after="120"/>
        <w:rPr>
          <w:highlight w:val="yellow"/>
          <w:lang w:val="en-CA"/>
        </w:rPr>
      </w:pPr>
      <w:r>
        <w:rPr>
          <w:highlight w:val="yellow"/>
          <w:lang w:val="en-CA"/>
        </w:rPr>
        <w:t>G</w:t>
      </w:r>
      <w:r w:rsidR="002F6018" w:rsidRPr="003E1B02">
        <w:rPr>
          <w:highlight w:val="yellow"/>
          <w:lang w:val="en-CA"/>
        </w:rPr>
        <w:t>rid-Import/Export capacity;</w:t>
      </w:r>
    </w:p>
    <w:p w14:paraId="1C71132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type and rating;</w:t>
      </w:r>
    </w:p>
    <w:p w14:paraId="38F80BC5" w14:textId="5BA38632" w:rsidR="002F6018" w:rsidRPr="003E1B02" w:rsidRDefault="00A25E8B" w:rsidP="00BF65C5">
      <w:pPr>
        <w:pStyle w:val="ListParagraph"/>
        <w:numPr>
          <w:ilvl w:val="0"/>
          <w:numId w:val="26"/>
        </w:numPr>
        <w:spacing w:after="120"/>
        <w:rPr>
          <w:highlight w:val="yellow"/>
          <w:lang w:val="en-CA"/>
        </w:rPr>
      </w:pPr>
      <w:r>
        <w:rPr>
          <w:highlight w:val="yellow"/>
          <w:lang w:val="en-CA"/>
        </w:rPr>
        <w:t>A</w:t>
      </w:r>
      <w:r w:rsidR="002F6018" w:rsidRPr="003E1B02">
        <w:rPr>
          <w:highlight w:val="yellow"/>
          <w:lang w:val="en-CA"/>
        </w:rPr>
        <w:t>nticipated renewable curtailment;</w:t>
      </w:r>
    </w:p>
    <w:p w14:paraId="1EE8472E" w14:textId="69AA66CD" w:rsidR="002F6018" w:rsidRPr="00F66B7F" w:rsidRDefault="00F66B7F" w:rsidP="00BF65C5">
      <w:pPr>
        <w:pStyle w:val="ListParagraph"/>
        <w:numPr>
          <w:ilvl w:val="0"/>
          <w:numId w:val="26"/>
        </w:numPr>
        <w:spacing w:after="120"/>
        <w:rPr>
          <w:highlight w:val="yellow"/>
          <w:lang w:val="en-CA"/>
        </w:rPr>
      </w:pPr>
      <w:r w:rsidRPr="00F66B7F">
        <w:rPr>
          <w:highlight w:val="yellow"/>
          <w:lang w:val="en-CA"/>
        </w:rPr>
        <w:lastRenderedPageBreak/>
        <w:t>Lifecycle-cost metrics and reliability indicators</w:t>
      </w:r>
      <w:r w:rsidR="002F6018" w:rsidRPr="00F66B7F">
        <w:rPr>
          <w:highlight w:val="yellow"/>
          <w:lang w:val="en-CA"/>
        </w:rPr>
        <w:t>; and</w:t>
      </w:r>
    </w:p>
    <w:p w14:paraId="164D3A6D" w14:textId="2C4247CC" w:rsidR="002F6018" w:rsidRPr="003E1B02" w:rsidRDefault="00A25E8B" w:rsidP="00BF65C5">
      <w:pPr>
        <w:pStyle w:val="ListParagraph"/>
        <w:numPr>
          <w:ilvl w:val="0"/>
          <w:numId w:val="26"/>
        </w:numPr>
        <w:spacing w:after="120"/>
        <w:rPr>
          <w:highlight w:val="yellow"/>
          <w:lang w:val="en-CA"/>
        </w:rPr>
      </w:pPr>
      <w:r>
        <w:rPr>
          <w:highlight w:val="yellow"/>
          <w:lang w:val="en-CA"/>
        </w:rPr>
        <w:t>I</w:t>
      </w:r>
      <w:r w:rsidR="002F6018" w:rsidRPr="003E1B02">
        <w:rPr>
          <w:highlight w:val="yellow"/>
          <w:lang w:val="en-CA"/>
        </w:rPr>
        <w:t>mportant implementation risks.</w:t>
      </w:r>
    </w:p>
    <w:p w14:paraId="14406D38" w14:textId="5A4D56B0" w:rsidR="002F6018" w:rsidRPr="003218A2" w:rsidRDefault="002F6018" w:rsidP="00A95675">
      <w:pPr>
        <w:spacing w:after="120"/>
        <w:ind w:firstLine="480"/>
        <w:rPr>
          <w:highlight w:val="yellow"/>
        </w:rPr>
      </w:pPr>
      <w:r w:rsidRPr="003218A2">
        <w:rPr>
          <w:highlight w:val="yellow"/>
        </w:rPr>
        <w:t>Various technology-mix selection criteria involve renewable generation, energy storage, grid-interconnection capacity, backup resources, reliability requirements, carbon goals, and lifecycle cost</w:t>
      </w:r>
      <w:r w:rsidR="004F5508" w:rsidRPr="003218A2">
        <w:rPr>
          <w:highlight w:val="yellow"/>
        </w:rPr>
        <w:fldChar w:fldCharType="begin"/>
      </w:r>
      <w:r w:rsidR="00A95675">
        <w:rPr>
          <w:highlight w:val="yellow"/>
        </w:rPr>
        <w:instrText xml:space="preserve"> ADDIN ZOTERO_ITEM CSL_CITATION {"citationID":"mWoqWmxf","properties":{"unsorted":false,"formattedCitation":"[46]","plainCitation":"[46]","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4F5508" w:rsidRPr="003218A2">
        <w:rPr>
          <w:highlight w:val="yellow"/>
        </w:rPr>
        <w:fldChar w:fldCharType="separate"/>
      </w:r>
      <w:r w:rsidR="00A95675" w:rsidRPr="00A95675">
        <w:rPr>
          <w:highlight w:val="yellow"/>
        </w:rPr>
        <w:t>[46]</w:t>
      </w:r>
      <w:r w:rsidR="004F5508" w:rsidRPr="003218A2">
        <w:rPr>
          <w:highlight w:val="yellow"/>
        </w:rPr>
        <w:fldChar w:fldCharType="end"/>
      </w:r>
      <w:r w:rsidRPr="003218A2">
        <w:rPr>
          <w:highlight w:val="yellow"/>
        </w:rPr>
        <w:t xml:space="preserve">. </w:t>
      </w:r>
    </w:p>
    <w:p w14:paraId="5E201085" w14:textId="78C40AAF" w:rsidR="002F6018" w:rsidRPr="003218A2" w:rsidRDefault="002F6018" w:rsidP="004F5508">
      <w:pPr>
        <w:spacing w:after="120"/>
        <w:ind w:firstLine="480"/>
        <w:rPr>
          <w:highlight w:val="yellow"/>
        </w:rPr>
      </w:pPr>
      <w:r w:rsidRPr="003218A2">
        <w:rPr>
          <w:highlight w:val="yellow"/>
        </w:rPr>
        <w:t xml:space="preserve">Gaining greater insight into the economics of renewable resources is important as the quality of these resources, measured by the capacity factor of the solar, wind, and other renewable sources, greatly affects the project economics by increasing annual generation and capital utilization. Battery costs are also relevant, but the price of battery packs should be separated from BESS costs once the batteries are installed. BloombergNEF forecasted a volume-weighted average price of lithium-ion battery-packs at around </w:t>
      </w:r>
      <w:r w:rsidR="00122BE9">
        <w:rPr>
          <w:highlight w:val="yellow"/>
        </w:rPr>
        <w:t>$</w:t>
      </w:r>
      <w:r w:rsidRPr="003218A2">
        <w:rPr>
          <w:highlight w:val="yellow"/>
        </w:rPr>
        <w:t>108/kWh for 2025 [17]. Installed-system costs are more expensive due to power-conversion equipment, thermal management, enclosures, controls, fire protection, engineering, procurement, construction, site development and grid integration.</w:t>
      </w:r>
    </w:p>
    <w:p w14:paraId="5D775629" w14:textId="60C39449" w:rsidR="00AF4131" w:rsidRDefault="002F6018" w:rsidP="00EC7AC0">
      <w:pPr>
        <w:spacing w:after="120"/>
        <w:ind w:firstLine="480"/>
      </w:pPr>
      <w:r w:rsidRPr="003218A2">
        <w:rPr>
          <w:highlight w:val="yellow"/>
        </w:rPr>
        <w:t>Electricity prices and tariffs are another factor in the choice of configuration. The economic attractiveness of renewable generation and storage may benefit from higher grid-electricity prices, depending on demand-charges, time-of-use rates, export-compensation, curtailment, storage-losses, and financing-conditions [149].</w:t>
      </w:r>
      <w:r w:rsidR="004F5508" w:rsidRPr="003218A2">
        <w:rPr>
          <w:highlight w:val="yellow"/>
        </w:rPr>
        <w:t xml:space="preserve"> </w:t>
      </w:r>
      <w:r w:rsidRPr="003218A2">
        <w:rPr>
          <w:highlight w:val="yellow"/>
        </w:rPr>
        <w:t>Candidates should be ranked on the common reliability criteria outlined in Section 7.9 and project-specific lifecycle-cost, carbon-reduction and interconnection constraints.</w:t>
      </w:r>
      <w:r w:rsidR="005E2BBB">
        <w:rPr>
          <w:highlight w:val="yellow"/>
        </w:rPr>
        <w:t xml:space="preserve"> </w:t>
      </w:r>
      <w:r w:rsidR="005E2BBB">
        <w:rPr>
          <w:highlight w:val="yellow"/>
        </w:rPr>
        <w:fldChar w:fldCharType="begin"/>
      </w:r>
      <w:r w:rsidR="005E2BBB">
        <w:rPr>
          <w:highlight w:val="yellow"/>
        </w:rPr>
        <w:instrText xml:space="preserve"> REF _Ref239529641 \h </w:instrText>
      </w:r>
      <w:r w:rsidR="005E2BBB">
        <w:rPr>
          <w:highlight w:val="yellow"/>
        </w:rPr>
      </w:r>
      <w:r w:rsidR="005E2BBB">
        <w:rPr>
          <w:highlight w:val="yellow"/>
        </w:rPr>
        <w:fldChar w:fldCharType="separate"/>
      </w:r>
      <w:r w:rsidR="005E2BBB" w:rsidRPr="00905AA2">
        <w:rPr>
          <w:highlight w:val="yellow"/>
        </w:rPr>
        <w:t xml:space="preserve">Figure </w:t>
      </w:r>
      <w:r w:rsidR="005E2BBB" w:rsidRPr="00905AA2">
        <w:rPr>
          <w:noProof/>
          <w:highlight w:val="yellow"/>
        </w:rPr>
        <w:t>8</w:t>
      </w:r>
      <w:r w:rsidR="005E2BBB" w:rsidRPr="00905AA2">
        <w:rPr>
          <w:highlight w:val="yellow"/>
        </w:rPr>
        <w:t xml:space="preserve"> Technology-mix Selection Framework</w:t>
      </w:r>
      <w:r w:rsidR="005E2BBB">
        <w:rPr>
          <w:highlight w:val="yellow"/>
        </w:rPr>
        <w:fldChar w:fldCharType="end"/>
      </w:r>
      <w:r w:rsidR="005E2BBB">
        <w:rPr>
          <w:highlight w:val="yellow"/>
        </w:rPr>
        <w:t xml:space="preserve">, </w:t>
      </w:r>
      <w:r w:rsidRPr="003218A2">
        <w:rPr>
          <w:highlight w:val="yellow"/>
        </w:rPr>
        <w:t>Conceptual technology-mix selection framework illustrating the interactions among renewable capacity, storage duration, grid support, backup resources, lifecycle cost, carbon emissions, and reliability</w:t>
      </w:r>
      <w:r w:rsidRPr="00EC7AC0">
        <w:rPr>
          <w:highlight w:val="yellow"/>
        </w:rPr>
        <w:t xml:space="preserve">. </w:t>
      </w:r>
      <w:r w:rsidR="00EC7AC0" w:rsidRPr="00EC7AC0">
        <w:rPr>
          <w:highlight w:val="yellow"/>
        </w:rPr>
        <w:t>The figure is conceptual and does not represent the output of a site-specific optimization model.</w:t>
      </w:r>
    </w:p>
    <w:p w14:paraId="0225BD9C" w14:textId="1E6BAE45" w:rsidR="00FE013C" w:rsidRPr="00CD7233" w:rsidRDefault="007612D4" w:rsidP="007612D4">
      <w:pPr>
        <w:keepNext/>
        <w:spacing w:after="120"/>
        <w:jc w:val="center"/>
        <w:rPr>
          <w:lang w:val="en-CA"/>
        </w:rPr>
      </w:pPr>
      <w:r w:rsidRPr="007612D4">
        <w:rPr>
          <w:noProof/>
          <w:lang w:val="en-CA"/>
        </w:rPr>
        <w:drawing>
          <wp:inline distT="0" distB="0" distL="0" distR="0" wp14:anchorId="62DA4CFD" wp14:editId="24094E8E">
            <wp:extent cx="6192520" cy="3757930"/>
            <wp:effectExtent l="0" t="0" r="0" b="0"/>
            <wp:docPr id="1595312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2520" cy="3757930"/>
                    </a:xfrm>
                    <a:prstGeom prst="rect">
                      <a:avLst/>
                    </a:prstGeom>
                    <a:noFill/>
                    <a:ln>
                      <a:noFill/>
                    </a:ln>
                  </pic:spPr>
                </pic:pic>
              </a:graphicData>
            </a:graphic>
          </wp:inline>
        </w:drawing>
      </w:r>
    </w:p>
    <w:p w14:paraId="7CE7BD72" w14:textId="09A84916" w:rsidR="00FE013C" w:rsidRPr="00B4497F" w:rsidRDefault="00FE013C" w:rsidP="00A01CCD">
      <w:pPr>
        <w:pStyle w:val="Caption"/>
        <w:jc w:val="center"/>
      </w:pPr>
      <w:bookmarkStart w:id="16" w:name="_Ref239529641"/>
      <w:r w:rsidRPr="00905AA2">
        <w:rPr>
          <w:highlight w:val="yellow"/>
        </w:rPr>
        <w:t xml:space="preserve">Figure </w:t>
      </w:r>
      <w:r w:rsidRPr="00905AA2">
        <w:rPr>
          <w:highlight w:val="yellow"/>
        </w:rPr>
        <w:fldChar w:fldCharType="begin"/>
      </w:r>
      <w:r w:rsidRPr="00905AA2">
        <w:rPr>
          <w:highlight w:val="yellow"/>
        </w:rPr>
        <w:instrText xml:space="preserve"> SEQ Figure \* ARABIC </w:instrText>
      </w:r>
      <w:r w:rsidRPr="00905AA2">
        <w:rPr>
          <w:highlight w:val="yellow"/>
        </w:rPr>
        <w:fldChar w:fldCharType="separate"/>
      </w:r>
      <w:r w:rsidR="00807110" w:rsidRPr="00905AA2">
        <w:rPr>
          <w:noProof/>
          <w:highlight w:val="yellow"/>
        </w:rPr>
        <w:t>8</w:t>
      </w:r>
      <w:r w:rsidRPr="00905AA2">
        <w:rPr>
          <w:noProof/>
          <w:highlight w:val="yellow"/>
        </w:rPr>
        <w:fldChar w:fldCharType="end"/>
      </w:r>
      <w:r w:rsidRPr="00905AA2">
        <w:rPr>
          <w:highlight w:val="yellow"/>
        </w:rPr>
        <w:t xml:space="preserve"> </w:t>
      </w:r>
      <w:r w:rsidR="00AF4131" w:rsidRPr="00905AA2">
        <w:rPr>
          <w:highlight w:val="yellow"/>
        </w:rPr>
        <w:t>Technology-mix Selection Framework</w:t>
      </w:r>
      <w:bookmarkEnd w:id="16"/>
    </w:p>
    <w:p w14:paraId="615BABF6" w14:textId="77777777" w:rsidR="00FE013C" w:rsidRDefault="00FE013C" w:rsidP="004C16FF">
      <w:pPr>
        <w:pStyle w:val="Heading20"/>
        <w:jc w:val="both"/>
        <w:rPr>
          <w:color w:val="auto"/>
        </w:rPr>
      </w:pPr>
      <w:r>
        <w:rPr>
          <w:color w:val="auto"/>
        </w:rPr>
        <w:lastRenderedPageBreak/>
        <w:t>7.4. Electrical Architecture and Integration</w:t>
      </w:r>
    </w:p>
    <w:p w14:paraId="1DB812FD" w14:textId="77777777" w:rsidR="000B7B56" w:rsidRPr="002F6018" w:rsidRDefault="000B7B56" w:rsidP="000B7B56">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3D5E4F50" w14:textId="37C82A8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Capacities </w:t>
      </w:r>
      <w:r w:rsidR="000B7B56" w:rsidRPr="002C1117">
        <w:rPr>
          <w:highlight w:val="yellow"/>
          <w:lang w:val="en-CA"/>
        </w:rPr>
        <w:t xml:space="preserve">selected in Component 2; </w:t>
      </w:r>
    </w:p>
    <w:p w14:paraId="6615888D" w14:textId="3FD02FE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Total </w:t>
      </w:r>
      <w:r w:rsidR="000B7B56" w:rsidRPr="002C1117">
        <w:rPr>
          <w:highlight w:val="yellow"/>
          <w:lang w:val="en-CA"/>
        </w:rPr>
        <w:t xml:space="preserve">peak and critical-load requirements; </w:t>
      </w:r>
    </w:p>
    <w:p w14:paraId="632476EA" w14:textId="1077B41E"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Required </w:t>
      </w:r>
      <w:r w:rsidR="000B7B56" w:rsidRPr="002C1117">
        <w:rPr>
          <w:highlight w:val="yellow"/>
          <w:lang w:val="en-CA"/>
        </w:rPr>
        <w:t xml:space="preserve">redundancy classification; </w:t>
      </w:r>
    </w:p>
    <w:p w14:paraId="08F2EC37" w14:textId="1969FE3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Utility </w:t>
      </w:r>
      <w:r w:rsidR="000B7B56" w:rsidRPr="002C1117">
        <w:rPr>
          <w:highlight w:val="yellow"/>
          <w:lang w:val="en-CA"/>
        </w:rPr>
        <w:t xml:space="preserve">point-of-connection voltage; </w:t>
      </w:r>
    </w:p>
    <w:p w14:paraId="6A5CC176" w14:textId="72F15B4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Transformer </w:t>
      </w:r>
      <w:r w:rsidR="000B7B56" w:rsidRPr="002C1117">
        <w:rPr>
          <w:highlight w:val="yellow"/>
          <w:lang w:val="en-CA"/>
        </w:rPr>
        <w:t xml:space="preserve">and switchgear ratings; </w:t>
      </w:r>
    </w:p>
    <w:p w14:paraId="0376B0A6" w14:textId="732DB430"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Equipment </w:t>
      </w:r>
      <w:r w:rsidR="000B7B56" w:rsidRPr="002C1117">
        <w:rPr>
          <w:highlight w:val="yellow"/>
          <w:lang w:val="en-CA"/>
        </w:rPr>
        <w:t xml:space="preserve">fault-current withstand limits; </w:t>
      </w:r>
    </w:p>
    <w:p w14:paraId="7B638F8A" w14:textId="68AA305B"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Grounding </w:t>
      </w:r>
      <w:r w:rsidR="000B7B56" w:rsidRPr="002C1117">
        <w:rPr>
          <w:highlight w:val="yellow"/>
          <w:lang w:val="en-CA"/>
        </w:rPr>
        <w:t xml:space="preserve">requirements; </w:t>
      </w:r>
    </w:p>
    <w:p w14:paraId="3586AD06" w14:textId="08DAFBFA"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Anticipated </w:t>
      </w:r>
      <w:r w:rsidR="000B7B56" w:rsidRPr="002C1117">
        <w:rPr>
          <w:highlight w:val="yellow"/>
          <w:lang w:val="en-CA"/>
        </w:rPr>
        <w:t xml:space="preserve">harmonic spectra; </w:t>
      </w:r>
    </w:p>
    <w:p w14:paraId="0AA89DD1" w14:textId="51307CC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Protection </w:t>
      </w:r>
      <w:r w:rsidR="000B7B56" w:rsidRPr="002C1117">
        <w:rPr>
          <w:highlight w:val="yellow"/>
          <w:lang w:val="en-CA"/>
        </w:rPr>
        <w:t xml:space="preserve">requirements; and </w:t>
      </w:r>
    </w:p>
    <w:p w14:paraId="7C6A7F3F" w14:textId="7BAD34CD" w:rsidR="000B7B56" w:rsidRPr="00496175" w:rsidRDefault="00072A8F" w:rsidP="00496175">
      <w:pPr>
        <w:pStyle w:val="ListParagraph"/>
        <w:numPr>
          <w:ilvl w:val="0"/>
          <w:numId w:val="26"/>
        </w:numPr>
        <w:spacing w:after="120"/>
        <w:rPr>
          <w:highlight w:val="yellow"/>
          <w:lang w:val="en-CA"/>
        </w:rPr>
      </w:pPr>
      <w:r w:rsidRPr="002C1117">
        <w:rPr>
          <w:highlight w:val="yellow"/>
          <w:lang w:val="en-CA"/>
        </w:rPr>
        <w:t xml:space="preserve">Applicable </w:t>
      </w:r>
      <w:r w:rsidR="000B7B56" w:rsidRPr="002C1117">
        <w:rPr>
          <w:highlight w:val="yellow"/>
          <w:lang w:val="en-CA"/>
        </w:rPr>
        <w:t>IEEE, IEC, and utility interconnection standards.</w:t>
      </w:r>
    </w:p>
    <w:p w14:paraId="4EBF6459" w14:textId="3E3EA4A5" w:rsidR="006155BF" w:rsidRDefault="006155BF" w:rsidP="00496175">
      <w:pPr>
        <w:spacing w:after="120"/>
        <w:ind w:firstLine="480"/>
        <w:rPr>
          <w:highlight w:val="yellow"/>
        </w:rPr>
      </w:pPr>
      <w:r w:rsidRPr="00B54B37">
        <w:rPr>
          <w:highlight w:val="yellow"/>
        </w:rPr>
        <w:t>The electrical architecture is evaluated using power-flow, short-circuit, grounding, protection-coordination, reliability, and harmonic-compliance studies. Candidate designs that exceed equipment ratings or violate voltage, protection, grounding, or power-quality requirements are rejected.</w:t>
      </w:r>
      <w:r w:rsidR="00496175" w:rsidRPr="00B54B37">
        <w:rPr>
          <w:highlight w:val="yellow"/>
        </w:rPr>
        <w:t xml:space="preserve"> </w:t>
      </w:r>
      <w:r w:rsidRPr="00B54B37">
        <w:rPr>
          <w:highlight w:val="yellow"/>
        </w:rPr>
        <w:t>The selection between AC and DC distribution should be based on lifecycle efficiency, conversion losses, equipment availability, protection maturity, maintainability, and capital cost rather than on conversion efficiency alone.</w:t>
      </w:r>
    </w:p>
    <w:p w14:paraId="1F7DDE65" w14:textId="43C6A958" w:rsidR="00FF0674" w:rsidRPr="00FF0674" w:rsidRDefault="00FF0674" w:rsidP="00FF0674">
      <w:pPr>
        <w:spacing w:after="120"/>
        <w:ind w:firstLine="480"/>
        <w:rPr>
          <w:highlight w:val="yellow"/>
        </w:rPr>
      </w:pPr>
      <w:r w:rsidRPr="00FF0674">
        <w:rPr>
          <w:highlight w:val="yellow"/>
        </w:rPr>
        <w:t>The output is a preliminary single-line electrical design specifying:</w:t>
      </w:r>
    </w:p>
    <w:p w14:paraId="63F242BC" w14:textId="7EE14587"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Interconnection and distribution voltage levels; </w:t>
      </w:r>
    </w:p>
    <w:p w14:paraId="5FF706E1" w14:textId="4E25655C"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Transformer and switchgear ratings; </w:t>
      </w:r>
    </w:p>
    <w:p w14:paraId="22CFC4C0" w14:textId="2A957940"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A</w:t>
      </w:r>
      <w:r w:rsidR="00EC7AC0">
        <w:rPr>
          <w:highlight w:val="yellow"/>
          <w:lang w:val="en-CA"/>
        </w:rPr>
        <w:t>C</w:t>
      </w:r>
      <w:r w:rsidRPr="00064826">
        <w:rPr>
          <w:highlight w:val="yellow"/>
          <w:lang w:val="en-CA"/>
        </w:rPr>
        <w:t xml:space="preserve"> or </w:t>
      </w:r>
      <w:r w:rsidR="00647293">
        <w:rPr>
          <w:highlight w:val="yellow"/>
          <w:lang w:val="en-CA"/>
        </w:rPr>
        <w:t>DC</w:t>
      </w:r>
      <w:r w:rsidRPr="00064826">
        <w:rPr>
          <w:highlight w:val="yellow"/>
          <w:lang w:val="en-CA"/>
        </w:rPr>
        <w:t xml:space="preserve"> distribution topology; </w:t>
      </w:r>
    </w:p>
    <w:p w14:paraId="17BBB984" w14:textId="3D5F0F90"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Renewable-generation and storage connection points; </w:t>
      </w:r>
    </w:p>
    <w:p w14:paraId="17C8C689" w14:textId="223C7FBB"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Redundancy arrangement; </w:t>
      </w:r>
    </w:p>
    <w:p w14:paraId="0C75377C" w14:textId="51166B84"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Protection zones and preliminary settings; </w:t>
      </w:r>
    </w:p>
    <w:p w14:paraId="07DE4EFE" w14:textId="5C846666"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Grounding approach; and </w:t>
      </w:r>
    </w:p>
    <w:p w14:paraId="76890990" w14:textId="1DF21BA9"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Harmonic and power-quality mitigation requirements.</w:t>
      </w:r>
    </w:p>
    <w:p w14:paraId="0BCF019F" w14:textId="41740730" w:rsidR="00FF0674" w:rsidRPr="00B80448" w:rsidRDefault="005321C4" w:rsidP="001D1223">
      <w:pPr>
        <w:spacing w:after="120"/>
        <w:ind w:firstLine="480"/>
        <w:rPr>
          <w:highlight w:val="yellow"/>
          <w:lang w:val="en-CA"/>
        </w:rPr>
      </w:pPr>
      <w:r w:rsidRPr="00B80448">
        <w:rPr>
          <w:highlight w:val="yellow"/>
          <w:lang w:val="en-CA"/>
        </w:rPr>
        <w:t xml:space="preserve">There is a compromise involved in the choice of the </w:t>
      </w:r>
      <w:r w:rsidR="00BC3628">
        <w:rPr>
          <w:highlight w:val="yellow"/>
          <w:lang w:val="en-CA"/>
        </w:rPr>
        <w:t>primary</w:t>
      </w:r>
      <w:r w:rsidRPr="00B80448">
        <w:rPr>
          <w:highlight w:val="yellow"/>
          <w:lang w:val="en-CA"/>
        </w:rPr>
        <w:t xml:space="preserve"> interconnection voltage, factors being power transfer capability, conductor losses, switchgear cost, utility requirements, fault currents, and complexity of protection</w:t>
      </w:r>
      <w:r w:rsidR="00C9792E" w:rsidRPr="00B80448">
        <w:rPr>
          <w:highlight w:val="yellow"/>
          <w:lang w:val="en-CA"/>
        </w:rPr>
        <w:fldChar w:fldCharType="begin"/>
      </w:r>
      <w:r w:rsidR="001D1223">
        <w:rPr>
          <w:highlight w:val="yellow"/>
          <w:lang w:val="en-CA"/>
        </w:rPr>
        <w:instrText xml:space="preserve"> ADDIN ZOTERO_ITEM CSL_CITATION {"citationID":"AztEawaf","properties":{"unsorted":false,"formattedCitation":"[84]","plainCitation":"[84]","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C9792E" w:rsidRPr="00B80448">
        <w:rPr>
          <w:highlight w:val="yellow"/>
          <w:lang w:val="en-CA"/>
        </w:rPr>
        <w:fldChar w:fldCharType="separate"/>
      </w:r>
      <w:r w:rsidR="001D1223" w:rsidRPr="001D1223">
        <w:rPr>
          <w:highlight w:val="yellow"/>
          <w:lang w:val="en-CA"/>
        </w:rPr>
        <w:t>[84]</w:t>
      </w:r>
      <w:r w:rsidR="00C9792E" w:rsidRPr="00B80448">
        <w:rPr>
          <w:highlight w:val="yellow"/>
          <w:lang w:val="en-CA"/>
        </w:rPr>
        <w:fldChar w:fldCharType="end"/>
      </w:r>
      <w:r w:rsidRPr="00B80448">
        <w:rPr>
          <w:highlight w:val="yellow"/>
          <w:lang w:val="en-CA"/>
        </w:rPr>
        <w:t xml:space="preserve">. </w:t>
      </w:r>
      <w:r w:rsidRPr="009D1F5C">
        <w:rPr>
          <w:highlight w:val="yellow"/>
          <w:lang w:val="en-CA"/>
        </w:rPr>
        <w:t xml:space="preserve">While 13.8 kV and 25 kV medium voltage are </w:t>
      </w:r>
      <w:r w:rsidR="00C65E73" w:rsidRPr="009D1F5C">
        <w:rPr>
          <w:highlight w:val="yellow"/>
          <w:lang w:val="en-CA"/>
        </w:rPr>
        <w:t>most utilized</w:t>
      </w:r>
      <w:r w:rsidRPr="009D1F5C">
        <w:rPr>
          <w:highlight w:val="yellow"/>
          <w:lang w:val="en-CA"/>
        </w:rPr>
        <w:t xml:space="preserve">, </w:t>
      </w:r>
      <w:r w:rsidR="00A60C95" w:rsidRPr="009D1F5C">
        <w:rPr>
          <w:highlight w:val="yellow"/>
          <w:lang w:val="en-CA"/>
        </w:rPr>
        <w:t xml:space="preserve">the suitable interconnection voltage for a 100 MW facility </w:t>
      </w:r>
      <w:r w:rsidRPr="009D1F5C">
        <w:rPr>
          <w:highlight w:val="yellow"/>
          <w:lang w:val="en-CA"/>
        </w:rPr>
        <w:t xml:space="preserve">can be determined through utility requirements, load distribution, equipment rating, and lifecycle-cost analysis. There should not be a universal voltage configuration. By </w:t>
      </w:r>
      <w:r w:rsidRPr="00B22A56">
        <w:rPr>
          <w:highlight w:val="yellow"/>
          <w:lang w:val="en-CA"/>
        </w:rPr>
        <w:t xml:space="preserve">minimizing a portion of </w:t>
      </w:r>
      <w:r w:rsidR="00B22A56" w:rsidRPr="00B22A56">
        <w:rPr>
          <w:highlight w:val="yellow"/>
          <w:lang w:val="en-CA"/>
        </w:rPr>
        <w:t>the facility's AC-to-DC and DC-to-AC conversion stages</w:t>
      </w:r>
      <w:r w:rsidRPr="00B22A56">
        <w:rPr>
          <w:highlight w:val="yellow"/>
          <w:lang w:val="en-CA"/>
        </w:rPr>
        <w:t>, DC distribution can offer efficiency benefits when you have a significant amount of DC generation, storage and use in your facility, particularly within the IT sector. The advantages have to be weighed against the costs and availability of DC-rated switchgear, fault interruption, protection systems, maintenance practices, and equipment</w:t>
      </w:r>
      <w:r w:rsidR="00D81A5B" w:rsidRPr="00B22A56">
        <w:rPr>
          <w:highlight w:val="yellow"/>
          <w:lang w:val="en-CA"/>
        </w:rPr>
        <w:fldChar w:fldCharType="begin"/>
      </w:r>
      <w:r w:rsidR="00A95675" w:rsidRPr="00B22A56">
        <w:rPr>
          <w:highlight w:val="yellow"/>
          <w:lang w:val="en-CA"/>
        </w:rPr>
        <w:instrText xml:space="preserve"> ADDIN ZOTERO_ITEM CSL_CITATION {"citationID":"7TsMK3jb","properties":{"unsorted":false,"formattedCitation":"[74]","plainCitation":"[74]","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D81A5B" w:rsidRPr="00B22A56">
        <w:rPr>
          <w:highlight w:val="yellow"/>
          <w:lang w:val="en-CA"/>
        </w:rPr>
        <w:fldChar w:fldCharType="separate"/>
      </w:r>
      <w:r w:rsidR="00A95675" w:rsidRPr="00B22A56">
        <w:rPr>
          <w:highlight w:val="yellow"/>
          <w:lang w:val="en-CA"/>
        </w:rPr>
        <w:t>[74]</w:t>
      </w:r>
      <w:r w:rsidR="00D81A5B" w:rsidRPr="00B22A56">
        <w:rPr>
          <w:highlight w:val="yellow"/>
          <w:lang w:val="en-CA"/>
        </w:rPr>
        <w:fldChar w:fldCharType="end"/>
      </w:r>
      <w:r w:rsidRPr="00B22A56">
        <w:rPr>
          <w:highlight w:val="yellow"/>
          <w:lang w:val="en-CA"/>
        </w:rPr>
        <w:t>.</w:t>
      </w:r>
    </w:p>
    <w:p w14:paraId="178A00C2" w14:textId="71A85B0A" w:rsidR="00C70768" w:rsidRPr="00C70768" w:rsidRDefault="00FE013C" w:rsidP="00C70768">
      <w:pPr>
        <w:pStyle w:val="Heading20"/>
        <w:jc w:val="both"/>
        <w:rPr>
          <w:color w:val="auto"/>
        </w:rPr>
      </w:pPr>
      <w:r>
        <w:rPr>
          <w:color w:val="auto"/>
        </w:rPr>
        <w:t>7.5. Control and Dispatch Strategies</w:t>
      </w:r>
    </w:p>
    <w:p w14:paraId="0E14E3DA" w14:textId="11D0A287" w:rsidR="00C70768" w:rsidRDefault="00C70768" w:rsidP="00C70768">
      <w:pPr>
        <w:spacing w:after="120"/>
        <w:ind w:firstLine="480"/>
      </w:pPr>
      <w:r w:rsidRPr="00013085">
        <w:rPr>
          <w:highlight w:val="yellow"/>
        </w:rPr>
        <w:t>The necessary inputs are:</w:t>
      </w:r>
    </w:p>
    <w:p w14:paraId="5275EB5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renewable-generation forecasts;</w:t>
      </w:r>
    </w:p>
    <w:p w14:paraId="10D1B3C9"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lastRenderedPageBreak/>
        <w:t>facility-load forecasts;</w:t>
      </w:r>
    </w:p>
    <w:p w14:paraId="57EAD752"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battery state of charge, and battery operating limits;</w:t>
      </w:r>
    </w:p>
    <w:p w14:paraId="6753528F"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backup-resource availability;</w:t>
      </w:r>
    </w:p>
    <w:p w14:paraId="029315C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grid-energy prices and demand charges;</w:t>
      </w:r>
    </w:p>
    <w:p w14:paraId="5FB69D33" w14:textId="2952DAD1" w:rsidR="00C70768" w:rsidRPr="00022EBA" w:rsidRDefault="00022EBA" w:rsidP="00C70768">
      <w:pPr>
        <w:pStyle w:val="ListParagraph"/>
        <w:numPr>
          <w:ilvl w:val="0"/>
          <w:numId w:val="26"/>
        </w:numPr>
        <w:spacing w:after="120"/>
        <w:rPr>
          <w:highlight w:val="yellow"/>
          <w:lang w:val="en-CA"/>
        </w:rPr>
      </w:pPr>
      <w:r w:rsidRPr="00022EBA">
        <w:rPr>
          <w:highlight w:val="yellow"/>
          <w:lang w:val="en-CA"/>
        </w:rPr>
        <w:t>Grid-import and grid-export limits</w:t>
      </w:r>
      <w:r w:rsidR="00C70768" w:rsidRPr="00022EBA">
        <w:rPr>
          <w:highlight w:val="yellow"/>
          <w:lang w:val="en-CA"/>
        </w:rPr>
        <w:t>;</w:t>
      </w:r>
    </w:p>
    <w:p w14:paraId="7BB992AE"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emissions or carbon-intensity signals;</w:t>
      </w:r>
    </w:p>
    <w:p w14:paraId="193D164C" w14:textId="583B764C" w:rsidR="00C70768" w:rsidRPr="00EF244B" w:rsidRDefault="00EF244B" w:rsidP="00C70768">
      <w:pPr>
        <w:pStyle w:val="ListParagraph"/>
        <w:numPr>
          <w:ilvl w:val="0"/>
          <w:numId w:val="26"/>
        </w:numPr>
        <w:spacing w:after="120"/>
        <w:rPr>
          <w:highlight w:val="yellow"/>
          <w:lang w:val="en-CA"/>
        </w:rPr>
      </w:pPr>
      <w:r w:rsidRPr="00EF244B">
        <w:rPr>
          <w:highlight w:val="yellow"/>
          <w:lang w:val="en-CA"/>
        </w:rPr>
        <w:t>Reliability reserve requirements</w:t>
      </w:r>
      <w:r w:rsidR="00C70768" w:rsidRPr="00EF244B">
        <w:rPr>
          <w:highlight w:val="yellow"/>
          <w:lang w:val="en-CA"/>
        </w:rPr>
        <w:t>; and</w:t>
      </w:r>
    </w:p>
    <w:p w14:paraId="1065DB69" w14:textId="6807FFE9"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Latency, deferral, and data-residency restrictions at the workload level.</w:t>
      </w:r>
    </w:p>
    <w:p w14:paraId="772D8EB6" w14:textId="7FD93E94" w:rsidR="00B30EEE" w:rsidRPr="00B30EEE" w:rsidRDefault="00C70768" w:rsidP="00B30EEE">
      <w:pPr>
        <w:spacing w:after="120"/>
        <w:ind w:firstLine="480"/>
        <w:rPr>
          <w:highlight w:val="yellow"/>
        </w:rPr>
      </w:pPr>
      <w:r w:rsidRPr="008E212E">
        <w:rPr>
          <w:highlight w:val="yellow"/>
          <w:lang w:val="en-CA"/>
        </w:rPr>
        <w:t xml:space="preserve">A hierarchical controller coordinates resources through three </w:t>
      </w:r>
      <w:r w:rsidR="006C5214">
        <w:rPr>
          <w:highlight w:val="yellow"/>
          <w:lang w:val="en-CA"/>
        </w:rPr>
        <w:t>timesc</w:t>
      </w:r>
      <w:r w:rsidR="00420177">
        <w:rPr>
          <w:highlight w:val="yellow"/>
          <w:lang w:val="en-CA"/>
        </w:rPr>
        <w:t>ales</w:t>
      </w:r>
      <w:r w:rsidRPr="008E212E">
        <w:rPr>
          <w:highlight w:val="yellow"/>
          <w:lang w:val="en-CA"/>
        </w:rPr>
        <w:t xml:space="preserve">. The device level controllers are used for responding to voltage and frequency conditions. The energy management system on the facility </w:t>
      </w:r>
      <w:r w:rsidRPr="00AF1EC2">
        <w:rPr>
          <w:highlight w:val="yellow"/>
          <w:lang w:val="en-CA"/>
        </w:rPr>
        <w:t xml:space="preserve">level </w:t>
      </w:r>
      <w:r w:rsidR="00AF1EC2" w:rsidRPr="00AF1EC2">
        <w:rPr>
          <w:highlight w:val="yellow"/>
          <w:lang w:val="en-CA"/>
        </w:rPr>
        <w:t>coordinates the dispatch of renewable generation, storage, grid exchange, backup resources, and reserves</w:t>
      </w:r>
      <w:r w:rsidRPr="00AF1EC2">
        <w:rPr>
          <w:highlight w:val="yellow"/>
          <w:lang w:val="en-CA"/>
        </w:rPr>
        <w:t xml:space="preserve">. The controller at the corporate level harmonizes eligible workloads across facilities while honoring </w:t>
      </w:r>
      <w:r w:rsidRPr="008E212E">
        <w:rPr>
          <w:highlight w:val="yellow"/>
          <w:lang w:val="en-CA"/>
        </w:rPr>
        <w:t xml:space="preserve">latency, service-level, </w:t>
      </w:r>
      <w:r w:rsidR="00D6518A" w:rsidRPr="008E212E">
        <w:rPr>
          <w:highlight w:val="yellow"/>
          <w:lang w:val="en-CA"/>
        </w:rPr>
        <w:t>cybersecurity</w:t>
      </w:r>
      <w:r w:rsidRPr="008E212E">
        <w:rPr>
          <w:highlight w:val="yellow"/>
          <w:lang w:val="en-CA"/>
        </w:rPr>
        <w:t xml:space="preserve"> and data-residency boundaries.</w:t>
      </w:r>
      <w:r w:rsidR="008E212E">
        <w:rPr>
          <w:highlight w:val="yellow"/>
          <w:lang w:val="en-CA"/>
        </w:rPr>
        <w:t xml:space="preserve"> </w:t>
      </w:r>
      <w:r w:rsidR="00B30EEE" w:rsidRPr="00B30EEE">
        <w:rPr>
          <w:highlight w:val="yellow"/>
        </w:rPr>
        <w:t>The operating objective, such as cost, operational emissions, or a weighted combination of both, should be minimized subject to equipment limits, storage constraints, interconnection limits, reserve requirements, reliability criteria, and workload restrictions.</w:t>
      </w:r>
    </w:p>
    <w:p w14:paraId="16236489" w14:textId="29C8C3AB" w:rsidR="00C70768" w:rsidRDefault="00C70768" w:rsidP="00B30EEE">
      <w:pPr>
        <w:spacing w:after="120"/>
        <w:ind w:firstLine="480"/>
      </w:pPr>
      <w:r w:rsidRPr="004426C6">
        <w:rPr>
          <w:highlight w:val="yellow"/>
        </w:rPr>
        <w:t>The result is an operating schedule that contains:</w:t>
      </w:r>
    </w:p>
    <w:p w14:paraId="66D487D3" w14:textId="77777777" w:rsidR="00C70768" w:rsidRPr="00013085" w:rsidRDefault="00C70768" w:rsidP="00013085">
      <w:pPr>
        <w:pStyle w:val="ListParagraph"/>
        <w:numPr>
          <w:ilvl w:val="0"/>
          <w:numId w:val="26"/>
        </w:numPr>
        <w:spacing w:after="120"/>
        <w:rPr>
          <w:highlight w:val="yellow"/>
          <w:lang w:val="en-CA"/>
        </w:rPr>
      </w:pPr>
      <w:r w:rsidRPr="00013085">
        <w:rPr>
          <w:highlight w:val="yellow"/>
          <w:lang w:val="en-CA"/>
        </w:rPr>
        <w:t>Signals for the charging and discharging command;</w:t>
      </w:r>
    </w:p>
    <w:p w14:paraId="026BA25E" w14:textId="26C64FD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Minimum </w:t>
      </w:r>
      <w:r w:rsidR="00C70768" w:rsidRPr="00013085">
        <w:rPr>
          <w:highlight w:val="yellow"/>
          <w:lang w:val="en-CA"/>
        </w:rPr>
        <w:t>storage reserves;</w:t>
      </w:r>
    </w:p>
    <w:p w14:paraId="76409529" w14:textId="52CD005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Grid </w:t>
      </w:r>
      <w:r w:rsidR="00C70768" w:rsidRPr="00013085">
        <w:rPr>
          <w:highlight w:val="yellow"/>
          <w:lang w:val="en-CA"/>
        </w:rPr>
        <w:t>imports and exports;</w:t>
      </w:r>
    </w:p>
    <w:p w14:paraId="26A73BC3" w14:textId="03B3D6A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Backup</w:t>
      </w:r>
      <w:r w:rsidR="00C70768" w:rsidRPr="00013085">
        <w:rPr>
          <w:highlight w:val="yellow"/>
          <w:lang w:val="en-CA"/>
        </w:rPr>
        <w:t>-resource commitment;</w:t>
      </w:r>
    </w:p>
    <w:p w14:paraId="78AC679A" w14:textId="48010C4A"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Renewable </w:t>
      </w:r>
      <w:r w:rsidR="00C70768" w:rsidRPr="00013085">
        <w:rPr>
          <w:highlight w:val="yellow"/>
          <w:lang w:val="en-CA"/>
        </w:rPr>
        <w:t>curtailment;</w:t>
      </w:r>
    </w:p>
    <w:p w14:paraId="090F6EE4" w14:textId="40F8A019"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Demand</w:t>
      </w:r>
      <w:r w:rsidR="00C70768" w:rsidRPr="00013085">
        <w:rPr>
          <w:highlight w:val="yellow"/>
          <w:lang w:val="en-CA"/>
        </w:rPr>
        <w:t>-response participation; and</w:t>
      </w:r>
    </w:p>
    <w:p w14:paraId="058E6D2E" w14:textId="54E83605" w:rsidR="00C70768" w:rsidRPr="004426C6" w:rsidRDefault="00013085" w:rsidP="004426C6">
      <w:pPr>
        <w:pStyle w:val="ListParagraph"/>
        <w:numPr>
          <w:ilvl w:val="0"/>
          <w:numId w:val="26"/>
        </w:numPr>
        <w:spacing w:after="120"/>
        <w:rPr>
          <w:highlight w:val="yellow"/>
          <w:lang w:val="en-CA"/>
        </w:rPr>
      </w:pPr>
      <w:r w:rsidRPr="00013085">
        <w:rPr>
          <w:highlight w:val="yellow"/>
          <w:lang w:val="en-CA"/>
        </w:rPr>
        <w:t xml:space="preserve">Workload </w:t>
      </w:r>
      <w:r w:rsidR="00C70768" w:rsidRPr="00013085">
        <w:rPr>
          <w:highlight w:val="yellow"/>
          <w:lang w:val="en-CA"/>
        </w:rPr>
        <w:t>deferral or geographic-routing signals.</w:t>
      </w:r>
    </w:p>
    <w:p w14:paraId="36CC8660" w14:textId="3A8416FE" w:rsidR="00C70768" w:rsidRDefault="00C70768" w:rsidP="00E842C0">
      <w:pPr>
        <w:spacing w:after="120"/>
        <w:ind w:firstLine="480"/>
      </w:pPr>
      <w:r w:rsidRPr="004426C6">
        <w:rPr>
          <w:highlight w:val="yellow"/>
          <w:lang w:val="en-CA"/>
        </w:rPr>
        <w:t xml:space="preserve">The hierarchical control structure has three levels. At level 1, inverter voltage, frequency response, current </w:t>
      </w:r>
      <w:r w:rsidRPr="003A4621">
        <w:rPr>
          <w:highlight w:val="yellow"/>
          <w:lang w:val="en-CA"/>
        </w:rPr>
        <w:t xml:space="preserve">limits and protection functions are controlled in a time range between millisecond and second. </w:t>
      </w:r>
      <w:r w:rsidR="00C24C3D" w:rsidRPr="003A4621">
        <w:rPr>
          <w:highlight w:val="yellow"/>
          <w:lang w:val="en-CA"/>
        </w:rPr>
        <w:t>Level 2 operates over minute-to-hour timescales</w:t>
      </w:r>
      <w:r w:rsidRPr="003A4621">
        <w:rPr>
          <w:highlight w:val="yellow"/>
          <w:lang w:val="en-CA"/>
        </w:rPr>
        <w:t xml:space="preserve">, and the facility EMS is responsible for scheduling renewable generation, storage, grid exchange, and backup </w:t>
      </w:r>
      <w:r w:rsidRPr="00894AD4">
        <w:rPr>
          <w:highlight w:val="yellow"/>
          <w:lang w:val="en-CA"/>
        </w:rPr>
        <w:t xml:space="preserve">resources. </w:t>
      </w:r>
      <w:r w:rsidR="006829E8" w:rsidRPr="00894AD4">
        <w:rPr>
          <w:highlight w:val="yellow"/>
          <w:lang w:val="en-CA"/>
        </w:rPr>
        <w:t>MPC may use a receding prediction horizon of several hours to one or more days, depending on the application</w:t>
      </w:r>
      <w:r w:rsidRPr="00894AD4">
        <w:rPr>
          <w:highlight w:val="yellow"/>
          <w:lang w:val="en-CA"/>
        </w:rPr>
        <w:t>. Level 3 provides support that spans the timescale of hours to several days and involves guiding the dispatch of work loads to different facilities, as well as coordinating energy procurement and usage</w:t>
      </w:r>
      <w:r w:rsidR="003340E7" w:rsidRPr="00894AD4">
        <w:rPr>
          <w:highlight w:val="yellow"/>
          <w:lang w:val="en-CA"/>
        </w:rPr>
        <w:fldChar w:fldCharType="begin"/>
      </w:r>
      <w:r w:rsidR="001D1223" w:rsidRPr="00894AD4">
        <w:rPr>
          <w:highlight w:val="yellow"/>
          <w:lang w:val="en-CA"/>
        </w:rPr>
        <w:instrText xml:space="preserve"> ADDIN ZOTERO_ITEM CSL_CITATION {"citationID":"n3D9iZyI","properties":{"unsorted":false,"formattedCitation":"[61]","plainCitation":"[61]","noteIndex":0},"citationItems":[{"id":2132,"uris":["http://zotero.org/users/9870935/items/786EAJKN"],"itemData":{"id":2132,"type":"document","title":"Levelized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3340E7" w:rsidRPr="00894AD4">
        <w:rPr>
          <w:highlight w:val="yellow"/>
          <w:lang w:val="en-CA"/>
        </w:rPr>
        <w:fldChar w:fldCharType="separate"/>
      </w:r>
      <w:r w:rsidR="001D1223" w:rsidRPr="00894AD4">
        <w:rPr>
          <w:highlight w:val="yellow"/>
          <w:lang w:val="en-CA"/>
        </w:rPr>
        <w:t>[61]</w:t>
      </w:r>
      <w:r w:rsidR="003340E7" w:rsidRPr="00894AD4">
        <w:rPr>
          <w:highlight w:val="yellow"/>
          <w:lang w:val="en-CA"/>
        </w:rPr>
        <w:fldChar w:fldCharType="end"/>
      </w:r>
      <w:r w:rsidRPr="00894AD4">
        <w:rPr>
          <w:highlight w:val="yellow"/>
          <w:lang w:val="en-CA"/>
        </w:rPr>
        <w:t>.</w:t>
      </w:r>
      <w:r w:rsidR="005269FF" w:rsidRPr="00894AD4">
        <w:rPr>
          <w:highlight w:val="yellow"/>
          <w:lang w:val="en-CA"/>
        </w:rPr>
        <w:t xml:space="preserve"> </w:t>
      </w:r>
      <w:r w:rsidRPr="00894AD4">
        <w:rPr>
          <w:highlight w:val="yellow"/>
          <w:lang w:val="en-CA"/>
        </w:rPr>
        <w:t>AI workload scheduling actually offers a resource that is</w:t>
      </w:r>
      <w:r w:rsidR="008431D0">
        <w:rPr>
          <w:highlight w:val="yellow"/>
          <w:lang w:val="en-CA"/>
        </w:rPr>
        <w:t xml:space="preserve"> not</w:t>
      </w:r>
      <w:r w:rsidRPr="00894AD4">
        <w:rPr>
          <w:highlight w:val="yellow"/>
          <w:lang w:val="en-CA"/>
        </w:rPr>
        <w:t xml:space="preserve"> typically available to traditional workloads. Qualifying training, batch inference, analytics and background work can be run when electricity is relatively cheap, or during times of high renewable electricity generation. Real-time </w:t>
      </w:r>
      <w:r w:rsidRPr="00375D05">
        <w:rPr>
          <w:highlight w:val="yellow"/>
          <w:lang w:val="en-CA"/>
        </w:rPr>
        <w:t>inference and critical services continue to be limited due to strict latency and reliability requirements. The advantages of carbon-aware sche</w:t>
      </w:r>
      <w:r w:rsidRPr="00EE4B51">
        <w:rPr>
          <w:highlight w:val="yellow"/>
          <w:lang w:val="en-CA"/>
        </w:rPr>
        <w:t xml:space="preserve">duling </w:t>
      </w:r>
      <w:r w:rsidR="00232432" w:rsidRPr="00EE4B51">
        <w:rPr>
          <w:highlight w:val="yellow"/>
          <w:lang w:val="en-CA"/>
        </w:rPr>
        <w:t xml:space="preserve">reported benefits vary across studies </w:t>
      </w:r>
      <w:r w:rsidRPr="00EE4B51">
        <w:rPr>
          <w:highlight w:val="yellow"/>
          <w:lang w:val="en-CA"/>
        </w:rPr>
        <w:t>vary depending on workload properties, resource availability, network latency, and carbon intensity in the area</w:t>
      </w:r>
      <w:r w:rsidR="00F357B2" w:rsidRPr="00EE4B51">
        <w:rPr>
          <w:highlight w:val="yellow"/>
          <w:lang w:val="en-CA"/>
        </w:rPr>
        <w:fldChar w:fldCharType="begin"/>
      </w:r>
      <w:r w:rsidR="00E842C0" w:rsidRPr="00EE4B51">
        <w:rPr>
          <w:highlight w:val="yellow"/>
          <w:lang w:val="en-CA"/>
        </w:rPr>
        <w:instrText xml:space="preserve"> ADDIN ZOTERO_ITEM CSL_CITATION {"citationID":"vmqAwXXb","properties":{"unsorted":false,"formattedCitation":"[145]","plainCitation":"[145]","noteIndex":0},"citationItems":[{"id":2133,"uris":["http://zotero.org/users/9870935/items/DBM7MVTI"],"itemData":{"id":2133,"type":"post-weblog","title":"Summary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F357B2" w:rsidRPr="00EE4B51">
        <w:rPr>
          <w:highlight w:val="yellow"/>
          <w:lang w:val="en-CA"/>
        </w:rPr>
        <w:fldChar w:fldCharType="separate"/>
      </w:r>
      <w:r w:rsidR="00E842C0" w:rsidRPr="00EE4B51">
        <w:rPr>
          <w:highlight w:val="yellow"/>
          <w:lang w:val="en-CA"/>
        </w:rPr>
        <w:t>[145]</w:t>
      </w:r>
      <w:r w:rsidR="00F357B2" w:rsidRPr="00EE4B51">
        <w:rPr>
          <w:highlight w:val="yellow"/>
          <w:lang w:val="en-CA"/>
        </w:rPr>
        <w:fldChar w:fldCharType="end"/>
      </w:r>
      <w:r w:rsidRPr="00EE4B51">
        <w:rPr>
          <w:highlight w:val="yellow"/>
          <w:lang w:val="en-CA"/>
        </w:rPr>
        <w:t>.</w:t>
      </w:r>
      <w:r w:rsidR="00236625" w:rsidRPr="00EE4B51">
        <w:rPr>
          <w:highlight w:val="yellow"/>
        </w:rPr>
        <w:t xml:space="preserve"> </w:t>
      </w:r>
      <w:r w:rsidR="00236625" w:rsidRPr="00EE4B51">
        <w:rPr>
          <w:highlight w:val="yellow"/>
        </w:rPr>
        <w:fldChar w:fldCharType="begin"/>
      </w:r>
      <w:r w:rsidR="00236625" w:rsidRPr="00EE4B51">
        <w:rPr>
          <w:highlight w:val="yellow"/>
        </w:rPr>
        <w:instrText xml:space="preserve"> REF _Ref239529666 \h </w:instrText>
      </w:r>
      <w:r w:rsidR="00FC0D30" w:rsidRPr="00EE4B51">
        <w:rPr>
          <w:highlight w:val="yellow"/>
        </w:rPr>
        <w:instrText xml:space="preserve"> \* MERGEFORMAT </w:instrText>
      </w:r>
      <w:r w:rsidR="00236625" w:rsidRPr="00EE4B51">
        <w:rPr>
          <w:highlight w:val="yellow"/>
        </w:rPr>
      </w:r>
      <w:r w:rsidR="00236625" w:rsidRPr="00EE4B51">
        <w:rPr>
          <w:highlight w:val="yellow"/>
        </w:rPr>
        <w:fldChar w:fldCharType="separate"/>
      </w:r>
      <w:r w:rsidR="00236625" w:rsidRPr="00EE4B51">
        <w:rPr>
          <w:highlight w:val="yellow"/>
        </w:rPr>
        <w:t>Figure 9 Hierarchical control architecture for operation of a data center microgrid</w:t>
      </w:r>
      <w:r w:rsidR="00236625" w:rsidRPr="00EE4B51">
        <w:rPr>
          <w:highlight w:val="yellow"/>
        </w:rPr>
        <w:fldChar w:fldCharType="end"/>
      </w:r>
      <w:r w:rsidR="00236625" w:rsidRPr="00FC0D30">
        <w:rPr>
          <w:highlight w:val="yellow"/>
        </w:rPr>
        <w:t xml:space="preserve">, </w:t>
      </w:r>
      <w:r w:rsidR="00236625" w:rsidRPr="00236625">
        <w:rPr>
          <w:highlight w:val="yellow"/>
        </w:rPr>
        <w:t>illustrates the hierarchical control architecture of a data-center microgrid, showing how device-, facility-, and system-level control functions coordinate renewable generation, energy storage, grid interaction, and flexible loads across different operational timescales.</w:t>
      </w:r>
    </w:p>
    <w:p w14:paraId="0B25BAEA" w14:textId="321EE07C" w:rsidR="00FE013C" w:rsidRPr="004F551C" w:rsidRDefault="004F551C" w:rsidP="004F551C">
      <w:pPr>
        <w:keepNext/>
        <w:spacing w:after="120"/>
        <w:ind w:firstLine="480"/>
        <w:jc w:val="center"/>
        <w:rPr>
          <w:lang w:val="en-CA"/>
        </w:rPr>
      </w:pPr>
      <w:r w:rsidRPr="004F551C">
        <w:rPr>
          <w:noProof/>
          <w:lang w:val="en-CA"/>
        </w:rPr>
        <w:lastRenderedPageBreak/>
        <w:drawing>
          <wp:inline distT="0" distB="0" distL="0" distR="0" wp14:anchorId="5B0CEAF4" wp14:editId="6596C97D">
            <wp:extent cx="6192520" cy="3700624"/>
            <wp:effectExtent l="0" t="0" r="0" b="0"/>
            <wp:docPr id="1709878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356"/>
                    <a:stretch>
                      <a:fillRect/>
                    </a:stretch>
                  </pic:blipFill>
                  <pic:spPr bwMode="auto">
                    <a:xfrm>
                      <a:off x="0" y="0"/>
                      <a:ext cx="6192520" cy="3700624"/>
                    </a:xfrm>
                    <a:prstGeom prst="rect">
                      <a:avLst/>
                    </a:prstGeom>
                    <a:noFill/>
                    <a:ln>
                      <a:noFill/>
                    </a:ln>
                    <a:extLst>
                      <a:ext uri="{53640926-AAD7-44D8-BBD7-CCE9431645EC}">
                        <a14:shadowObscured xmlns:a14="http://schemas.microsoft.com/office/drawing/2010/main"/>
                      </a:ext>
                    </a:extLst>
                  </pic:spPr>
                </pic:pic>
              </a:graphicData>
            </a:graphic>
          </wp:inline>
        </w:drawing>
      </w:r>
    </w:p>
    <w:p w14:paraId="418051FD" w14:textId="66A8BE06" w:rsidR="00FE013C" w:rsidRPr="00757408" w:rsidRDefault="00FE013C" w:rsidP="00F722B9">
      <w:pPr>
        <w:pStyle w:val="Caption"/>
        <w:jc w:val="center"/>
        <w:rPr>
          <w:lang w:val="en-CA"/>
        </w:rPr>
      </w:pPr>
      <w:bookmarkStart w:id="17" w:name="_Ref239529666"/>
      <w:r>
        <w:t xml:space="preserve">Figure </w:t>
      </w:r>
      <w:fldSimple w:instr=" SEQ Figure \* ARABIC ">
        <w:r w:rsidR="00807110">
          <w:rPr>
            <w:noProof/>
          </w:rPr>
          <w:t>9</w:t>
        </w:r>
      </w:fldSimple>
      <w:r>
        <w:t xml:space="preserve"> </w:t>
      </w:r>
      <w:r w:rsidRPr="00FA4103">
        <w:t xml:space="preserve">Hierarchical control architecture for operation of a data </w:t>
      </w:r>
      <w:r w:rsidR="00580BAE">
        <w:t>center</w:t>
      </w:r>
      <w:r w:rsidRPr="00FA4103">
        <w:t xml:space="preserve"> microgrid</w:t>
      </w:r>
      <w:bookmarkEnd w:id="17"/>
    </w:p>
    <w:p w14:paraId="72D62C7A" w14:textId="77777777" w:rsidR="00FE013C" w:rsidRDefault="00FE013C" w:rsidP="004C16FF">
      <w:pPr>
        <w:pStyle w:val="Heading20"/>
        <w:jc w:val="both"/>
        <w:rPr>
          <w:color w:val="auto"/>
        </w:rPr>
      </w:pPr>
      <w:r>
        <w:rPr>
          <w:color w:val="auto"/>
        </w:rPr>
        <w:t>7.6. Demand-Side Management and Load Flexibility</w:t>
      </w:r>
    </w:p>
    <w:p w14:paraId="3C33701C" w14:textId="77777777" w:rsidR="006469A4" w:rsidRPr="006469A4" w:rsidRDefault="006469A4" w:rsidP="006469A4">
      <w:pPr>
        <w:spacing w:after="120"/>
        <w:ind w:firstLine="480"/>
        <w:rPr>
          <w:highlight w:val="yellow"/>
        </w:rPr>
      </w:pPr>
      <w:r w:rsidRPr="006469A4">
        <w:rPr>
          <w:highlight w:val="yellow"/>
        </w:rPr>
        <w:t>Data-center workloads exhibit different degrees of operational flexibility depending on latency requirements, checkpointing capability, recovery characteristics, service-level agreements (SLAs), data-residency constraints, and business objectives. The classification presented in this section is intended as a qualitative screening framework rather than a universal measure of workload flexibility. The actual degree of flexibility available for a given workload must be evaluated on a project-specific basis. Different organizations may apply substantially different scheduling, operational, and commercial constraints to similar workload categories.</w:t>
      </w:r>
    </w:p>
    <w:p w14:paraId="12D6DFCE" w14:textId="40195AB7" w:rsidR="00294363" w:rsidRDefault="002E22F4" w:rsidP="001D1223">
      <w:pPr>
        <w:spacing w:after="120"/>
        <w:ind w:firstLine="480"/>
        <w:rPr>
          <w:highlight w:val="yellow"/>
          <w:lang w:val="en-CA"/>
        </w:rPr>
      </w:pPr>
      <w:r w:rsidRPr="002E22F4">
        <w:rPr>
          <w:highlight w:val="yellow"/>
          <w:lang w:val="en-CA"/>
        </w:rPr>
        <w:t>Workload deferral is constrained by both</w:t>
      </w:r>
      <w:r>
        <w:rPr>
          <w:highlight w:val="yellow"/>
          <w:lang w:val="en-CA"/>
        </w:rPr>
        <w:t xml:space="preserve"> </w:t>
      </w:r>
      <w:r w:rsidRPr="002E22F4">
        <w:rPr>
          <w:highlight w:val="yellow"/>
          <w:lang w:val="en-CA"/>
        </w:rPr>
        <w:t>technical and commercial requirements</w:t>
      </w:r>
      <w:r w:rsidR="00F357B2" w:rsidRPr="00F357B2">
        <w:rPr>
          <w:highlight w:val="yellow"/>
          <w:lang w:val="en-CA"/>
        </w:rPr>
        <w:t xml:space="preserve">. Training workloads run on high-value computing infrastructure, and model development schedules, contractual commitments, and asset </w:t>
      </w:r>
      <w:r w:rsidR="00F357B2" w:rsidRPr="00D6156F">
        <w:rPr>
          <w:highlight w:val="yellow"/>
          <w:lang w:val="en-CA"/>
        </w:rPr>
        <w:t xml:space="preserve">productivity could be disrupted by delays or interruptions in GPU utilization. Therefore, technical deferral potential is to be considered as an upper bound, </w:t>
      </w:r>
      <w:r w:rsidR="00EE4B51" w:rsidRPr="00D6156F">
        <w:rPr>
          <w:highlight w:val="yellow"/>
          <w:lang w:val="en-CA"/>
        </w:rPr>
        <w:t>as an upper bound rather than guaranteed dispatchable flexibility</w:t>
      </w:r>
      <w:r w:rsidR="00F357B2" w:rsidRPr="00D6156F">
        <w:rPr>
          <w:highlight w:val="yellow"/>
          <w:lang w:val="en-CA"/>
        </w:rPr>
        <w:t xml:space="preserve">. </w:t>
      </w:r>
      <w:r w:rsidR="003B1F8C" w:rsidRPr="00D6156F">
        <w:rPr>
          <w:highlight w:val="yellow"/>
        </w:rPr>
        <w:t xml:space="preserve">Any estimate of workload flexibility should be validated against applicable service-level agreements (SLAs), project delivery schedules, checkpointing capabilities, data-residency requirements, cybersecurity constraints, network latency limitations, and business objectives. Consequently, the </w:t>
      </w:r>
      <w:r w:rsidR="003B1F8C" w:rsidRPr="003B1F8C">
        <w:rPr>
          <w:highlight w:val="yellow"/>
        </w:rPr>
        <w:t xml:space="preserve">flexibility classifications </w:t>
      </w:r>
      <w:r w:rsidR="003B1F8C" w:rsidRPr="009D6452">
        <w:rPr>
          <w:highlight w:val="yellow"/>
        </w:rPr>
        <w:t xml:space="preserve">presented in </w:t>
      </w:r>
      <w:r w:rsidR="00C16C1F" w:rsidRPr="009D6452">
        <w:rPr>
          <w:highlight w:val="yellow"/>
        </w:rPr>
        <w:fldChar w:fldCharType="begin"/>
      </w:r>
      <w:r w:rsidR="00C16C1F" w:rsidRPr="009D6452">
        <w:rPr>
          <w:highlight w:val="yellow"/>
        </w:rPr>
        <w:instrText xml:space="preserve"> REF _Ref239530838 \h </w:instrText>
      </w:r>
      <w:r w:rsidR="009D6452">
        <w:rPr>
          <w:highlight w:val="yellow"/>
        </w:rPr>
        <w:instrText xml:space="preserve"> \* MERGEFORMAT </w:instrText>
      </w:r>
      <w:r w:rsidR="00C16C1F" w:rsidRPr="009D6452">
        <w:rPr>
          <w:highlight w:val="yellow"/>
        </w:rPr>
      </w:r>
      <w:r w:rsidR="00C16C1F" w:rsidRPr="009D6452">
        <w:rPr>
          <w:highlight w:val="yellow"/>
        </w:rPr>
        <w:fldChar w:fldCharType="separate"/>
      </w:r>
      <w:r w:rsidR="00C16C1F" w:rsidRPr="009D6452">
        <w:rPr>
          <w:highlight w:val="yellow"/>
        </w:rPr>
        <w:t xml:space="preserve">Table </w:t>
      </w:r>
      <w:r w:rsidR="00C16C1F" w:rsidRPr="009D6452">
        <w:rPr>
          <w:noProof/>
          <w:highlight w:val="yellow"/>
        </w:rPr>
        <w:t>6</w:t>
      </w:r>
      <w:r w:rsidR="00C16C1F" w:rsidRPr="009D6452">
        <w:rPr>
          <w:highlight w:val="yellow"/>
        </w:rPr>
        <w:t xml:space="preserve"> Workload-flexibility classification for energy-aware scheduling</w:t>
      </w:r>
      <w:r w:rsidR="00C16C1F" w:rsidRPr="009D6452">
        <w:rPr>
          <w:highlight w:val="yellow"/>
        </w:rPr>
        <w:fldChar w:fldCharType="end"/>
      </w:r>
      <w:r w:rsidR="00C16C1F" w:rsidRPr="009D6452">
        <w:rPr>
          <w:highlight w:val="yellow"/>
        </w:rPr>
        <w:t>,</w:t>
      </w:r>
      <w:r w:rsidR="003B1F8C" w:rsidRPr="009D6452">
        <w:rPr>
          <w:highlight w:val="yellow"/>
        </w:rPr>
        <w:t xml:space="preserve"> should be interpreted as potential operational flexibility rather than guaranteed dispatchable flexibility</w:t>
      </w:r>
      <w:r w:rsidR="000F2A4A" w:rsidRPr="009D6452">
        <w:rPr>
          <w:highlight w:val="yellow"/>
        </w:rPr>
        <w:t xml:space="preserve"> </w:t>
      </w:r>
      <w:r w:rsidR="00CA1249" w:rsidRPr="009D6452">
        <w:rPr>
          <w:highlight w:val="yellow"/>
          <w:lang w:val="en-CA"/>
        </w:rPr>
        <w:fldChar w:fldCharType="begin"/>
      </w:r>
      <w:r w:rsidR="001D1223">
        <w:rPr>
          <w:highlight w:val="yellow"/>
          <w:lang w:val="en-CA"/>
        </w:rPr>
        <w:instrText xml:space="preserve"> ADDIN ZOTERO_ITEM CSL_CITATION {"citationID":"fNfsoSAc","properties":{"unsorted":false,"formattedCitation":"[61], [68]","plainCitation":"[61], [68]","noteIndex":0},"citationItems":[{"id":2132,"uris":["http://zotero.org/users/9870935/items/786EAJKN"],"itemData":{"id":2132,"type":"document","title":"Levelized Cost of Energy","URL":"https://www.lazard.com/media/eijnqja3/lazards-lcoeplus-june-2025.pdf","author":[{"family":"Lazard","given":""}]}},{"id":2124,"uris":["http://zotero.org/users/9870935/items/7MUJEUDP"],"itemData":{"id":2124,"type":"paper-conference","container-title":"Proceedings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CA1249" w:rsidRPr="009D6452">
        <w:rPr>
          <w:highlight w:val="yellow"/>
          <w:lang w:val="en-CA"/>
        </w:rPr>
        <w:fldChar w:fldCharType="separate"/>
      </w:r>
      <w:r w:rsidR="001D1223" w:rsidRPr="001D1223">
        <w:rPr>
          <w:highlight w:val="yellow"/>
          <w:lang w:val="en-CA"/>
        </w:rPr>
        <w:t>[61], [68]</w:t>
      </w:r>
      <w:r w:rsidR="00CA1249" w:rsidRPr="009D6452">
        <w:rPr>
          <w:highlight w:val="yellow"/>
          <w:lang w:val="en-CA"/>
        </w:rPr>
        <w:fldChar w:fldCharType="end"/>
      </w:r>
      <w:r w:rsidR="00F357B2" w:rsidRPr="009D6452">
        <w:rPr>
          <w:highlight w:val="yellow"/>
          <w:lang w:val="en-CA"/>
        </w:rPr>
        <w:t xml:space="preserve">. </w:t>
      </w:r>
    </w:p>
    <w:p w14:paraId="7789125A" w14:textId="0ED79F86" w:rsidR="00A7261B" w:rsidRDefault="00A7261B" w:rsidP="00A7261B">
      <w:pPr>
        <w:pStyle w:val="Caption"/>
        <w:keepNext/>
      </w:pPr>
      <w:bookmarkStart w:id="18" w:name="_Ref239530838"/>
      <w:r>
        <w:t xml:space="preserve">Table </w:t>
      </w:r>
      <w:fldSimple w:instr=" SEQ Table \* ARABIC ">
        <w:r w:rsidR="003A45CA">
          <w:rPr>
            <w:noProof/>
          </w:rPr>
          <w:t>6</w:t>
        </w:r>
      </w:fldSimple>
      <w:r>
        <w:t xml:space="preserve"> </w:t>
      </w:r>
      <w:r w:rsidRPr="003B4DEC">
        <w:t>Workload-flexibility classification for energy-aware scheduling</w:t>
      </w:r>
      <w:bookmarkEnd w:id="18"/>
    </w:p>
    <w:tbl>
      <w:tblPr>
        <w:tblStyle w:val="MDPI41threelinetable"/>
        <w:tblW w:w="0" w:type="auto"/>
        <w:tblLook w:val="04A0" w:firstRow="1" w:lastRow="0" w:firstColumn="1" w:lastColumn="0" w:noHBand="0" w:noVBand="1"/>
      </w:tblPr>
      <w:tblGrid>
        <w:gridCol w:w="1316"/>
        <w:gridCol w:w="1476"/>
        <w:gridCol w:w="1643"/>
        <w:gridCol w:w="2986"/>
        <w:gridCol w:w="2331"/>
      </w:tblGrid>
      <w:tr w:rsidR="008561B9" w:rsidRPr="00D6156F" w14:paraId="0F5E935F" w14:textId="77777777" w:rsidTr="00D6156F">
        <w:trPr>
          <w:cnfStyle w:val="100000000000" w:firstRow="1" w:lastRow="0" w:firstColumn="0" w:lastColumn="0" w:oddVBand="0" w:evenVBand="0" w:oddHBand="0" w:evenHBand="0" w:firstRowFirstColumn="0" w:firstRowLastColumn="0" w:lastRowFirstColumn="0" w:lastRowLastColumn="0"/>
        </w:trPr>
        <w:tc>
          <w:tcPr>
            <w:tcW w:w="0" w:type="auto"/>
            <w:hideMark/>
          </w:tcPr>
          <w:p w14:paraId="53C61F95" w14:textId="1F61A892" w:rsidR="008561B9" w:rsidRPr="00E91C06" w:rsidRDefault="008561B9" w:rsidP="00D6156F">
            <w:pPr>
              <w:spacing w:after="120"/>
              <w:rPr>
                <w:color w:val="000000" w:themeColor="text1"/>
                <w:sz w:val="18"/>
                <w:szCs w:val="18"/>
                <w:highlight w:val="yellow"/>
                <w:lang w:val="en-CA"/>
              </w:rPr>
            </w:pPr>
            <w:commentRangeStart w:id="19"/>
            <w:r w:rsidRPr="00E91C06">
              <w:rPr>
                <w:color w:val="000000" w:themeColor="text1"/>
                <w:sz w:val="18"/>
                <w:szCs w:val="18"/>
              </w:rPr>
              <w:t>Workload Type</w:t>
            </w:r>
          </w:p>
        </w:tc>
        <w:tc>
          <w:tcPr>
            <w:tcW w:w="0" w:type="auto"/>
            <w:hideMark/>
          </w:tcPr>
          <w:p w14:paraId="72B67E74" w14:textId="2EAAB6A0" w:rsidR="008561B9" w:rsidRPr="00E91C06" w:rsidRDefault="008561B9" w:rsidP="00D6156F">
            <w:pPr>
              <w:spacing w:after="120"/>
              <w:rPr>
                <w:color w:val="000000" w:themeColor="text1"/>
                <w:sz w:val="18"/>
                <w:szCs w:val="18"/>
                <w:highlight w:val="yellow"/>
                <w:lang w:val="en-CA"/>
              </w:rPr>
            </w:pPr>
            <w:r w:rsidRPr="00E91C06">
              <w:rPr>
                <w:color w:val="000000" w:themeColor="text1"/>
                <w:sz w:val="18"/>
                <w:szCs w:val="18"/>
              </w:rPr>
              <w:t>Typical Latency Requirement</w:t>
            </w:r>
          </w:p>
        </w:tc>
        <w:tc>
          <w:tcPr>
            <w:tcW w:w="0" w:type="auto"/>
            <w:hideMark/>
          </w:tcPr>
          <w:p w14:paraId="5E1E147C" w14:textId="6293CD33" w:rsidR="008561B9" w:rsidRPr="00E91C06" w:rsidRDefault="008561B9" w:rsidP="00D6156F">
            <w:pPr>
              <w:spacing w:after="120"/>
              <w:rPr>
                <w:color w:val="000000" w:themeColor="text1"/>
                <w:sz w:val="18"/>
                <w:szCs w:val="18"/>
                <w:highlight w:val="yellow"/>
                <w:lang w:val="en-CA"/>
              </w:rPr>
            </w:pPr>
            <w:r w:rsidRPr="00E91C06">
              <w:rPr>
                <w:color w:val="000000" w:themeColor="text1"/>
                <w:sz w:val="18"/>
                <w:szCs w:val="18"/>
              </w:rPr>
              <w:t>Potential Deferral Window</w:t>
            </w:r>
          </w:p>
        </w:tc>
        <w:tc>
          <w:tcPr>
            <w:tcW w:w="0" w:type="auto"/>
            <w:hideMark/>
          </w:tcPr>
          <w:p w14:paraId="4304CC10" w14:textId="75BF2AA2" w:rsidR="008561B9" w:rsidRPr="00E91C06" w:rsidRDefault="008561B9" w:rsidP="00D6156F">
            <w:pPr>
              <w:spacing w:after="120"/>
              <w:rPr>
                <w:color w:val="000000" w:themeColor="text1"/>
                <w:sz w:val="18"/>
                <w:szCs w:val="18"/>
                <w:highlight w:val="yellow"/>
                <w:lang w:val="en-CA"/>
              </w:rPr>
            </w:pPr>
            <w:r w:rsidRPr="00E91C06">
              <w:rPr>
                <w:color w:val="000000" w:themeColor="text1"/>
                <w:sz w:val="18"/>
                <w:szCs w:val="18"/>
              </w:rPr>
              <w:t>Potential Flexibility (Subject to Operational Constraints)</w:t>
            </w:r>
          </w:p>
        </w:tc>
        <w:tc>
          <w:tcPr>
            <w:tcW w:w="0" w:type="auto"/>
            <w:hideMark/>
          </w:tcPr>
          <w:p w14:paraId="2A1554AF" w14:textId="6AAB165A" w:rsidR="008561B9" w:rsidRPr="00E91C06" w:rsidRDefault="008561B9" w:rsidP="00D6156F">
            <w:pPr>
              <w:spacing w:after="120"/>
              <w:rPr>
                <w:color w:val="000000" w:themeColor="text1"/>
                <w:sz w:val="18"/>
                <w:szCs w:val="18"/>
                <w:highlight w:val="yellow"/>
                <w:lang w:val="en-CA"/>
              </w:rPr>
            </w:pPr>
            <w:r w:rsidRPr="00E91C06">
              <w:rPr>
                <w:color w:val="000000" w:themeColor="text1"/>
                <w:sz w:val="18"/>
                <w:szCs w:val="18"/>
              </w:rPr>
              <w:t>Key Limiting Factors</w:t>
            </w:r>
          </w:p>
        </w:tc>
      </w:tr>
      <w:tr w:rsidR="008561B9" w:rsidRPr="00D6156F" w14:paraId="32C76942" w14:textId="77777777" w:rsidTr="00D6156F">
        <w:tc>
          <w:tcPr>
            <w:tcW w:w="0" w:type="auto"/>
            <w:hideMark/>
          </w:tcPr>
          <w:p w14:paraId="3A48562A" w14:textId="58B7DE88"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lastRenderedPageBreak/>
              <w:t>Model Training</w:t>
            </w:r>
          </w:p>
        </w:tc>
        <w:tc>
          <w:tcPr>
            <w:tcW w:w="0" w:type="auto"/>
            <w:hideMark/>
          </w:tcPr>
          <w:p w14:paraId="041E5B02" w14:textId="6FFCCABC"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Hours to days</w:t>
            </w:r>
          </w:p>
        </w:tc>
        <w:tc>
          <w:tcPr>
            <w:tcW w:w="0" w:type="auto"/>
            <w:hideMark/>
          </w:tcPr>
          <w:p w14:paraId="1B9615B9" w14:textId="58764AA0"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Hours to days</w:t>
            </w:r>
          </w:p>
        </w:tc>
        <w:tc>
          <w:tcPr>
            <w:tcW w:w="0" w:type="auto"/>
            <w:hideMark/>
          </w:tcPr>
          <w:p w14:paraId="67CC244F" w14:textId="6FA5A80B"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Potentially high, subject to training deadlines, checkpointing capability, compute-resource utilization targets, and commercial requirements</w:t>
            </w:r>
          </w:p>
        </w:tc>
        <w:tc>
          <w:tcPr>
            <w:tcW w:w="0" w:type="auto"/>
            <w:hideMark/>
          </w:tcPr>
          <w:p w14:paraId="1D99DD31" w14:textId="6A8287EE"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Project schedules, GPU utilization targets, contractual commitments</w:t>
            </w:r>
          </w:p>
        </w:tc>
      </w:tr>
      <w:tr w:rsidR="008561B9" w:rsidRPr="00D6156F" w14:paraId="115BFE4D" w14:textId="77777777" w:rsidTr="00D6156F">
        <w:tc>
          <w:tcPr>
            <w:tcW w:w="0" w:type="auto"/>
            <w:hideMark/>
          </w:tcPr>
          <w:p w14:paraId="271DD541" w14:textId="6903D149"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Batch Inference</w:t>
            </w:r>
          </w:p>
        </w:tc>
        <w:tc>
          <w:tcPr>
            <w:tcW w:w="0" w:type="auto"/>
            <w:hideMark/>
          </w:tcPr>
          <w:p w14:paraId="3E8AF502" w14:textId="327F4E22"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Minutes to hours</w:t>
            </w:r>
          </w:p>
        </w:tc>
        <w:tc>
          <w:tcPr>
            <w:tcW w:w="0" w:type="auto"/>
            <w:hideMark/>
          </w:tcPr>
          <w:p w14:paraId="73E611C2" w14:textId="6DE17F0D"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Minutes to hours</w:t>
            </w:r>
          </w:p>
        </w:tc>
        <w:tc>
          <w:tcPr>
            <w:tcW w:w="0" w:type="auto"/>
            <w:hideMark/>
          </w:tcPr>
          <w:p w14:paraId="5C443CFB" w14:textId="25240745"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Potentially high, depending on service requirements</w:t>
            </w:r>
          </w:p>
        </w:tc>
        <w:tc>
          <w:tcPr>
            <w:tcW w:w="0" w:type="auto"/>
            <w:hideMark/>
          </w:tcPr>
          <w:p w14:paraId="40E44C9D" w14:textId="5B033510"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Completion deadlines, data availability</w:t>
            </w:r>
          </w:p>
        </w:tc>
      </w:tr>
      <w:tr w:rsidR="008561B9" w:rsidRPr="00D6156F" w14:paraId="1E2EFD0F" w14:textId="77777777" w:rsidTr="00D6156F">
        <w:tc>
          <w:tcPr>
            <w:tcW w:w="0" w:type="auto"/>
            <w:hideMark/>
          </w:tcPr>
          <w:p w14:paraId="11378C98" w14:textId="116A5B72"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Analytics and Reporting</w:t>
            </w:r>
          </w:p>
        </w:tc>
        <w:tc>
          <w:tcPr>
            <w:tcW w:w="0" w:type="auto"/>
            <w:hideMark/>
          </w:tcPr>
          <w:p w14:paraId="1B1954AD" w14:textId="7AA2B1FE"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Hours to days</w:t>
            </w:r>
          </w:p>
        </w:tc>
        <w:tc>
          <w:tcPr>
            <w:tcW w:w="0" w:type="auto"/>
            <w:hideMark/>
          </w:tcPr>
          <w:p w14:paraId="35D21FD4" w14:textId="05846DEF"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Hours to days</w:t>
            </w:r>
          </w:p>
        </w:tc>
        <w:tc>
          <w:tcPr>
            <w:tcW w:w="0" w:type="auto"/>
            <w:hideMark/>
          </w:tcPr>
          <w:p w14:paraId="591BDD95" w14:textId="1CDF77D8"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Potentially moderate to high</w:t>
            </w:r>
          </w:p>
        </w:tc>
        <w:tc>
          <w:tcPr>
            <w:tcW w:w="0" w:type="auto"/>
            <w:hideMark/>
          </w:tcPr>
          <w:p w14:paraId="1D10879B" w14:textId="1C6DFA2E"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Reporting schedules, business requirements</w:t>
            </w:r>
          </w:p>
        </w:tc>
      </w:tr>
      <w:tr w:rsidR="008561B9" w:rsidRPr="00D6156F" w14:paraId="1C986CC2" w14:textId="77777777" w:rsidTr="00D6156F">
        <w:tc>
          <w:tcPr>
            <w:tcW w:w="0" w:type="auto"/>
            <w:hideMark/>
          </w:tcPr>
          <w:p w14:paraId="0BAEE153" w14:textId="66CF8106"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Real-Time Inference</w:t>
            </w:r>
          </w:p>
        </w:tc>
        <w:tc>
          <w:tcPr>
            <w:tcW w:w="0" w:type="auto"/>
            <w:hideMark/>
          </w:tcPr>
          <w:p w14:paraId="4F06DB75" w14:textId="298F371C"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Milliseconds to seconds</w:t>
            </w:r>
          </w:p>
        </w:tc>
        <w:tc>
          <w:tcPr>
            <w:tcW w:w="0" w:type="auto"/>
            <w:hideMark/>
          </w:tcPr>
          <w:p w14:paraId="551DFB15" w14:textId="5E336E56"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Limited or none</w:t>
            </w:r>
          </w:p>
        </w:tc>
        <w:tc>
          <w:tcPr>
            <w:tcW w:w="0" w:type="auto"/>
            <w:hideMark/>
          </w:tcPr>
          <w:p w14:paraId="7A363DD3" w14:textId="4AB508C2"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Potentially low</w:t>
            </w:r>
          </w:p>
        </w:tc>
        <w:tc>
          <w:tcPr>
            <w:tcW w:w="0" w:type="auto"/>
            <w:hideMark/>
          </w:tcPr>
          <w:p w14:paraId="0DEEC8C2" w14:textId="7C5DD6F4"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Latency requirements, user experience, SLAs</w:t>
            </w:r>
          </w:p>
        </w:tc>
      </w:tr>
      <w:tr w:rsidR="008561B9" w:rsidRPr="00D6156F" w14:paraId="2E8402C1" w14:textId="77777777" w:rsidTr="00D6156F">
        <w:tc>
          <w:tcPr>
            <w:tcW w:w="0" w:type="auto"/>
            <w:hideMark/>
          </w:tcPr>
          <w:p w14:paraId="1E90FD62" w14:textId="6C175EC9"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Background Tasks</w:t>
            </w:r>
          </w:p>
        </w:tc>
        <w:tc>
          <w:tcPr>
            <w:tcW w:w="0" w:type="auto"/>
            <w:hideMark/>
          </w:tcPr>
          <w:p w14:paraId="3B556734" w14:textId="1EAE6930"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Hours to days</w:t>
            </w:r>
          </w:p>
        </w:tc>
        <w:tc>
          <w:tcPr>
            <w:tcW w:w="0" w:type="auto"/>
            <w:hideMark/>
          </w:tcPr>
          <w:p w14:paraId="5664FE1F" w14:textId="1732C21F"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Flexible depending on operational requirements</w:t>
            </w:r>
          </w:p>
        </w:tc>
        <w:tc>
          <w:tcPr>
            <w:tcW w:w="0" w:type="auto"/>
            <w:hideMark/>
          </w:tcPr>
          <w:p w14:paraId="7B75C8FE" w14:textId="73B9B5E3"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Potentially moderate to high</w:t>
            </w:r>
          </w:p>
        </w:tc>
        <w:tc>
          <w:tcPr>
            <w:tcW w:w="0" w:type="auto"/>
            <w:hideMark/>
          </w:tcPr>
          <w:p w14:paraId="70ACC164" w14:textId="767437C3"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Operational priorities and maintenance schedules</w:t>
            </w:r>
          </w:p>
        </w:tc>
      </w:tr>
      <w:tr w:rsidR="008561B9" w:rsidRPr="00D6156F" w14:paraId="4EE21A7A" w14:textId="77777777" w:rsidTr="00D6156F">
        <w:tc>
          <w:tcPr>
            <w:tcW w:w="0" w:type="auto"/>
            <w:hideMark/>
          </w:tcPr>
          <w:p w14:paraId="196A6F79" w14:textId="12AD133B"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Critical Real-Time Services</w:t>
            </w:r>
          </w:p>
        </w:tc>
        <w:tc>
          <w:tcPr>
            <w:tcW w:w="0" w:type="auto"/>
            <w:hideMark/>
          </w:tcPr>
          <w:p w14:paraId="234321C4" w14:textId="413BF6E5"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Milliseconds</w:t>
            </w:r>
          </w:p>
        </w:tc>
        <w:tc>
          <w:tcPr>
            <w:tcW w:w="0" w:type="auto"/>
            <w:hideMark/>
          </w:tcPr>
          <w:p w14:paraId="61732781" w14:textId="03CE97DD"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None</w:t>
            </w:r>
          </w:p>
        </w:tc>
        <w:tc>
          <w:tcPr>
            <w:tcW w:w="0" w:type="auto"/>
            <w:hideMark/>
          </w:tcPr>
          <w:p w14:paraId="19BF6EC3" w14:textId="75141488"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No practical flexibility</w:t>
            </w:r>
          </w:p>
        </w:tc>
        <w:tc>
          <w:tcPr>
            <w:tcW w:w="0" w:type="auto"/>
            <w:hideMark/>
          </w:tcPr>
          <w:p w14:paraId="6008DBB8" w14:textId="16857F99" w:rsidR="008561B9" w:rsidRPr="00D6156F" w:rsidRDefault="008561B9" w:rsidP="00D6156F">
            <w:pPr>
              <w:spacing w:after="120"/>
              <w:rPr>
                <w:bCs/>
                <w:color w:val="000000" w:themeColor="text1"/>
                <w:sz w:val="18"/>
                <w:szCs w:val="18"/>
                <w:highlight w:val="yellow"/>
                <w:lang w:val="en-CA"/>
              </w:rPr>
            </w:pPr>
            <w:r w:rsidRPr="00D6156F">
              <w:rPr>
                <w:bCs/>
                <w:color w:val="000000" w:themeColor="text1"/>
                <w:sz w:val="18"/>
                <w:szCs w:val="18"/>
              </w:rPr>
              <w:t>Reliability and service-continuity requirements</w:t>
            </w:r>
            <w:commentRangeEnd w:id="19"/>
            <w:r w:rsidR="003B1F8C" w:rsidRPr="00D6156F">
              <w:rPr>
                <w:rStyle w:val="CommentReference"/>
                <w:bCs/>
                <w:color w:val="000000" w:themeColor="text1"/>
                <w:sz w:val="18"/>
                <w:szCs w:val="18"/>
                <w:highlight w:val="yellow"/>
                <w:lang w:val="en-CA"/>
              </w:rPr>
              <w:commentReference w:id="19"/>
            </w:r>
          </w:p>
        </w:tc>
      </w:tr>
    </w:tbl>
    <w:p w14:paraId="3C3BD4BE" w14:textId="77777777" w:rsidR="00FE013C" w:rsidRDefault="00FE013C" w:rsidP="004C16FF">
      <w:pPr>
        <w:pStyle w:val="Heading20"/>
        <w:jc w:val="both"/>
        <w:rPr>
          <w:color w:val="auto"/>
        </w:rPr>
      </w:pPr>
      <w:r>
        <w:rPr>
          <w:color w:val="auto"/>
        </w:rPr>
        <w:t>7.7. Cooling System Coordination</w:t>
      </w:r>
    </w:p>
    <w:p w14:paraId="6180DAAA" w14:textId="6E89FD43" w:rsidR="00FA7E58" w:rsidRPr="00E91C06" w:rsidRDefault="00FA7E58" w:rsidP="00E842C0">
      <w:pPr>
        <w:spacing w:after="120"/>
        <w:ind w:firstLine="480"/>
        <w:rPr>
          <w:highlight w:val="yellow"/>
          <w:lang w:val="en-CA"/>
        </w:rPr>
      </w:pPr>
      <w:r w:rsidRPr="00E91C06">
        <w:rPr>
          <w:highlight w:val="yellow"/>
          <w:lang w:val="en-CA"/>
        </w:rPr>
        <w:t xml:space="preserve">The coordination of cooling systems involves the coupling of thermal and electrical aspects </w:t>
      </w:r>
      <w:r w:rsidR="00E91C06" w:rsidRPr="00E91C06">
        <w:rPr>
          <w:highlight w:val="yellow"/>
          <w:lang w:val="en-CA"/>
        </w:rPr>
        <w:t>to reduce facility energy consumption and increase operational flexibility</w:t>
      </w:r>
      <w:r w:rsidRPr="00E91C06">
        <w:rPr>
          <w:highlight w:val="yellow"/>
          <w:lang w:val="en-CA"/>
        </w:rPr>
        <w:t>. However, thermal energy storage, such as chilled-water and ice-storage systems, can help reduce the need for cooling during peak electricity demand periods or when electricity is not available to cover the need from renewables</w:t>
      </w:r>
      <w:r w:rsidR="00966FBB" w:rsidRPr="00E91C06">
        <w:rPr>
          <w:highlight w:val="yellow"/>
          <w:lang w:val="en-CA"/>
        </w:rPr>
        <w:fldChar w:fldCharType="begin"/>
      </w:r>
      <w:r w:rsidR="00A95675" w:rsidRPr="00E91C06">
        <w:rPr>
          <w:highlight w:val="yellow"/>
          <w:lang w:val="en-CA"/>
        </w:rPr>
        <w:instrText xml:space="preserve"> ADDIN ZOTERO_ITEM CSL_CITATION {"citationID":"Zrmw4dw0","properties":{"unsorted":false,"formattedCitation":"[99]","plainCitation":"[99]","noteIndex":0},"citationItems":[{"id":2056,"uris":["http://zotero.org/users/9870935/items/4AKN5FB8"],"itemData":{"id":2056,"type":"paper-conference","container-title":"2025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966FBB" w:rsidRPr="00E91C06">
        <w:rPr>
          <w:highlight w:val="yellow"/>
          <w:lang w:val="en-CA"/>
        </w:rPr>
        <w:fldChar w:fldCharType="separate"/>
      </w:r>
      <w:r w:rsidR="00A95675" w:rsidRPr="00E91C06">
        <w:rPr>
          <w:highlight w:val="yellow"/>
          <w:lang w:val="en-CA"/>
        </w:rPr>
        <w:t>[99]</w:t>
      </w:r>
      <w:r w:rsidR="00966FBB" w:rsidRPr="00E91C06">
        <w:rPr>
          <w:highlight w:val="yellow"/>
          <w:lang w:val="en-CA"/>
        </w:rPr>
        <w:fldChar w:fldCharType="end"/>
      </w:r>
      <w:r w:rsidRPr="00E91C06">
        <w:rPr>
          <w:highlight w:val="yellow"/>
          <w:lang w:val="en-CA"/>
        </w:rPr>
        <w:t xml:space="preserve">. Dynamic temperature and flow </w:t>
      </w:r>
      <w:r w:rsidRPr="005B3F9D">
        <w:rPr>
          <w:highlight w:val="yellow"/>
          <w:lang w:val="en-CA"/>
        </w:rPr>
        <w:t xml:space="preserve">setpoints </w:t>
      </w:r>
      <w:r w:rsidR="00D822CD" w:rsidRPr="005B3F9D">
        <w:rPr>
          <w:highlight w:val="yellow"/>
          <w:lang w:val="en-CA"/>
        </w:rPr>
        <w:t xml:space="preserve">can improve </w:t>
      </w:r>
      <w:r w:rsidRPr="005B3F9D">
        <w:rPr>
          <w:highlight w:val="yellow"/>
          <w:lang w:val="en-CA"/>
        </w:rPr>
        <w:t>efficiency while keeping equipment operating parameters within limits</w:t>
      </w:r>
      <w:r w:rsidR="00966FBB" w:rsidRPr="005B3F9D">
        <w:rPr>
          <w:highlight w:val="yellow"/>
          <w:lang w:val="en-CA"/>
        </w:rPr>
        <w:fldChar w:fldCharType="begin"/>
      </w:r>
      <w:r w:rsidR="00E842C0" w:rsidRPr="005B3F9D">
        <w:rPr>
          <w:highlight w:val="yellow"/>
          <w:lang w:val="en-CA"/>
        </w:rPr>
        <w:instrText xml:space="preserve"> ADDIN ZOTERO_ITEM CSL_CITATION {"citationID":"OOBfX6OB","properties":{"unsorted":false,"formattedCitation":"[146]","plainCitation":"[146]","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966FBB" w:rsidRPr="005B3F9D">
        <w:rPr>
          <w:highlight w:val="yellow"/>
          <w:lang w:val="en-CA"/>
        </w:rPr>
        <w:fldChar w:fldCharType="separate"/>
      </w:r>
      <w:r w:rsidR="00E842C0" w:rsidRPr="005B3F9D">
        <w:rPr>
          <w:highlight w:val="yellow"/>
          <w:lang w:val="en-CA"/>
        </w:rPr>
        <w:t>[146]</w:t>
      </w:r>
      <w:r w:rsidR="00966FBB" w:rsidRPr="005B3F9D">
        <w:rPr>
          <w:highlight w:val="yellow"/>
          <w:lang w:val="en-CA"/>
        </w:rPr>
        <w:fldChar w:fldCharType="end"/>
      </w:r>
      <w:r w:rsidRPr="005B3F9D">
        <w:rPr>
          <w:highlight w:val="yellow"/>
          <w:lang w:val="en-CA"/>
        </w:rPr>
        <w:t>.</w:t>
      </w:r>
      <w:r w:rsidR="00342674" w:rsidRPr="005B3F9D">
        <w:rPr>
          <w:highlight w:val="yellow"/>
          <w:lang w:val="en-CA"/>
        </w:rPr>
        <w:t xml:space="preserve"> </w:t>
      </w:r>
      <w:r w:rsidRPr="005B3F9D">
        <w:rPr>
          <w:highlight w:val="yellow"/>
          <w:lang w:val="en-CA"/>
        </w:rPr>
        <w:t xml:space="preserve">Direct-to-chip liquid cooling can lower cooling electricity demand compared to traditional air cooling, especially for AI accelerators that are arranged in high density. Other energy-system benefits that can be derived from waste-heat recovery include district heating, use in a greenhouse and industrial process heat, but </w:t>
      </w:r>
      <w:r w:rsidRPr="00E91C06">
        <w:rPr>
          <w:highlight w:val="yellow"/>
          <w:lang w:val="en-CA"/>
        </w:rPr>
        <w:t>the economic benefit of these applications is a function of the waste-heat temperature, the distance to the receiving load, seasonality and required heat-pump infrastructure</w:t>
      </w:r>
      <w:r w:rsidR="00966FBB" w:rsidRPr="00E91C06">
        <w:rPr>
          <w:highlight w:val="yellow"/>
          <w:lang w:val="en-CA"/>
        </w:rPr>
        <w:fldChar w:fldCharType="begin"/>
      </w:r>
      <w:r w:rsidR="00E842C0" w:rsidRPr="00E91C06">
        <w:rPr>
          <w:highlight w:val="yellow"/>
          <w:lang w:val="en-CA"/>
        </w:rPr>
        <w:instrText xml:space="preserve"> ADDIN ZOTERO_ITEM CSL_CITATION {"citationID":"MfjSJAkp","properties":{"unsorted":false,"formattedCitation":"[147]","plainCitation":"[147]","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966FBB" w:rsidRPr="00E91C06">
        <w:rPr>
          <w:highlight w:val="yellow"/>
          <w:lang w:val="en-CA"/>
        </w:rPr>
        <w:fldChar w:fldCharType="separate"/>
      </w:r>
      <w:r w:rsidR="00E842C0" w:rsidRPr="00E91C06">
        <w:rPr>
          <w:highlight w:val="yellow"/>
          <w:lang w:val="en-CA"/>
        </w:rPr>
        <w:t>[147]</w:t>
      </w:r>
      <w:r w:rsidR="00966FBB" w:rsidRPr="00E91C06">
        <w:rPr>
          <w:highlight w:val="yellow"/>
          <w:lang w:val="en-CA"/>
        </w:rPr>
        <w:fldChar w:fldCharType="end"/>
      </w:r>
      <w:r w:rsidRPr="00E91C06">
        <w:rPr>
          <w:highlight w:val="yellow"/>
          <w:lang w:val="en-CA"/>
        </w:rPr>
        <w:t>.</w:t>
      </w:r>
    </w:p>
    <w:p w14:paraId="5E727AAD" w14:textId="5D3C7AD2" w:rsidR="0059318D" w:rsidRPr="0059318D" w:rsidRDefault="0059318D" w:rsidP="0059318D">
      <w:pPr>
        <w:pStyle w:val="Heading20"/>
        <w:jc w:val="both"/>
        <w:rPr>
          <w:i w:val="0"/>
          <w:noProof w:val="0"/>
          <w:snapToGrid/>
          <w:szCs w:val="20"/>
          <w:highlight w:val="yellow"/>
          <w:lang w:val="en-CA" w:bidi="ar-SA"/>
        </w:rPr>
      </w:pPr>
      <w:r w:rsidRPr="0059318D">
        <w:rPr>
          <w:i w:val="0"/>
          <w:noProof w:val="0"/>
          <w:snapToGrid/>
          <w:szCs w:val="20"/>
          <w:highlight w:val="yellow"/>
          <w:lang w:val="en-CA" w:bidi="ar-SA"/>
        </w:rPr>
        <w:t>The assessment of cooling-system performance should also consider Water Usage Effectiveness (WUE), which is typically defined as the annual volume of water consumed by the data-center facility divided by the annual IT-equipment energy consumption (L/kWhIT). WUE primarily captures direct on-site water consumption associated with cooling operations and should be interpreted separately from indirect water consumption associated with electricity generation or broader lifecycle water impacts. Accordingly, three distinct water-related categories are relevant for sustainability assessment:</w:t>
      </w:r>
    </w:p>
    <w:p w14:paraId="6FBC79C2" w14:textId="06D28959"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Direct on-site water consumption associated with cooling and facility operations;</w:t>
      </w:r>
    </w:p>
    <w:p w14:paraId="5B102223" w14:textId="55EBC8AA"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Indirect water consumption embedded in purchased electricity generation;</w:t>
      </w:r>
    </w:p>
    <w:p w14:paraId="662C2D37" w14:textId="517DF77A"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Lifecycle water impacts associated with equipment manufacturing, construction, maintenance, and end-of-life treatment.</w:t>
      </w:r>
    </w:p>
    <w:p w14:paraId="47CF7AC9" w14:textId="77777777" w:rsidR="0059318D" w:rsidRPr="0059318D" w:rsidRDefault="0059318D" w:rsidP="0059318D">
      <w:pPr>
        <w:pStyle w:val="Heading20"/>
        <w:jc w:val="both"/>
        <w:rPr>
          <w:i w:val="0"/>
          <w:noProof w:val="0"/>
          <w:snapToGrid/>
          <w:szCs w:val="20"/>
          <w:highlight w:val="yellow"/>
          <w:lang w:val="en-CA" w:bidi="ar-SA"/>
        </w:rPr>
      </w:pPr>
      <w:r w:rsidRPr="0059318D">
        <w:rPr>
          <w:i w:val="0"/>
          <w:noProof w:val="0"/>
          <w:snapToGrid/>
          <w:szCs w:val="20"/>
          <w:highlight w:val="yellow"/>
          <w:lang w:val="en-CA" w:bidi="ar-SA"/>
        </w:rPr>
        <w:t>The relative importance of these categories depends on local climate conditions, cooling-system design, electricity-supply characteristics, and project boundaries. Consequently, WUE should be evaluated together with energy-efficiency metrics such as PUE when comparing cooling-system alternatives.</w:t>
      </w:r>
    </w:p>
    <w:p w14:paraId="467ABB68" w14:textId="77777777" w:rsidR="00FE013C" w:rsidRDefault="00FE013C" w:rsidP="004C16FF">
      <w:pPr>
        <w:pStyle w:val="Heading20"/>
        <w:jc w:val="both"/>
        <w:rPr>
          <w:color w:val="auto"/>
        </w:rPr>
      </w:pPr>
      <w:r>
        <w:rPr>
          <w:color w:val="auto"/>
        </w:rPr>
        <w:t xml:space="preserve">7.8. </w:t>
      </w:r>
      <w:r w:rsidRPr="004D516A">
        <w:rPr>
          <w:color w:val="auto"/>
        </w:rPr>
        <w:t>Economic Model and Financial Viability</w:t>
      </w:r>
    </w:p>
    <w:p w14:paraId="53950E43" w14:textId="730EEDC9" w:rsidR="002B7ACC" w:rsidRPr="002B7ACC" w:rsidRDefault="000F6695" w:rsidP="00045CF2">
      <w:pPr>
        <w:spacing w:after="120"/>
        <w:ind w:firstLine="480"/>
        <w:rPr>
          <w:highlight w:val="yellow"/>
        </w:rPr>
      </w:pPr>
      <w:r w:rsidRPr="002B7ACC">
        <w:rPr>
          <w:highlight w:val="yellow"/>
        </w:rPr>
        <w:lastRenderedPageBreak/>
        <w:t xml:space="preserve">Additional economic evaluation should be based on LCOE, NPV, IRR, discounted payback, or sensitivity analysis as applicable. LCOE is the total discounted cost of building and running an energy asset divided by the total discounted electricity output generated by the asset over its use life [64]. LCOE does not, by itself, account for the value of firm delivery, temporal matching, reliability, or all network costs. Operating and capital assumptions should be based on a standardized technology set. It is important to note that battery-pack costs are different from full BESS installation costs. </w:t>
      </w:r>
      <w:r w:rsidR="00045CF2" w:rsidRPr="00045CF2">
        <w:rPr>
          <w:highlight w:val="yellow"/>
        </w:rPr>
        <w:t>Project-specific analysis should use</w:t>
      </w:r>
      <w:r w:rsidRPr="002B7ACC">
        <w:rPr>
          <w:highlight w:val="yellow"/>
        </w:rPr>
        <w:t xml:space="preserve"> the relevant grid electricity tariff and not refer to it as a generation LCOE. </w:t>
      </w:r>
      <w:r w:rsidR="002B7ACC" w:rsidRPr="002B7ACC">
        <w:rPr>
          <w:highlight w:val="yellow"/>
        </w:rPr>
        <w:t>A real weighted average cost of capital (WACC) of 7.5% is adopted as a screening assumption for illustrative economic comparisons. This value is not a recommended project-specific discount rate and is retained solely to support consistent comparison among literature-based benchmarks. Sensitivity ranges should be evaluated using project-specific financing assumptions.</w:t>
      </w:r>
    </w:p>
    <w:p w14:paraId="4BDC7C35" w14:textId="4209EF24" w:rsidR="000F6695" w:rsidRPr="00037346" w:rsidRDefault="000F6695" w:rsidP="00E842C0">
      <w:pPr>
        <w:spacing w:after="120"/>
        <w:ind w:firstLine="480"/>
        <w:rPr>
          <w:highlight w:val="yellow"/>
          <w:lang w:val="en-CA"/>
        </w:rPr>
      </w:pPr>
      <w:r w:rsidRPr="005B3F9D">
        <w:rPr>
          <w:highlight w:val="yellow"/>
          <w:lang w:val="en-CA"/>
        </w:rPr>
        <w:t xml:space="preserve"> </w:t>
      </w:r>
      <w:r w:rsidR="005B3F9D" w:rsidRPr="005B3F9D">
        <w:rPr>
          <w:highlight w:val="yellow"/>
          <w:lang w:val="en-CA"/>
        </w:rPr>
        <w:t>A real discount-rate range of 5–12% is used for sensitivity analysis.</w:t>
      </w:r>
      <w:r w:rsidRPr="005B3F9D">
        <w:rPr>
          <w:highlight w:val="yellow"/>
          <w:lang w:val="en-CA"/>
        </w:rPr>
        <w:t xml:space="preserve"> Real cash flows should be discounted at a real discount rate, nominal cash flows should be discounted at a nominal discount rate, and an explicit inflation assumption is required for nominal rates</w:t>
      </w:r>
      <w:r w:rsidR="003336B9" w:rsidRPr="005B3F9D">
        <w:rPr>
          <w:highlight w:val="yellow"/>
          <w:lang w:val="en-CA"/>
        </w:rPr>
        <w:fldChar w:fldCharType="begin"/>
      </w:r>
      <w:r w:rsidR="00E842C0" w:rsidRPr="005B3F9D">
        <w:rPr>
          <w:highlight w:val="yellow"/>
          <w:lang w:val="en-CA"/>
        </w:rPr>
        <w:instrText xml:space="preserve"> ADDIN ZOTERO_ITEM CSL_CITATION {"citationID":"4WnWsrD6","properties":{"unsorted":false,"formattedCitation":"[148]","plainCitation":"[148]","noteIndex":0},"citationItems":[{"id":2143,"uris":["http://zotero.org/users/9870935/items/QQ6IISPJ"],"itemData":{"id":2143,"type":"document","title":"U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3336B9" w:rsidRPr="005B3F9D">
        <w:rPr>
          <w:highlight w:val="yellow"/>
          <w:lang w:val="en-CA"/>
        </w:rPr>
        <w:fldChar w:fldCharType="separate"/>
      </w:r>
      <w:r w:rsidR="00E842C0" w:rsidRPr="005B3F9D">
        <w:rPr>
          <w:highlight w:val="yellow"/>
          <w:lang w:val="en-CA"/>
        </w:rPr>
        <w:t>[148]</w:t>
      </w:r>
      <w:r w:rsidR="003336B9" w:rsidRPr="005B3F9D">
        <w:rPr>
          <w:highlight w:val="yellow"/>
          <w:lang w:val="en-CA"/>
        </w:rPr>
        <w:fldChar w:fldCharType="end"/>
      </w:r>
      <w:r w:rsidRPr="005B3F9D">
        <w:rPr>
          <w:highlight w:val="yellow"/>
          <w:lang w:val="en-CA"/>
        </w:rPr>
        <w:t>.</w:t>
      </w:r>
      <w:r w:rsidR="00F3432F" w:rsidRPr="005B3F9D">
        <w:rPr>
          <w:highlight w:val="yellow"/>
          <w:lang w:val="en-CA"/>
        </w:rPr>
        <w:t xml:space="preserve"> </w:t>
      </w:r>
      <w:r w:rsidRPr="005B3F9D">
        <w:rPr>
          <w:highlight w:val="yellow"/>
          <w:lang w:val="en-CA"/>
        </w:rPr>
        <w:t xml:space="preserve">Project-specific NPV/IRR/payback should be based upon auditable project cash flows with </w:t>
      </w:r>
      <w:r w:rsidRPr="00037346">
        <w:rPr>
          <w:highlight w:val="yellow"/>
          <w:lang w:val="en-CA"/>
        </w:rPr>
        <w:t>the following:</w:t>
      </w:r>
    </w:p>
    <w:p w14:paraId="6495D6CB" w14:textId="51195C7B"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Initial capital expenditure;</w:t>
      </w:r>
    </w:p>
    <w:p w14:paraId="635E05E8"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The upfront expenses of engineering, development and interconnection;</w:t>
      </w:r>
    </w:p>
    <w:p w14:paraId="29157F28" w14:textId="3B86A367"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 xml:space="preserve">Fixed and variable </w:t>
      </w:r>
      <w:r w:rsidR="00037346">
        <w:rPr>
          <w:highlight w:val="yellow"/>
          <w:lang w:val="en-CA"/>
        </w:rPr>
        <w:t>O</w:t>
      </w:r>
      <w:r w:rsidRPr="003336B9">
        <w:rPr>
          <w:highlight w:val="yellow"/>
          <w:lang w:val="en-CA"/>
        </w:rPr>
        <w:t>&amp;</w:t>
      </w:r>
      <w:r w:rsidR="00037346">
        <w:rPr>
          <w:highlight w:val="yellow"/>
          <w:lang w:val="en-CA"/>
        </w:rPr>
        <w:t>M</w:t>
      </w:r>
      <w:r w:rsidRPr="003336B9">
        <w:rPr>
          <w:highlight w:val="yellow"/>
          <w:lang w:val="en-CA"/>
        </w:rPr>
        <w:t>;</w:t>
      </w:r>
    </w:p>
    <w:p w14:paraId="38BBEE42"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Augmentation of batteries and component replacement; and</w:t>
      </w:r>
    </w:p>
    <w:p w14:paraId="1CB033D1" w14:textId="7B363CCC"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Grid-energy and demand charges;</w:t>
      </w:r>
    </w:p>
    <w:p w14:paraId="2EC0AA99"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Losses from curtailment and conversion;</w:t>
      </w:r>
    </w:p>
    <w:p w14:paraId="305D88F9" w14:textId="69216DC5"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P</w:t>
      </w:r>
      <w:r>
        <w:rPr>
          <w:highlight w:val="yellow"/>
          <w:lang w:val="en-CA"/>
        </w:rPr>
        <w:t>PA</w:t>
      </w:r>
      <w:r w:rsidRPr="003336B9">
        <w:rPr>
          <w:highlight w:val="yellow"/>
          <w:lang w:val="en-CA"/>
        </w:rPr>
        <w:t xml:space="preserve"> payments;</w:t>
      </w:r>
    </w:p>
    <w:p w14:paraId="0F5C86AF" w14:textId="579A7A16"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Applicable ancillary-service revenues;</w:t>
      </w:r>
    </w:p>
    <w:p w14:paraId="6BA7B353" w14:textId="2FF25768"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Tax-credit eligibility;</w:t>
      </w:r>
    </w:p>
    <w:p w14:paraId="1B97697F"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Taxes and depreciation; and</w:t>
      </w:r>
    </w:p>
    <w:p w14:paraId="2B16A3A9" w14:textId="5D60C155" w:rsidR="009D6452" w:rsidRPr="009D6452" w:rsidRDefault="003336B9" w:rsidP="009D6452">
      <w:pPr>
        <w:pStyle w:val="ListParagraph"/>
        <w:numPr>
          <w:ilvl w:val="0"/>
          <w:numId w:val="26"/>
        </w:numPr>
        <w:spacing w:after="120"/>
        <w:rPr>
          <w:highlight w:val="yellow"/>
          <w:lang w:val="en-CA"/>
        </w:rPr>
      </w:pPr>
      <w:r w:rsidRPr="003336B9">
        <w:rPr>
          <w:highlight w:val="yellow"/>
          <w:lang w:val="en-CA"/>
        </w:rPr>
        <w:t>Residual value.</w:t>
      </w:r>
    </w:p>
    <w:p w14:paraId="3E12D0C3" w14:textId="0830D606" w:rsidR="009D6452" w:rsidRPr="004D1970" w:rsidRDefault="009D6452" w:rsidP="009D6452">
      <w:pPr>
        <w:spacing w:after="120"/>
        <w:ind w:firstLine="480"/>
        <w:rPr>
          <w:highlight w:val="yellow"/>
          <w:lang w:val="en-CA"/>
        </w:rPr>
      </w:pPr>
      <w:r w:rsidRPr="004D1970">
        <w:rPr>
          <w:highlight w:val="yellow"/>
          <w:lang w:val="en-CA"/>
        </w:rPr>
        <w:fldChar w:fldCharType="begin"/>
      </w:r>
      <w:r w:rsidRPr="004D1970">
        <w:rPr>
          <w:highlight w:val="yellow"/>
          <w:lang w:val="en-CA"/>
        </w:rPr>
        <w:instrText xml:space="preserve"> REF _Ref239530888 \h </w:instrText>
      </w:r>
      <w:r w:rsidR="004D1970">
        <w:rPr>
          <w:highlight w:val="yellow"/>
          <w:lang w:val="en-CA"/>
        </w:rPr>
        <w:instrText xml:space="preserve"> \* MERGEFORMAT </w:instrText>
      </w:r>
      <w:r w:rsidRPr="004D1970">
        <w:rPr>
          <w:highlight w:val="yellow"/>
          <w:lang w:val="en-CA"/>
        </w:rPr>
      </w:r>
      <w:r w:rsidRPr="004D1970">
        <w:rPr>
          <w:highlight w:val="yellow"/>
          <w:lang w:val="en-CA"/>
        </w:rPr>
        <w:fldChar w:fldCharType="separate"/>
      </w:r>
      <w:r w:rsidRPr="004D1970">
        <w:rPr>
          <w:highlight w:val="yellow"/>
        </w:rPr>
        <w:t xml:space="preserve">Table </w:t>
      </w:r>
      <w:r w:rsidRPr="004D1970">
        <w:rPr>
          <w:noProof/>
          <w:highlight w:val="yellow"/>
        </w:rPr>
        <w:t>7</w:t>
      </w:r>
      <w:r w:rsidRPr="004D1970">
        <w:rPr>
          <w:highlight w:val="yellow"/>
        </w:rPr>
        <w:t xml:space="preserve"> </w:t>
      </w:r>
      <w:r w:rsidRPr="004D1970">
        <w:rPr>
          <w:highlight w:val="yellow"/>
          <w:lang w:val="en-CA"/>
        </w:rPr>
        <w:t>Literature-Based Technology Cost and Performance Benchmarks</w:t>
      </w:r>
      <w:r w:rsidRPr="004D1970">
        <w:rPr>
          <w:highlight w:val="yellow"/>
          <w:lang w:val="en-CA"/>
        </w:rPr>
        <w:fldChar w:fldCharType="end"/>
      </w:r>
      <w:r w:rsidRPr="004D1970">
        <w:rPr>
          <w:highlight w:val="yellow"/>
          <w:lang w:val="en-CA"/>
        </w:rPr>
        <w:t>, consolidates representative literature-based technology cost and performance benchmarks relevant to renewable-powered AI data-center infrastructure. The table distinguishes generation-only costs, storage-service costs, partially firmed hybrid configurations, and delivered electricity because these categories use different system boundaries and should not be interpreted as directly equivalent measures of electricity cost.</w:t>
      </w:r>
    </w:p>
    <w:p w14:paraId="24562BD3" w14:textId="79082D09" w:rsidR="00FE013C" w:rsidRPr="00300D14" w:rsidRDefault="00FE013C" w:rsidP="00300D14">
      <w:pPr>
        <w:pStyle w:val="Caption"/>
        <w:keepNext/>
        <w:rPr>
          <w:lang w:val="en-CA"/>
        </w:rPr>
      </w:pPr>
      <w:bookmarkStart w:id="20" w:name="_Ref239530888"/>
      <w:r>
        <w:t xml:space="preserve">Table </w:t>
      </w:r>
      <w:fldSimple w:instr=" SEQ Table \* ARABIC ">
        <w:r w:rsidR="003A45CA">
          <w:rPr>
            <w:noProof/>
          </w:rPr>
          <w:t>7</w:t>
        </w:r>
      </w:fldSimple>
      <w:r>
        <w:t xml:space="preserve"> </w:t>
      </w:r>
      <w:r w:rsidR="00300D14" w:rsidRPr="00300D14">
        <w:rPr>
          <w:lang w:val="en-CA"/>
        </w:rPr>
        <w:t>Literature-Based Technology Cost and Performance Benchmarks</w:t>
      </w:r>
      <w:bookmarkEnd w:id="20"/>
    </w:p>
    <w:tbl>
      <w:tblPr>
        <w:tblStyle w:val="MDPI41threelinetable"/>
        <w:tblW w:w="0" w:type="auto"/>
        <w:tblLook w:val="04A0" w:firstRow="1" w:lastRow="0" w:firstColumn="1" w:lastColumn="0" w:noHBand="0" w:noVBand="1"/>
      </w:tblPr>
      <w:tblGrid>
        <w:gridCol w:w="1837"/>
        <w:gridCol w:w="1859"/>
        <w:gridCol w:w="1819"/>
        <w:gridCol w:w="2589"/>
        <w:gridCol w:w="1648"/>
      </w:tblGrid>
      <w:tr w:rsidR="003F4BBF" w:rsidRPr="005256BA" w14:paraId="58A73791" w14:textId="77777777" w:rsidTr="003F4BBF">
        <w:trPr>
          <w:cnfStyle w:val="100000000000" w:firstRow="1" w:lastRow="0" w:firstColumn="0" w:lastColumn="0" w:oddVBand="0" w:evenVBand="0" w:oddHBand="0" w:evenHBand="0" w:firstRowFirstColumn="0" w:firstRowLastColumn="0" w:lastRowFirstColumn="0" w:lastRowLastColumn="0"/>
        </w:trPr>
        <w:tc>
          <w:tcPr>
            <w:tcW w:w="0" w:type="auto"/>
            <w:hideMark/>
          </w:tcPr>
          <w:p w14:paraId="2B71BABE" w14:textId="7B82FF7C" w:rsidR="003F4BBF" w:rsidRPr="005256BA" w:rsidRDefault="003F4BBF" w:rsidP="003F4BBF">
            <w:pPr>
              <w:ind w:firstLine="480"/>
              <w:rPr>
                <w:rFonts w:asciiTheme="majorBidi" w:hAnsiTheme="majorBidi" w:cstheme="majorBidi"/>
                <w:color w:val="EE0000"/>
                <w:sz w:val="18"/>
                <w:szCs w:val="18"/>
                <w:highlight w:val="yellow"/>
                <w:lang w:val="en-CA"/>
              </w:rPr>
            </w:pPr>
            <w:commentRangeStart w:id="21"/>
            <w:r w:rsidRPr="005256BA">
              <w:rPr>
                <w:sz w:val="18"/>
                <w:szCs w:val="18"/>
              </w:rPr>
              <w:t>Supply Option</w:t>
            </w:r>
          </w:p>
        </w:tc>
        <w:tc>
          <w:tcPr>
            <w:tcW w:w="0" w:type="auto"/>
            <w:hideMark/>
          </w:tcPr>
          <w:p w14:paraId="4515E709" w14:textId="1574B051" w:rsidR="003F4BBF" w:rsidRPr="005256BA" w:rsidRDefault="003F4BBF" w:rsidP="003F4BBF">
            <w:pPr>
              <w:rPr>
                <w:rFonts w:asciiTheme="majorBidi" w:hAnsiTheme="majorBidi" w:cstheme="majorBidi"/>
                <w:color w:val="EE0000"/>
                <w:sz w:val="18"/>
                <w:szCs w:val="18"/>
                <w:highlight w:val="yellow"/>
                <w:lang w:val="en-CA"/>
              </w:rPr>
            </w:pPr>
            <w:r w:rsidRPr="005256BA">
              <w:rPr>
                <w:sz w:val="18"/>
                <w:szCs w:val="18"/>
              </w:rPr>
              <w:t>Geography / Year / Source</w:t>
            </w:r>
          </w:p>
        </w:tc>
        <w:tc>
          <w:tcPr>
            <w:tcW w:w="0" w:type="auto"/>
            <w:hideMark/>
          </w:tcPr>
          <w:p w14:paraId="744D2034" w14:textId="7039EC97"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Classification</w:t>
            </w:r>
          </w:p>
        </w:tc>
        <w:tc>
          <w:tcPr>
            <w:tcW w:w="0" w:type="auto"/>
            <w:hideMark/>
          </w:tcPr>
          <w:p w14:paraId="4DD96639" w14:textId="32723EAB"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Included Cost Components</w:t>
            </w:r>
          </w:p>
        </w:tc>
        <w:tc>
          <w:tcPr>
            <w:tcW w:w="0" w:type="auto"/>
            <w:hideMark/>
          </w:tcPr>
          <w:p w14:paraId="283371F3" w14:textId="6086B579"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Cost Benchmark</w:t>
            </w:r>
          </w:p>
        </w:tc>
      </w:tr>
      <w:tr w:rsidR="003F4BBF" w:rsidRPr="005256BA" w14:paraId="60045F81" w14:textId="77777777" w:rsidTr="003F4BBF">
        <w:tc>
          <w:tcPr>
            <w:tcW w:w="0" w:type="auto"/>
            <w:hideMark/>
          </w:tcPr>
          <w:p w14:paraId="220B89AC" w14:textId="598093D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solar PV</w:t>
            </w:r>
          </w:p>
        </w:tc>
        <w:tc>
          <w:tcPr>
            <w:tcW w:w="0" w:type="auto"/>
            <w:hideMark/>
          </w:tcPr>
          <w:p w14:paraId="2FAD56B7" w14:textId="14D3F76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7E46C0B" w14:textId="2A1D01A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0111B95E" w14:textId="54D8858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Generation asset only; excludes storage, backup generation, curtailment, transmission, interconnection upgrades, and reliability provisions</w:t>
            </w:r>
          </w:p>
        </w:tc>
        <w:tc>
          <w:tcPr>
            <w:tcW w:w="0" w:type="auto"/>
            <w:hideMark/>
          </w:tcPr>
          <w:p w14:paraId="2000F6AF" w14:textId="17082A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$43/MWh LCOE</w:t>
            </w:r>
          </w:p>
        </w:tc>
      </w:tr>
      <w:tr w:rsidR="003F4BBF" w:rsidRPr="005256BA" w14:paraId="10BC6082" w14:textId="77777777" w:rsidTr="003F4BBF">
        <w:tc>
          <w:tcPr>
            <w:tcW w:w="0" w:type="auto"/>
            <w:hideMark/>
          </w:tcPr>
          <w:p w14:paraId="22D0CB98" w14:textId="62B31D5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Onshore wind</w:t>
            </w:r>
          </w:p>
        </w:tc>
        <w:tc>
          <w:tcPr>
            <w:tcW w:w="0" w:type="auto"/>
            <w:hideMark/>
          </w:tcPr>
          <w:p w14:paraId="3F1F3B6B" w14:textId="4E4FF84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C37505D" w14:textId="2EF546F5"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6112C71D" w14:textId="031B89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Generation asset only; excludes storage, backup generation, curtailment, transmission, interconnection upgrades, and reliability provisions</w:t>
            </w:r>
          </w:p>
        </w:tc>
        <w:tc>
          <w:tcPr>
            <w:tcW w:w="0" w:type="auto"/>
            <w:hideMark/>
          </w:tcPr>
          <w:p w14:paraId="286DA0BE" w14:textId="696E5700"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$34/MWh LCOE</w:t>
            </w:r>
          </w:p>
        </w:tc>
      </w:tr>
      <w:tr w:rsidR="003F4BBF" w:rsidRPr="005256BA" w14:paraId="6982E9FC" w14:textId="77777777" w:rsidTr="003F4BBF">
        <w:tc>
          <w:tcPr>
            <w:tcW w:w="0" w:type="auto"/>
            <w:hideMark/>
          </w:tcPr>
          <w:p w14:paraId="25CF19A5" w14:textId="7EFC417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lastRenderedPageBreak/>
              <w:t>U.S. solar-plus-storage projects</w:t>
            </w:r>
          </w:p>
        </w:tc>
        <w:tc>
          <w:tcPr>
            <w:tcW w:w="0" w:type="auto"/>
            <w:hideMark/>
          </w:tcPr>
          <w:p w14:paraId="15178E2F" w14:textId="193A3F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United States, 2024 (IRENA portfolio of 17 projects)</w:t>
            </w:r>
          </w:p>
        </w:tc>
        <w:tc>
          <w:tcPr>
            <w:tcW w:w="0" w:type="auto"/>
            <w:hideMark/>
          </w:tcPr>
          <w:p w14:paraId="43B6603D" w14:textId="02C6D82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696E2B8" w14:textId="655547B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Solar generation combined with battery storage; treatment of firming, reserves, and grid support varies by project</w:t>
            </w:r>
          </w:p>
        </w:tc>
        <w:tc>
          <w:tcPr>
            <w:tcW w:w="0" w:type="auto"/>
            <w:hideMark/>
          </w:tcPr>
          <w:p w14:paraId="25848F87" w14:textId="1613631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~$79/MWh LCOE</w:t>
            </w:r>
          </w:p>
        </w:tc>
      </w:tr>
      <w:tr w:rsidR="003F4BBF" w:rsidRPr="005256BA" w14:paraId="4B18EFB0" w14:textId="77777777" w:rsidTr="003F4BBF">
        <w:tc>
          <w:tcPr>
            <w:tcW w:w="0" w:type="auto"/>
            <w:hideMark/>
          </w:tcPr>
          <w:p w14:paraId="5E574E5F" w14:textId="05E156D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Australian renewable-storage hybrid projects</w:t>
            </w:r>
          </w:p>
        </w:tc>
        <w:tc>
          <w:tcPr>
            <w:tcW w:w="0" w:type="auto"/>
            <w:hideMark/>
          </w:tcPr>
          <w:p w14:paraId="56668CF2" w14:textId="2A78BE9A" w:rsidR="003F4BBF" w:rsidRPr="005256BA" w:rsidRDefault="003F4BBF" w:rsidP="003F4BBF">
            <w:pPr>
              <w:ind w:firstLine="480"/>
              <w:rPr>
                <w:rFonts w:asciiTheme="majorBidi" w:hAnsiTheme="majorBidi" w:cstheme="majorBidi"/>
                <w:bCs/>
                <w:color w:val="EE0000"/>
                <w:sz w:val="18"/>
                <w:szCs w:val="18"/>
                <w:highlight w:val="yellow"/>
                <w:lang w:val="pt-BR"/>
              </w:rPr>
            </w:pPr>
            <w:r w:rsidRPr="005256BA">
              <w:rPr>
                <w:bCs/>
                <w:sz w:val="18"/>
                <w:szCs w:val="18"/>
                <w:lang w:val="pt-BR"/>
              </w:rPr>
              <w:t>Australia, 2024 (IRENA portfolio of 8 projects)</w:t>
            </w:r>
          </w:p>
        </w:tc>
        <w:tc>
          <w:tcPr>
            <w:tcW w:w="0" w:type="auto"/>
            <w:hideMark/>
          </w:tcPr>
          <w:p w14:paraId="3739F21C" w14:textId="084D2C3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509FFFA" w14:textId="75A0F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Renewable generation combined with battery storage; project-specific operational assumptions and market structures apply</w:t>
            </w:r>
          </w:p>
        </w:tc>
        <w:tc>
          <w:tcPr>
            <w:tcW w:w="0" w:type="auto"/>
            <w:hideMark/>
          </w:tcPr>
          <w:p w14:paraId="2BADF190" w14:textId="5AD4953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~$51/MWh LCOE</w:t>
            </w:r>
          </w:p>
        </w:tc>
      </w:tr>
      <w:tr w:rsidR="003F4BBF" w:rsidRPr="005256BA" w14:paraId="3B75D150" w14:textId="77777777" w:rsidTr="003F4BBF">
        <w:tc>
          <w:tcPr>
            <w:tcW w:w="0" w:type="auto"/>
            <w:hideMark/>
          </w:tcPr>
          <w:p w14:paraId="16B00CA1" w14:textId="61B06C76"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lithium-ion BESS (4 h)</w:t>
            </w:r>
          </w:p>
        </w:tc>
        <w:tc>
          <w:tcPr>
            <w:tcW w:w="0" w:type="auto"/>
            <w:hideMark/>
          </w:tcPr>
          <w:p w14:paraId="7AE14038" w14:textId="05373F5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benchmark, 2024–2025 (IRENA/NREL)</w:t>
            </w:r>
          </w:p>
        </w:tc>
        <w:tc>
          <w:tcPr>
            <w:tcW w:w="0" w:type="auto"/>
            <w:hideMark/>
          </w:tcPr>
          <w:p w14:paraId="2E69AC57" w14:textId="394134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Storage Service</w:t>
            </w:r>
          </w:p>
        </w:tc>
        <w:tc>
          <w:tcPr>
            <w:tcW w:w="0" w:type="auto"/>
            <w:hideMark/>
          </w:tcPr>
          <w:p w14:paraId="27055328" w14:textId="0DCC4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Battery cells, PCS, thermal management, controls, EPC, BOS, site development, and interconnection infrastructure</w:t>
            </w:r>
          </w:p>
        </w:tc>
        <w:tc>
          <w:tcPr>
            <w:tcW w:w="0" w:type="auto"/>
            <w:hideMark/>
          </w:tcPr>
          <w:p w14:paraId="1253FF4C" w14:textId="7615EA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$80–130/MWh LCOS</w:t>
            </w:r>
            <w:r w:rsidRPr="005256BA">
              <w:rPr>
                <w:bCs/>
                <w:sz w:val="18"/>
                <w:szCs w:val="18"/>
              </w:rPr>
              <w:t>*</w:t>
            </w:r>
          </w:p>
        </w:tc>
      </w:tr>
      <w:tr w:rsidR="003F4BBF" w:rsidRPr="005256BA" w14:paraId="6212C446" w14:textId="77777777" w:rsidTr="003F4BBF">
        <w:tc>
          <w:tcPr>
            <w:tcW w:w="0" w:type="auto"/>
            <w:hideMark/>
          </w:tcPr>
          <w:p w14:paraId="31EBC793" w14:textId="7EF7435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Grid electricity service</w:t>
            </w:r>
          </w:p>
        </w:tc>
        <w:tc>
          <w:tcPr>
            <w:tcW w:w="0" w:type="auto"/>
            <w:hideMark/>
          </w:tcPr>
          <w:p w14:paraId="3D542041" w14:textId="0BD0C8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Market and tariff dependent</w:t>
            </w:r>
          </w:p>
        </w:tc>
        <w:tc>
          <w:tcPr>
            <w:tcW w:w="0" w:type="auto"/>
            <w:hideMark/>
          </w:tcPr>
          <w:p w14:paraId="5F662CE3" w14:textId="4D6F51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Firm Delivered Service</w:t>
            </w:r>
          </w:p>
        </w:tc>
        <w:tc>
          <w:tcPr>
            <w:tcW w:w="0" w:type="auto"/>
            <w:hideMark/>
          </w:tcPr>
          <w:p w14:paraId="6DD4E10C" w14:textId="5DD79A3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Energy, capacity (where applicable), ancillary services, transmission, distribution, demand charges, taxes, and utility fees</w:t>
            </w:r>
          </w:p>
        </w:tc>
        <w:tc>
          <w:tcPr>
            <w:tcW w:w="0" w:type="auto"/>
            <w:hideMark/>
          </w:tcPr>
          <w:p w14:paraId="1ACA685F" w14:textId="39FEBD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Location-specific</w:t>
            </w:r>
          </w:p>
        </w:tc>
      </w:tr>
      <w:tr w:rsidR="003F4BBF" w:rsidRPr="005256BA" w14:paraId="00E38929" w14:textId="77777777" w:rsidTr="003F4BBF">
        <w:tc>
          <w:tcPr>
            <w:tcW w:w="0" w:type="auto"/>
            <w:hideMark/>
          </w:tcPr>
          <w:p w14:paraId="0500A160" w14:textId="55E7A30A" w:rsidR="003F4BBF" w:rsidRPr="005256BA" w:rsidRDefault="003F4BBF" w:rsidP="003F4BBF">
            <w:pPr>
              <w:ind w:firstLine="480"/>
              <w:rPr>
                <w:rFonts w:asciiTheme="majorBidi" w:hAnsiTheme="majorBidi" w:cstheme="majorBidi"/>
                <w:b/>
                <w:color w:val="EE0000"/>
                <w:sz w:val="18"/>
                <w:szCs w:val="18"/>
                <w:highlight w:val="yellow"/>
                <w:lang w:val="en-CA"/>
              </w:rPr>
            </w:pPr>
            <w:r w:rsidRPr="005256BA">
              <w:rPr>
                <w:b/>
                <w:sz w:val="18"/>
                <w:szCs w:val="18"/>
              </w:rPr>
              <w:t>Supply Option</w:t>
            </w:r>
          </w:p>
        </w:tc>
        <w:tc>
          <w:tcPr>
            <w:tcW w:w="0" w:type="auto"/>
            <w:hideMark/>
          </w:tcPr>
          <w:p w14:paraId="043BA197" w14:textId="2428BE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Geography / Year / Source</w:t>
            </w:r>
          </w:p>
        </w:tc>
        <w:tc>
          <w:tcPr>
            <w:tcW w:w="0" w:type="auto"/>
            <w:hideMark/>
          </w:tcPr>
          <w:p w14:paraId="7EB2DCCB" w14:textId="2982DD44"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Classification</w:t>
            </w:r>
          </w:p>
        </w:tc>
        <w:tc>
          <w:tcPr>
            <w:tcW w:w="0" w:type="auto"/>
            <w:hideMark/>
          </w:tcPr>
          <w:p w14:paraId="2ECD47C4" w14:textId="7207F9A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Included Cost Components</w:t>
            </w:r>
          </w:p>
        </w:tc>
        <w:tc>
          <w:tcPr>
            <w:tcW w:w="0" w:type="auto"/>
            <w:hideMark/>
          </w:tcPr>
          <w:p w14:paraId="1446F2F6" w14:textId="4EA3AF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Cost Benchmark</w:t>
            </w:r>
            <w:commentRangeEnd w:id="21"/>
            <w:r w:rsidRPr="005256BA">
              <w:rPr>
                <w:rStyle w:val="CommentReference"/>
                <w:rFonts w:asciiTheme="majorBidi" w:hAnsiTheme="majorBidi" w:cstheme="majorBidi"/>
                <w:bCs/>
                <w:color w:val="EE0000"/>
                <w:sz w:val="18"/>
                <w:szCs w:val="18"/>
                <w:highlight w:val="yellow"/>
                <w:lang w:val="en-CA"/>
              </w:rPr>
              <w:commentReference w:id="21"/>
            </w:r>
          </w:p>
        </w:tc>
      </w:tr>
    </w:tbl>
    <w:p w14:paraId="2D7BDC31" w14:textId="77777777" w:rsidR="006B6F7A" w:rsidRPr="00134CA9" w:rsidRDefault="006B6F7A" w:rsidP="00F357B2">
      <w:pPr>
        <w:ind w:firstLine="480"/>
        <w:rPr>
          <w:highlight w:val="yellow"/>
        </w:rPr>
      </w:pPr>
    </w:p>
    <w:p w14:paraId="2FA975ED" w14:textId="4C0A4DC7" w:rsidR="0014319A" w:rsidRPr="0014319A" w:rsidRDefault="0014319A" w:rsidP="005C62C3">
      <w:pPr>
        <w:spacing w:after="120"/>
        <w:ind w:firstLine="480"/>
        <w:rPr>
          <w:highlight w:val="yellow"/>
        </w:rPr>
      </w:pPr>
      <w:r w:rsidRPr="0014319A">
        <w:rPr>
          <w:highlight w:val="yellow"/>
        </w:rPr>
        <w:t xml:space="preserve">Battery-pack prices only include the electrochemical storage part of a BESS system, while the full price of an installed BESS system incorporates the cost of power-conversion equipment, thermal management system, controls, fire protection, engineering, procurement, construction, site-development activities, and grid-interconnection infrastructure. In like manner, the solar PV and onshore wind LCOE values shown in Table 7 are generation costs </w:t>
      </w:r>
      <w:r w:rsidR="00501F5F" w:rsidRPr="0014319A">
        <w:rPr>
          <w:highlight w:val="yellow"/>
        </w:rPr>
        <w:t>only and</w:t>
      </w:r>
      <w:r w:rsidRPr="0014319A">
        <w:rPr>
          <w:highlight w:val="yellow"/>
        </w:rPr>
        <w:t xml:space="preserve"> bear no </w:t>
      </w:r>
      <w:r w:rsidRPr="004D7467">
        <w:rPr>
          <w:highlight w:val="yellow"/>
        </w:rPr>
        <w:t xml:space="preserve">relation to the </w:t>
      </w:r>
      <w:r w:rsidR="00501F5F" w:rsidRPr="004D7467">
        <w:rPr>
          <w:highlight w:val="yellow"/>
        </w:rPr>
        <w:t>all-</w:t>
      </w:r>
      <w:r w:rsidR="00501F5F" w:rsidRPr="00564540">
        <w:rPr>
          <w:highlight w:val="yellow"/>
        </w:rPr>
        <w:t xml:space="preserve">in cost of reliably serving the data-center load </w:t>
      </w:r>
      <w:r w:rsidRPr="00564540">
        <w:rPr>
          <w:highlight w:val="yellow"/>
        </w:rPr>
        <w:t xml:space="preserve">of </w:t>
      </w:r>
      <w:r w:rsidRPr="0014319A">
        <w:rPr>
          <w:highlight w:val="yellow"/>
        </w:rPr>
        <w:t>sustaining an AI data-center load. Some costs, such as those of energy storage</w:t>
      </w:r>
      <w:r w:rsidR="004D7467" w:rsidRPr="0014319A">
        <w:rPr>
          <w:highlight w:val="yellow"/>
        </w:rPr>
        <w:t>,</w:t>
      </w:r>
      <w:r w:rsidRPr="0014319A">
        <w:rPr>
          <w:highlight w:val="yellow"/>
        </w:rPr>
        <w:t xml:space="preserve"> backup generation</w:t>
      </w:r>
      <w:r w:rsidR="004D7467" w:rsidRPr="0014319A">
        <w:rPr>
          <w:highlight w:val="yellow"/>
        </w:rPr>
        <w:t>,</w:t>
      </w:r>
      <w:r w:rsidRPr="0014319A">
        <w:rPr>
          <w:highlight w:val="yellow"/>
        </w:rPr>
        <w:t xml:space="preserve"> renewable curtailment, transmission, interconnection</w:t>
      </w:r>
      <w:r w:rsidR="00501F5F" w:rsidRPr="0014319A">
        <w:rPr>
          <w:highlight w:val="yellow"/>
        </w:rPr>
        <w:t>,</w:t>
      </w:r>
      <w:r w:rsidRPr="0014319A">
        <w:rPr>
          <w:highlight w:val="yellow"/>
        </w:rPr>
        <w:t xml:space="preserve"> reliability requirements, operating reserve and operational flexibility, are not included within the generation-only LCOE metrics.</w:t>
      </w:r>
    </w:p>
    <w:p w14:paraId="7CD0456A" w14:textId="04E04F1E" w:rsidR="0014319A" w:rsidRPr="0014319A" w:rsidRDefault="0014319A" w:rsidP="0014319A">
      <w:pPr>
        <w:spacing w:after="120"/>
        <w:ind w:firstLine="480"/>
        <w:rPr>
          <w:highlight w:val="yellow"/>
        </w:rPr>
      </w:pPr>
      <w:r w:rsidRPr="0014319A">
        <w:rPr>
          <w:highlight w:val="yellow"/>
        </w:rPr>
        <w:t xml:space="preserve">The hybrid-project values shown in Table 7 </w:t>
      </w:r>
      <w:r w:rsidRPr="008E505E">
        <w:rPr>
          <w:highlight w:val="yellow"/>
        </w:rPr>
        <w:t xml:space="preserve">are </w:t>
      </w:r>
      <w:r w:rsidR="00903693" w:rsidRPr="008E505E">
        <w:rPr>
          <w:highlight w:val="yellow"/>
        </w:rPr>
        <w:t xml:space="preserve">partially </w:t>
      </w:r>
      <w:r w:rsidR="008E505E" w:rsidRPr="008E505E">
        <w:rPr>
          <w:highlight w:val="yellow"/>
        </w:rPr>
        <w:t>firm</w:t>
      </w:r>
      <w:r w:rsidR="00903693" w:rsidRPr="008E505E">
        <w:rPr>
          <w:highlight w:val="yellow"/>
        </w:rPr>
        <w:t xml:space="preserve"> renewable-storage configurations </w:t>
      </w:r>
      <w:r w:rsidRPr="008E505E">
        <w:rPr>
          <w:highlight w:val="yellow"/>
        </w:rPr>
        <w:t xml:space="preserve">and more useful for data-center application, than generation-only values. These </w:t>
      </w:r>
      <w:r w:rsidRPr="0014319A">
        <w:rPr>
          <w:highlight w:val="yellow"/>
        </w:rPr>
        <w:t>benchmarks should not be considered as the most common costs of electricity supply to firms, however, since the reliability level, storage duration (how long the electricity supply maintains power quality), the need for back up electricity services, and operating assumptions vary significantly across projects.</w:t>
      </w:r>
    </w:p>
    <w:p w14:paraId="7C80F53C" w14:textId="270DF32D" w:rsidR="0014319A" w:rsidRPr="0014319A" w:rsidRDefault="0014319A" w:rsidP="0014319A">
      <w:pPr>
        <w:spacing w:after="120"/>
        <w:ind w:firstLine="480"/>
        <w:rPr>
          <w:highlight w:val="yellow"/>
        </w:rPr>
      </w:pPr>
      <w:r w:rsidRPr="0014319A">
        <w:rPr>
          <w:highlight w:val="yellow"/>
        </w:rPr>
        <w:t>The reported values for battery energy storage systems (BESS) are based on illustrative storage-service costs or LCOS (Levelized Cost of Storage), not LCOE, in that power generation is not a function of the battery. The charging-energy cost, cycling frequency, round-trip efficiency, degradation assumptions, replacement schedules, and residual asset value all significantly impact LCOS.</w:t>
      </w:r>
    </w:p>
    <w:p w14:paraId="7891814A" w14:textId="5A4E0778" w:rsidR="0014319A" w:rsidRPr="0014319A" w:rsidRDefault="0014319A" w:rsidP="0014319A">
      <w:pPr>
        <w:spacing w:after="120"/>
        <w:ind w:firstLine="480"/>
        <w:rPr>
          <w:highlight w:val="yellow"/>
        </w:rPr>
      </w:pPr>
      <w:r w:rsidRPr="0014319A">
        <w:rPr>
          <w:highlight w:val="yellow"/>
        </w:rPr>
        <w:t xml:space="preserve">It is important to note that the cost of electricity for the grid is not to be interpreted as a generation LCOE. </w:t>
      </w:r>
      <w:r w:rsidR="006454AA" w:rsidRPr="000228B1">
        <w:rPr>
          <w:highlight w:val="yellow"/>
        </w:rPr>
        <w:t>Grid electricity should instead be treated as a delivered service whose cost may include energy, capacity, ancillary services, transmission, distribution, demand charges, taxes, and utility-specific fees.</w:t>
      </w:r>
      <w:r w:rsidRPr="000228B1">
        <w:rPr>
          <w:highlight w:val="yellow"/>
        </w:rPr>
        <w:t xml:space="preserve"> </w:t>
      </w:r>
      <w:r w:rsidR="006454AA" w:rsidRPr="000228B1">
        <w:rPr>
          <w:highlight w:val="yellow"/>
        </w:rPr>
        <w:t>Therefore,</w:t>
      </w:r>
      <w:r w:rsidRPr="000228B1">
        <w:rPr>
          <w:highlight w:val="yellow"/>
        </w:rPr>
        <w:t xml:space="preserve"> caution should be exercised when attempting to make a direct comparison amongst generation-only costs, hybrid-system costs, storage-service costs, and delivered-electricity costs.</w:t>
      </w:r>
    </w:p>
    <w:p w14:paraId="5F232D04" w14:textId="74471AC2" w:rsidR="00514F59" w:rsidRDefault="0014319A" w:rsidP="0014319A">
      <w:pPr>
        <w:spacing w:after="120"/>
        <w:ind w:firstLine="480"/>
        <w:rPr>
          <w:highlight w:val="yellow"/>
        </w:rPr>
      </w:pPr>
      <w:r w:rsidRPr="0014319A">
        <w:rPr>
          <w:highlight w:val="yellow"/>
        </w:rPr>
        <w:t xml:space="preserve">The values listed </w:t>
      </w:r>
      <w:r w:rsidRPr="00137525">
        <w:rPr>
          <w:highlight w:val="yellow"/>
        </w:rPr>
        <w:t xml:space="preserve">in Table 7 are screening values representative of the literature and designed to provide relative characteristics of the supply options. </w:t>
      </w:r>
      <w:r w:rsidR="00092C64" w:rsidRPr="00137525">
        <w:rPr>
          <w:highlight w:val="yellow"/>
        </w:rPr>
        <w:t>These values should not be interpreted as universal project costs or investment-grade estimates</w:t>
      </w:r>
      <w:r w:rsidRPr="00137525">
        <w:rPr>
          <w:highlight w:val="yellow"/>
        </w:rPr>
        <w:t xml:space="preserve">. Evaluations should be conducted on a project-specific basis, reflecting local conditions for renewable resources, electricity rates, results from </w:t>
      </w:r>
      <w:r w:rsidRPr="00137525">
        <w:rPr>
          <w:highlight w:val="yellow"/>
        </w:rPr>
        <w:lastRenderedPageBreak/>
        <w:t>interconnection studies, financing assumptions, reliability goals and detailed engineering evaluations. Finally, the cost performance of renewable energy infrastructural components for AI data centers should exclusively be assessed per project, based on the sustainable life cycle cost, and not compared with other norms.</w:t>
      </w:r>
    </w:p>
    <w:p w14:paraId="114556A8" w14:textId="4258AE4A" w:rsidR="00A42C11" w:rsidRPr="00514F59" w:rsidRDefault="00FE013C" w:rsidP="00514F59">
      <w:pPr>
        <w:pStyle w:val="Heading20"/>
        <w:jc w:val="both"/>
        <w:rPr>
          <w:color w:val="auto"/>
        </w:rPr>
      </w:pPr>
      <w:r w:rsidRPr="00514F59">
        <w:rPr>
          <w:color w:val="auto"/>
        </w:rPr>
        <w:t>7.9. Reliability and Resilience Metrics</w:t>
      </w:r>
    </w:p>
    <w:p w14:paraId="3D9BCA5D" w14:textId="27E5C3F7" w:rsidR="00A42C11" w:rsidRPr="00ED2CB2" w:rsidRDefault="00CC60C6" w:rsidP="00E842C0">
      <w:pPr>
        <w:spacing w:after="120"/>
        <w:ind w:firstLine="480"/>
        <w:rPr>
          <w:highlight w:val="yellow"/>
        </w:rPr>
      </w:pPr>
      <w:r w:rsidRPr="00CC60C6">
        <w:rPr>
          <w:highlight w:val="yellow"/>
        </w:rPr>
        <w:t xml:space="preserve">Availability represents the proportion of an assessment period during which the system can supply the defined critical load. For screening purposes, this review uses an illustrative annual availability criterion of 99.99%, corresponding to a maximum shortfall duration of 0.876 h/year, or approximately 52.6 min/year, under a simplified annual-duration relationship. Loss of Load Expectation (LOLE) complements this measure by estimating the expected duration of supply shortfalls over the assessment period. In this framework, LOLE is evaluated against the critical, non-deferrable facility load, including real-time inference, critical networking, cooling controls, safety systems, facility controls, and other services that cannot be interrupted. Training, analytics, and batch-processing loads may be excluded from the critical-load definition only where deferral is technically feasible and permitted by applicable service-level agreements. The 0.876 h/year value is an illustrative system-level screening criterion rather than evidence of actual facility availability. Achieved reliability also depends on electrical topology, equipment redundancy, common-mode failures, protection coordination, maintenance practices, fuel availability, communication systems, weather exposure, and the operational readiness of backup resources </w:t>
      </w:r>
      <w:r w:rsidR="00ED2CB2">
        <w:rPr>
          <w:highlight w:val="yellow"/>
        </w:rPr>
        <w:fldChar w:fldCharType="begin"/>
      </w:r>
      <w:r w:rsidR="00E842C0">
        <w:rPr>
          <w:highlight w:val="yellow"/>
        </w:rPr>
        <w:instrText xml:space="preserve"> ADDIN ZOTERO_ITEM CSL_CITATION {"citationID":"atT0FGcb","properties":{"unsorted":false,"formattedCitation":"[148], [149]","plainCitation":"[148], [149]","noteIndex":0},"citationItems":[{"id":2143,"uris":["http://zotero.org/users/9870935/items/QQ6IISPJ"],"itemData":{"id":2143,"type":"document","title":"U N L O C K I N G FUSION ENERGY","URL":"https://www.adlittle.com/sites/default/files/reports/ADL_Unlocking_fusion_energy_2025%20%281%29.pdf","author":[{"family":"Arthur D. Little","given":""}]}},{"id":217,"uris":["http://zotero.org/users/9870935/items/MST8XCTD"],"itemData":{"id":217,"type":"article-journal","container-title":"IEEE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ED2CB2">
        <w:rPr>
          <w:highlight w:val="yellow"/>
        </w:rPr>
        <w:fldChar w:fldCharType="separate"/>
      </w:r>
      <w:r w:rsidR="00E842C0" w:rsidRPr="00E842C0">
        <w:rPr>
          <w:highlight w:val="yellow"/>
        </w:rPr>
        <w:t>[148], [149]</w:t>
      </w:r>
      <w:r w:rsidR="00ED2CB2">
        <w:rPr>
          <w:highlight w:val="yellow"/>
        </w:rPr>
        <w:fldChar w:fldCharType="end"/>
      </w:r>
      <w:r w:rsidR="00A42C11" w:rsidRPr="00541971">
        <w:rPr>
          <w:highlight w:val="yellow"/>
        </w:rPr>
        <w:t xml:space="preserve">. </w:t>
      </w:r>
    </w:p>
    <w:p w14:paraId="03F90F88" w14:textId="69148602" w:rsidR="00A42C11" w:rsidRPr="004C74D2" w:rsidRDefault="00A42C11" w:rsidP="004C74D2">
      <w:pPr>
        <w:pStyle w:val="Heading20"/>
        <w:jc w:val="both"/>
        <w:rPr>
          <w:color w:val="auto"/>
        </w:rPr>
      </w:pPr>
      <w:r w:rsidRPr="004C74D2">
        <w:rPr>
          <w:color w:val="auto"/>
        </w:rPr>
        <w:t>7.10. Carbon Accounting and Sustainability</w:t>
      </w:r>
    </w:p>
    <w:p w14:paraId="7843DBAC" w14:textId="564CC18A" w:rsidR="00B50FCB" w:rsidRPr="008A22E4" w:rsidRDefault="00B50FCB" w:rsidP="00B50FCB">
      <w:pPr>
        <w:spacing w:after="120"/>
        <w:ind w:firstLine="480"/>
        <w:rPr>
          <w:highlight w:val="yellow"/>
        </w:rPr>
      </w:pPr>
      <w:r w:rsidRPr="008A22E4">
        <w:rPr>
          <w:highlight w:val="yellow"/>
        </w:rPr>
        <w:t>Greenhouse-gas emissions from Scope 1, Scope 2, and relevant Scope 3 GHG emissions should be distinguished in carbon accounting. Direct on-site emissions from generators, fuel cells and combustion processes are part of scope 1. Emissions from purchased electricity are defined as a Scope 2 emission and can be accounted for using both location-based or market-based approaches. Equipment manufacturing, fuel supply, construction, maintenance and end-of-life treatment of the equipment may constitute relevant Scope 3 emissions.</w:t>
      </w:r>
    </w:p>
    <w:p w14:paraId="21D9B23E" w14:textId="58F85169" w:rsidR="00B50FCB" w:rsidRPr="008A22E4" w:rsidRDefault="00B50FCB" w:rsidP="00B50FCB">
      <w:pPr>
        <w:spacing w:after="120"/>
        <w:ind w:firstLine="480"/>
        <w:rPr>
          <w:highlight w:val="yellow"/>
        </w:rPr>
      </w:pPr>
      <w:r w:rsidRPr="008A22E4">
        <w:rPr>
          <w:highlight w:val="yellow"/>
        </w:rPr>
        <w:t xml:space="preserve">Annual renewable energy matching is a different concept than physical renewable electricity supply, and is different from hourly carbon-free energy (CFE) matching. Annual renewable matching is a matching of annual renewable-energy procurement to annual electricity usage. Hourly CFE matching quantifies the amount of "carbon-free energy" that matches electricity demand hour-by-hour. Physical renewable supply is the electricity supplied via the facility's legal and physical power supply contract and can be different from annual or hourly accounts. Sustainability claims and disclosures should thus clearly state the accounting approach used, geographical scope, time frame, treatment of energy attributes, and </w:t>
      </w:r>
      <w:r w:rsidR="00272DC6" w:rsidRPr="008A22E4">
        <w:rPr>
          <w:highlight w:val="yellow"/>
        </w:rPr>
        <w:t>whether</w:t>
      </w:r>
      <w:r w:rsidRPr="008A22E4">
        <w:rPr>
          <w:highlight w:val="yellow"/>
        </w:rPr>
        <w:t xml:space="preserve"> the </w:t>
      </w:r>
      <w:r w:rsidRPr="00286A5A">
        <w:rPr>
          <w:highlight w:val="yellow"/>
        </w:rPr>
        <w:t xml:space="preserve">energy indicator </w:t>
      </w:r>
      <w:r w:rsidR="00286A5A" w:rsidRPr="00286A5A">
        <w:rPr>
          <w:highlight w:val="yellow"/>
        </w:rPr>
        <w:t>has been independently assured</w:t>
      </w:r>
      <w:r w:rsidRPr="00286A5A">
        <w:rPr>
          <w:highlight w:val="yellow"/>
        </w:rPr>
        <w:t>.</w:t>
      </w:r>
    </w:p>
    <w:p w14:paraId="49F8CE7D" w14:textId="129CB541" w:rsidR="00A42C11" w:rsidRPr="00E57EAD" w:rsidRDefault="00B50FCB" w:rsidP="00A95675">
      <w:pPr>
        <w:spacing w:after="120"/>
        <w:ind w:firstLine="480"/>
      </w:pPr>
      <w:r w:rsidRPr="008A22E4">
        <w:rPr>
          <w:highlight w:val="yellow"/>
        </w:rPr>
        <w:t xml:space="preserve">There are other factors associated with sustainability assessment that should include power usage effectiveness (PUE), water usage effectiveness (WUE), operating carbon intensity, embodied carbon, land use, biodiversity, equipment circularity and end of life of the equipment. </w:t>
      </w:r>
      <w:r w:rsidR="007446EE" w:rsidRPr="008A22E4">
        <w:rPr>
          <w:highlight w:val="yellow"/>
        </w:rPr>
        <w:t>Corporate metrics that have not been independently assured should be identified as self-reported</w:t>
      </w:r>
      <w:r w:rsidR="00E57EAD" w:rsidRPr="008A22E4">
        <w:rPr>
          <w:highlight w:val="yellow"/>
        </w:rPr>
        <w:t xml:space="preserve"> </w:t>
      </w:r>
      <w:r w:rsidR="004C74D2" w:rsidRPr="008A22E4">
        <w:rPr>
          <w:highlight w:val="yellow"/>
        </w:rPr>
        <w:fldChar w:fldCharType="begin"/>
      </w:r>
      <w:r w:rsidR="00A95675">
        <w:rPr>
          <w:highlight w:val="yellow"/>
        </w:rPr>
        <w:instrText xml:space="preserve"> ADDIN ZOTERO_ITEM CSL_CITATION {"citationID":"mW0ul4pI","properties":{"unsorted":false,"formattedCitation":"[122]","plainCitation":"[122]","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4C74D2" w:rsidRPr="008A22E4">
        <w:rPr>
          <w:highlight w:val="yellow"/>
        </w:rPr>
        <w:fldChar w:fldCharType="separate"/>
      </w:r>
      <w:r w:rsidR="00A95675" w:rsidRPr="00A95675">
        <w:rPr>
          <w:highlight w:val="yellow"/>
        </w:rPr>
        <w:t>[122]</w:t>
      </w:r>
      <w:r w:rsidR="004C74D2" w:rsidRPr="008A22E4">
        <w:rPr>
          <w:highlight w:val="yellow"/>
        </w:rPr>
        <w:fldChar w:fldCharType="end"/>
      </w:r>
      <w:r w:rsidR="00A42C11" w:rsidRPr="008A22E4">
        <w:rPr>
          <w:highlight w:val="yellow"/>
        </w:rPr>
        <w:t>.</w:t>
      </w:r>
    </w:p>
    <w:p w14:paraId="0F5C8534" w14:textId="77777777" w:rsidR="00FE013C" w:rsidRDefault="00FE013C" w:rsidP="004C16FF">
      <w:pPr>
        <w:pStyle w:val="Heading10"/>
        <w:jc w:val="both"/>
        <w:rPr>
          <w:color w:val="auto"/>
        </w:rPr>
      </w:pPr>
      <w:r>
        <w:rPr>
          <w:color w:val="auto"/>
          <w:lang w:eastAsia="zh-CN"/>
        </w:rPr>
        <w:t xml:space="preserve">8. </w:t>
      </w:r>
      <w:r>
        <w:rPr>
          <w:color w:val="auto"/>
        </w:rPr>
        <w:t>Case Studies: Real-World Deployments</w:t>
      </w:r>
    </w:p>
    <w:p w14:paraId="64773754" w14:textId="77777777" w:rsidR="00A51060" w:rsidRPr="00A51060" w:rsidRDefault="00A51060" w:rsidP="00A51060">
      <w:pPr>
        <w:spacing w:after="120"/>
        <w:ind w:firstLine="480"/>
        <w:rPr>
          <w:highlight w:val="yellow"/>
        </w:rPr>
      </w:pPr>
      <w:r w:rsidRPr="00A51060">
        <w:rPr>
          <w:highlight w:val="yellow"/>
        </w:rPr>
        <w:lastRenderedPageBreak/>
        <w:t>This section reviews publicly reported energy and sustainability practices from Google, Meta, Microsoft, Equinix, and Apple. The case studies are intended to illustrate practices relevant to the proposed seven-component decision framework rather than to experimentally validate the framework. Direct comparison among companies is limited because reporting periods, organizational boundaries, accounting methods, and performance metrics differ. In particular, annual renewable-energy matching, hourly carbon-free energy (CFE) matching, procurement coverage, and physical electricity delivery represent distinct concepts and should not be interpreted as equivalent measures. Unless explicitly identified as independently assured, corporate sustainability metrics should be treated as self-reported.</w:t>
      </w:r>
    </w:p>
    <w:p w14:paraId="16694B90" w14:textId="77777777" w:rsidR="00FE013C" w:rsidRPr="000124EB" w:rsidRDefault="00FE013C" w:rsidP="004C16FF">
      <w:pPr>
        <w:pStyle w:val="Heading20"/>
        <w:jc w:val="both"/>
        <w:rPr>
          <w:color w:val="auto"/>
          <w:highlight w:val="yellow"/>
        </w:rPr>
      </w:pPr>
      <w:r w:rsidRPr="000124EB">
        <w:rPr>
          <w:color w:val="auto"/>
          <w:highlight w:val="yellow"/>
        </w:rPr>
        <w:t>8.1. Google Data Centers: Renewable Energy Matching</w:t>
      </w:r>
    </w:p>
    <w:p w14:paraId="7FD6B2FB" w14:textId="508D92E8" w:rsidR="007D0E74" w:rsidRPr="000124EB" w:rsidRDefault="007D0E74" w:rsidP="00A95675">
      <w:pPr>
        <w:spacing w:after="120"/>
        <w:ind w:firstLine="480"/>
        <w:rPr>
          <w:highlight w:val="yellow"/>
        </w:rPr>
      </w:pPr>
      <w:r w:rsidRPr="000124EB">
        <w:rPr>
          <w:highlight w:val="yellow"/>
        </w:rPr>
        <w:t>Google's energy use is now 66% carbon-free on average hourly basis for 2024, the company said. Some 2.5 GW of clean-energy projects already under contract came into existence in 2024, and a further 8 GW of clean-energy capacity was signed</w:t>
      </w:r>
      <w:r w:rsidRPr="004D54B2">
        <w:rPr>
          <w:highlight w:val="yellow"/>
        </w:rPr>
        <w:t xml:space="preserve"> in that year, the company said. The CFE metric includes the electricity that is directly generated by Google’s </w:t>
      </w:r>
      <w:r w:rsidR="00272DC6" w:rsidRPr="004D54B2">
        <w:rPr>
          <w:highlight w:val="yellow"/>
        </w:rPr>
        <w:t>contracted or grid-supplied carbon-free resources, if supported</w:t>
      </w:r>
      <w:r w:rsidRPr="004D54B2">
        <w:rPr>
          <w:highlight w:val="yellow"/>
        </w:rPr>
        <w:t>, and the ‘clean energy share' of the local grid and is measured on an hourly basis. Thus, this does not mean that these facilities are physically islanded carbon-free or that it is an annual renewable energy match</w:t>
      </w:r>
      <w:r w:rsidR="009E07E2" w:rsidRPr="004D54B2">
        <w:rPr>
          <w:highlight w:val="yellow"/>
        </w:rPr>
        <w:fldChar w:fldCharType="begin"/>
      </w:r>
      <w:r w:rsidR="00A95675" w:rsidRPr="004D54B2">
        <w:rPr>
          <w:highlight w:val="yellow"/>
        </w:rPr>
        <w:instrText xml:space="preserve"> ADDIN ZOTERO_ITEM CSL_CITATION {"citationID":"ic18cWPX","properties":{"unsorted":false,"formattedCitation":"[50]","plainCitation":"[50]","noteIndex":0},"citationItems":[{"id":1995,"uris":["http://zotero.org/users/9870935/items/ZZ4BDIPH"],"itemData":{"id":1995,"type":"post-weblog","title":"Google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9E07E2" w:rsidRPr="004D54B2">
        <w:rPr>
          <w:highlight w:val="yellow"/>
        </w:rPr>
        <w:fldChar w:fldCharType="separate"/>
      </w:r>
      <w:r w:rsidR="00A95675" w:rsidRPr="004D54B2">
        <w:rPr>
          <w:highlight w:val="yellow"/>
        </w:rPr>
        <w:t>[50]</w:t>
      </w:r>
      <w:r w:rsidR="009E07E2" w:rsidRPr="004D54B2">
        <w:rPr>
          <w:highlight w:val="yellow"/>
        </w:rPr>
        <w:fldChar w:fldCharType="end"/>
      </w:r>
      <w:r w:rsidRPr="004D54B2">
        <w:rPr>
          <w:highlight w:val="yellow"/>
        </w:rPr>
        <w:t xml:space="preserve">. </w:t>
      </w:r>
    </w:p>
    <w:p w14:paraId="2E75168A" w14:textId="77777777" w:rsidR="007D0E74" w:rsidRPr="000124EB" w:rsidRDefault="007D0E74" w:rsidP="007D0E74">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2, 4, 5, 6, and 7. </w:t>
      </w:r>
    </w:p>
    <w:p w14:paraId="1EE5882E" w14:textId="6A9D4536" w:rsidR="007D0E74" w:rsidRPr="000124EB" w:rsidRDefault="007D0E74" w:rsidP="007D0E74">
      <w:pPr>
        <w:pStyle w:val="ListParagraph"/>
        <w:numPr>
          <w:ilvl w:val="0"/>
          <w:numId w:val="32"/>
        </w:numPr>
        <w:spacing w:after="120"/>
        <w:rPr>
          <w:highlight w:val="yellow"/>
        </w:rPr>
      </w:pPr>
      <w:r w:rsidRPr="000124EB">
        <w:rPr>
          <w:b/>
          <w:bCs/>
          <w:highlight w:val="yellow"/>
        </w:rPr>
        <w:t>Transferability limitations:</w:t>
      </w:r>
      <w:r w:rsidRPr="000124EB">
        <w:rPr>
          <w:highlight w:val="yellow"/>
        </w:rPr>
        <w:t xml:space="preserve"> This approach relies on having large-scale access to clean energy procurement, participation in multiple electricity markets, long-term contracting, and flexibility of workload mechanisms.</w:t>
      </w:r>
    </w:p>
    <w:p w14:paraId="0BF165A0" w14:textId="77777777" w:rsidR="007D0E74" w:rsidRPr="000124EB" w:rsidRDefault="007D0E74" w:rsidP="00E11FE4">
      <w:pPr>
        <w:spacing w:after="120"/>
        <w:ind w:firstLine="480"/>
        <w:rPr>
          <w:highlight w:val="yellow"/>
        </w:rPr>
      </w:pPr>
    </w:p>
    <w:p w14:paraId="5F182AC4" w14:textId="77777777" w:rsidR="007D0E74" w:rsidRPr="000124EB" w:rsidRDefault="007D0E74" w:rsidP="00E11FE4">
      <w:pPr>
        <w:spacing w:after="120"/>
        <w:ind w:firstLine="480"/>
        <w:rPr>
          <w:highlight w:val="yellow"/>
        </w:rPr>
      </w:pPr>
    </w:p>
    <w:p w14:paraId="6E2DBEBF" w14:textId="2788DC47" w:rsidR="005D72C0" w:rsidRPr="000124EB" w:rsidRDefault="005D72C0" w:rsidP="005D72C0">
      <w:pPr>
        <w:pStyle w:val="Heading20"/>
        <w:jc w:val="both"/>
        <w:rPr>
          <w:color w:val="auto"/>
          <w:highlight w:val="yellow"/>
        </w:rPr>
      </w:pPr>
      <w:r w:rsidRPr="000124EB">
        <w:rPr>
          <w:color w:val="auto"/>
          <w:highlight w:val="yellow"/>
        </w:rPr>
        <w:t xml:space="preserve">8.2. </w:t>
      </w:r>
      <w:r w:rsidR="000F03FB" w:rsidRPr="000124EB">
        <w:rPr>
          <w:color w:val="auto"/>
          <w:highlight w:val="yellow"/>
        </w:rPr>
        <w:t>Meta: Annual Renewable-Energy Matching</w:t>
      </w:r>
    </w:p>
    <w:p w14:paraId="5940B690" w14:textId="584B70FD" w:rsidR="00287616" w:rsidRPr="00264448" w:rsidRDefault="00F57184" w:rsidP="00E842C0">
      <w:pPr>
        <w:spacing w:after="120"/>
        <w:ind w:firstLine="480"/>
        <w:rPr>
          <w:highlight w:val="yellow"/>
        </w:rPr>
      </w:pPr>
      <w:r w:rsidRPr="00264448">
        <w:rPr>
          <w:highlight w:val="yellow"/>
        </w:rPr>
        <w:t xml:space="preserve">Meta reports </w:t>
      </w:r>
      <w:r w:rsidR="00042B9F" w:rsidRPr="00264448">
        <w:rPr>
          <w:highlight w:val="yellow"/>
        </w:rPr>
        <w:t>annually match</w:t>
      </w:r>
      <w:r w:rsidRPr="00264448">
        <w:rPr>
          <w:highlight w:val="yellow"/>
        </w:rPr>
        <w:t xml:space="preserve"> its operational electricity consumption with clean and renewable energy and a global clean-energy portfolio of approximately 29 GW</w:t>
      </w:r>
      <w:r w:rsidR="00763100" w:rsidRPr="00264448">
        <w:rPr>
          <w:highlight w:val="yellow"/>
        </w:rPr>
        <w:t xml:space="preserve">. These reported values are those for annual </w:t>
      </w:r>
      <w:r w:rsidR="00763100" w:rsidRPr="00202C37">
        <w:rPr>
          <w:highlight w:val="yellow"/>
        </w:rPr>
        <w:t xml:space="preserve">renewable energy matching and procurement, rather than hourly carbon-free energy accounting. Therefore, </w:t>
      </w:r>
      <w:r w:rsidR="00B22098">
        <w:rPr>
          <w:highlight w:val="yellow"/>
        </w:rPr>
        <w:t>t</w:t>
      </w:r>
      <w:r w:rsidR="003C273D" w:rsidRPr="00202C37">
        <w:rPr>
          <w:highlight w:val="yellow"/>
        </w:rPr>
        <w:t>hese values do not demonstrate hourly supply adequacy, continuous physical renewable delivery, or islanded operation</w:t>
      </w:r>
      <w:r w:rsidR="0073713D" w:rsidRPr="00202C37">
        <w:rPr>
          <w:highlight w:val="yellow"/>
        </w:rPr>
        <w:fldChar w:fldCharType="begin"/>
      </w:r>
      <w:r w:rsidR="00A95675" w:rsidRPr="00202C37">
        <w:rPr>
          <w:highlight w:val="yellow"/>
        </w:rPr>
        <w:instrText xml:space="preserve"> ADDIN ZOTERO_ITEM CSL_CITATION {"citationID":"bKFO0NJY","properties":{"unsorted":false,"formattedCitation":"[52]","plainCitation":"[52]","noteIndex":0},"citationItems":[{"id":1998,"uris":["http://zotero.org/users/9870935/items/3PR5HCM7"],"itemData":{"id":1998,"type":"post-weblog","title":"2025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73713D" w:rsidRPr="00202C37">
        <w:rPr>
          <w:highlight w:val="yellow"/>
        </w:rPr>
        <w:fldChar w:fldCharType="separate"/>
      </w:r>
      <w:r w:rsidR="00A95675" w:rsidRPr="00202C37">
        <w:rPr>
          <w:highlight w:val="yellow"/>
        </w:rPr>
        <w:t>[52]</w:t>
      </w:r>
      <w:r w:rsidR="0073713D" w:rsidRPr="00202C37">
        <w:rPr>
          <w:highlight w:val="yellow"/>
        </w:rPr>
        <w:fldChar w:fldCharType="end"/>
      </w:r>
      <w:r w:rsidR="0073713D" w:rsidRPr="00202C37">
        <w:rPr>
          <w:highlight w:val="yellow"/>
        </w:rPr>
        <w:t xml:space="preserve">, </w:t>
      </w:r>
      <w:r w:rsidR="0073713D" w:rsidRPr="00202C37">
        <w:rPr>
          <w:highlight w:val="yellow"/>
        </w:rPr>
        <w:fldChar w:fldCharType="begin"/>
      </w:r>
      <w:r w:rsidR="00E842C0" w:rsidRPr="00202C37">
        <w:rPr>
          <w:highlight w:val="yellow"/>
        </w:rPr>
        <w:instrText xml:space="preserve"> ADDIN ZOTERO_ITEM CSL_CITATION {"citationID":"afh57Dbe","properties":{"unsorted":false,"formattedCitation":"[150]","plainCitation":"[150]","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73713D" w:rsidRPr="00202C37">
        <w:rPr>
          <w:highlight w:val="yellow"/>
        </w:rPr>
        <w:fldChar w:fldCharType="separate"/>
      </w:r>
      <w:r w:rsidR="00E842C0" w:rsidRPr="00202C37">
        <w:rPr>
          <w:highlight w:val="yellow"/>
        </w:rPr>
        <w:t>[150]</w:t>
      </w:r>
      <w:r w:rsidR="0073713D" w:rsidRPr="00202C37">
        <w:rPr>
          <w:highlight w:val="yellow"/>
        </w:rPr>
        <w:fldChar w:fldCharType="end"/>
      </w:r>
      <w:r w:rsidR="00763100" w:rsidRPr="00202C37">
        <w:rPr>
          <w:highlight w:val="yellow"/>
        </w:rPr>
        <w:t xml:space="preserve">. </w:t>
      </w:r>
    </w:p>
    <w:p w14:paraId="25F4ECA3" w14:textId="6EE4E3F1" w:rsidR="00287616" w:rsidRPr="000124EB" w:rsidRDefault="00287616" w:rsidP="00287616">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6 , and 7. </w:t>
      </w:r>
    </w:p>
    <w:p w14:paraId="3466FE12" w14:textId="2695EB28" w:rsidR="005D72C0" w:rsidRPr="000124EB" w:rsidRDefault="00763100" w:rsidP="00ED214C">
      <w:pPr>
        <w:pStyle w:val="ListParagraph"/>
        <w:numPr>
          <w:ilvl w:val="0"/>
          <w:numId w:val="32"/>
        </w:numPr>
        <w:spacing w:after="120"/>
        <w:rPr>
          <w:highlight w:val="yellow"/>
        </w:rPr>
      </w:pPr>
      <w:r w:rsidRPr="000124EB">
        <w:rPr>
          <w:b/>
          <w:bCs/>
          <w:highlight w:val="yellow"/>
        </w:rPr>
        <w:t xml:space="preserve">Transferability </w:t>
      </w:r>
      <w:r w:rsidR="00ED214C" w:rsidRPr="000124EB">
        <w:rPr>
          <w:b/>
          <w:bCs/>
          <w:highlight w:val="yellow"/>
        </w:rPr>
        <w:t>limitation</w:t>
      </w:r>
      <w:r w:rsidRPr="000124EB">
        <w:rPr>
          <w:b/>
          <w:bCs/>
          <w:highlight w:val="yellow"/>
        </w:rPr>
        <w:t>:</w:t>
      </w:r>
      <w:r w:rsidRPr="000124EB">
        <w:rPr>
          <w:highlight w:val="yellow"/>
        </w:rPr>
        <w:t xml:space="preserve"> Regional structures of the electricity market, availability of renewable resources, procurement systems, the scale of projects, and contractual agreements all play a role in the applicability of transferability.</w:t>
      </w:r>
    </w:p>
    <w:p w14:paraId="32326AB0" w14:textId="77777777" w:rsidR="00FE013C" w:rsidRPr="000124EB" w:rsidRDefault="00FE013C" w:rsidP="004C16FF">
      <w:pPr>
        <w:pStyle w:val="Heading20"/>
        <w:jc w:val="both"/>
        <w:rPr>
          <w:color w:val="auto"/>
          <w:highlight w:val="yellow"/>
        </w:rPr>
      </w:pPr>
      <w:r w:rsidRPr="000124EB">
        <w:rPr>
          <w:color w:val="auto"/>
          <w:highlight w:val="yellow"/>
        </w:rPr>
        <w:t>8.3. Microsoft: Modular Design and Nuclear Partnership</w:t>
      </w:r>
    </w:p>
    <w:p w14:paraId="17C70F53" w14:textId="628A5A64" w:rsidR="00E560E2" w:rsidRPr="000124EB" w:rsidRDefault="00E560E2" w:rsidP="00E842C0">
      <w:pPr>
        <w:spacing w:after="120"/>
        <w:ind w:firstLine="480"/>
        <w:rPr>
          <w:highlight w:val="yellow"/>
        </w:rPr>
      </w:pPr>
      <w:r w:rsidRPr="002B179F">
        <w:rPr>
          <w:highlight w:val="yellow"/>
        </w:rPr>
        <w:t xml:space="preserve">Microsoft's sustainability approach includes both the use of energy efficient techniques and </w:t>
      </w:r>
      <w:r w:rsidR="00F0751E" w:rsidRPr="002B179F">
        <w:rPr>
          <w:highlight w:val="yellow"/>
        </w:rPr>
        <w:t>procuring low-carbon electricity and investing in emerging low-carbon energy technologies</w:t>
      </w:r>
      <w:r w:rsidRPr="002B179F">
        <w:rPr>
          <w:highlight w:val="yellow"/>
        </w:rPr>
        <w:t xml:space="preserve">, innovations within the data centre and investments in new </w:t>
      </w:r>
      <w:r w:rsidR="00404815" w:rsidRPr="002B179F">
        <w:rPr>
          <w:highlight w:val="yellow"/>
        </w:rPr>
        <w:t>low-carbon</w:t>
      </w:r>
      <w:r w:rsidRPr="002B179F">
        <w:rPr>
          <w:highlight w:val="yellow"/>
        </w:rPr>
        <w:t xml:space="preserve"> energy-based solutions. Public announcements encompass a long-term power purchase agreement for what is planned for the restart of </w:t>
      </w:r>
      <w:r w:rsidR="00404815" w:rsidRPr="002B179F">
        <w:rPr>
          <w:highlight w:val="yellow"/>
        </w:rPr>
        <w:t>Three-Mile</w:t>
      </w:r>
      <w:r w:rsidRPr="002B179F">
        <w:rPr>
          <w:highlight w:val="yellow"/>
        </w:rPr>
        <w:t xml:space="preserve"> Island Unit 1 nuclear facility as well as a proposed agreement with Helion for the </w:t>
      </w:r>
      <w:r w:rsidRPr="002B179F">
        <w:rPr>
          <w:highlight w:val="yellow"/>
        </w:rPr>
        <w:lastRenderedPageBreak/>
        <w:t>company's proposed fusion-energy project</w:t>
      </w:r>
      <w:r w:rsidRPr="000124EB">
        <w:rPr>
          <w:highlight w:val="yellow"/>
        </w:rPr>
        <w:t>. At the same time, Microsoft released some findings on Project Natick: subsea data-center research. However, these projects illustrate a longer-term energy purchase and technology exploration, and not a currently proven on-site energy solution for AI data centers</w:t>
      </w:r>
      <w:r w:rsidR="00674A3B" w:rsidRPr="000124EB">
        <w:rPr>
          <w:highlight w:val="yellow"/>
        </w:rPr>
        <w:t xml:space="preserve"> </w:t>
      </w:r>
      <w:r w:rsidR="00674A3B" w:rsidRPr="000124EB">
        <w:rPr>
          <w:highlight w:val="yellow"/>
        </w:rPr>
        <w:fldChar w:fldCharType="begin"/>
      </w:r>
      <w:r w:rsidR="00A95675">
        <w:rPr>
          <w:highlight w:val="yellow"/>
        </w:rPr>
        <w:instrText xml:space="preserve"> ADDIN ZOTERO_ITEM CSL_CITATION {"citationID":"IW33EuXw","properties":{"unsorted":false,"formattedCitation":"[55]","plainCitation":"[55]","noteIndex":0},"citationItems":[{"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sidR="00674A3B" w:rsidRPr="000124EB">
        <w:rPr>
          <w:highlight w:val="yellow"/>
        </w:rPr>
        <w:fldChar w:fldCharType="separate"/>
      </w:r>
      <w:r w:rsidR="00A95675" w:rsidRPr="00A95675">
        <w:rPr>
          <w:highlight w:val="yellow"/>
        </w:rPr>
        <w:t>[55]</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A95675">
        <w:rPr>
          <w:highlight w:val="yellow"/>
        </w:rPr>
        <w:instrText xml:space="preserve"> ADDIN ZOTERO_ITEM CSL_CITATION {"citationID":"r6PHcJZZ","properties":{"unsorted":false,"formattedCitation":"[54]","plainCitation":"[54]","noteIndex":0},"citationItems":[{"id":2005,"uris":["http://zotero.org/users/9870935/items/GPXLWD7A"],"itemData":{"id":2005,"type":"article-journal","abstract":"This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schema":"https://github.com/citation-style-language/schema/raw/master/csl-citation.json"} </w:instrText>
      </w:r>
      <w:r w:rsidR="00674A3B" w:rsidRPr="000124EB">
        <w:rPr>
          <w:highlight w:val="yellow"/>
        </w:rPr>
        <w:fldChar w:fldCharType="separate"/>
      </w:r>
      <w:r w:rsidR="00A95675" w:rsidRPr="00A95675">
        <w:rPr>
          <w:highlight w:val="yellow"/>
        </w:rPr>
        <w:t>[54]</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E842C0">
        <w:rPr>
          <w:highlight w:val="yellow"/>
        </w:rPr>
        <w:instrText xml:space="preserve"> ADDIN ZOTERO_ITEM CSL_CITATION {"citationID":"8f2UmqPT","properties":{"unsorted":false,"formattedCitation":"[148]","plainCitation":"[148]","noteIndex":0},"citationItems":[{"id":2143,"uris":["http://zotero.org/users/9870935/items/QQ6IISPJ"],"itemData":{"id":2143,"type":"document","title":"U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674A3B" w:rsidRPr="000124EB">
        <w:rPr>
          <w:highlight w:val="yellow"/>
        </w:rPr>
        <w:fldChar w:fldCharType="separate"/>
      </w:r>
      <w:r w:rsidR="00E842C0" w:rsidRPr="00E842C0">
        <w:rPr>
          <w:highlight w:val="yellow"/>
        </w:rPr>
        <w:t>[148]</w:t>
      </w:r>
      <w:r w:rsidR="00674A3B" w:rsidRPr="000124EB">
        <w:rPr>
          <w:highlight w:val="yellow"/>
        </w:rPr>
        <w:fldChar w:fldCharType="end"/>
      </w:r>
      <w:r w:rsidRPr="000124EB">
        <w:rPr>
          <w:highlight w:val="yellow"/>
        </w:rPr>
        <w:t>.</w:t>
      </w:r>
    </w:p>
    <w:p w14:paraId="1EDF2856" w14:textId="1A20C8BF" w:rsidR="0037359C" w:rsidRPr="000124EB" w:rsidRDefault="0037359C" w:rsidP="001C11F5">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w:t>
      </w:r>
      <w:r w:rsidR="001C11F5" w:rsidRPr="000124EB">
        <w:rPr>
          <w:highlight w:val="yellow"/>
        </w:rPr>
        <w:t>Components 2, 3, 4 and 7.</w:t>
      </w:r>
    </w:p>
    <w:p w14:paraId="3F078752" w14:textId="722F2085" w:rsidR="0037359C" w:rsidRPr="000124EB" w:rsidRDefault="0037359C" w:rsidP="00294D5E">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294D5E" w:rsidRPr="000124EB">
        <w:rPr>
          <w:highlight w:val="yellow"/>
        </w:rPr>
        <w:t>Many projects are still at a point where technology is not mature, regulatory clearance not secured, commercialization timelines are uncertain, and opportunities for large-scale procurement are limited.</w:t>
      </w:r>
    </w:p>
    <w:p w14:paraId="4469E160" w14:textId="77777777" w:rsidR="00FE013C" w:rsidRPr="000124EB" w:rsidRDefault="00FE013C" w:rsidP="004C16FF">
      <w:pPr>
        <w:pStyle w:val="Heading20"/>
        <w:jc w:val="both"/>
        <w:rPr>
          <w:color w:val="auto"/>
          <w:highlight w:val="yellow"/>
        </w:rPr>
      </w:pPr>
      <w:r w:rsidRPr="000124EB">
        <w:rPr>
          <w:color w:val="auto"/>
          <w:highlight w:val="yellow"/>
        </w:rPr>
        <w:t>8.4 Equinix: Distributed Solar PPAs</w:t>
      </w:r>
    </w:p>
    <w:p w14:paraId="09B3B060" w14:textId="719517FD" w:rsidR="009775DC" w:rsidRPr="000124EB" w:rsidRDefault="009775DC" w:rsidP="00A95675">
      <w:pPr>
        <w:spacing w:after="120"/>
        <w:ind w:firstLine="480"/>
        <w:rPr>
          <w:highlight w:val="yellow"/>
        </w:rPr>
      </w:pPr>
      <w:r w:rsidRPr="000124EB">
        <w:rPr>
          <w:highlight w:val="yellow"/>
        </w:rPr>
        <w:t xml:space="preserve">In 2025, Equinix </w:t>
      </w:r>
      <w:r w:rsidR="00404815">
        <w:rPr>
          <w:highlight w:val="yellow"/>
        </w:rPr>
        <w:t>reported</w:t>
      </w:r>
      <w:r w:rsidRPr="000124EB">
        <w:rPr>
          <w:highlight w:val="yellow"/>
        </w:rPr>
        <w:t xml:space="preserve"> by achieving a global 96% renewable-energy coverage for its data-center portfolio of retail carriers. This metric measures the percentage of procurement coverage of portfolio of geographically distributed facilities in multiple markets and jurisdictions. Renewable energy does not necessarily mean hourly equal to carbon-free matching, or a continuous physical supply of renewable energy</w:t>
      </w:r>
      <w:r w:rsidR="00381E72" w:rsidRPr="000124EB">
        <w:rPr>
          <w:highlight w:val="yellow"/>
        </w:rPr>
        <w:fldChar w:fldCharType="begin"/>
      </w:r>
      <w:r w:rsidR="00A95675">
        <w:rPr>
          <w:highlight w:val="yellow"/>
        </w:rPr>
        <w:instrText xml:space="preserve"> ADDIN ZOTERO_ITEM CSL_CITATION {"citationID":"xSrZql8g","properties":{"unsorted":false,"formattedCitation":"[57]","plainCitation":"[57]","noteIndex":0},"citationItems":[{"id":2007,"uris":["http://zotero.org/users/9870935/items/KHWRQFNN"],"itemData":{"id":2007,"type":"post-weblog","title":"Sustainability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381E72" w:rsidRPr="000124EB">
        <w:rPr>
          <w:highlight w:val="yellow"/>
        </w:rPr>
        <w:fldChar w:fldCharType="separate"/>
      </w:r>
      <w:r w:rsidR="00A95675" w:rsidRPr="00A95675">
        <w:rPr>
          <w:highlight w:val="yellow"/>
        </w:rPr>
        <w:t>[57]</w:t>
      </w:r>
      <w:r w:rsidR="00381E72" w:rsidRPr="000124EB">
        <w:rPr>
          <w:highlight w:val="yellow"/>
        </w:rPr>
        <w:fldChar w:fldCharType="end"/>
      </w:r>
      <w:r w:rsidRPr="000124EB">
        <w:rPr>
          <w:highlight w:val="yellow"/>
        </w:rPr>
        <w:t>.</w:t>
      </w:r>
    </w:p>
    <w:p w14:paraId="6C3C2750" w14:textId="622BD961" w:rsidR="00E72673" w:rsidRPr="000124EB" w:rsidRDefault="00E72673" w:rsidP="00E72673">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5, 6, 7.</w:t>
      </w:r>
    </w:p>
    <w:p w14:paraId="10209D89" w14:textId="7EB008BD" w:rsidR="009775DC" w:rsidRPr="00D22200" w:rsidRDefault="00E72673" w:rsidP="009A2F97">
      <w:pPr>
        <w:pStyle w:val="ListParagraph"/>
        <w:numPr>
          <w:ilvl w:val="0"/>
          <w:numId w:val="32"/>
        </w:numPr>
        <w:spacing w:after="120"/>
        <w:rPr>
          <w:highlight w:val="yellow"/>
        </w:rPr>
      </w:pPr>
      <w:r w:rsidRPr="00D22200">
        <w:rPr>
          <w:b/>
          <w:bCs/>
          <w:highlight w:val="yellow"/>
        </w:rPr>
        <w:t>Transferability limitation:</w:t>
      </w:r>
      <w:r w:rsidRPr="00D22200">
        <w:rPr>
          <w:highlight w:val="yellow"/>
        </w:rPr>
        <w:t xml:space="preserve"> </w:t>
      </w:r>
      <w:r w:rsidR="00D22200" w:rsidRPr="00D22200">
        <w:rPr>
          <w:highlight w:val="yellow"/>
        </w:rPr>
        <w:t xml:space="preserve">Transferability depends strongly on </w:t>
      </w:r>
      <w:r w:rsidR="00FE7DCC" w:rsidRPr="00D22200">
        <w:rPr>
          <w:highlight w:val="yellow"/>
        </w:rPr>
        <w:t>local market conditions, electricity pricing, ownership structures, procurement options, and renewable energy contracts.</w:t>
      </w:r>
    </w:p>
    <w:p w14:paraId="791EAA9D" w14:textId="77777777" w:rsidR="00FE013C" w:rsidRPr="000124EB" w:rsidRDefault="00FE013C" w:rsidP="004C16FF">
      <w:pPr>
        <w:pStyle w:val="Heading20"/>
        <w:jc w:val="both"/>
        <w:rPr>
          <w:color w:val="auto"/>
          <w:highlight w:val="yellow"/>
        </w:rPr>
      </w:pPr>
      <w:r w:rsidRPr="000124EB">
        <w:rPr>
          <w:color w:val="auto"/>
          <w:highlight w:val="yellow"/>
        </w:rPr>
        <w:t>8.5 Apple:100 Percent Renewable Commitment</w:t>
      </w:r>
    </w:p>
    <w:p w14:paraId="39CBA97F" w14:textId="2B414BC6" w:rsidR="00C60EFF" w:rsidRPr="000124EB" w:rsidRDefault="00C60EFF" w:rsidP="001D1223">
      <w:pPr>
        <w:spacing w:after="120"/>
        <w:ind w:firstLine="480"/>
        <w:rPr>
          <w:highlight w:val="yellow"/>
        </w:rPr>
      </w:pPr>
      <w:r w:rsidRPr="0089318C">
        <w:rPr>
          <w:highlight w:val="yellow"/>
        </w:rPr>
        <w:t xml:space="preserve">Since 2018, Apple has been operating its </w:t>
      </w:r>
      <w:r w:rsidR="0089318C" w:rsidRPr="0089318C">
        <w:rPr>
          <w:highlight w:val="yellow"/>
        </w:rPr>
        <w:t>corporate facilities, including offices, retail stores, and data centers</w:t>
      </w:r>
      <w:r w:rsidRPr="0089318C">
        <w:rPr>
          <w:highlight w:val="yellow"/>
        </w:rPr>
        <w:t xml:space="preserve">, entirely on renewable power from across the company. The company also announced that it now has more than 17.8 GW of clean energy </w:t>
      </w:r>
      <w:r w:rsidRPr="000124EB">
        <w:rPr>
          <w:highlight w:val="yellow"/>
        </w:rPr>
        <w:t>suppliers. These figures only account for corporate renewable purchases, but do not necessarily mean continual physical renewable supply to individual data centres</w:t>
      </w:r>
      <w:r w:rsidRPr="000124EB">
        <w:rPr>
          <w:highlight w:val="yellow"/>
        </w:rPr>
        <w:fldChar w:fldCharType="begin"/>
      </w:r>
      <w:r w:rsidR="001D1223">
        <w:rPr>
          <w:highlight w:val="yellow"/>
        </w:rPr>
        <w:instrText xml:space="preserve"> ADDIN ZOTERO_ITEM CSL_CITATION {"citationID":"7UxY0Xko","properties":{"unsorted":false,"formattedCitation":"[67]","plainCitation":"[67]","noteIndex":0},"citationItems":[{"id":2010,"uris":["http://zotero.org/users/9870935/items/36ZP5SVZ"],"itemData":{"id":2010,"type":"post-weblog","title":"Environmental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Pr="000124EB">
        <w:rPr>
          <w:highlight w:val="yellow"/>
        </w:rPr>
        <w:fldChar w:fldCharType="separate"/>
      </w:r>
      <w:r w:rsidR="001D1223" w:rsidRPr="001D1223">
        <w:rPr>
          <w:highlight w:val="yellow"/>
        </w:rPr>
        <w:t>[67]</w:t>
      </w:r>
      <w:r w:rsidRPr="000124EB">
        <w:rPr>
          <w:highlight w:val="yellow"/>
        </w:rPr>
        <w:fldChar w:fldCharType="end"/>
      </w:r>
      <w:r w:rsidRPr="000124EB">
        <w:rPr>
          <w:highlight w:val="yellow"/>
        </w:rPr>
        <w:t>.</w:t>
      </w:r>
    </w:p>
    <w:p w14:paraId="6D8E4363" w14:textId="620DC058" w:rsidR="00AB34BE" w:rsidRPr="000124EB" w:rsidRDefault="00AB34BE" w:rsidP="00AB34BE">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6, 7.</w:t>
      </w:r>
    </w:p>
    <w:p w14:paraId="05BC1592" w14:textId="4DA09C28" w:rsidR="00AB34BE" w:rsidRPr="000124EB" w:rsidRDefault="00AB34BE" w:rsidP="00F56B71">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F56B71" w:rsidRPr="000124EB">
        <w:rPr>
          <w:highlight w:val="yellow"/>
        </w:rPr>
        <w:t>Its transferability relies on the influence of supply chain, the location of facilities, availability of RE procurement process, and financing of long-term clean energy investments.</w:t>
      </w:r>
    </w:p>
    <w:p w14:paraId="46F27C08" w14:textId="77777777" w:rsidR="00FE013C" w:rsidRPr="000124EB" w:rsidRDefault="00FE013C" w:rsidP="004C16FF">
      <w:pPr>
        <w:pStyle w:val="Heading20"/>
        <w:jc w:val="both"/>
        <w:rPr>
          <w:color w:val="auto"/>
          <w:highlight w:val="yellow"/>
        </w:rPr>
      </w:pPr>
      <w:r w:rsidRPr="000124EB">
        <w:rPr>
          <w:color w:val="auto"/>
          <w:highlight w:val="yellow"/>
        </w:rPr>
        <w:t>8.6 Comparative Analysis</w:t>
      </w:r>
    </w:p>
    <w:p w14:paraId="2EDCFDF6" w14:textId="608EE6A3" w:rsidR="00FB2184" w:rsidRPr="000124EB" w:rsidRDefault="004867FE" w:rsidP="00FB2184">
      <w:pPr>
        <w:spacing w:after="120"/>
        <w:ind w:firstLine="480"/>
        <w:rPr>
          <w:highlight w:val="yellow"/>
        </w:rPr>
      </w:pPr>
      <w:r>
        <w:rPr>
          <w:highlight w:val="yellow"/>
        </w:rPr>
        <w:fldChar w:fldCharType="begin"/>
      </w:r>
      <w:r>
        <w:rPr>
          <w:highlight w:val="yellow"/>
        </w:rPr>
        <w:instrText xml:space="preserve"> REF _Ref239530912 \h </w:instrText>
      </w:r>
      <w:r>
        <w:rPr>
          <w:highlight w:val="yellow"/>
        </w:rPr>
      </w:r>
      <w:r>
        <w:rPr>
          <w:highlight w:val="yellow"/>
        </w:rPr>
        <w:fldChar w:fldCharType="separate"/>
      </w:r>
      <w:r w:rsidRPr="000124EB">
        <w:rPr>
          <w:highlight w:val="yellow"/>
        </w:rPr>
        <w:t xml:space="preserve">Table </w:t>
      </w:r>
      <w:r w:rsidRPr="000124EB">
        <w:rPr>
          <w:noProof/>
          <w:highlight w:val="yellow"/>
        </w:rPr>
        <w:t>8</w:t>
      </w:r>
      <w:r w:rsidRPr="000124EB">
        <w:rPr>
          <w:highlight w:val="yellow"/>
        </w:rPr>
        <w:t xml:space="preserve"> Comparative analysis of industry case studies</w:t>
      </w:r>
      <w:r>
        <w:rPr>
          <w:highlight w:val="yellow"/>
        </w:rPr>
        <w:fldChar w:fldCharType="end"/>
      </w:r>
      <w:r>
        <w:rPr>
          <w:highlight w:val="yellow"/>
        </w:rPr>
        <w:t xml:space="preserve">, </w:t>
      </w:r>
      <w:r w:rsidR="00FB2184" w:rsidRPr="000124EB">
        <w:rPr>
          <w:highlight w:val="yellow"/>
        </w:rPr>
        <w:t>summarizes the accounting basis, publicly reported energy strategy, relevance to the framework, and key transferability limitations associated with each case study. Because annual renewable matching, hourly carbon-free energy matching, procurement coverage, and prospective energy-supply agreements represent fundamentally different measures, they should not be directly compared or ranked on a common basis.</w:t>
      </w:r>
    </w:p>
    <w:p w14:paraId="413ABD3C" w14:textId="111EC38C" w:rsidR="00FE013C" w:rsidRPr="000124EB" w:rsidRDefault="00FE013C" w:rsidP="004C16FF">
      <w:pPr>
        <w:pStyle w:val="Caption"/>
        <w:keepNext/>
        <w:rPr>
          <w:highlight w:val="yellow"/>
        </w:rPr>
      </w:pPr>
      <w:bookmarkStart w:id="22" w:name="_Ref239530912"/>
      <w:r w:rsidRPr="000124EB">
        <w:rPr>
          <w:highlight w:val="yellow"/>
        </w:rPr>
        <w:t xml:space="preserve">Table </w:t>
      </w:r>
      <w:r w:rsidRPr="000124EB">
        <w:rPr>
          <w:highlight w:val="yellow"/>
        </w:rPr>
        <w:fldChar w:fldCharType="begin"/>
      </w:r>
      <w:r w:rsidRPr="000124EB">
        <w:rPr>
          <w:highlight w:val="yellow"/>
        </w:rPr>
        <w:instrText xml:space="preserve"> SEQ Table \* ARABIC </w:instrText>
      </w:r>
      <w:r w:rsidRPr="000124EB">
        <w:rPr>
          <w:highlight w:val="yellow"/>
        </w:rPr>
        <w:fldChar w:fldCharType="separate"/>
      </w:r>
      <w:r w:rsidR="003A45CA" w:rsidRPr="000124EB">
        <w:rPr>
          <w:noProof/>
          <w:highlight w:val="yellow"/>
        </w:rPr>
        <w:t>8</w:t>
      </w:r>
      <w:r w:rsidRPr="000124EB">
        <w:rPr>
          <w:noProof/>
          <w:highlight w:val="yellow"/>
        </w:rPr>
        <w:fldChar w:fldCharType="end"/>
      </w:r>
      <w:r w:rsidRPr="000124EB">
        <w:rPr>
          <w:highlight w:val="yellow"/>
        </w:rPr>
        <w:t xml:space="preserve"> Comparative analysis of industry case studies</w:t>
      </w:r>
      <w:bookmarkEnd w:id="22"/>
    </w:p>
    <w:tbl>
      <w:tblPr>
        <w:tblStyle w:val="MDPI41threelinetable"/>
        <w:tblW w:w="5000" w:type="pct"/>
        <w:tblLook w:val="04A0" w:firstRow="1" w:lastRow="0" w:firstColumn="1" w:lastColumn="0" w:noHBand="0" w:noVBand="1"/>
      </w:tblPr>
      <w:tblGrid>
        <w:gridCol w:w="1603"/>
        <w:gridCol w:w="1909"/>
        <w:gridCol w:w="1714"/>
        <w:gridCol w:w="1716"/>
        <w:gridCol w:w="1424"/>
        <w:gridCol w:w="1386"/>
      </w:tblGrid>
      <w:tr w:rsidR="00D518D6" w:rsidRPr="000124EB" w14:paraId="75737415" w14:textId="77777777" w:rsidTr="00BC04A7">
        <w:trPr>
          <w:cnfStyle w:val="100000000000" w:firstRow="1" w:lastRow="0" w:firstColumn="0" w:lastColumn="0" w:oddVBand="0" w:evenVBand="0" w:oddHBand="0" w:evenHBand="0" w:firstRowFirstColumn="0" w:firstRowLastColumn="0" w:lastRowFirstColumn="0" w:lastRowLastColumn="0"/>
        </w:trPr>
        <w:tc>
          <w:tcPr>
            <w:tcW w:w="822" w:type="pct"/>
          </w:tcPr>
          <w:p w14:paraId="057A76E6" w14:textId="4275399B" w:rsidR="00D518D6" w:rsidRPr="000124EB" w:rsidRDefault="00D518D6" w:rsidP="00D518D6">
            <w:pPr>
              <w:pStyle w:val="TableBody"/>
              <w:jc w:val="both"/>
              <w:rPr>
                <w:color w:val="auto"/>
                <w:sz w:val="18"/>
                <w:szCs w:val="18"/>
                <w:highlight w:val="yellow"/>
              </w:rPr>
            </w:pPr>
            <w:r w:rsidRPr="000124EB">
              <w:rPr>
                <w:sz w:val="18"/>
                <w:szCs w:val="18"/>
                <w:highlight w:val="yellow"/>
              </w:rPr>
              <w:t>Company</w:t>
            </w:r>
          </w:p>
        </w:tc>
        <w:tc>
          <w:tcPr>
            <w:tcW w:w="979" w:type="pct"/>
          </w:tcPr>
          <w:p w14:paraId="46300FB3" w14:textId="0FBDC594" w:rsidR="00D518D6" w:rsidRPr="000124EB" w:rsidRDefault="00D518D6" w:rsidP="00D518D6">
            <w:pPr>
              <w:pStyle w:val="TableBody"/>
              <w:jc w:val="both"/>
              <w:rPr>
                <w:color w:val="auto"/>
                <w:sz w:val="18"/>
                <w:szCs w:val="18"/>
                <w:highlight w:val="yellow"/>
              </w:rPr>
            </w:pPr>
            <w:r w:rsidRPr="000124EB">
              <w:rPr>
                <w:sz w:val="18"/>
                <w:szCs w:val="18"/>
                <w:highlight w:val="yellow"/>
              </w:rPr>
              <w:t>Reporting Year</w:t>
            </w:r>
          </w:p>
        </w:tc>
        <w:tc>
          <w:tcPr>
            <w:tcW w:w="879" w:type="pct"/>
          </w:tcPr>
          <w:p w14:paraId="3CD71E12" w14:textId="16815BB9" w:rsidR="00D518D6" w:rsidRPr="000124EB" w:rsidRDefault="00D518D6" w:rsidP="00D518D6">
            <w:pPr>
              <w:pStyle w:val="TableBody"/>
              <w:jc w:val="both"/>
              <w:rPr>
                <w:color w:val="auto"/>
                <w:sz w:val="18"/>
                <w:szCs w:val="18"/>
                <w:highlight w:val="yellow"/>
              </w:rPr>
            </w:pPr>
            <w:r w:rsidRPr="000124EB">
              <w:rPr>
                <w:sz w:val="18"/>
                <w:szCs w:val="18"/>
                <w:highlight w:val="yellow"/>
              </w:rPr>
              <w:t>Reported Metric</w:t>
            </w:r>
          </w:p>
        </w:tc>
        <w:tc>
          <w:tcPr>
            <w:tcW w:w="880" w:type="pct"/>
          </w:tcPr>
          <w:p w14:paraId="23A95C6D" w14:textId="0B47271C" w:rsidR="00D518D6" w:rsidRPr="000124EB" w:rsidRDefault="00D518D6" w:rsidP="00D518D6">
            <w:pPr>
              <w:pStyle w:val="TableBody"/>
              <w:jc w:val="both"/>
              <w:rPr>
                <w:color w:val="auto"/>
                <w:sz w:val="18"/>
                <w:szCs w:val="18"/>
                <w:highlight w:val="yellow"/>
              </w:rPr>
            </w:pPr>
            <w:r w:rsidRPr="000124EB">
              <w:rPr>
                <w:sz w:val="18"/>
                <w:szCs w:val="18"/>
                <w:highlight w:val="yellow"/>
              </w:rPr>
              <w:t>Accounting Basis</w:t>
            </w:r>
          </w:p>
        </w:tc>
        <w:tc>
          <w:tcPr>
            <w:tcW w:w="730" w:type="pct"/>
          </w:tcPr>
          <w:p w14:paraId="334B8ACE" w14:textId="6E797BC4" w:rsidR="00D518D6" w:rsidRPr="000124EB" w:rsidRDefault="00D518D6" w:rsidP="00D518D6">
            <w:pPr>
              <w:pStyle w:val="TableBody"/>
              <w:jc w:val="both"/>
              <w:rPr>
                <w:color w:val="auto"/>
                <w:sz w:val="18"/>
                <w:szCs w:val="18"/>
                <w:highlight w:val="yellow"/>
              </w:rPr>
            </w:pPr>
            <w:r w:rsidRPr="000124EB">
              <w:rPr>
                <w:sz w:val="18"/>
                <w:szCs w:val="18"/>
                <w:highlight w:val="yellow"/>
              </w:rPr>
              <w:t>Framework Relevance</w:t>
            </w:r>
          </w:p>
        </w:tc>
        <w:tc>
          <w:tcPr>
            <w:tcW w:w="711" w:type="pct"/>
          </w:tcPr>
          <w:p w14:paraId="7418C611" w14:textId="74D448A6" w:rsidR="00D518D6" w:rsidRPr="000124EB" w:rsidRDefault="00D518D6" w:rsidP="00D518D6">
            <w:pPr>
              <w:pStyle w:val="TableBody"/>
              <w:jc w:val="both"/>
              <w:rPr>
                <w:color w:val="auto"/>
                <w:sz w:val="18"/>
                <w:szCs w:val="18"/>
                <w:highlight w:val="yellow"/>
              </w:rPr>
            </w:pPr>
            <w:r w:rsidRPr="000124EB">
              <w:rPr>
                <w:sz w:val="18"/>
                <w:szCs w:val="18"/>
                <w:highlight w:val="yellow"/>
              </w:rPr>
              <w:t>Transferability Limitations</w:t>
            </w:r>
          </w:p>
        </w:tc>
      </w:tr>
      <w:tr w:rsidR="00D518D6" w:rsidRPr="000124EB" w14:paraId="7B036BF4" w14:textId="77777777" w:rsidTr="00BC04A7">
        <w:tc>
          <w:tcPr>
            <w:tcW w:w="822" w:type="pct"/>
          </w:tcPr>
          <w:p w14:paraId="693937D9" w14:textId="3F903C1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Google</w:t>
            </w:r>
          </w:p>
        </w:tc>
        <w:tc>
          <w:tcPr>
            <w:tcW w:w="979" w:type="pct"/>
          </w:tcPr>
          <w:p w14:paraId="5320612A" w14:textId="7B6A08B3"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1C3C603A" w14:textId="04DA1CB5" w:rsidR="00D518D6" w:rsidRPr="000124EB" w:rsidRDefault="00D518D6" w:rsidP="00D518D6">
            <w:pPr>
              <w:pStyle w:val="TableBody"/>
              <w:jc w:val="both"/>
              <w:rPr>
                <w:b/>
                <w:bCs/>
                <w:color w:val="auto"/>
                <w:sz w:val="18"/>
                <w:szCs w:val="18"/>
                <w:highlight w:val="yellow"/>
              </w:rPr>
            </w:pPr>
            <w:r w:rsidRPr="000124EB">
              <w:rPr>
                <w:sz w:val="18"/>
                <w:szCs w:val="18"/>
                <w:highlight w:val="yellow"/>
              </w:rPr>
              <w:t>66% global hourly CFE use</w:t>
            </w:r>
          </w:p>
        </w:tc>
        <w:tc>
          <w:tcPr>
            <w:tcW w:w="880" w:type="pct"/>
          </w:tcPr>
          <w:p w14:paraId="53444DFC" w14:textId="1E07525F" w:rsidR="00D518D6" w:rsidRPr="000124EB" w:rsidRDefault="00D518D6" w:rsidP="00D518D6">
            <w:pPr>
              <w:pStyle w:val="TableBody"/>
              <w:jc w:val="both"/>
              <w:rPr>
                <w:b/>
                <w:bCs/>
                <w:color w:val="auto"/>
                <w:sz w:val="18"/>
                <w:szCs w:val="18"/>
                <w:highlight w:val="yellow"/>
              </w:rPr>
            </w:pPr>
            <w:r w:rsidRPr="000124EB">
              <w:rPr>
                <w:sz w:val="18"/>
                <w:szCs w:val="18"/>
                <w:highlight w:val="yellow"/>
              </w:rPr>
              <w:t>Hourly carbon-free energy matching</w:t>
            </w:r>
          </w:p>
        </w:tc>
        <w:tc>
          <w:tcPr>
            <w:tcW w:w="730" w:type="pct"/>
          </w:tcPr>
          <w:p w14:paraId="7E70B03C" w14:textId="2042A81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2, 4, 5, 6, and 7</w:t>
            </w:r>
          </w:p>
        </w:tc>
        <w:tc>
          <w:tcPr>
            <w:tcW w:w="711" w:type="pct"/>
          </w:tcPr>
          <w:p w14:paraId="4425D905" w14:textId="50FE9502" w:rsidR="00D518D6" w:rsidRPr="000124EB" w:rsidRDefault="00D518D6" w:rsidP="00D518D6">
            <w:pPr>
              <w:pStyle w:val="TableBody"/>
              <w:jc w:val="both"/>
              <w:rPr>
                <w:b/>
                <w:bCs/>
                <w:color w:val="auto"/>
                <w:sz w:val="18"/>
                <w:szCs w:val="18"/>
                <w:highlight w:val="yellow"/>
              </w:rPr>
            </w:pPr>
            <w:r w:rsidRPr="000124EB">
              <w:rPr>
                <w:sz w:val="18"/>
                <w:szCs w:val="18"/>
                <w:highlight w:val="yellow"/>
              </w:rPr>
              <w:t xml:space="preserve">Requires large-scale </w:t>
            </w:r>
            <w:r w:rsidRPr="000124EB">
              <w:rPr>
                <w:sz w:val="18"/>
                <w:szCs w:val="18"/>
                <w:highlight w:val="yellow"/>
              </w:rPr>
              <w:lastRenderedPageBreak/>
              <w:t>procurement, regional market access, and workload flexibility</w:t>
            </w:r>
          </w:p>
        </w:tc>
      </w:tr>
      <w:tr w:rsidR="00D518D6" w:rsidRPr="000124EB" w14:paraId="3EF64DD8" w14:textId="77777777" w:rsidTr="00BC04A7">
        <w:tc>
          <w:tcPr>
            <w:tcW w:w="822" w:type="pct"/>
          </w:tcPr>
          <w:p w14:paraId="4D51795C" w14:textId="18DEBDF2"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lastRenderedPageBreak/>
              <w:t>Meta</w:t>
            </w:r>
          </w:p>
        </w:tc>
        <w:tc>
          <w:tcPr>
            <w:tcW w:w="979" w:type="pct"/>
          </w:tcPr>
          <w:p w14:paraId="49A992DE" w14:textId="3EA9EF17"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9741D54" w14:textId="56F65E03" w:rsidR="00D518D6" w:rsidRPr="000124EB" w:rsidRDefault="00D518D6" w:rsidP="00D518D6">
            <w:pPr>
              <w:pStyle w:val="TableBody"/>
              <w:jc w:val="both"/>
              <w:rPr>
                <w:b/>
                <w:bCs/>
                <w:color w:val="auto"/>
                <w:sz w:val="18"/>
                <w:szCs w:val="18"/>
                <w:highlight w:val="yellow"/>
              </w:rPr>
            </w:pPr>
            <w:r w:rsidRPr="000124EB">
              <w:rPr>
                <w:sz w:val="18"/>
                <w:szCs w:val="18"/>
                <w:highlight w:val="yellow"/>
              </w:rPr>
              <w:t>100% operational electricity matched with clean and renewable energy</w:t>
            </w:r>
          </w:p>
        </w:tc>
        <w:tc>
          <w:tcPr>
            <w:tcW w:w="880" w:type="pct"/>
          </w:tcPr>
          <w:p w14:paraId="4695C85A" w14:textId="391F5839" w:rsidR="00D518D6" w:rsidRPr="000124EB" w:rsidRDefault="00D518D6" w:rsidP="00D518D6">
            <w:pPr>
              <w:pStyle w:val="TableBody"/>
              <w:jc w:val="both"/>
              <w:rPr>
                <w:b/>
                <w:bCs/>
                <w:color w:val="auto"/>
                <w:sz w:val="18"/>
                <w:szCs w:val="18"/>
                <w:highlight w:val="yellow"/>
              </w:rPr>
            </w:pPr>
            <w:r w:rsidRPr="000124EB">
              <w:rPr>
                <w:sz w:val="18"/>
                <w:szCs w:val="18"/>
                <w:highlight w:val="yellow"/>
              </w:rPr>
              <w:t>Annual renewable-energy matching and procurement coverage</w:t>
            </w:r>
          </w:p>
        </w:tc>
        <w:tc>
          <w:tcPr>
            <w:tcW w:w="730" w:type="pct"/>
          </w:tcPr>
          <w:p w14:paraId="7B33FE4E" w14:textId="437BA23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14AFFFD5" w14:textId="4B2D0221" w:rsidR="00D518D6" w:rsidRPr="000124EB" w:rsidRDefault="00D518D6" w:rsidP="00D518D6">
            <w:pPr>
              <w:pStyle w:val="TableBody"/>
              <w:jc w:val="both"/>
              <w:rPr>
                <w:b/>
                <w:bCs/>
                <w:color w:val="auto"/>
                <w:sz w:val="18"/>
                <w:szCs w:val="18"/>
                <w:highlight w:val="yellow"/>
              </w:rPr>
            </w:pPr>
            <w:r w:rsidRPr="000124EB">
              <w:rPr>
                <w:sz w:val="18"/>
                <w:szCs w:val="18"/>
                <w:highlight w:val="yellow"/>
              </w:rPr>
              <w:t>Does not demonstrate hourly CFE or continuous physical supply</w:t>
            </w:r>
          </w:p>
        </w:tc>
      </w:tr>
      <w:tr w:rsidR="00D518D6" w:rsidRPr="000124EB" w14:paraId="6CC7FCCE" w14:textId="77777777" w:rsidTr="00BC04A7">
        <w:tc>
          <w:tcPr>
            <w:tcW w:w="822" w:type="pct"/>
          </w:tcPr>
          <w:p w14:paraId="0A152B8B" w14:textId="5533D510"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Microsoft</w:t>
            </w:r>
          </w:p>
        </w:tc>
        <w:tc>
          <w:tcPr>
            <w:tcW w:w="979" w:type="pct"/>
          </w:tcPr>
          <w:p w14:paraId="69341F54" w14:textId="4AF995F0"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FA2BD53" w14:textId="09282CCD" w:rsidR="00D518D6" w:rsidRPr="000124EB" w:rsidRDefault="00D518D6" w:rsidP="00D518D6">
            <w:pPr>
              <w:pStyle w:val="TableBody"/>
              <w:jc w:val="both"/>
              <w:rPr>
                <w:b/>
                <w:bCs/>
                <w:color w:val="auto"/>
                <w:sz w:val="18"/>
                <w:szCs w:val="18"/>
                <w:highlight w:val="yellow"/>
              </w:rPr>
            </w:pPr>
            <w:r w:rsidRPr="000124EB">
              <w:rPr>
                <w:sz w:val="18"/>
                <w:szCs w:val="18"/>
                <w:highlight w:val="yellow"/>
              </w:rPr>
              <w:t>Clean-energy procurement and emerging-energy projects</w:t>
            </w:r>
          </w:p>
        </w:tc>
        <w:tc>
          <w:tcPr>
            <w:tcW w:w="880" w:type="pct"/>
          </w:tcPr>
          <w:p w14:paraId="7145CA87" w14:textId="1A1BD8BA"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 sustainability reporting and prospective project-specific agreements</w:t>
            </w:r>
          </w:p>
        </w:tc>
        <w:tc>
          <w:tcPr>
            <w:tcW w:w="730" w:type="pct"/>
          </w:tcPr>
          <w:p w14:paraId="1D7791C9" w14:textId="35EF91A7"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3, 4, and 7</w:t>
            </w:r>
          </w:p>
        </w:tc>
        <w:tc>
          <w:tcPr>
            <w:tcW w:w="711" w:type="pct"/>
          </w:tcPr>
          <w:p w14:paraId="0F207F80" w14:textId="7A9C64AD" w:rsidR="00D518D6" w:rsidRPr="000124EB" w:rsidRDefault="00D518D6" w:rsidP="00D518D6">
            <w:pPr>
              <w:pStyle w:val="TableBody"/>
              <w:jc w:val="both"/>
              <w:rPr>
                <w:b/>
                <w:bCs/>
                <w:color w:val="auto"/>
                <w:sz w:val="18"/>
                <w:szCs w:val="18"/>
                <w:highlight w:val="yellow"/>
              </w:rPr>
            </w:pPr>
            <w:r w:rsidRPr="000124EB">
              <w:rPr>
                <w:sz w:val="18"/>
                <w:szCs w:val="18"/>
                <w:highlight w:val="yellow"/>
              </w:rPr>
              <w:t>Many initiatives remain dependent on commercial maturity and regulatory approval</w:t>
            </w:r>
          </w:p>
        </w:tc>
      </w:tr>
      <w:tr w:rsidR="00D518D6" w:rsidRPr="000124EB" w14:paraId="599B5E34" w14:textId="77777777" w:rsidTr="00BC04A7">
        <w:tc>
          <w:tcPr>
            <w:tcW w:w="822" w:type="pct"/>
          </w:tcPr>
          <w:p w14:paraId="4F3A6A97" w14:textId="136FFEF5"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Equinix</w:t>
            </w:r>
          </w:p>
        </w:tc>
        <w:tc>
          <w:tcPr>
            <w:tcW w:w="979" w:type="pct"/>
          </w:tcPr>
          <w:p w14:paraId="0F17F129" w14:textId="4911A484" w:rsidR="00D518D6" w:rsidRPr="000124EB" w:rsidRDefault="00D518D6" w:rsidP="00D518D6">
            <w:pPr>
              <w:pStyle w:val="TableBody"/>
              <w:jc w:val="both"/>
              <w:rPr>
                <w:b/>
                <w:bCs/>
                <w:color w:val="auto"/>
                <w:sz w:val="18"/>
                <w:szCs w:val="18"/>
                <w:highlight w:val="yellow"/>
              </w:rPr>
            </w:pPr>
            <w:r w:rsidRPr="000124EB">
              <w:rPr>
                <w:sz w:val="18"/>
                <w:szCs w:val="18"/>
                <w:highlight w:val="yellow"/>
              </w:rPr>
              <w:t>2025</w:t>
            </w:r>
          </w:p>
        </w:tc>
        <w:tc>
          <w:tcPr>
            <w:tcW w:w="879" w:type="pct"/>
          </w:tcPr>
          <w:p w14:paraId="248B5E41" w14:textId="0C63FABE" w:rsidR="00D518D6" w:rsidRPr="000124EB" w:rsidRDefault="00D518D6" w:rsidP="00D518D6">
            <w:pPr>
              <w:pStyle w:val="TableBody"/>
              <w:jc w:val="both"/>
              <w:rPr>
                <w:b/>
                <w:bCs/>
                <w:color w:val="auto"/>
                <w:sz w:val="18"/>
                <w:szCs w:val="18"/>
                <w:highlight w:val="yellow"/>
              </w:rPr>
            </w:pPr>
            <w:r w:rsidRPr="000124EB">
              <w:rPr>
                <w:sz w:val="18"/>
                <w:szCs w:val="18"/>
                <w:highlight w:val="yellow"/>
              </w:rPr>
              <w:t>96% renewable-energy coverage</w:t>
            </w:r>
          </w:p>
        </w:tc>
        <w:tc>
          <w:tcPr>
            <w:tcW w:w="880" w:type="pct"/>
          </w:tcPr>
          <w:p w14:paraId="11ABAB79" w14:textId="28A24429" w:rsidR="00D518D6" w:rsidRPr="000124EB" w:rsidRDefault="00D518D6" w:rsidP="00D518D6">
            <w:pPr>
              <w:pStyle w:val="TableBody"/>
              <w:jc w:val="both"/>
              <w:rPr>
                <w:b/>
                <w:bCs/>
                <w:color w:val="auto"/>
                <w:sz w:val="18"/>
                <w:szCs w:val="18"/>
                <w:highlight w:val="yellow"/>
              </w:rPr>
            </w:pPr>
            <w:r w:rsidRPr="000124EB">
              <w:rPr>
                <w:sz w:val="18"/>
                <w:szCs w:val="18"/>
                <w:highlight w:val="yellow"/>
              </w:rPr>
              <w:t>Portfolio-level procurement coverage</w:t>
            </w:r>
          </w:p>
        </w:tc>
        <w:tc>
          <w:tcPr>
            <w:tcW w:w="730" w:type="pct"/>
          </w:tcPr>
          <w:p w14:paraId="01DDFBDB" w14:textId="30DD794D"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5, 6, and 7</w:t>
            </w:r>
          </w:p>
        </w:tc>
        <w:tc>
          <w:tcPr>
            <w:tcW w:w="711" w:type="pct"/>
          </w:tcPr>
          <w:p w14:paraId="3C13AB32" w14:textId="35669E1A"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Renewable-energy coverage is not equivalent to hourly CFE</w:t>
            </w:r>
          </w:p>
        </w:tc>
      </w:tr>
      <w:tr w:rsidR="00D518D6" w14:paraId="6388196F" w14:textId="77777777" w:rsidTr="00BC04A7">
        <w:tc>
          <w:tcPr>
            <w:tcW w:w="822" w:type="pct"/>
          </w:tcPr>
          <w:p w14:paraId="3879D4D9" w14:textId="7E5D779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Apple</w:t>
            </w:r>
          </w:p>
        </w:tc>
        <w:tc>
          <w:tcPr>
            <w:tcW w:w="979" w:type="pct"/>
          </w:tcPr>
          <w:p w14:paraId="34E74826" w14:textId="3A535735"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27C79FF0" w14:textId="430B9CA9"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 energy for corporate facilities and 17.8 GW supplier clean energy</w:t>
            </w:r>
          </w:p>
        </w:tc>
        <w:tc>
          <w:tcPr>
            <w:tcW w:w="880" w:type="pct"/>
          </w:tcPr>
          <w:p w14:paraId="304F94A1" w14:textId="3A3CA361"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Corporate-facility renewable matching and supply-chain procurement</w:t>
            </w:r>
          </w:p>
        </w:tc>
        <w:tc>
          <w:tcPr>
            <w:tcW w:w="730" w:type="pct"/>
          </w:tcPr>
          <w:p w14:paraId="7805A12D" w14:textId="1DB67950"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0B054080" w14:textId="731DAAE9" w:rsidR="00D518D6" w:rsidRPr="00BC04A7" w:rsidRDefault="00D518D6" w:rsidP="00D518D6">
            <w:pPr>
              <w:pStyle w:val="TableBody"/>
              <w:jc w:val="both"/>
              <w:rPr>
                <w:b/>
                <w:bCs/>
                <w:color w:val="auto"/>
                <w:sz w:val="18"/>
                <w:szCs w:val="18"/>
              </w:rPr>
            </w:pPr>
            <w:r w:rsidRPr="000124EB">
              <w:rPr>
                <w:sz w:val="18"/>
                <w:szCs w:val="18"/>
                <w:highlight w:val="yellow"/>
              </w:rPr>
              <w:t>Corporate matching does not demonstrate continuous physical renewable supply</w:t>
            </w:r>
          </w:p>
        </w:tc>
      </w:tr>
    </w:tbl>
    <w:p w14:paraId="55BA1A55" w14:textId="2E5B40DE" w:rsidR="00C27947" w:rsidRPr="00C27947" w:rsidRDefault="00FE013C" w:rsidP="00C27947">
      <w:pPr>
        <w:spacing w:after="120"/>
        <w:ind w:firstLine="480"/>
        <w:rPr>
          <w:lang w:val="en-CA"/>
        </w:rPr>
      </w:pPr>
      <w:r>
        <w:t xml:space="preserve">The common success factors identified across all five case studies include the following: (1) long-term renewable procurement through PPAs or owned generation, providing price stability and supply certainty; (2) geographic diversification of data </w:t>
      </w:r>
      <w:r w:rsidR="00580BAE">
        <w:t>center</w:t>
      </w:r>
      <w:r>
        <w:t xml:space="preserve"> capacity across regions with complementary renewable resources; (3) active engagement in workload flexibility and load shifting to </w:t>
      </w:r>
      <w:r w:rsidR="00030122">
        <w:t>maximize</w:t>
      </w:r>
      <w:r>
        <w:t xml:space="preserve"> renewable </w:t>
      </w:r>
      <w:r w:rsidR="00030122">
        <w:t>utilization</w:t>
      </w:r>
      <w:r>
        <w:t xml:space="preserve">; (4) proactive regulatory engagement to shape supportive policy environments; and (5) investment in proprietary technology and control systems that enable sophisticated energy management. </w:t>
      </w:r>
      <w:r w:rsidR="00C27947" w:rsidRPr="00C27947">
        <w:rPr>
          <w:lang w:val="en-CA"/>
        </w:rPr>
        <w:t>These recurring practices are consistent with the multi-component structure of the proposed framework, but they do not constitute experimental validation of the framework. Public corporate evidence is best used to test whether the framework captures decision dimensions that appear in real deployments.</w:t>
      </w:r>
    </w:p>
    <w:p w14:paraId="1CF7A4A1" w14:textId="5F911E85" w:rsidR="00FE013C" w:rsidRPr="00D06DCD" w:rsidRDefault="00FE013C" w:rsidP="00D06DCD">
      <w:pPr>
        <w:pStyle w:val="Heading20"/>
        <w:jc w:val="both"/>
        <w:rPr>
          <w:color w:val="auto"/>
          <w:highlight w:val="yellow"/>
        </w:rPr>
      </w:pPr>
      <w:r w:rsidRPr="00D06DCD">
        <w:rPr>
          <w:color w:val="auto"/>
          <w:highlight w:val="yellow"/>
        </w:rPr>
        <w:t>9. Technical Challenges and Solutions</w:t>
      </w:r>
    </w:p>
    <w:p w14:paraId="63737E71" w14:textId="77777777" w:rsidR="00FE013C" w:rsidRDefault="00FE013C" w:rsidP="004C16FF">
      <w:pPr>
        <w:spacing w:after="120"/>
        <w:ind w:firstLine="480"/>
      </w:pPr>
      <w:r>
        <w:t>This section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60C6999A" w14:textId="77777777" w:rsidR="00FE013C" w:rsidRPr="002A6586" w:rsidRDefault="00FE013C" w:rsidP="004C16FF">
      <w:pPr>
        <w:pStyle w:val="Heading20"/>
        <w:jc w:val="both"/>
        <w:rPr>
          <w:color w:val="auto"/>
          <w:highlight w:val="yellow"/>
        </w:rPr>
      </w:pPr>
      <w:r w:rsidRPr="002A6586">
        <w:rPr>
          <w:color w:val="auto"/>
          <w:highlight w:val="yellow"/>
        </w:rPr>
        <w:t>9.1 Intermittency and Predictability</w:t>
      </w:r>
    </w:p>
    <w:p w14:paraId="64B116EA" w14:textId="676D3FF3" w:rsidR="00044955" w:rsidRPr="002A6586" w:rsidRDefault="00044955" w:rsidP="004E7A62">
      <w:pPr>
        <w:spacing w:after="120"/>
        <w:ind w:firstLine="480"/>
        <w:rPr>
          <w:highlight w:val="yellow"/>
        </w:rPr>
      </w:pPr>
      <w:r w:rsidRPr="00B916A5">
        <w:rPr>
          <w:highlight w:val="yellow"/>
        </w:rPr>
        <w:t xml:space="preserve">Solar and wind generation is </w:t>
      </w:r>
      <w:r w:rsidR="000F2554" w:rsidRPr="00B916A5">
        <w:rPr>
          <w:highlight w:val="yellow"/>
        </w:rPr>
        <w:t>variable and forecast-uncertain across timescales from seconds to seasons</w:t>
      </w:r>
      <w:r w:rsidRPr="00B916A5">
        <w:rPr>
          <w:highlight w:val="yellow"/>
        </w:rPr>
        <w:t>. Forecast error also creates uncertainty in the scheduling and dispatching and this uncertainty needs to be addressed by a mix of flexible demand, storage, grid exchange, backup resources and operating reserves. However, storage duration cannot be determined from a generalized solar-only or wind-only range, as this requirement varies based on chronological resource profile, load characteristics, grid availability</w:t>
      </w:r>
      <w:r w:rsidRPr="002A6586">
        <w:rPr>
          <w:highlight w:val="yellow"/>
        </w:rPr>
        <w:t xml:space="preserve">, reliability requirements, and operational strategy. For project sizing, </w:t>
      </w:r>
      <w:r w:rsidRPr="002A6586">
        <w:rPr>
          <w:highlight w:val="yellow"/>
        </w:rPr>
        <w:lastRenderedPageBreak/>
        <w:t>multi-year chronological analysis should be used with the temporal resolution relevant to the planning question</w:t>
      </w:r>
      <w:r w:rsidRPr="002A6586">
        <w:rPr>
          <w:highlight w:val="yellow"/>
        </w:rPr>
        <w:fldChar w:fldCharType="begin"/>
      </w:r>
      <w:r w:rsidR="001D1223">
        <w:rPr>
          <w:highlight w:val="yellow"/>
        </w:rPr>
        <w:instrText xml:space="preserve"> ADDIN ZOTERO_ITEM CSL_CITATION {"citationID":"AurF55j7","properties":{"unsorted":false,"formattedCitation":"[82]","plainCitation":"[82]","noteIndex":0},"citationItems":[{"id":2031,"uris":["http://zotero.org/users/9870935/items/AC53WR7L"],"itemData":{"id":2031,"type":"article-journal","abstract":"The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Pr="002A6586">
        <w:rPr>
          <w:highlight w:val="yellow"/>
        </w:rPr>
        <w:fldChar w:fldCharType="separate"/>
      </w:r>
      <w:r w:rsidR="001D1223" w:rsidRPr="001D1223">
        <w:rPr>
          <w:highlight w:val="yellow"/>
        </w:rPr>
        <w:t>[82]</w:t>
      </w:r>
      <w:r w:rsidRPr="002A6586">
        <w:rPr>
          <w:highlight w:val="yellow"/>
        </w:rPr>
        <w:fldChar w:fldCharType="end"/>
      </w:r>
      <w:r w:rsidRPr="002A6586">
        <w:rPr>
          <w:highlight w:val="yellow"/>
        </w:rPr>
        <w:t xml:space="preserve">, </w:t>
      </w:r>
      <w:r w:rsidRPr="002A6586">
        <w:rPr>
          <w:highlight w:val="yellow"/>
        </w:rPr>
        <w:fldChar w:fldCharType="begin"/>
      </w:r>
      <w:r w:rsidR="004E7A62">
        <w:rPr>
          <w:highlight w:val="yellow"/>
        </w:rPr>
        <w:instrText xml:space="preserve"> ADDIN ZOTERO_ITEM CSL_CITATION {"citationID":"B5ImwyE7","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Pr="002A6586">
        <w:rPr>
          <w:highlight w:val="yellow"/>
        </w:rPr>
        <w:fldChar w:fldCharType="separate"/>
      </w:r>
      <w:r w:rsidR="004E7A62" w:rsidRPr="004E7A62">
        <w:rPr>
          <w:highlight w:val="yellow"/>
        </w:rPr>
        <w:t>[140]</w:t>
      </w:r>
      <w:r w:rsidRPr="002A6586">
        <w:rPr>
          <w:highlight w:val="yellow"/>
        </w:rPr>
        <w:fldChar w:fldCharType="end"/>
      </w:r>
      <w:r w:rsidRPr="002A6586">
        <w:rPr>
          <w:highlight w:val="yellow"/>
        </w:rPr>
        <w:t>.</w:t>
      </w:r>
    </w:p>
    <w:p w14:paraId="12AA3842" w14:textId="27A86266" w:rsidR="00FE013C" w:rsidRPr="002A6586" w:rsidRDefault="0000519F" w:rsidP="00E842C0">
      <w:pPr>
        <w:spacing w:after="120"/>
        <w:ind w:firstLine="480"/>
        <w:rPr>
          <w:highlight w:val="yellow"/>
        </w:rPr>
      </w:pPr>
      <w:r w:rsidRPr="002A6586">
        <w:rPr>
          <w:highlight w:val="yellow"/>
        </w:rPr>
        <w:t xml:space="preserve">Geographic diversity across multiple facilities can reduce aggregate renewable-generation variability when renewable-resource profiles are not strongly correlated. Published studies have shown that spatial smoothing may improve generation diversity and reduce variability relative to single-site deployments; however, the magnitude of the benefit depends on geographic separation, weather patterns, resource characteristics, transmission availability, and temporal resolution of the analysis </w:t>
      </w:r>
      <w:r w:rsidR="00FE013C" w:rsidRPr="002A6586">
        <w:rPr>
          <w:highlight w:val="yellow"/>
        </w:rPr>
        <w:fldChar w:fldCharType="begin"/>
      </w:r>
      <w:r w:rsidR="00A95675">
        <w:rPr>
          <w:highlight w:val="yellow"/>
        </w:rPr>
        <w:instrText xml:space="preserve"> ADDIN ZOTERO_ITEM CSL_CITATION {"citationID":"ntStXCHv","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E013C" w:rsidRPr="002A6586">
        <w:rPr>
          <w:highlight w:val="yellow"/>
        </w:rPr>
        <w:fldChar w:fldCharType="separate"/>
      </w:r>
      <w:r w:rsidR="00A95675" w:rsidRPr="00A95675">
        <w:rPr>
          <w:highlight w:val="yellow"/>
        </w:rPr>
        <w:t>[104]</w:t>
      </w:r>
      <w:r w:rsidR="00FE013C" w:rsidRPr="002A6586">
        <w:rPr>
          <w:highlight w:val="yellow"/>
        </w:rPr>
        <w:fldChar w:fldCharType="end"/>
      </w:r>
      <w:r w:rsidR="00FE013C" w:rsidRPr="002A6586">
        <w:rPr>
          <w:highlight w:val="yellow"/>
        </w:rPr>
        <w:t xml:space="preserve">. </w:t>
      </w:r>
      <w:r w:rsidR="00604B63" w:rsidRPr="002A6586">
        <w:rPr>
          <w:highlight w:val="yellow"/>
        </w:rPr>
        <w:t xml:space="preserve">Consequently, any reduction in storage requirements or renewable-generation variability should be quantified using geographically resolved chronological simulations rather than assumed from generalized percentages. For multi-facility operators, geographic diversification may improve system flexibility and renewable-energy utilization while enabling more effective use of shared transmission and grid-interconnection infrastructure </w:t>
      </w:r>
      <w:r w:rsidR="00FE013C" w:rsidRPr="002A6586">
        <w:rPr>
          <w:highlight w:val="yellow"/>
        </w:rPr>
        <w:fldChar w:fldCharType="begin"/>
      </w:r>
      <w:r w:rsidR="00E842C0">
        <w:rPr>
          <w:highlight w:val="yellow"/>
        </w:rPr>
        <w:instrText xml:space="preserve"> ADDIN ZOTERO_ITEM CSL_CITATION {"citationID":"0CGGN4om","properties":{"unsorted":false,"formattedCitation":"[149]","plainCitation":"[149]","noteIndex":0},"citationItems":[{"id":217,"uris":["http://zotero.org/users/9870935/items/MST8XCTD"],"itemData":{"id":217,"type":"article-journal","container-title":"IEEE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FE013C" w:rsidRPr="002A6586">
        <w:rPr>
          <w:highlight w:val="yellow"/>
        </w:rPr>
        <w:fldChar w:fldCharType="separate"/>
      </w:r>
      <w:r w:rsidR="00E842C0" w:rsidRPr="00E842C0">
        <w:rPr>
          <w:highlight w:val="yellow"/>
        </w:rPr>
        <w:t>[149]</w:t>
      </w:r>
      <w:r w:rsidR="00FE013C" w:rsidRPr="002A6586">
        <w:rPr>
          <w:highlight w:val="yellow"/>
        </w:rPr>
        <w:fldChar w:fldCharType="end"/>
      </w:r>
      <w:r w:rsidR="00FE013C" w:rsidRPr="002A6586">
        <w:rPr>
          <w:highlight w:val="yellow"/>
        </w:rPr>
        <w:t>.</w:t>
      </w:r>
    </w:p>
    <w:p w14:paraId="273CF30D" w14:textId="77777777" w:rsidR="00FE013C" w:rsidRPr="002A6586" w:rsidRDefault="00FE013C" w:rsidP="004C16FF">
      <w:pPr>
        <w:pStyle w:val="Heading20"/>
        <w:jc w:val="both"/>
        <w:rPr>
          <w:color w:val="auto"/>
          <w:highlight w:val="yellow"/>
        </w:rPr>
      </w:pPr>
      <w:r w:rsidRPr="002A6586">
        <w:rPr>
          <w:color w:val="auto"/>
          <w:highlight w:val="yellow"/>
        </w:rPr>
        <w:t>9.2 Grid Stability and Frequency Control</w:t>
      </w:r>
    </w:p>
    <w:p w14:paraId="6845009A" w14:textId="0C82271C" w:rsidR="00FE013C" w:rsidRPr="002A6586" w:rsidRDefault="00FE013C" w:rsidP="004C16FF">
      <w:pPr>
        <w:spacing w:after="120"/>
        <w:ind w:firstLine="480"/>
        <w:rPr>
          <w:highlight w:val="yellow"/>
        </w:rPr>
      </w:pPr>
      <w:r w:rsidRPr="002A6586">
        <w:rPr>
          <w:highlight w:val="yellow"/>
        </w:rPr>
        <w:t xml:space="preserve">Synchronous generators are being replaced by inverter-based resources, which diminishes the natural inertia that helps regulate grid frequency when disturbances occur, making it more difficult to maintain the frequency within acceptable limits. With high levels of renewable generation (above 50%), the rate of change of frequency (RoCoF) after a generator trip or load change may be beyond traditional governor-based frequency response, which can lead to load shedding or cascading events. The response time of grid-forming </w:t>
      </w:r>
      <w:r w:rsidRPr="002910AD">
        <w:rPr>
          <w:highlight w:val="yellow"/>
        </w:rPr>
        <w:t xml:space="preserve">inverters is milliseconds, as opposed to seconds, making them </w:t>
      </w:r>
      <w:r w:rsidR="005333C5" w:rsidRPr="002910AD">
        <w:rPr>
          <w:highlight w:val="yellow"/>
        </w:rPr>
        <w:t>capable of delivering fast frequency-support responses through appropriately designed control functions</w:t>
      </w:r>
      <w:r w:rsidRPr="002910AD">
        <w:rPr>
          <w:highlight w:val="yellow"/>
        </w:rPr>
        <w:t>, and can be achieved using control algorithms that replicate the inertial reaction of a synchronous machine</w:t>
      </w:r>
      <w:r w:rsidRPr="002910AD">
        <w:rPr>
          <w:highlight w:val="yellow"/>
        </w:rPr>
        <w:fldChar w:fldCharType="begin"/>
      </w:r>
      <w:r w:rsidRPr="002910AD">
        <w:rPr>
          <w:highlight w:val="yellow"/>
        </w:rPr>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Pr="002910AD">
        <w:rPr>
          <w:highlight w:val="yellow"/>
        </w:rPr>
        <w:fldChar w:fldCharType="separate"/>
      </w:r>
      <w:r w:rsidRPr="002910AD">
        <w:rPr>
          <w:highlight w:val="yellow"/>
        </w:rPr>
        <w:t>[18]</w:t>
      </w:r>
      <w:r w:rsidRPr="002910AD">
        <w:rPr>
          <w:highlight w:val="yellow"/>
        </w:rPr>
        <w:fldChar w:fldCharType="end"/>
      </w:r>
      <w:r w:rsidRPr="002910AD">
        <w:rPr>
          <w:highlight w:val="yellow"/>
        </w:rPr>
        <w:t>.</w:t>
      </w:r>
    </w:p>
    <w:p w14:paraId="3A350DB4" w14:textId="27959E3B" w:rsidR="00FE013C" w:rsidRPr="002A6586" w:rsidRDefault="00FE013C" w:rsidP="00E842C0">
      <w:pPr>
        <w:spacing w:after="120"/>
        <w:ind w:firstLine="480"/>
        <w:rPr>
          <w:highlight w:val="yellow"/>
        </w:rPr>
      </w:pPr>
      <w:r w:rsidRPr="002A6586">
        <w:rPr>
          <w:highlight w:val="yellow"/>
        </w:rPr>
        <w:t xml:space="preserve">Weak grid conditions, where the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the deployment of grid-forming inverters, synchronous condensers (rotating masses without generation capacity) that provide inertia and reactive power support, STATCOM devices for dynamic voltage regulation, and the fast frequency response of battery systems that can inject or absorb power in sub-second time </w:t>
      </w:r>
      <w:r w:rsidRPr="002A6586">
        <w:rPr>
          <w:highlight w:val="yellow"/>
        </w:rPr>
        <w:fldChar w:fldCharType="begin"/>
      </w:r>
      <w:r w:rsidR="00E842C0">
        <w:rPr>
          <w:highlight w:val="yellow"/>
        </w:rPr>
        <w:instrText xml:space="preserve"> ADDIN ZOTERO_ITEM CSL_CITATION {"citationID":"MGfld3cH","properties":{"unsorted":false,"formattedCitation":"[151]","plainCitation":"[151]","noteIndex":0},"citationItems":[{"id":1100,"uris":["http://zotero.org/users/9870935/items/E7VUD4ZH"],"itemData":{"id":1100,"type":"article-journal","abstract":"Abstract\n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sidRPr="002A6586">
        <w:rPr>
          <w:highlight w:val="yellow"/>
        </w:rPr>
        <w:fldChar w:fldCharType="separate"/>
      </w:r>
      <w:r w:rsidR="00E842C0" w:rsidRPr="00E842C0">
        <w:rPr>
          <w:highlight w:val="yellow"/>
        </w:rPr>
        <w:t>[151]</w:t>
      </w:r>
      <w:r w:rsidRPr="002A6586">
        <w:rPr>
          <w:highlight w:val="yellow"/>
        </w:rPr>
        <w:fldChar w:fldCharType="end"/>
      </w:r>
      <w:r w:rsidRPr="002A6586">
        <w:rPr>
          <w:highlight w:val="yellow"/>
        </w:rPr>
        <w:t>.</w:t>
      </w:r>
    </w:p>
    <w:p w14:paraId="205B929A" w14:textId="77777777" w:rsidR="00FE013C" w:rsidRPr="002A6586" w:rsidRDefault="00FE013C" w:rsidP="004C16FF">
      <w:pPr>
        <w:pStyle w:val="Heading20"/>
        <w:jc w:val="both"/>
        <w:rPr>
          <w:color w:val="auto"/>
          <w:highlight w:val="yellow"/>
        </w:rPr>
      </w:pPr>
      <w:r w:rsidRPr="002A6586">
        <w:rPr>
          <w:color w:val="auto"/>
          <w:highlight w:val="yellow"/>
        </w:rPr>
        <w:t>9.3 Power quality and Harmonic Distortion</w:t>
      </w:r>
    </w:p>
    <w:p w14:paraId="7413DA1C" w14:textId="37EF639C" w:rsidR="00FE013C" w:rsidRPr="002A6586" w:rsidRDefault="00FE013C" w:rsidP="00A95675">
      <w:pPr>
        <w:spacing w:after="120"/>
        <w:ind w:firstLine="480"/>
        <w:rPr>
          <w:highlight w:val="yellow"/>
        </w:rPr>
      </w:pPr>
      <w:r w:rsidRPr="002A6586">
        <w:rPr>
          <w:highlight w:val="yellow"/>
        </w:rPr>
        <w:t xml:space="preserve">Data </w:t>
      </w:r>
      <w:r w:rsidR="00580BAE" w:rsidRPr="002A6586">
        <w:rPr>
          <w:highlight w:val="yellow"/>
        </w:rPr>
        <w:t>center</w:t>
      </w:r>
      <w:r w:rsidRPr="002A6586">
        <w:rPr>
          <w:highlight w:val="yellow"/>
        </w:rPr>
        <w:t xml:space="preserve"> loads contribute harmonics in several ways: SMPSs consume non-sinusoidal current that includes harmonics of the third, fifth, and seventh orders;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 at the POC, especially when the load is light and the harmonic currents are significant portions of the total current</w:t>
      </w:r>
      <w:r w:rsidRPr="002A6586">
        <w:rPr>
          <w:highlight w:val="yellow"/>
        </w:rPr>
        <w:fldChar w:fldCharType="begin"/>
      </w:r>
      <w:r w:rsidR="00A95675">
        <w:rPr>
          <w:highlight w:val="yellow"/>
        </w:rPr>
        <w:instrText xml:space="preserve"> ADDIN ZOTERO_ITEM CSL_CITATION {"citationID":"UtPmplxF","properties":{"unsorted":false,"formattedCitation":"[49]","plainCitation":"[49]","noteIndex":0},"citationItems":[{"id":1993,"uris":["http://zotero.org/users/9870935/items/2D54TKGT"],"itemData":{"id":1993,"type":"paper-conference","container-title":"2024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Pr="002A6586">
        <w:rPr>
          <w:highlight w:val="yellow"/>
        </w:rPr>
        <w:fldChar w:fldCharType="separate"/>
      </w:r>
      <w:r w:rsidR="00A95675" w:rsidRPr="00A95675">
        <w:rPr>
          <w:highlight w:val="yellow"/>
        </w:rPr>
        <w:t>[49]</w:t>
      </w:r>
      <w:r w:rsidRPr="002A6586">
        <w:rPr>
          <w:highlight w:val="yellow"/>
        </w:rPr>
        <w:fldChar w:fldCharType="end"/>
      </w:r>
      <w:r w:rsidRPr="002A6586">
        <w:rPr>
          <w:highlight w:val="yellow"/>
        </w:rPr>
        <w:t>.</w:t>
      </w:r>
    </w:p>
    <w:p w14:paraId="38A35EE8" w14:textId="70CFA199" w:rsidR="00FE013C" w:rsidRPr="002A6586" w:rsidRDefault="00FE013C" w:rsidP="001D1223">
      <w:pPr>
        <w:spacing w:after="120"/>
        <w:ind w:firstLine="480"/>
        <w:rPr>
          <w:highlight w:val="yellow"/>
        </w:rPr>
      </w:pPr>
      <w:r w:rsidRPr="002A6586">
        <w:rPr>
          <w:highlight w:val="yellow"/>
        </w:rPr>
        <w:t xml:space="preserve">Active power filters (APFs) continuously monitor harmonic currents and feed the compensating currents into the system, </w:t>
      </w:r>
      <w:r w:rsidRPr="003E25B7">
        <w:rPr>
          <w:highlight w:val="yellow"/>
        </w:rPr>
        <w:t xml:space="preserve">resulting in a </w:t>
      </w:r>
      <w:r w:rsidR="002910AD" w:rsidRPr="003E25B7">
        <w:rPr>
          <w:highlight w:val="yellow"/>
        </w:rPr>
        <w:t>can reduce harmonic distortion, with achievable performance dependent on system conditions and filter design unless a specific source supports &lt;3%</w:t>
      </w:r>
      <w:r w:rsidRPr="003E25B7">
        <w:rPr>
          <w:highlight w:val="yellow"/>
        </w:rPr>
        <w:t xml:space="preserve">; </w:t>
      </w:r>
      <w:r w:rsidRPr="002A6586">
        <w:rPr>
          <w:highlight w:val="yellow"/>
        </w:rPr>
        <w:t xml:space="preserve">multi-pulse </w:t>
      </w:r>
      <w:r w:rsidRPr="002A6586">
        <w:rPr>
          <w:highlight w:val="yellow"/>
        </w:rPr>
        <w:lastRenderedPageBreak/>
        <w:t xml:space="preserve">rectifiers (12-pulse, 18-pulse, or 24-pulse) are a natural solution for cancellation of low-order harmonics through phase-shifting transformer configurations; passive LC filters tuned to the harmonic frequencies are other solutions that are available. In the case of renewable-powered data </w:t>
      </w:r>
      <w:r w:rsidR="00580BAE" w:rsidRPr="002A6586">
        <w:rPr>
          <w:highlight w:val="yellow"/>
        </w:rPr>
        <w:t>center</w:t>
      </w:r>
      <w:r w:rsidRPr="002A6586">
        <w:rPr>
          <w:highlight w:val="yellow"/>
        </w:rPr>
        <w:t>s, a combination of inverter harmonics and load harmonics requires system-level analysis using harmonic impedance scanning and frequency-domain simulation to determine the resonance conditions that may amplify harmonics of interest</w:t>
      </w:r>
      <w:r w:rsidRPr="002A6586">
        <w:rPr>
          <w:highlight w:val="yellow"/>
        </w:rPr>
        <w:fldChar w:fldCharType="begin"/>
      </w:r>
      <w:r w:rsidR="001D1223">
        <w:rPr>
          <w:highlight w:val="yellow"/>
        </w:rPr>
        <w:instrText xml:space="preserve"> ADDIN ZOTERO_ITEM CSL_CITATION {"citationID":"NFe4OOQX","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Pr="002A6586">
        <w:rPr>
          <w:highlight w:val="yellow"/>
        </w:rPr>
        <w:fldChar w:fldCharType="separate"/>
      </w:r>
      <w:r w:rsidR="001D1223" w:rsidRPr="001D1223">
        <w:rPr>
          <w:highlight w:val="yellow"/>
        </w:rPr>
        <w:t>[59]</w:t>
      </w:r>
      <w:r w:rsidRPr="002A6586">
        <w:rPr>
          <w:highlight w:val="yellow"/>
        </w:rPr>
        <w:fldChar w:fldCharType="end"/>
      </w:r>
      <w:r w:rsidRPr="002A6586">
        <w:rPr>
          <w:highlight w:val="yellow"/>
        </w:rPr>
        <w:t>.</w:t>
      </w:r>
    </w:p>
    <w:p w14:paraId="6E7CB223" w14:textId="77777777" w:rsidR="00FE013C" w:rsidRPr="002A6586" w:rsidRDefault="00FE013C" w:rsidP="004C16FF">
      <w:pPr>
        <w:pStyle w:val="Heading20"/>
        <w:jc w:val="both"/>
        <w:rPr>
          <w:color w:val="auto"/>
          <w:highlight w:val="yellow"/>
        </w:rPr>
      </w:pPr>
      <w:r w:rsidRPr="002A6586">
        <w:rPr>
          <w:color w:val="auto"/>
          <w:highlight w:val="yellow"/>
        </w:rPr>
        <w:t>9.4 Grid Interconnection Complexity</w:t>
      </w:r>
    </w:p>
    <w:p w14:paraId="48C784C2" w14:textId="3AE60DE7" w:rsidR="00404B18" w:rsidRPr="002A6586" w:rsidRDefault="00404B18" w:rsidP="00404B18">
      <w:pPr>
        <w:spacing w:after="120"/>
        <w:ind w:firstLine="480"/>
        <w:rPr>
          <w:highlight w:val="yellow"/>
        </w:rPr>
      </w:pPr>
      <w:r w:rsidRPr="002A6586">
        <w:rPr>
          <w:highlight w:val="yellow"/>
        </w:rPr>
        <w:t>Interconnection with the grid can become a core limitation for renewable energy based data-center development. Some study timelines, application requirements, application deposits, upgrade costs, and construction timing can differ dramatically by applicable system operator, project size, interconnection voltage, network conditions, and requested service. These parameters (generalized queue duration, study cost, and upgrade-cost ranges) should not be considered as general project parameters. Interconnection planning should instead be done using the existing procedures, requirements, and applicable project specific studies by the applicable utility, regional transmission organization (RTO), independent system operator (ISO), or transmission provider</w:t>
      </w:r>
      <w:r w:rsidR="0088199A" w:rsidRPr="002A6586">
        <w:rPr>
          <w:highlight w:val="yellow"/>
        </w:rPr>
        <w:t xml:space="preserve"> </w:t>
      </w:r>
      <w:r w:rsidR="004F3F4A" w:rsidRPr="002A6586">
        <w:rPr>
          <w:highlight w:val="yellow"/>
        </w:rPr>
        <w:fldChar w:fldCharType="begin"/>
      </w:r>
      <w:r w:rsidR="004F3F4A" w:rsidRPr="002A6586">
        <w:rPr>
          <w:highlight w:val="yellow"/>
        </w:rPr>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4F3F4A" w:rsidRPr="002A6586">
        <w:rPr>
          <w:highlight w:val="yellow"/>
        </w:rPr>
        <w:fldChar w:fldCharType="separate"/>
      </w:r>
      <w:r w:rsidR="004F3F4A" w:rsidRPr="002A6586">
        <w:rPr>
          <w:highlight w:val="yellow"/>
        </w:rPr>
        <w:t>[24]</w:t>
      </w:r>
      <w:r w:rsidR="004F3F4A" w:rsidRPr="002A6586">
        <w:rPr>
          <w:highlight w:val="yellow"/>
        </w:rPr>
        <w:fldChar w:fldCharType="end"/>
      </w:r>
      <w:r w:rsidR="0088199A" w:rsidRPr="002A6586">
        <w:rPr>
          <w:highlight w:val="yellow"/>
        </w:rPr>
        <w:t>.</w:t>
      </w:r>
    </w:p>
    <w:p w14:paraId="1E56E208" w14:textId="7856EBFC" w:rsidR="00404B18" w:rsidRPr="002A6586" w:rsidRDefault="00404B18" w:rsidP="00E842C0">
      <w:pPr>
        <w:spacing w:after="120"/>
        <w:ind w:firstLine="480"/>
        <w:rPr>
          <w:highlight w:val="yellow"/>
        </w:rPr>
      </w:pPr>
      <w:r w:rsidRPr="002A6586">
        <w:rPr>
          <w:highlight w:val="yellow"/>
        </w:rPr>
        <w:t>In July 2023, FERC issued Order No. 2023, which implemented changes to U.S. generator interconnection procedures, such as for cluster studies, generator readiness, measures to combat study delays, and queue management. The impact of these reforms in individual projects, however, varies by region, by utility operations, by project attributes, and by interconnection tariff. Therefore, Order No. 2023 should not be interpreted as fast-tracking or guarantee that interconnection delays or project costs will be lower</w:t>
      </w:r>
      <w:r w:rsidR="003B36C2" w:rsidRPr="002A6586">
        <w:rPr>
          <w:highlight w:val="yellow"/>
        </w:rPr>
        <w:t xml:space="preserve"> </w:t>
      </w:r>
      <w:r w:rsidR="0028021C" w:rsidRPr="002A6586">
        <w:rPr>
          <w:highlight w:val="yellow"/>
        </w:rPr>
        <w:fldChar w:fldCharType="begin"/>
      </w:r>
      <w:r w:rsidR="00C45F8A">
        <w:rPr>
          <w:highlight w:val="yellow"/>
        </w:rPr>
        <w:instrText xml:space="preserve"> ADDIN ZOTERO_ITEM CSL_CITATION {"citationID":"UiQ1J5NX","properties":{"unsorted":false,"formattedCitation":"[24]","plainCitation":"[24]","noteIndex":0},"citationItems":[{"id":1948,"uris":["http://zotero.org/users/9870935/items/H8VJGQHI"],"itemData":{"id":1948,"type":"post-weblog","title":"Improvements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28021C" w:rsidRPr="002A6586">
        <w:rPr>
          <w:highlight w:val="yellow"/>
        </w:rPr>
        <w:fldChar w:fldCharType="separate"/>
      </w:r>
      <w:r w:rsidR="0028021C" w:rsidRPr="002A6586">
        <w:rPr>
          <w:highlight w:val="yellow"/>
        </w:rPr>
        <w:t>[24]</w:t>
      </w:r>
      <w:r w:rsidR="0028021C" w:rsidRPr="002A6586">
        <w:rPr>
          <w:highlight w:val="yellow"/>
        </w:rPr>
        <w:fldChar w:fldCharType="end"/>
      </w:r>
      <w:r w:rsidRPr="002A6586">
        <w:rPr>
          <w:highlight w:val="yellow"/>
        </w:rPr>
        <w:t xml:space="preserve">, </w:t>
      </w:r>
      <w:r w:rsidR="009449FB" w:rsidRPr="002A6586">
        <w:rPr>
          <w:highlight w:val="yellow"/>
        </w:rPr>
        <w:fldChar w:fldCharType="begin"/>
      </w:r>
      <w:r w:rsidR="00E842C0">
        <w:rPr>
          <w:highlight w:val="yellow"/>
        </w:rPr>
        <w:instrText xml:space="preserve"> ADDIN ZOTERO_ITEM CSL_CITATION {"citationID":"kbAiY4Ky","properties":{"unsorted":false,"formattedCitation":"[152]","plainCitation":"[152]","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rsidR="009449FB" w:rsidRPr="002A6586">
        <w:rPr>
          <w:highlight w:val="yellow"/>
        </w:rPr>
        <w:fldChar w:fldCharType="separate"/>
      </w:r>
      <w:r w:rsidR="00E842C0" w:rsidRPr="00E842C0">
        <w:rPr>
          <w:highlight w:val="yellow"/>
        </w:rPr>
        <w:t>[152]</w:t>
      </w:r>
      <w:r w:rsidR="009449FB" w:rsidRPr="002A6586">
        <w:rPr>
          <w:highlight w:val="yellow"/>
        </w:rPr>
        <w:fldChar w:fldCharType="end"/>
      </w:r>
      <w:r w:rsidR="003B36C2" w:rsidRPr="002A6586">
        <w:rPr>
          <w:highlight w:val="yellow"/>
        </w:rPr>
        <w:t>.</w:t>
      </w:r>
    </w:p>
    <w:p w14:paraId="20EE5620" w14:textId="56F2AF7D" w:rsidR="00404B18" w:rsidRPr="002A6586" w:rsidRDefault="00404B18" w:rsidP="00A95675">
      <w:pPr>
        <w:spacing w:after="120"/>
        <w:ind w:firstLine="480"/>
        <w:rPr>
          <w:highlight w:val="yellow"/>
        </w:rPr>
      </w:pPr>
      <w:r w:rsidRPr="002A6586">
        <w:rPr>
          <w:highlight w:val="yellow"/>
        </w:rPr>
        <w:t>The IEEE 1547-2018 specifies technical standards for interconnection and interoperability of distributed energy resources (DERs), such as anti-islanding protection, voltage and frequency ride-through capabilities, and power-quality requirements. These performance requirements are detailed in IEEE 2800-2022 for larger inverter based resources (IBRs) at transmission or sub transmission voltage levels that involve system stability, voltage support, frequency response, and disturbance ride-through. The extent that these standards apply will be subject to project size, interconnection voltage, resource aspects, and local utility/system-operator requirements</w:t>
      </w:r>
      <w:r w:rsidR="005B66D3" w:rsidRPr="002A6586">
        <w:rPr>
          <w:highlight w:val="yellow"/>
        </w:rPr>
        <w:fldChar w:fldCharType="begin"/>
      </w:r>
      <w:r w:rsidR="00A95675">
        <w:rPr>
          <w:highlight w:val="yellow"/>
        </w:rPr>
        <w:instrText xml:space="preserve"> ADDIN ZOTERO_ITEM CSL_CITATION {"citationID":"aTXS1liU","properties":{"unsorted":false,"formattedCitation":"[48]","plainCitation":"[48]","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5B66D3" w:rsidRPr="002A6586">
        <w:rPr>
          <w:highlight w:val="yellow"/>
        </w:rPr>
        <w:fldChar w:fldCharType="separate"/>
      </w:r>
      <w:r w:rsidR="00A95675" w:rsidRPr="00A95675">
        <w:rPr>
          <w:highlight w:val="yellow"/>
        </w:rPr>
        <w:t>[48]</w:t>
      </w:r>
      <w:r w:rsidR="005B66D3" w:rsidRPr="002A6586">
        <w:rPr>
          <w:highlight w:val="yellow"/>
        </w:rPr>
        <w:fldChar w:fldCharType="end"/>
      </w:r>
      <w:r w:rsidR="00F0450C" w:rsidRPr="002A6586">
        <w:rPr>
          <w:highlight w:val="yellow"/>
        </w:rPr>
        <w:t>.</w:t>
      </w:r>
    </w:p>
    <w:p w14:paraId="79DCD748" w14:textId="77777777" w:rsidR="00FE013C" w:rsidRPr="002A6586" w:rsidRDefault="00FE013C" w:rsidP="004C16FF">
      <w:pPr>
        <w:pStyle w:val="Heading20"/>
        <w:jc w:val="both"/>
        <w:rPr>
          <w:color w:val="auto"/>
          <w:highlight w:val="yellow"/>
        </w:rPr>
      </w:pPr>
      <w:r w:rsidRPr="002A6586">
        <w:rPr>
          <w:color w:val="auto"/>
          <w:highlight w:val="yellow"/>
        </w:rPr>
        <w:t>9.5 Demand-side Management and AI Workload Flexibility</w:t>
      </w:r>
    </w:p>
    <w:p w14:paraId="283BD03B" w14:textId="6D4914AA" w:rsidR="00FE013C" w:rsidRPr="002A6586" w:rsidRDefault="00FE013C" w:rsidP="00E842C0">
      <w:pPr>
        <w:spacing w:after="120"/>
        <w:ind w:firstLine="480"/>
        <w:rPr>
          <w:highlight w:val="yellow"/>
        </w:rPr>
      </w:pPr>
      <w:r w:rsidRPr="002A6586">
        <w:rPr>
          <w:highlight w:val="yellow"/>
        </w:rPr>
        <w:t xml:space="preserve">AI workload flexibility is a distinct and growing </w:t>
      </w:r>
      <w:r w:rsidRPr="004C17D1">
        <w:rPr>
          <w:highlight w:val="yellow"/>
        </w:rPr>
        <w:t xml:space="preserve">demand-side resource that can </w:t>
      </w:r>
      <w:r w:rsidR="0023234E" w:rsidRPr="004C17D1">
        <w:rPr>
          <w:highlight w:val="yellow"/>
        </w:rPr>
        <w:t>may reduce energy cost or improve renewable-energy utilization under suitable operating conditions</w:t>
      </w:r>
      <w:r w:rsidRPr="004C17D1">
        <w:rPr>
          <w:highlight w:val="yellow"/>
        </w:rPr>
        <w:t>. Training workloads (often hours to weeks to complete, not latency-sensitive) can be deferre</w:t>
      </w:r>
      <w:r w:rsidRPr="00F716C3">
        <w:rPr>
          <w:highlight w:val="yellow"/>
        </w:rPr>
        <w:t xml:space="preserve">d to times of </w:t>
      </w:r>
      <w:r w:rsidR="000D7AD3" w:rsidRPr="00F716C3">
        <w:rPr>
          <w:highlight w:val="yellow"/>
        </w:rPr>
        <w:t>low electricity cost or high renewable availability, depending on intended meaning</w:t>
      </w:r>
      <w:r w:rsidRPr="00F716C3">
        <w:rPr>
          <w:highlight w:val="yellow"/>
        </w:rPr>
        <w:fldChar w:fldCharType="begin"/>
      </w:r>
      <w:r w:rsidR="00E842C0" w:rsidRPr="00F716C3">
        <w:rPr>
          <w:highlight w:val="yellow"/>
        </w:rPr>
        <w:instrText xml:space="preserve"> ADDIN ZOTERO_ITEM CSL_CITATION {"citationID":"SNAvsnwi","properties":{"unsorted":false,"formattedCitation":"[153]","plainCitation":"[153]","noteIndex":0},"citationItems":[{"id":2126,"uris":["http://zotero.org/users/9870935/items/5SGD5DQK"],"itemData":{"id":2126,"type":"paper-conference","container-title":"ICC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Pr="00F716C3">
        <w:rPr>
          <w:highlight w:val="yellow"/>
        </w:rPr>
        <w:fldChar w:fldCharType="separate"/>
      </w:r>
      <w:r w:rsidR="00E842C0" w:rsidRPr="00F716C3">
        <w:rPr>
          <w:highlight w:val="yellow"/>
        </w:rPr>
        <w:t>[153]</w:t>
      </w:r>
      <w:r w:rsidRPr="00F716C3">
        <w:rPr>
          <w:highlight w:val="yellow"/>
        </w:rPr>
        <w:fldChar w:fldCharType="end"/>
      </w:r>
      <w:r w:rsidRPr="00F716C3">
        <w:rPr>
          <w:highlight w:val="yellow"/>
        </w:rPr>
        <w:t>. Deferral windows of hours to days make batch processing workloads such as data preprocessing, model validation, and analytics even more flexible. Time-shift can be used for inference workloads that do not require a high latency requirement, such as batch image inference or non-interactive recommendations</w:t>
      </w:r>
      <w:r w:rsidRPr="002A6586">
        <w:rPr>
          <w:highlight w:val="yellow"/>
        </w:rPr>
        <w:t>, within the SLA.</w:t>
      </w:r>
    </w:p>
    <w:p w14:paraId="19B030A4" w14:textId="35AC3597" w:rsidR="00FE013C" w:rsidRPr="002A6586" w:rsidRDefault="00E912B6" w:rsidP="00E842C0">
      <w:pPr>
        <w:spacing w:after="120"/>
        <w:ind w:firstLine="480"/>
        <w:rPr>
          <w:highlight w:val="yellow"/>
        </w:rPr>
      </w:pPr>
      <w:r w:rsidRPr="002A6586">
        <w:rPr>
          <w:highlight w:val="yellow"/>
        </w:rPr>
        <w:t xml:space="preserve">Published studies and industry demonstrations suggest that workload scheduling may reduce energy costs and improve renewable-energy utilization under suitable operating conditions. However, the magnitude of the benefit depends on workload characteristics, renewable-resource availability, </w:t>
      </w:r>
      <w:r w:rsidRPr="002A6586">
        <w:rPr>
          <w:highlight w:val="yellow"/>
        </w:rPr>
        <w:lastRenderedPageBreak/>
        <w:t xml:space="preserve">electricity-market conditions, scheduling flexibility, and organizational constraints. Consequently, no universal savings percentage should be assumed without project-specific analysis </w:t>
      </w:r>
      <w:r w:rsidR="00FE013C" w:rsidRPr="002A6586">
        <w:rPr>
          <w:highlight w:val="yellow"/>
        </w:rPr>
        <w:fldChar w:fldCharType="begin"/>
      </w:r>
      <w:r w:rsidR="00E842C0">
        <w:rPr>
          <w:highlight w:val="yellow"/>
        </w:rPr>
        <w:instrText xml:space="preserve"> ADDIN ZOTERO_ITEM CSL_CITATION {"citationID":"0JMNKF3g","properties":{"unsorted":false,"formattedCitation":"[154]","plainCitation":"[154]","noteIndex":0},"citationItems":[{"id":79,"uris":["http://zotero.org/users/9870935/items/FT42XEM5"],"itemData":{"id":79,"type":"article-journal","container-title":"IEEE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rsidR="00FE013C" w:rsidRPr="002A6586">
        <w:rPr>
          <w:highlight w:val="yellow"/>
        </w:rPr>
        <w:fldChar w:fldCharType="separate"/>
      </w:r>
      <w:r w:rsidR="00E842C0" w:rsidRPr="00E842C0">
        <w:rPr>
          <w:highlight w:val="yellow"/>
        </w:rPr>
        <w:t>[154]</w:t>
      </w:r>
      <w:r w:rsidR="00FE013C" w:rsidRPr="002A6586">
        <w:rPr>
          <w:highlight w:val="yellow"/>
        </w:rPr>
        <w:fldChar w:fldCharType="end"/>
      </w:r>
      <w:r w:rsidR="00FE013C" w:rsidRPr="002A6586">
        <w:rPr>
          <w:highlight w:val="yellow"/>
        </w:rPr>
        <w:t xml:space="preserve">. This requires integration between the workload scheduler (usually Kubernetes-based) and the energy management system, and the renewable availability API delivers 24–48-hour forecasts of renewable generation as a portion of the total load </w:t>
      </w:r>
      <w:r w:rsidR="00FE013C" w:rsidRPr="002A6586">
        <w:rPr>
          <w:highlight w:val="yellow"/>
        </w:rPr>
        <w:fldChar w:fldCharType="begin"/>
      </w:r>
      <w:r w:rsidR="00E842C0">
        <w:rPr>
          <w:highlight w:val="yellow"/>
        </w:rPr>
        <w:instrText xml:space="preserve"> ADDIN ZOTERO_ITEM CSL_CITATION {"citationID":"LieaEasU","properties":{"unsorted":false,"formattedCitation":"[153]","plainCitation":"[153]","noteIndex":0},"citationItems":[{"id":2126,"uris":["http://zotero.org/users/9870935/items/5SGD5DQK"],"itemData":{"id":2126,"type":"paper-conference","container-title":"ICC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FE013C" w:rsidRPr="002A6586">
        <w:rPr>
          <w:highlight w:val="yellow"/>
        </w:rPr>
        <w:fldChar w:fldCharType="separate"/>
      </w:r>
      <w:r w:rsidR="00E842C0" w:rsidRPr="00E842C0">
        <w:rPr>
          <w:highlight w:val="yellow"/>
        </w:rPr>
        <w:t>[153]</w:t>
      </w:r>
      <w:r w:rsidR="00FE013C" w:rsidRPr="002A6586">
        <w:rPr>
          <w:highlight w:val="yellow"/>
        </w:rPr>
        <w:fldChar w:fldCharType="end"/>
      </w:r>
      <w:r w:rsidR="00FE013C" w:rsidRPr="002A6586">
        <w:rPr>
          <w:highlight w:val="yellow"/>
        </w:rPr>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1746C8D1" w14:textId="77777777" w:rsidR="00FE013C" w:rsidRPr="002A6586" w:rsidRDefault="00FE013C" w:rsidP="004C16FF">
      <w:pPr>
        <w:pStyle w:val="Heading20"/>
        <w:jc w:val="both"/>
        <w:rPr>
          <w:color w:val="auto"/>
          <w:highlight w:val="yellow"/>
        </w:rPr>
      </w:pPr>
      <w:r w:rsidRPr="002A6586">
        <w:rPr>
          <w:color w:val="auto"/>
          <w:highlight w:val="yellow"/>
        </w:rPr>
        <w:t>9.6 Energy Storage Control and Battery Management</w:t>
      </w:r>
    </w:p>
    <w:p w14:paraId="1192A71C" w14:textId="054C889C" w:rsidR="00FE013C" w:rsidRPr="002A6586" w:rsidRDefault="00FE013C" w:rsidP="00A95675">
      <w:pPr>
        <w:spacing w:after="120"/>
        <w:ind w:firstLine="480"/>
        <w:rPr>
          <w:highlight w:val="yellow"/>
        </w:rPr>
      </w:pPr>
      <w:r w:rsidRPr="002A6586">
        <w:rPr>
          <w:highlight w:val="yellow"/>
        </w:rPr>
        <w:t xml:space="preserve">There are several criteria for optimal battery dispatch: most renewable usage, least energy cost, longest battery life, and sufficient reserve for emergency backup. The state-of-charge (SOC) setpoint </w:t>
      </w:r>
      <w:r w:rsidR="00030122" w:rsidRPr="002A6586">
        <w:rPr>
          <w:highlight w:val="yellow"/>
        </w:rPr>
        <w:t>optimization</w:t>
      </w:r>
      <w:r w:rsidRPr="002A6586">
        <w:rPr>
          <w:highlight w:val="yellow"/>
        </w:rPr>
        <w:t xml:space="preserve"> defines the charging and discharging timing according to the current state and future forecasting, where the most advanced approach is model-predictive control (MPC)</w:t>
      </w:r>
      <w:r w:rsidRPr="002A6586">
        <w:rPr>
          <w:highlight w:val="yellow"/>
        </w:rPr>
        <w:fldChar w:fldCharType="begin"/>
      </w:r>
      <w:r w:rsidR="00A95675">
        <w:rPr>
          <w:highlight w:val="yellow"/>
        </w:rPr>
        <w:instrText xml:space="preserve"> ADDIN ZOTERO_ITEM CSL_CITATION {"citationID":"qyaUl6tX","properties":{"unsorted":false,"formattedCitation":"[117]","plainCitation":"[117]","noteIndex":0},"citationItems":[{"id":2086,"uris":["http://zotero.org/users/9870935/items/PSX5T5NE"],"itemData":{"id":2086,"type":"article-journal","abstract":"Renewable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Pr="002A6586">
        <w:rPr>
          <w:highlight w:val="yellow"/>
        </w:rPr>
        <w:fldChar w:fldCharType="separate"/>
      </w:r>
      <w:r w:rsidR="00A95675" w:rsidRPr="00A95675">
        <w:rPr>
          <w:highlight w:val="yellow"/>
        </w:rPr>
        <w:t>[117]</w:t>
      </w:r>
      <w:r w:rsidRPr="002A6586">
        <w:rPr>
          <w:highlight w:val="yellow"/>
        </w:rPr>
        <w:fldChar w:fldCharType="end"/>
      </w:r>
      <w:r w:rsidRPr="002A6586">
        <w:rPr>
          <w:highlight w:val="yellow"/>
        </w:rPr>
        <w:t xml:space="preserve">. The economic factor of battery ageing: deep cycling (depth of discharge above 80%) decreases battery life, while shallow cycling increases battery life, but at the cost of reduced energy capacity for renewable time-shifting. Studies have shown that a maximum depth of discharge of 50% can nearly double the cycle life, indicating that appropriately oversizing battery systems may provide better lifetime economics, albeit at higher initial capital costs </w:t>
      </w:r>
      <w:r w:rsidRPr="002A6586">
        <w:rPr>
          <w:highlight w:val="yellow"/>
        </w:rPr>
        <w:fldChar w:fldCharType="begin"/>
      </w:r>
      <w:r w:rsidR="00A95675">
        <w:rPr>
          <w:highlight w:val="yellow"/>
        </w:rPr>
        <w:instrText xml:space="preserve"> ADDIN ZOTERO_ITEM CSL_CITATION {"citationID":"QHLWj7wZ","properties":{"unsorted":false,"formattedCitation":"[70]","plainCitation":"[70]","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Pr="002A6586">
        <w:rPr>
          <w:highlight w:val="yellow"/>
        </w:rPr>
        <w:fldChar w:fldCharType="separate"/>
      </w:r>
      <w:r w:rsidR="00A95675" w:rsidRPr="00A95675">
        <w:rPr>
          <w:highlight w:val="yellow"/>
        </w:rPr>
        <w:t>[70]</w:t>
      </w:r>
      <w:r w:rsidRPr="002A6586">
        <w:rPr>
          <w:highlight w:val="yellow"/>
        </w:rPr>
        <w:fldChar w:fldCharType="end"/>
      </w:r>
      <w:r w:rsidRPr="002A6586">
        <w:rPr>
          <w:highlight w:val="yellow"/>
        </w:rPr>
        <w:t>.</w:t>
      </w:r>
    </w:p>
    <w:p w14:paraId="4221A4F4" w14:textId="0055AC64" w:rsidR="00FE013C" w:rsidRPr="002A6586" w:rsidRDefault="0038749B" w:rsidP="00E842C0">
      <w:pPr>
        <w:spacing w:after="120"/>
        <w:ind w:firstLine="480"/>
        <w:rPr>
          <w:highlight w:val="yellow"/>
          <w:lang w:val="en-CA"/>
        </w:rPr>
      </w:pPr>
      <w:r w:rsidRPr="002A6586">
        <w:rPr>
          <w:highlight w:val="yellow"/>
          <w:lang w:val="en-CA"/>
        </w:rPr>
        <w:t>Participation in frequency-regulation, capacity, and ancillary-service markets may provide additional revenue, but the achievable value depends on market qualification requirements, performance scores, local clearing prices, battery availability, degradation costs, and the facility’s primary reliability obligations. Project-specific market analysis is therefore required</w:t>
      </w:r>
      <w:r w:rsidR="00FE013C" w:rsidRPr="002A6586">
        <w:rPr>
          <w:highlight w:val="yellow"/>
        </w:rPr>
        <w:t xml:space="preserve">. Remaining useful life (RUL) prediction and scheduling of maintenance tasks can be achieved by state-of-health (SOH) monitoring with machine-learning approaches trained on cycling data, which helps to </w:t>
      </w:r>
      <w:r w:rsidR="00030122" w:rsidRPr="002A6586">
        <w:rPr>
          <w:highlight w:val="yellow"/>
        </w:rPr>
        <w:t>minimize</w:t>
      </w:r>
      <w:r w:rsidR="00FE013C" w:rsidRPr="002A6586">
        <w:rPr>
          <w:highlight w:val="yellow"/>
        </w:rPr>
        <w:t xml:space="preserve"> the likelihood of unexpected capacity degradation</w:t>
      </w:r>
      <w:r w:rsidR="00FE013C" w:rsidRPr="002A6586">
        <w:rPr>
          <w:highlight w:val="yellow"/>
        </w:rPr>
        <w:fldChar w:fldCharType="begin"/>
      </w:r>
      <w:r w:rsidR="00E842C0">
        <w:rPr>
          <w:highlight w:val="yellow"/>
        </w:rPr>
        <w:instrText xml:space="preserve"> ADDIN ZOTERO_ITEM CSL_CITATION {"citationID":"qxkXnTwN","properties":{"unsorted":false,"formattedCitation":"[155]","plainCitation":"[155]","noteIndex":0},"citationItems":[{"id":2149,"uris":["http://zotero.org/users/9870935/items/9CUAPP72"],"itemData":{"id":2149,"type":"article-journal","abstract":"Abstract\n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E013C" w:rsidRPr="002A6586">
        <w:rPr>
          <w:highlight w:val="yellow"/>
        </w:rPr>
        <w:fldChar w:fldCharType="separate"/>
      </w:r>
      <w:r w:rsidR="00E842C0" w:rsidRPr="00E842C0">
        <w:rPr>
          <w:highlight w:val="yellow"/>
        </w:rPr>
        <w:t>[155]</w:t>
      </w:r>
      <w:r w:rsidR="00FE013C" w:rsidRPr="002A6586">
        <w:rPr>
          <w:highlight w:val="yellow"/>
        </w:rPr>
        <w:fldChar w:fldCharType="end"/>
      </w:r>
      <w:r w:rsidR="00FE013C" w:rsidRPr="002A6586">
        <w:rPr>
          <w:highlight w:val="yellow"/>
        </w:rPr>
        <w:t>.</w:t>
      </w:r>
    </w:p>
    <w:p w14:paraId="1FC1FEEE" w14:textId="77777777" w:rsidR="00FE013C" w:rsidRPr="002A6586" w:rsidRDefault="00FE013C" w:rsidP="004C16FF">
      <w:pPr>
        <w:pStyle w:val="Heading20"/>
        <w:jc w:val="both"/>
        <w:rPr>
          <w:color w:val="auto"/>
          <w:highlight w:val="yellow"/>
        </w:rPr>
      </w:pPr>
      <w:r w:rsidRPr="002A6586">
        <w:rPr>
          <w:color w:val="auto"/>
          <w:highlight w:val="yellow"/>
        </w:rPr>
        <w:t>9.7 Hydrogen and Fuel Cell Challenges</w:t>
      </w:r>
    </w:p>
    <w:p w14:paraId="42AECFBD" w14:textId="4D178B32" w:rsidR="00753C0C" w:rsidRPr="002A6586" w:rsidRDefault="00753C0C" w:rsidP="00E842C0">
      <w:pPr>
        <w:spacing w:after="120"/>
        <w:ind w:firstLine="480"/>
        <w:rPr>
          <w:highlight w:val="yellow"/>
        </w:rPr>
      </w:pPr>
      <w:r w:rsidRPr="00246420">
        <w:rPr>
          <w:highlight w:val="yellow"/>
        </w:rPr>
        <w:t xml:space="preserve">Hydrogen fuel cells </w:t>
      </w:r>
      <w:r w:rsidR="00246420" w:rsidRPr="00246420">
        <w:rPr>
          <w:highlight w:val="yellow"/>
        </w:rPr>
        <w:t>have</w:t>
      </w:r>
      <w:r w:rsidR="00F716C3" w:rsidRPr="00246420">
        <w:rPr>
          <w:highlight w:val="yellow"/>
        </w:rPr>
        <w:t xml:space="preserve"> been demonstrated for multi-hour to multi-day backup scenarios at pilot/demonstration scale </w:t>
      </w:r>
      <w:r w:rsidRPr="00246420">
        <w:rPr>
          <w:highlight w:val="yellow"/>
        </w:rPr>
        <w:t xml:space="preserve">and produce zero direct emissions, but they are still costly, inefficient, and lack infrastructure. Microsoft's 3 MW demo project at their data center proved </w:t>
      </w:r>
      <w:r w:rsidR="00246420" w:rsidRPr="00246420">
        <w:rPr>
          <w:highlight w:val="yellow"/>
        </w:rPr>
        <w:t>technical</w:t>
      </w:r>
      <w:r w:rsidRPr="00246420">
        <w:rPr>
          <w:highlight w:val="yellow"/>
        </w:rPr>
        <w:t xml:space="preserve"> viability, but also pointed to the cost problem: Fuel cell electricity currently costs $150 to $250/MWh, compared to grid electricity or battery storage</w:t>
      </w:r>
      <w:r w:rsidRPr="002A6586">
        <w:rPr>
          <w:highlight w:val="yellow"/>
        </w:rPr>
        <w:t xml:space="preserve">, which cost $50 to $80/MWh at the same time. The CAPEX of the electrolyzer, which ranges from $1,000–$2,000/kW, is another constraint for on-site green hydrogen production and is decreasing as the size of the plants increases </w:t>
      </w:r>
      <w:r w:rsidRPr="002A6586">
        <w:rPr>
          <w:highlight w:val="yellow"/>
        </w:rPr>
        <w:fldChar w:fldCharType="begin"/>
      </w:r>
      <w:r w:rsidR="00A95675">
        <w:rPr>
          <w:highlight w:val="yellow"/>
        </w:rPr>
        <w:instrText xml:space="preserve"> ADDIN ZOTERO_ITEM CSL_CITATION {"citationID":"EK3ZfdLP","properties":{"unsorted":false,"formattedCitation":"[112]","plainCitation":"[112]","noteIndex":0},"citationItems":[{"id":2076,"uris":["http://zotero.org/users/9870935/items/WSZ9BQJG"],"itemData":{"id":2076,"type":"article-journal","abstract":"Abstract\n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2A6586">
        <w:rPr>
          <w:highlight w:val="yellow"/>
        </w:rPr>
        <w:fldChar w:fldCharType="separate"/>
      </w:r>
      <w:r w:rsidR="00A95675" w:rsidRPr="00A95675">
        <w:rPr>
          <w:highlight w:val="yellow"/>
        </w:rPr>
        <w:t>[112]</w:t>
      </w:r>
      <w:r w:rsidRPr="002A6586">
        <w:rPr>
          <w:highlight w:val="yellow"/>
        </w:rPr>
        <w:fldChar w:fldCharType="end"/>
      </w:r>
      <w:r w:rsidRPr="002A6586">
        <w:rPr>
          <w:highlight w:val="yellow"/>
        </w:rPr>
        <w:t xml:space="preserve">, </w:t>
      </w:r>
      <w:r w:rsidRPr="002A6586">
        <w:rPr>
          <w:highlight w:val="yellow"/>
        </w:rPr>
        <w:fldChar w:fldCharType="begin"/>
      </w:r>
      <w:r w:rsidR="00E842C0">
        <w:rPr>
          <w:highlight w:val="yellow"/>
        </w:rPr>
        <w:instrText xml:space="preserve"> ADDIN ZOTERO_ITEM CSL_CITATION {"citationID":"ONo7xelO","properties":{"unsorted":false,"formattedCitation":"[150]","plainCitation":"[150]","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Pr="002A6586">
        <w:rPr>
          <w:highlight w:val="yellow"/>
        </w:rPr>
        <w:fldChar w:fldCharType="separate"/>
      </w:r>
      <w:r w:rsidR="00E842C0" w:rsidRPr="00E842C0">
        <w:rPr>
          <w:highlight w:val="yellow"/>
        </w:rPr>
        <w:t>[150]</w:t>
      </w:r>
      <w:r w:rsidRPr="002A6586">
        <w:rPr>
          <w:highlight w:val="yellow"/>
        </w:rPr>
        <w:fldChar w:fldCharType="end"/>
      </w:r>
      <w:r w:rsidRPr="002A6586">
        <w:rPr>
          <w:highlight w:val="yellow"/>
        </w:rPr>
        <w:t>.</w:t>
      </w:r>
    </w:p>
    <w:p w14:paraId="4C0FFEE3" w14:textId="10CE6D50" w:rsidR="00313E38" w:rsidRPr="002A6586" w:rsidRDefault="00313E38" w:rsidP="00A95675">
      <w:pPr>
        <w:spacing w:after="120"/>
        <w:ind w:firstLine="480"/>
        <w:rPr>
          <w:highlight w:val="yellow"/>
        </w:rPr>
      </w:pPr>
      <w:r w:rsidRPr="002A6586">
        <w:rPr>
          <w:highlight w:val="yellow"/>
        </w:rPr>
        <w:t>Greater fuel cell efficiency occurs at partial load (55–65%) versus full load (40–50%), resulting in an operational compromise where running at peak efficiency requires installing a larger, more expensive system to cover max power demands. Safety requirements for hydrogen storage, including pressure vessel certification, leak detection, and ventilation systems, further increase the complexity and cost of fuel cell installations. The IEA expects the cost of green hydrogen to drop to $2 per kg by 2030 and $1 per kg by 2040 under the best of conditions, putting fuel cells in economic competition with data center backup by the mid-2030s</w:t>
      </w:r>
      <w:r w:rsidR="001752D4" w:rsidRPr="002A6586">
        <w:rPr>
          <w:highlight w:val="yellow"/>
        </w:rPr>
        <w:t xml:space="preserve"> </w:t>
      </w:r>
      <w:r w:rsidR="001752D4" w:rsidRPr="002A6586">
        <w:rPr>
          <w:highlight w:val="yellow"/>
        </w:rPr>
        <w:fldChar w:fldCharType="begin"/>
      </w:r>
      <w:r w:rsidR="00A95675">
        <w:rPr>
          <w:highlight w:val="yellow"/>
        </w:rPr>
        <w:instrText xml:space="preserve"> ADDIN ZOTERO_ITEM CSL_CITATION {"citationID":"9bTL2YbA","properties":{"unsorted":false,"formattedCitation":"[111]","plainCitation":"[111]","noteIndex":0},"citationItems":[{"id":1987,"uris":["http://zotero.org/users/9870935/items/2TYM8STM"],"itemData":{"id":1987,"type":"article-journal","abstract":"The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1752D4" w:rsidRPr="002A6586">
        <w:rPr>
          <w:highlight w:val="yellow"/>
        </w:rPr>
        <w:fldChar w:fldCharType="separate"/>
      </w:r>
      <w:r w:rsidR="00A95675" w:rsidRPr="00A95675">
        <w:rPr>
          <w:highlight w:val="yellow"/>
        </w:rPr>
        <w:t>[111]</w:t>
      </w:r>
      <w:r w:rsidR="001752D4" w:rsidRPr="002A6586">
        <w:rPr>
          <w:highlight w:val="yellow"/>
        </w:rPr>
        <w:fldChar w:fldCharType="end"/>
      </w:r>
      <w:r w:rsidR="001752D4" w:rsidRPr="002A6586">
        <w:rPr>
          <w:highlight w:val="yellow"/>
        </w:rPr>
        <w:t xml:space="preserve">, </w:t>
      </w:r>
      <w:r w:rsidR="001752D4" w:rsidRPr="002A6586">
        <w:rPr>
          <w:highlight w:val="yellow"/>
        </w:rPr>
        <w:fldChar w:fldCharType="begin"/>
      </w:r>
      <w:r w:rsidR="00A95675">
        <w:rPr>
          <w:highlight w:val="yellow"/>
        </w:rPr>
        <w:instrText xml:space="preserve"> ADDIN ZOTERO_ITEM CSL_CITATION {"citationID":"TVLyO4rw","properties":{"unsorted":false,"formattedCitation":"[122]","plainCitation":"[122]","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1752D4" w:rsidRPr="002A6586">
        <w:rPr>
          <w:highlight w:val="yellow"/>
        </w:rPr>
        <w:fldChar w:fldCharType="separate"/>
      </w:r>
      <w:r w:rsidR="00A95675" w:rsidRPr="00A95675">
        <w:rPr>
          <w:highlight w:val="yellow"/>
        </w:rPr>
        <w:t>[122]</w:t>
      </w:r>
      <w:r w:rsidR="001752D4" w:rsidRPr="002A6586">
        <w:rPr>
          <w:highlight w:val="yellow"/>
        </w:rPr>
        <w:fldChar w:fldCharType="end"/>
      </w:r>
      <w:r w:rsidRPr="002A6586">
        <w:rPr>
          <w:highlight w:val="yellow"/>
        </w:rPr>
        <w:t>.</w:t>
      </w:r>
    </w:p>
    <w:p w14:paraId="1AF22D4C" w14:textId="77777777" w:rsidR="00FE013C" w:rsidRPr="002A6586" w:rsidRDefault="00FE013C" w:rsidP="004C16FF">
      <w:pPr>
        <w:pStyle w:val="Heading20"/>
        <w:jc w:val="both"/>
        <w:rPr>
          <w:color w:val="auto"/>
          <w:highlight w:val="yellow"/>
        </w:rPr>
      </w:pPr>
      <w:r w:rsidRPr="002A6586">
        <w:rPr>
          <w:color w:val="auto"/>
          <w:highlight w:val="yellow"/>
        </w:rPr>
        <w:lastRenderedPageBreak/>
        <w:t>9.8 Cooling System Integration</w:t>
      </w:r>
    </w:p>
    <w:p w14:paraId="04A6F52E" w14:textId="5662686B" w:rsidR="00AB00A3" w:rsidRPr="002A6586" w:rsidRDefault="00AB00A3" w:rsidP="001D1223">
      <w:pPr>
        <w:spacing w:after="120"/>
        <w:ind w:firstLine="480"/>
        <w:rPr>
          <w:highlight w:val="yellow"/>
        </w:rPr>
      </w:pPr>
      <w:r w:rsidRPr="002A6586">
        <w:rPr>
          <w:highlight w:val="yellow"/>
        </w:rPr>
        <w:t xml:space="preserve">The coupling of cooling systems to a renewable energy supply demands the synchronized handling of thermal and electric energy flows. Thermal energy storage (TES) can help defer cooling loads into hours when renewable energy is available in abundance or electricity is cheap, such as at night or during peak solar hours. When renewable power generation is higher than needed, chillers freeze water into ice; conversely, when renewable power output drops below demand, the ice is melted to provide cooling without chiller operation. This thermal-electrical coupling provides powerful </w:t>
      </w:r>
      <w:r w:rsidRPr="0095575B">
        <w:rPr>
          <w:highlight w:val="yellow"/>
        </w:rPr>
        <w:t>opportunities</w:t>
      </w:r>
      <w:r w:rsidR="00A11E40" w:rsidRPr="0095575B">
        <w:rPr>
          <w:highlight w:val="yellow"/>
        </w:rPr>
        <w:t xml:space="preserve"> for coordinated thermal-electrical dispatch</w:t>
      </w:r>
      <w:r w:rsidRPr="0095575B">
        <w:rPr>
          <w:highlight w:val="yellow"/>
        </w:rPr>
        <w:t xml:space="preserve"> but introduces complexity into the control system, which must simultaneously manage the electrical dispatch state and the thermal storage state</w:t>
      </w:r>
      <w:r w:rsidR="009A7346" w:rsidRPr="0095575B">
        <w:rPr>
          <w:highlight w:val="yellow"/>
        </w:rPr>
        <w:t xml:space="preserve"> </w:t>
      </w:r>
      <w:r w:rsidR="009A7346" w:rsidRPr="0095575B">
        <w:rPr>
          <w:highlight w:val="yellow"/>
        </w:rPr>
        <w:fldChar w:fldCharType="begin"/>
      </w:r>
      <w:r w:rsidR="001D1223" w:rsidRPr="0095575B">
        <w:rPr>
          <w:highlight w:val="yellow"/>
        </w:rPr>
        <w:instrText xml:space="preserve"> ADDIN ZOTERO_ITEM CSL_CITATION {"citationID":"9NU2Bjoq","properties":{"unsorted":false,"formattedCitation":"[92]","plainCitation":"[92]","noteIndex":0},"citationItems":[{"id":2046,"uris":["http://zotero.org/users/9870935/items/P4BXZMCV"],"itemData":{"id":2046,"type":"article","abstract":"Data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9A7346" w:rsidRPr="0095575B">
        <w:rPr>
          <w:highlight w:val="yellow"/>
        </w:rPr>
        <w:fldChar w:fldCharType="separate"/>
      </w:r>
      <w:r w:rsidR="001D1223" w:rsidRPr="0095575B">
        <w:rPr>
          <w:highlight w:val="yellow"/>
        </w:rPr>
        <w:t>[92]</w:t>
      </w:r>
      <w:r w:rsidR="009A7346" w:rsidRPr="0095575B">
        <w:rPr>
          <w:highlight w:val="yellow"/>
        </w:rPr>
        <w:fldChar w:fldCharType="end"/>
      </w:r>
      <w:r w:rsidRPr="0095575B">
        <w:rPr>
          <w:highlight w:val="yellow"/>
        </w:rPr>
        <w:t>.</w:t>
      </w:r>
    </w:p>
    <w:p w14:paraId="0EAB38C2" w14:textId="0D7C6018" w:rsidR="00AB00A3" w:rsidRPr="002A6586" w:rsidRDefault="00AB00A3" w:rsidP="00E842C0">
      <w:pPr>
        <w:spacing w:after="120"/>
        <w:ind w:firstLine="480"/>
        <w:rPr>
          <w:highlight w:val="yellow"/>
        </w:rPr>
      </w:pPr>
      <w:r w:rsidRPr="002A6586">
        <w:rPr>
          <w:highlight w:val="yellow"/>
        </w:rPr>
        <w:t>Another way to reduce cooling energy usage is by leveraging favorable ambient environmental conditions, a method known as free cooling. Free cooling can achieve 3,000 to 6,000 hours of cooling per year in temperate and cold climates, resulting in compressor energy savings of 40 to 70 percent for chillers during these periods. When renewable energy is scarce and cooling demands are energy-intensive, a slight increase in data center inlet temperatures—moving from the traditional 20–22 °C up to 32–35 °C—can be implemented via dynamic setpoint management. This strategy saves 15% to 25% in cooling energy usage, though it requires a minor compromise in accelerated component aging</w:t>
      </w:r>
      <w:r w:rsidR="007515FF" w:rsidRPr="002A6586">
        <w:rPr>
          <w:highlight w:val="yellow"/>
        </w:rPr>
        <w:fldChar w:fldCharType="begin"/>
      </w:r>
      <w:r w:rsidR="00E842C0">
        <w:rPr>
          <w:highlight w:val="yellow"/>
        </w:rPr>
        <w:instrText xml:space="preserve"> ADDIN ZOTERO_ITEM CSL_CITATION {"citationID":"CuNn0HfJ","properties":{"unsorted":false,"formattedCitation":"[153]","plainCitation":"[153]","noteIndex":0},"citationItems":[{"id":2126,"uris":["http://zotero.org/users/9870935/items/5SGD5DQK"],"itemData":{"id":2126,"type":"paper-conference","container-title":"ICC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7515FF" w:rsidRPr="002A6586">
        <w:rPr>
          <w:highlight w:val="yellow"/>
        </w:rPr>
        <w:fldChar w:fldCharType="separate"/>
      </w:r>
      <w:r w:rsidR="00E842C0" w:rsidRPr="00E842C0">
        <w:rPr>
          <w:highlight w:val="yellow"/>
        </w:rPr>
        <w:t>[153]</w:t>
      </w:r>
      <w:r w:rsidR="007515FF" w:rsidRPr="002A6586">
        <w:rPr>
          <w:highlight w:val="yellow"/>
        </w:rPr>
        <w:fldChar w:fldCharType="end"/>
      </w:r>
      <w:r w:rsidRPr="002A6586">
        <w:rPr>
          <w:highlight w:val="yellow"/>
        </w:rPr>
        <w:t>.</w:t>
      </w:r>
    </w:p>
    <w:p w14:paraId="0438A364" w14:textId="77777777" w:rsidR="00FE013C" w:rsidRPr="002A6586" w:rsidRDefault="00FE013C" w:rsidP="004C16FF">
      <w:pPr>
        <w:pStyle w:val="Heading20"/>
        <w:jc w:val="both"/>
        <w:rPr>
          <w:color w:val="auto"/>
          <w:highlight w:val="yellow"/>
        </w:rPr>
      </w:pPr>
      <w:r w:rsidRPr="002A6586">
        <w:rPr>
          <w:color w:val="auto"/>
          <w:highlight w:val="yellow"/>
        </w:rPr>
        <w:t>9.9 Cybersecurity and Operational Technology</w:t>
      </w:r>
    </w:p>
    <w:p w14:paraId="0BE0E768" w14:textId="23F7568B" w:rsidR="00FE013C" w:rsidRPr="002A6586" w:rsidRDefault="00FE013C" w:rsidP="00E842C0">
      <w:pPr>
        <w:spacing w:after="120"/>
        <w:ind w:firstLine="480"/>
        <w:rPr>
          <w:highlight w:val="yellow"/>
        </w:rPr>
      </w:pPr>
      <w:r w:rsidRPr="002A6586">
        <w:rPr>
          <w:highlight w:val="yellow"/>
        </w:rPr>
        <w:t>The augmentation of the attack surface area due to the integration of renewable energy systems, such as energy management platforms, smart inverters, battery management systems, and renewable monitoring systems, creates cybersecurity challenges that should be considered during system design. The possible threats to the system include false data injection (providing corrupted sensor readings to the EMS), malicious control commands (causing equipment to operate outside safe parameters), and denial-of-service attacks (disrupting communication between components)</w:t>
      </w:r>
      <w:r w:rsidRPr="002A6586">
        <w:rPr>
          <w:highlight w:val="yellow"/>
        </w:rPr>
        <w:fldChar w:fldCharType="begin"/>
      </w:r>
      <w:r w:rsidR="00E842C0">
        <w:rPr>
          <w:highlight w:val="yellow"/>
        </w:rPr>
        <w:instrText xml:space="preserve"> ADDIN ZOTERO_ITEM CSL_CITATION {"citationID":"oozQ5wwK","properties":{"unsorted":false,"formattedCitation":"[156]","plainCitation":"[156]","noteIndex":0},"citationItems":[{"id":2151,"uris":["http://zotero.org/users/9870935/items/G8D3K3TM"],"itemData":{"id":2151,"type":"article-journal","abstract":"The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rsidRPr="002A6586">
        <w:rPr>
          <w:highlight w:val="yellow"/>
        </w:rPr>
        <w:fldChar w:fldCharType="separate"/>
      </w:r>
      <w:r w:rsidR="00E842C0" w:rsidRPr="00E842C0">
        <w:rPr>
          <w:highlight w:val="yellow"/>
        </w:rPr>
        <w:t>[156]</w:t>
      </w:r>
      <w:r w:rsidRPr="002A6586">
        <w:rPr>
          <w:highlight w:val="yellow"/>
        </w:rPr>
        <w:fldChar w:fldCharType="end"/>
      </w:r>
      <w:r w:rsidRPr="002A6586">
        <w:rPr>
          <w:highlight w:val="yellow"/>
        </w:rPr>
        <w:t xml:space="preserve">. As the IT and OT networks in modern data </w:t>
      </w:r>
      <w:r w:rsidR="00580BAE" w:rsidRPr="002A6586">
        <w:rPr>
          <w:highlight w:val="yellow"/>
        </w:rPr>
        <w:t>center</w:t>
      </w:r>
      <w:r w:rsidRPr="002A6586">
        <w:rPr>
          <w:highlight w:val="yellow"/>
        </w:rPr>
        <w:t>s converge, there are opportunities for cyber threats to spread from enterprise systems to critical power infrastructure.</w:t>
      </w:r>
    </w:p>
    <w:p w14:paraId="4E1A3D79" w14:textId="08810A4D" w:rsidR="00FE013C" w:rsidRPr="00BD4B33" w:rsidRDefault="00FE013C" w:rsidP="00E842C0">
      <w:pPr>
        <w:spacing w:after="120"/>
        <w:ind w:firstLine="480"/>
      </w:pPr>
      <w:r w:rsidRPr="002A6586">
        <w:rPr>
          <w:highlight w:val="yellow"/>
        </w:rPr>
        <w:t xml:space="preserve">The following principles are followed to support best practices for OT cybersecurity: air-gapping or VPN-protected control networks, multi-factor authentication of all operator access, role-based access control that </w:t>
      </w:r>
      <w:r w:rsidR="00030122" w:rsidRPr="002A6586">
        <w:rPr>
          <w:highlight w:val="yellow"/>
        </w:rPr>
        <w:t>minimizes</w:t>
      </w:r>
      <w:r w:rsidRPr="002A6586">
        <w:rPr>
          <w:highlight w:val="yellow"/>
        </w:rPr>
        <w:t xml:space="preserve"> the permissions of each user, encrypted communications with TLS 1.3 or its higher versions, and redundant communication paths to ensure control capability for disruptions to the network</w:t>
      </w:r>
      <w:r w:rsidRPr="002A6586">
        <w:rPr>
          <w:highlight w:val="yellow"/>
        </w:rPr>
        <w:fldChar w:fldCharType="begin"/>
      </w:r>
      <w:r w:rsidR="004E7A62">
        <w:rPr>
          <w:highlight w:val="yellow"/>
        </w:rPr>
        <w:instrText xml:space="preserve"> ADDIN ZOTERO_ITEM CSL_CITATION {"citationID":"Z3L6Q0Rb","properties":{"unsorted":false,"formattedCitation":"[129]","plainCitation":"[129]","noteIndex":0},"citationItems":[{"id":2153,"uris":["http://zotero.org/users/9870935/items/BM962LGX"],"itemData":{"id":2153,"type":"article-journal","abstract":"Power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Pr="002A6586">
        <w:rPr>
          <w:highlight w:val="yellow"/>
        </w:rPr>
        <w:fldChar w:fldCharType="separate"/>
      </w:r>
      <w:r w:rsidR="004E7A62" w:rsidRPr="004E7A62">
        <w:rPr>
          <w:highlight w:val="yellow"/>
        </w:rPr>
        <w:t>[129]</w:t>
      </w:r>
      <w:r w:rsidRPr="002A6586">
        <w:rPr>
          <w:highlight w:val="yellow"/>
        </w:rPr>
        <w:fldChar w:fldCharType="end"/>
      </w:r>
      <w:r w:rsidRPr="002A6586">
        <w:rPr>
          <w:highlight w:val="yellow"/>
        </w:rPr>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rsidRPr="002A6586">
        <w:rPr>
          <w:highlight w:val="yellow"/>
        </w:rPr>
        <w:fldChar w:fldCharType="begin"/>
      </w:r>
      <w:r w:rsidR="00E842C0">
        <w:rPr>
          <w:highlight w:val="yellow"/>
        </w:rPr>
        <w:instrText xml:space="preserve"> ADDIN ZOTERO_ITEM CSL_CITATION {"citationID":"WrmxBe2a","properties":{"unsorted":false,"formattedCitation":"[157]","plainCitation":"[157]","noteIndex":0},"citationItems":[{"id":2154,"uris":["http://zotero.org/users/9870935/items/5WIYJKYR"],"itemData":{"id":2154,"type":"article-journal","abstract":"As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rsidRPr="002A6586">
        <w:rPr>
          <w:highlight w:val="yellow"/>
        </w:rPr>
        <w:fldChar w:fldCharType="separate"/>
      </w:r>
      <w:r w:rsidR="00E842C0" w:rsidRPr="00E842C0">
        <w:rPr>
          <w:highlight w:val="yellow"/>
        </w:rPr>
        <w:t>[157]</w:t>
      </w:r>
      <w:r w:rsidRPr="002A6586">
        <w:rPr>
          <w:highlight w:val="yellow"/>
        </w:rPr>
        <w:fldChar w:fldCharType="end"/>
      </w:r>
      <w:r w:rsidRPr="002A6586">
        <w:rPr>
          <w:highlight w:val="yellow"/>
        </w:rPr>
        <w:t>.</w:t>
      </w:r>
    </w:p>
    <w:p w14:paraId="5FB529BD" w14:textId="77777777" w:rsidR="00FE013C" w:rsidRDefault="00FE013C" w:rsidP="004C16FF">
      <w:pPr>
        <w:pStyle w:val="Heading1"/>
        <w:keepNext/>
        <w:jc w:val="both"/>
      </w:pPr>
      <w:bookmarkStart w:id="23" w:name="_Toc100067"/>
      <w:r>
        <w:t>10. Economic Analysis and Financial Viability</w:t>
      </w:r>
      <w:bookmarkEnd w:id="23"/>
    </w:p>
    <w:p w14:paraId="5CAC49A2" w14:textId="4B2934CE" w:rsidR="00F77E8E" w:rsidRDefault="00F77E8E" w:rsidP="004C16FF">
      <w:pPr>
        <w:spacing w:after="120"/>
        <w:ind w:firstLine="480"/>
        <w:rPr>
          <w:color w:val="000000" w:themeColor="text1"/>
          <w:szCs w:val="24"/>
          <w:lang w:val="en-CA"/>
        </w:rPr>
      </w:pPr>
      <w:r w:rsidRPr="002D05E1">
        <w:rPr>
          <w:color w:val="000000" w:themeColor="text1"/>
          <w:szCs w:val="24"/>
          <w:highlight w:val="yellow"/>
          <w:lang w:val="en-CA"/>
        </w:rPr>
        <w:t xml:space="preserve">This section reviews the economic features of AI data centers powered by renewables, including capital cost of technologies, operating and maintenance costs, levelized generation costs, firming and grid-integration costs, power purchase agreements (PPAs), financial assumptions, tax incentives and </w:t>
      </w:r>
      <w:r w:rsidRPr="002D05E1">
        <w:rPr>
          <w:color w:val="000000" w:themeColor="text1"/>
          <w:szCs w:val="24"/>
          <w:highlight w:val="yellow"/>
          <w:lang w:val="en-CA"/>
        </w:rPr>
        <w:lastRenderedPageBreak/>
        <w:t xml:space="preserve">methods for financial evaluation of projects. The comparison is divided into unfirmed renewable generation, firmed renewable systems, and delivered grid electricity, as these are not a like-for-like comparison as they are not the same product and availability is different. Values cited in this section are not the results of an independent project-specific financial </w:t>
      </w:r>
      <w:r w:rsidR="002D05E1" w:rsidRPr="002D05E1">
        <w:rPr>
          <w:color w:val="000000" w:themeColor="text1"/>
          <w:szCs w:val="24"/>
          <w:highlight w:val="yellow"/>
          <w:lang w:val="en-CA"/>
        </w:rPr>
        <w:t>model but</w:t>
      </w:r>
      <w:r w:rsidRPr="002D05E1">
        <w:rPr>
          <w:color w:val="000000" w:themeColor="text1"/>
          <w:szCs w:val="24"/>
          <w:highlight w:val="yellow"/>
          <w:lang w:val="en-CA"/>
        </w:rPr>
        <w:t xml:space="preserve"> are literature-based benchmarks.</w:t>
      </w:r>
    </w:p>
    <w:p w14:paraId="159459D5" w14:textId="77777777" w:rsidR="00FE013C" w:rsidRPr="00EB1FF0" w:rsidRDefault="00FE013C" w:rsidP="004C16FF">
      <w:pPr>
        <w:pStyle w:val="Heading20"/>
        <w:jc w:val="both"/>
        <w:rPr>
          <w:color w:val="auto"/>
        </w:rPr>
      </w:pPr>
      <w:bookmarkStart w:id="24" w:name="_Toc100068"/>
      <w:r w:rsidRPr="00EB1FF0">
        <w:rPr>
          <w:color w:val="auto"/>
        </w:rPr>
        <w:t>10.1 Capital</w:t>
      </w:r>
      <w:r>
        <w:rPr>
          <w:color w:val="auto"/>
        </w:rPr>
        <w:t xml:space="preserve"> and Operational</w:t>
      </w:r>
      <w:r w:rsidRPr="00EB1FF0">
        <w:rPr>
          <w:color w:val="auto"/>
        </w:rPr>
        <w:t xml:space="preserve"> Cost Analysis</w:t>
      </w:r>
      <w:bookmarkEnd w:id="24"/>
    </w:p>
    <w:p w14:paraId="76E4F47C" w14:textId="140119A0" w:rsidR="00D81E2E" w:rsidRPr="00157584" w:rsidRDefault="00D81E2E" w:rsidP="00A95675">
      <w:pPr>
        <w:spacing w:after="120"/>
        <w:ind w:firstLine="480"/>
        <w:rPr>
          <w:color w:val="000000" w:themeColor="text1"/>
          <w:szCs w:val="24"/>
          <w:highlight w:val="yellow"/>
        </w:rPr>
      </w:pPr>
      <w:r w:rsidRPr="002814C1">
        <w:rPr>
          <w:color w:val="000000" w:themeColor="text1"/>
          <w:szCs w:val="24"/>
          <w:highlight w:val="yellow"/>
          <w:lang w:val="en-CA"/>
        </w:rPr>
        <w:t xml:space="preserve">Costs for renewable-energy projects tend to be capital-intensive, and most of the cost is in developing and building the project. As a result, the reported capital costs range depending on the geographic location, quality of resources, labor and equipment markets, interconnection needs, permitting process, supply-chain limitations, and financing arrangement. </w:t>
      </w:r>
      <w:r w:rsidR="00A721DF" w:rsidRPr="00A721DF">
        <w:rPr>
          <w:color w:val="000000" w:themeColor="text1"/>
          <w:szCs w:val="24"/>
          <w:highlight w:val="yellow"/>
        </w:rPr>
        <w:t>The National Renewable Energy Laboratory (NREL) Annual Technology Baseline (ATB) provides internally consistent technology-cost and performance assumptions for U.S. electricity-sector analysis, while the International Renewable Energy Agency (IRENA) reports global and regional observations for commissioned projects</w:t>
      </w:r>
      <w:r w:rsidR="00157584">
        <w:rPr>
          <w:color w:val="000000" w:themeColor="text1"/>
          <w:szCs w:val="24"/>
          <w:highlight w:val="yellow"/>
        </w:rPr>
        <w:t xml:space="preserve"> </w:t>
      </w:r>
      <w:r w:rsidR="002814C1">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{"citationID":"TiaPh2yu","properties":{"unsorted":false,"formattedCitation":"[16], [116]","plainCitation":"[16], [116]","noteIndex":0},"citationItems":[{"id":1925,"uris":["http://zotero.org/users/9870935/items/ZT343IZI"],"itemData":{"id":1925,"type":"article-journal","language":"en","source":"Zotero","title":"Renewable power generation costs in 2024","URL":"https://www.rinnovabili.it/wp-content/uploads/2025/07/IRENA-RENEWABLE-POWER-GENERATION-COSTS-IN-2024.pdf"}},{"id":2715,"uris":["http://zotero.org/users/9870935/items/7394XZ5J"],"itemData":{"id":2715,"type":"post-weblog","title":"Annual Technoogy Baseline","URL":"https://atb-archive.nlr.gov/","author":[{"literal":"NREL"}]}}],"schema":"https://github.com/citation-style-language/schema/raw/master/csl-citation.json"} </w:instrText>
      </w:r>
      <w:r w:rsidR="002814C1">
        <w:rPr>
          <w:color w:val="000000" w:themeColor="text1"/>
          <w:szCs w:val="24"/>
          <w:highlight w:val="yellow"/>
          <w:lang w:val="en-CA"/>
        </w:rPr>
        <w:fldChar w:fldCharType="separate"/>
      </w:r>
      <w:r w:rsidR="00A95675" w:rsidRPr="00A95675">
        <w:rPr>
          <w:highlight w:val="yellow"/>
          <w:lang w:val="en-CA"/>
        </w:rPr>
        <w:t>[16], [116]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10D1FDD0" w14:textId="4CF5FC2D"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In 2024, IRENA reported the global weighted-average total installed costs (TICs) of $691/kW for utility-scale solar photovoltaic (PV) systems and $1,041/kW for onshore wind. Such world averages should not be used as typical project costs for the United States, as permitting, labor and equipment costs, as well as BOS and interconnection delays may lead to higher costs in North America and Europe. Additionally, IRENA published the total installed price for battery energy storage systems (BESS) at the utility scale cost at about $192/kWh in 2024</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1l15Jiku","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002DB1DD" w14:textId="6F105120" w:rsidR="00D81E2E" w:rsidRPr="002814C1" w:rsidRDefault="00BB4F19" w:rsidP="002814C1">
      <w:pPr>
        <w:spacing w:after="120"/>
        <w:ind w:firstLine="480"/>
        <w:rPr>
          <w:color w:val="000000" w:themeColor="text1"/>
          <w:szCs w:val="24"/>
          <w:highlight w:val="yellow"/>
          <w:lang w:val="en-CA"/>
        </w:rPr>
      </w:pPr>
      <w:r w:rsidRPr="002146FC">
        <w:rPr>
          <w:color w:val="000000" w:themeColor="text1"/>
          <w:szCs w:val="24"/>
          <w:highlight w:val="yellow"/>
          <w:lang w:val="en-CA"/>
        </w:rPr>
        <w:t>Battery costs should be reported with their system boundary and source year</w:t>
      </w:r>
      <w:r w:rsidR="00D81E2E" w:rsidRPr="002146FC">
        <w:rPr>
          <w:color w:val="000000" w:themeColor="text1"/>
          <w:szCs w:val="24"/>
          <w:highlight w:val="yellow"/>
          <w:lang w:val="en-CA"/>
        </w:rPr>
        <w:t xml:space="preserve">. According to BloombergNEF's 2025 </w:t>
      </w:r>
      <w:r w:rsidR="00D81E2E" w:rsidRPr="006F2F82">
        <w:rPr>
          <w:color w:val="000000" w:themeColor="text1"/>
          <w:szCs w:val="24"/>
          <w:highlight w:val="yellow"/>
          <w:lang w:val="en-CA"/>
        </w:rPr>
        <w:t xml:space="preserve">survey, </w:t>
      </w:r>
      <w:r w:rsidR="004663A0" w:rsidRPr="006F2F82">
        <w:rPr>
          <w:color w:val="000000" w:themeColor="text1"/>
          <w:szCs w:val="24"/>
          <w:highlight w:val="yellow"/>
          <w:lang w:val="en-CA"/>
        </w:rPr>
        <w:t>the volume-weighted average lithium-ion battery-pack price across applications declined</w:t>
      </w:r>
      <w:r w:rsidR="00D81E2E" w:rsidRPr="006F2F82">
        <w:rPr>
          <w:color w:val="000000" w:themeColor="text1"/>
          <w:szCs w:val="24"/>
          <w:highlight w:val="yellow"/>
          <w:lang w:val="en-CA"/>
        </w:rPr>
        <w:t xml:space="preserve"> to $108/kWh</w:t>
      </w:r>
      <w:r w:rsidR="00D81E2E" w:rsidRPr="002814C1">
        <w:rPr>
          <w:color w:val="000000" w:themeColor="text1"/>
          <w:szCs w:val="24"/>
          <w:highlight w:val="yellow"/>
          <w:lang w:val="en-CA"/>
        </w:rPr>
        <w:t>. The average pack price for stationary-storage was about $70/kWh</w:t>
      </w:r>
      <w:r w:rsidR="002814C1">
        <w:rPr>
          <w:color w:val="000000" w:themeColor="text1"/>
          <w:szCs w:val="24"/>
          <w:highlight w:val="yellow"/>
          <w:lang w:val="en-CA"/>
        </w:rPr>
        <w:t xml:space="preserve"> </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{"citationID":"cL5TvLm8","properties":{"unsorted":false,"formattedCitation":"[17]","plainCitation":"[17]","noteIndex":0},"citationItems":[{"id":1923,"uris":["http://zotero.org/users/9870935/items/K5N743Z5"],"itemData":{"id":1923,"type":"post-weblog","title":"BNEF: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[17]</w:t>
      </w:r>
      <w:r w:rsidR="002814C1">
        <w:rPr>
          <w:color w:val="000000" w:themeColor="text1"/>
          <w:szCs w:val="24"/>
          <w:highlight w:val="yellow"/>
          <w:lang w:val="en-CA"/>
        </w:rPr>
        <w:fldChar w:fldCharType="end"/>
      </w:r>
      <w:r w:rsidR="00D81E2E" w:rsidRPr="002814C1">
        <w:rPr>
          <w:color w:val="000000" w:themeColor="text1"/>
          <w:szCs w:val="24"/>
          <w:highlight w:val="yellow"/>
          <w:lang w:val="en-CA"/>
        </w:rPr>
        <w:t xml:space="preserve">. These values are based on battery-packs and do not cover all costs needed to build an operational battery energy storage system. Other costs included in a complete </w:t>
      </w:r>
      <w:r w:rsidR="002814C1" w:rsidRPr="002814C1">
        <w:rPr>
          <w:color w:val="000000" w:themeColor="text1"/>
          <w:szCs w:val="24"/>
          <w:highlight w:val="yellow"/>
          <w:lang w:val="en-CA"/>
        </w:rPr>
        <w:t>installed system</w:t>
      </w:r>
      <w:r w:rsidR="00D81E2E" w:rsidRPr="002814C1">
        <w:rPr>
          <w:color w:val="000000" w:themeColor="text1"/>
          <w:szCs w:val="24"/>
          <w:highlight w:val="yellow"/>
          <w:lang w:val="en-CA"/>
        </w:rPr>
        <w:t xml:space="preserve"> include the power-conversion system, the thermal management, battery enclosures, controls, fire protection, engineering, procurement, construction, interconnection equipment and site-development c</w:t>
      </w:r>
      <w:r w:rsidR="00D81E2E" w:rsidRPr="00BE0A51">
        <w:rPr>
          <w:color w:val="000000" w:themeColor="text1"/>
          <w:szCs w:val="24"/>
          <w:highlight w:val="yellow"/>
          <w:lang w:val="en-CA"/>
        </w:rPr>
        <w:t xml:space="preserve">osts. </w:t>
      </w:r>
      <w:r w:rsidR="009301EE" w:rsidRPr="00BE0A51">
        <w:rPr>
          <w:color w:val="000000" w:themeColor="text1"/>
          <w:szCs w:val="24"/>
          <w:highlight w:val="yellow"/>
          <w:lang w:val="en-CA"/>
        </w:rPr>
        <w:t>A pack-level price should therefore not be used as a substitute for the installed BESS cost</w:t>
      </w:r>
      <w:r w:rsidR="00D81E2E" w:rsidRPr="00BE0A51">
        <w:rPr>
          <w:color w:val="000000" w:themeColor="text1"/>
          <w:szCs w:val="24"/>
          <w:highlight w:val="yellow"/>
          <w:lang w:val="en-CA"/>
        </w:rPr>
        <w:t>.</w:t>
      </w:r>
    </w:p>
    <w:p w14:paraId="37AC81A4" w14:textId="25C9E738"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The following cost categories are kept for screening-level analysis in this review:</w:t>
      </w:r>
    </w:p>
    <w:p w14:paraId="6FF64ADD" w14:textId="45360048" w:rsidR="00D81E2E" w:rsidRPr="002814C1" w:rsidRDefault="00D81E2E" w:rsidP="00A95675">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Capital cost of utility-scale solar PV:</w:t>
      </w:r>
      <w:r w:rsidRPr="002814C1">
        <w:rPr>
          <w:color w:val="000000" w:themeColor="text1"/>
          <w:szCs w:val="24"/>
          <w:highlight w:val="yellow"/>
          <w:lang w:val="en-CA"/>
        </w:rPr>
        <w:t xml:space="preserve"> project-specific capital cost from the NREL Annual Technology Baseline or a similar regional engineering estimate</w:t>
      </w:r>
      <w:r w:rsidR="008B3B48">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{"citationID":"0JgMbJWx","properties":{"unsorted":false,"formattedCitation":"[116]","plainCitation":"[116]","noteIndex":0},"citationItems":[{"id":2715,"uris":["http://zotero.org/users/9870935/items/7394XZ5J"],"itemData":{"id":2715,"type":"post-weblog","title":"Annual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A95675" w:rsidRPr="00A95675">
        <w:rPr>
          <w:highlight w:val="yellow"/>
          <w:lang w:val="en-CA"/>
        </w:rPr>
        <w:t>[116]</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56A2FBC4" w14:textId="2540D352" w:rsidR="00D81E2E" w:rsidRPr="002814C1" w:rsidRDefault="00D81E2E" w:rsidP="00A95675">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Onshore wind:</w:t>
      </w:r>
      <w:r w:rsidRPr="002814C1">
        <w:rPr>
          <w:color w:val="000000" w:themeColor="text1"/>
          <w:szCs w:val="24"/>
          <w:highlight w:val="yellow"/>
          <w:lang w:val="en-CA"/>
        </w:rPr>
        <w:t xml:space="preserve"> A project-specific capital cost from the NREL Annual Technology Baseline or other regionally available estimate </w:t>
      </w:r>
      <w:r w:rsidR="008B3B48">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{"citationID":"QgPzQghO","properties":{"unsorted":false,"formattedCitation":"[116]","plainCitation":"[116]","noteIndex":0},"citationItems":[{"id":2715,"uris":["http://zotero.org/users/9870935/items/7394XZ5J"],"itemData":{"id":2715,"type":"post-weblog","title":"Annual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A95675" w:rsidRPr="00A95675">
        <w:rPr>
          <w:highlight w:val="yellow"/>
          <w:lang w:val="en-CA"/>
        </w:rPr>
        <w:t>[116]</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45A1753B" w14:textId="2104934A" w:rsidR="00D81E2E" w:rsidRPr="002814C1" w:rsidRDefault="00D81E2E" w:rsidP="000D42C3">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Lithium-ion battery pack:</w:t>
      </w:r>
      <w:r w:rsidRPr="002814C1">
        <w:rPr>
          <w:color w:val="000000" w:themeColor="text1"/>
          <w:szCs w:val="24"/>
          <w:highlight w:val="yellow"/>
          <w:lang w:val="en-CA"/>
        </w:rPr>
        <w:t xml:space="preserve"> $108/kWh as the 2025 volume-weighted average across applications, with stationary-storage packs averaging $70/kWh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{"citationID":"ly3sI2Ew","properties":{"unsorted":false,"formattedCitation":"[17]","plainCitation":"[17]","noteIndex":0},"citationItems":[{"id":1923,"uris":["http://zotero.org/users/9870935/items/K5N743Z5"],"itemData":{"id":1923,"type":"post-weblog","title":"BNEF: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[17]</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6B74578B" w14:textId="77FB8E97" w:rsidR="00B9300E" w:rsidRPr="00B9300E" w:rsidRDefault="00D81E2E" w:rsidP="00B9300E">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Installed cost of utility-scale BESS:</w:t>
      </w:r>
      <w:r w:rsidRPr="002814C1">
        <w:rPr>
          <w:color w:val="000000" w:themeColor="text1"/>
          <w:szCs w:val="24"/>
          <w:highlight w:val="yellow"/>
          <w:lang w:val="en-CA"/>
        </w:rPr>
        <w:t xml:space="preserve"> global weighted-average 2024 installed cost from IRENA, which could vary across regions and projects, of approximately $192/kWh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oeDt1TSW","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[16]</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1782112C" w14:textId="2701F7DB" w:rsidR="00B9300E" w:rsidRPr="00B9300E" w:rsidRDefault="00B9300E" w:rsidP="00B9300E">
      <w:pPr>
        <w:spacing w:after="120"/>
        <w:ind w:firstLine="480"/>
        <w:rPr>
          <w:color w:val="000000" w:themeColor="text1"/>
          <w:szCs w:val="24"/>
          <w:highlight w:val="yellow"/>
        </w:rPr>
      </w:pPr>
      <w:r w:rsidRPr="00B9300E">
        <w:rPr>
          <w:color w:val="000000" w:themeColor="text1"/>
          <w:szCs w:val="24"/>
          <w:highlight w:val="yellow"/>
        </w:rPr>
        <w:t xml:space="preserve">Unless otherwise stated, cost values reported in this section are literature-based benchmarks extracted from published sources and are presented in the original reports' currency years. These values have not been normalized to a common base year unless explicitly indicated. Consequently, direct </w:t>
      </w:r>
      <w:r w:rsidRPr="00B9300E">
        <w:rPr>
          <w:color w:val="000000" w:themeColor="text1"/>
          <w:szCs w:val="24"/>
          <w:highlight w:val="yellow"/>
        </w:rPr>
        <w:lastRenderedPageBreak/>
        <w:t>numerical comparisons should be interpreted with caution. Project-specific evaluations should use locally applicable cost data and inflation-adjusted assumptions.</w:t>
      </w:r>
    </w:p>
    <w:p w14:paraId="076ABDA0" w14:textId="097A0A2E" w:rsidR="00D81E2E" w:rsidRPr="000D42C3" w:rsidRDefault="00D271DF" w:rsidP="000D42C3">
      <w:pPr>
        <w:spacing w:after="120"/>
        <w:ind w:firstLine="480"/>
        <w:rPr>
          <w:color w:val="000000" w:themeColor="text1"/>
          <w:szCs w:val="24"/>
          <w:highlight w:val="yellow"/>
          <w:lang w:val="en-CA"/>
        </w:rPr>
      </w:pPr>
      <w:r w:rsidRPr="00DE5637">
        <w:rPr>
          <w:color w:val="000000" w:themeColor="text1"/>
          <w:szCs w:val="24"/>
          <w:highlight w:val="yellow"/>
          <w:lang w:val="en-CA"/>
        </w:rPr>
        <w:t>Technology-specific O&amp;M assumptions should be drawn from a consistent source set and reported using a common basis</w:t>
      </w:r>
      <w:r w:rsidR="00D81E2E" w:rsidRPr="00DE5637">
        <w:rPr>
          <w:color w:val="000000" w:themeColor="text1"/>
          <w:szCs w:val="24"/>
          <w:highlight w:val="yellow"/>
          <w:lang w:val="en-CA"/>
        </w:rPr>
        <w:t xml:space="preserve">. Annual fixed O&amp;M can be reported as a percent of initial capital cost for project </w:t>
      </w:r>
      <w:r w:rsidR="00DE5637" w:rsidRPr="00DE5637">
        <w:rPr>
          <w:color w:val="000000" w:themeColor="text1"/>
          <w:szCs w:val="24"/>
          <w:highlight w:val="yellow"/>
          <w:lang w:val="en-CA"/>
        </w:rPr>
        <w:t>screening but</w:t>
      </w:r>
      <w:r w:rsidR="00D81E2E" w:rsidRPr="00DE5637">
        <w:rPr>
          <w:color w:val="000000" w:themeColor="text1"/>
          <w:szCs w:val="24"/>
          <w:highlight w:val="yellow"/>
          <w:lang w:val="en-CA"/>
        </w:rPr>
        <w:t xml:space="preserve"> should be reported as technology-specific dollar per kilowatt per year costs in investment-grade project analysis, and should separately report costs for land leases, insurance and asset management, inverter </w:t>
      </w:r>
      <w:r w:rsidR="00D81E2E" w:rsidRPr="000D42C3">
        <w:rPr>
          <w:color w:val="000000" w:themeColor="text1"/>
          <w:szCs w:val="24"/>
          <w:highlight w:val="yellow"/>
          <w:lang w:val="en-CA"/>
        </w:rPr>
        <w:t>replacement, battery augmentation, property taxes, and planned component replacement</w:t>
      </w:r>
      <w:r w:rsidR="000D42C3">
        <w:rPr>
          <w:color w:val="000000" w:themeColor="text1"/>
          <w:szCs w:val="24"/>
          <w:highlight w:val="yellow"/>
          <w:lang w:val="en-CA"/>
        </w:rPr>
        <w:t>.</w:t>
      </w:r>
    </w:p>
    <w:p w14:paraId="2E77E158" w14:textId="77777777" w:rsidR="00FE013C" w:rsidRDefault="00FE013C" w:rsidP="004C16FF">
      <w:pPr>
        <w:pStyle w:val="Heading20"/>
        <w:jc w:val="both"/>
        <w:rPr>
          <w:color w:val="auto"/>
        </w:rPr>
      </w:pPr>
      <w:r w:rsidRPr="00EB1FF0">
        <w:rPr>
          <w:color w:val="auto"/>
        </w:rPr>
        <w:t>10.</w:t>
      </w:r>
      <w:r>
        <w:rPr>
          <w:color w:val="auto"/>
        </w:rPr>
        <w:t>2</w:t>
      </w:r>
      <w:r w:rsidRPr="00EB1FF0">
        <w:rPr>
          <w:color w:val="auto"/>
        </w:rPr>
        <w:t xml:space="preserve"> </w:t>
      </w:r>
      <w:r>
        <w:rPr>
          <w:color w:val="auto"/>
        </w:rPr>
        <w:t>Levelized Cost of Energy (LCOE) Comparison</w:t>
      </w:r>
    </w:p>
    <w:p w14:paraId="019243BB" w14:textId="506E2A96" w:rsidR="00044E2C" w:rsidRPr="00880E70" w:rsidRDefault="00044E2C" w:rsidP="00E842C0">
      <w:pPr>
        <w:spacing w:after="120"/>
        <w:ind w:firstLine="480"/>
        <w:rPr>
          <w:color w:val="000000" w:themeColor="text1"/>
          <w:szCs w:val="24"/>
          <w:highlight w:val="yellow"/>
          <w:lang w:val="en-CA"/>
        </w:rPr>
      </w:pPr>
      <w:r w:rsidRPr="00044E2C">
        <w:rPr>
          <w:color w:val="000000" w:themeColor="text1"/>
          <w:szCs w:val="24"/>
          <w:highlight w:val="yellow"/>
          <w:lang w:val="en-CA"/>
        </w:rPr>
        <w:t>Levelized cost of electricity (LCOE) is the discounted LCOE of constructing and operating a generation asset divided by the discounted lifetime electricity production. While LCOE is useful for comparing generation technologies when the same assumptions are made, it cannot be used to measure the temporal availability, capacity value, transmission requirements, curtailment or the cost of reliably serving a continuous data-center load</w:t>
      </w:r>
      <w:r>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{"citationID":"GxLmBcf8","properties":{"unsorted":false,"formattedCitation":"[16], [158]","plainCitation":"[16], [158]","noteIndex":0},"citationItems":[{"id":1925,"uris":["http://zotero.org/users/9870935/items/ZT343IZI"],"itemData":{"id":1925,"type":"article-journal","language":"en","source":"Zotero","title":"Renewable power generation costs in 2024","URL":"https://www.rinnovabili.it/wp-content/uploads/2025/07/IRENA-RENEWABLE-POWER-GENERATION-COSTS-IN-2024.pdf"}},{"id":2716,"uris":["http://zotero.org/users/9870935/items/QM3FE6TY"],"itemData":{"id":2716,"type":"post-weblog","title":"Lazard’s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Pr>
          <w:color w:val="000000" w:themeColor="text1"/>
          <w:szCs w:val="24"/>
          <w:highlight w:val="yellow"/>
          <w:lang w:val="en-CA"/>
        </w:rPr>
        <w:fldChar w:fldCharType="separate"/>
      </w:r>
      <w:r w:rsidR="00E842C0" w:rsidRPr="00E842C0">
        <w:rPr>
          <w:highlight w:val="yellow"/>
          <w:lang w:val="en-CA"/>
        </w:rPr>
        <w:t>[16], [158]</w:t>
      </w:r>
      <w:r>
        <w:rPr>
          <w:color w:val="000000" w:themeColor="text1"/>
          <w:szCs w:val="24"/>
          <w:highlight w:val="yellow"/>
          <w:lang w:val="en-CA"/>
        </w:rPr>
        <w:fldChar w:fldCharType="end"/>
      </w:r>
      <w:r w:rsidRPr="00044E2C">
        <w:rPr>
          <w:color w:val="000000" w:themeColor="text1"/>
          <w:szCs w:val="24"/>
          <w:highlight w:val="yellow"/>
          <w:lang w:val="en-CA"/>
        </w:rPr>
        <w:t>.</w:t>
      </w:r>
    </w:p>
    <w:p w14:paraId="39E4AFB9" w14:textId="50FD8610" w:rsidR="00044E2C" w:rsidRPr="00FC0221" w:rsidRDefault="00140F8D" w:rsidP="00044E2C">
      <w:pPr>
        <w:spacing w:after="120"/>
        <w:ind w:firstLine="480"/>
        <w:rPr>
          <w:color w:val="000000" w:themeColor="text1"/>
          <w:szCs w:val="24"/>
          <w:highlight w:val="yellow"/>
          <w:lang w:val="en-CA"/>
        </w:rPr>
      </w:pPr>
      <w:r w:rsidRPr="00FC0221">
        <w:rPr>
          <w:color w:val="000000" w:themeColor="text1"/>
          <w:szCs w:val="24"/>
          <w:highlight w:val="yellow"/>
          <w:lang w:val="en-CA"/>
        </w:rPr>
        <w:t>The relevant distinction is between generation-only cost and the cost of electricity supplied with the firming and network services required by a continuous data-center load</w:t>
      </w:r>
      <w:r w:rsidR="00044E2C" w:rsidRPr="00FC0221">
        <w:rPr>
          <w:color w:val="000000" w:themeColor="text1"/>
          <w:szCs w:val="24"/>
          <w:highlight w:val="yellow"/>
          <w:lang w:val="en-CA"/>
        </w:rPr>
        <w:t xml:space="preserve">. Standalone solar PV and wind LCOEs are the cost of variable electricity </w:t>
      </w:r>
      <w:r w:rsidR="00417AAE" w:rsidRPr="00FC0221">
        <w:rPr>
          <w:color w:val="000000" w:themeColor="text1"/>
          <w:szCs w:val="24"/>
          <w:highlight w:val="yellow"/>
          <w:lang w:val="en-CA"/>
        </w:rPr>
        <w:t>if</w:t>
      </w:r>
      <w:r w:rsidR="00044E2C" w:rsidRPr="00FC0221">
        <w:rPr>
          <w:color w:val="000000" w:themeColor="text1"/>
          <w:szCs w:val="24"/>
          <w:highlight w:val="yellow"/>
          <w:lang w:val="en-CA"/>
        </w:rPr>
        <w:t xml:space="preserve"> the resource is available. On the other hand, a data center has a high demand for </w:t>
      </w:r>
      <w:r w:rsidR="00417AAE" w:rsidRPr="00FC0221">
        <w:rPr>
          <w:color w:val="000000" w:themeColor="text1"/>
          <w:szCs w:val="24"/>
          <w:highlight w:val="yellow"/>
          <w:lang w:val="en-CA"/>
        </w:rPr>
        <w:t>electricity,</w:t>
      </w:r>
      <w:r w:rsidR="00044E2C" w:rsidRPr="00FC0221">
        <w:rPr>
          <w:color w:val="000000" w:themeColor="text1"/>
          <w:szCs w:val="24"/>
          <w:highlight w:val="yellow"/>
          <w:lang w:val="en-CA"/>
        </w:rPr>
        <w:t xml:space="preserve"> and the electricity </w:t>
      </w:r>
      <w:r w:rsidR="00E72ABB" w:rsidRPr="00FC0221">
        <w:rPr>
          <w:color w:val="000000" w:themeColor="text1"/>
          <w:szCs w:val="24"/>
          <w:highlight w:val="yellow"/>
          <w:lang w:val="en-CA"/>
        </w:rPr>
        <w:t>must</w:t>
      </w:r>
      <w:r w:rsidR="00044E2C" w:rsidRPr="00FC0221">
        <w:rPr>
          <w:color w:val="000000" w:themeColor="text1"/>
          <w:szCs w:val="24"/>
          <w:highlight w:val="yellow"/>
          <w:lang w:val="en-CA"/>
        </w:rPr>
        <w:t xml:space="preserve"> be constant, so it needs to increase the demand elasticity or geographic dispersion or use storage, imports, and backup generation to increase the demand stability. Unfirmed solar and wind LCOEs should not be explicitly compared to the all-in cost of firm grid service.</w:t>
      </w:r>
    </w:p>
    <w:p w14:paraId="56F187F7" w14:textId="7E5AFEC5" w:rsidR="00044E2C" w:rsidRPr="00044E2C" w:rsidRDefault="00044E2C" w:rsidP="00E842C0">
      <w:pPr>
        <w:spacing w:after="120"/>
        <w:ind w:firstLine="480"/>
        <w:rPr>
          <w:color w:val="000000" w:themeColor="text1"/>
          <w:szCs w:val="24"/>
          <w:highlight w:val="yellow"/>
          <w:lang w:val="en-CA"/>
        </w:rPr>
      </w:pPr>
      <w:r w:rsidRPr="00044E2C">
        <w:rPr>
          <w:color w:val="000000" w:themeColor="text1"/>
          <w:szCs w:val="24"/>
          <w:highlight w:val="yellow"/>
          <w:lang w:val="en-CA"/>
        </w:rPr>
        <w:t>IRENA also listed the weighted-average LCOEs for solar PV and onshore wind for 2024 as $43/MWh and $34/MWh respectively</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OszfCbIt","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 Lazard's 2025 LCOE+ also found utility-scale solar and onshore wind to be cost competitive in the U.S. for new build, and noted that it is benchmarking current markets, not predicting the future</w:t>
      </w:r>
      <w:r w:rsidR="00417AA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{"citationID":"DLHqQ4hD","properties":{"unsorted":false,"formattedCitation":"[158]","plainCitation":"[158]","noteIndex":0},"citationItems":[{"id":2716,"uris":["http://zotero.org/users/9870935/items/QM3FE6TY"],"itemData":{"id":2716,"type":"post-weblog","title":"Lazard’s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417AAE">
        <w:rPr>
          <w:color w:val="000000" w:themeColor="text1"/>
          <w:szCs w:val="24"/>
          <w:highlight w:val="yellow"/>
          <w:lang w:val="en-CA"/>
        </w:rPr>
        <w:fldChar w:fldCharType="separate"/>
      </w:r>
      <w:r w:rsidR="00E842C0" w:rsidRPr="00E842C0">
        <w:rPr>
          <w:highlight w:val="yellow"/>
          <w:lang w:val="en-CA"/>
        </w:rPr>
        <w:t>[158]</w:t>
      </w:r>
      <w:r w:rsidR="00417AAE">
        <w:rPr>
          <w:color w:val="000000" w:themeColor="text1"/>
          <w:szCs w:val="24"/>
          <w:highlight w:val="yellow"/>
          <w:lang w:val="en-CA"/>
        </w:rPr>
        <w:fldChar w:fldCharType="end"/>
      </w:r>
      <w:r w:rsidRPr="00044E2C">
        <w:rPr>
          <w:color w:val="000000" w:themeColor="text1"/>
          <w:szCs w:val="24"/>
          <w:highlight w:val="yellow"/>
          <w:lang w:val="en-CA"/>
        </w:rPr>
        <w:t xml:space="preserve">. These values represent only the </w:t>
      </w:r>
      <w:r w:rsidR="0047714E">
        <w:rPr>
          <w:color w:val="000000" w:themeColor="text1"/>
          <w:szCs w:val="24"/>
          <w:highlight w:val="yellow"/>
          <w:lang w:val="en-CA"/>
        </w:rPr>
        <w:t>generation-only cost</w:t>
      </w:r>
      <w:r w:rsidRPr="00044E2C">
        <w:rPr>
          <w:color w:val="000000" w:themeColor="text1"/>
          <w:szCs w:val="24"/>
          <w:highlight w:val="yellow"/>
          <w:lang w:val="en-CA"/>
        </w:rPr>
        <w:t xml:space="preserve"> and do not reflect the full cost of securing supply to a data centre that is continually running.</w:t>
      </w:r>
    </w:p>
    <w:p w14:paraId="741F214F" w14:textId="25D7EDDE" w:rsidR="005810CB" w:rsidRPr="005810CB" w:rsidRDefault="005810CB" w:rsidP="005810CB">
      <w:pPr>
        <w:spacing w:after="120"/>
        <w:ind w:firstLine="480"/>
        <w:rPr>
          <w:color w:val="000000" w:themeColor="text1"/>
          <w:szCs w:val="24"/>
          <w:highlight w:val="yellow"/>
        </w:rPr>
      </w:pPr>
      <w:r w:rsidRPr="005810CB">
        <w:rPr>
          <w:color w:val="000000" w:themeColor="text1"/>
          <w:szCs w:val="24"/>
          <w:highlight w:val="yellow"/>
        </w:rPr>
        <w:t xml:space="preserve">Evidence from operational hybrid renewable-storage projects provides a more relevant comparison for data-center applications because a portion of renewable variability is addressed through storage. IRENA reported a weighted-average LCOE of approximately </w:t>
      </w:r>
      <w:r w:rsidR="00F056EB">
        <w:rPr>
          <w:color w:val="000000" w:themeColor="text1"/>
          <w:szCs w:val="24"/>
          <w:highlight w:val="yellow"/>
        </w:rPr>
        <w:t>$</w:t>
      </w:r>
      <w:r w:rsidRPr="005810CB">
        <w:rPr>
          <w:color w:val="000000" w:themeColor="text1"/>
          <w:szCs w:val="24"/>
          <w:highlight w:val="yellow"/>
        </w:rPr>
        <w:t>79/MWh for seventeen utility-scale solar-plus-storage projects commissioned in 2024. This benchmark reflects the specific project portfolio evaluated by IRENA and should not be interpreted as a universal cost for hybrid renewable-energy systems.</w:t>
      </w:r>
    </w:p>
    <w:p w14:paraId="0AA27ACC" w14:textId="74AA2BEB" w:rsidR="00044E2C" w:rsidRDefault="00044E2C" w:rsidP="00417AAE">
      <w:pPr>
        <w:spacing w:after="120"/>
        <w:ind w:firstLine="480"/>
        <w:rPr>
          <w:color w:val="000000" w:themeColor="text1"/>
          <w:szCs w:val="24"/>
          <w:highlight w:val="yellow"/>
          <w:lang w:val="en-CA"/>
        </w:rPr>
      </w:pPr>
      <w:r w:rsidRPr="00044E2C">
        <w:rPr>
          <w:color w:val="000000" w:themeColor="text1"/>
          <w:szCs w:val="24"/>
          <w:highlight w:val="yellow"/>
          <w:lang w:val="en-CA"/>
        </w:rPr>
        <w:t>IRENA also found that the weighted-average price for eight Australian hybrid renewable-storage projects is around $51/MWh, highlighting the significance of project configuration, market structures, resource quality and location</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t1SBBOEG","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w:t>
      </w:r>
    </w:p>
    <w:p w14:paraId="5BA44890" w14:textId="77777777" w:rsidR="00ED6944" w:rsidRPr="00ED6944" w:rsidRDefault="00ED6944" w:rsidP="00ED6944">
      <w:pPr>
        <w:spacing w:after="120"/>
        <w:ind w:firstLine="480"/>
        <w:rPr>
          <w:color w:val="000000" w:themeColor="text1"/>
          <w:szCs w:val="24"/>
          <w:highlight w:val="yellow"/>
        </w:rPr>
      </w:pPr>
      <w:r w:rsidRPr="00ED6944">
        <w:rPr>
          <w:color w:val="000000" w:themeColor="text1"/>
          <w:szCs w:val="24"/>
          <w:highlight w:val="yellow"/>
        </w:rPr>
        <w:t>For clarity, three cost categories are distinguished throughout this review:</w:t>
      </w:r>
    </w:p>
    <w:p w14:paraId="488090FB"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Unfirmed generation</w:t>
      </w:r>
      <w:r w:rsidRPr="00ED6944">
        <w:rPr>
          <w:color w:val="000000" w:themeColor="text1"/>
          <w:szCs w:val="24"/>
          <w:highlight w:val="yellow"/>
        </w:rPr>
        <w:t xml:space="preserve"> refers to electricity generated from variable renewable resources without storage, backup generation, or contracted firming services.</w:t>
      </w:r>
    </w:p>
    <w:p w14:paraId="0746D0C4"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lastRenderedPageBreak/>
        <w:t>Partially firmed hybrid supply</w:t>
      </w:r>
      <w:r w:rsidRPr="00ED6944">
        <w:rPr>
          <w:color w:val="000000" w:themeColor="text1"/>
          <w:szCs w:val="24"/>
          <w:highlight w:val="yellow"/>
        </w:rPr>
        <w:t xml:space="preserve"> refers to renewable-generation systems combined with storage and/or grid support that reduce variability but do not independently demonstrate continuous supply at the specified reliability target.</w:t>
      </w:r>
    </w:p>
    <w:p w14:paraId="32FFC839" w14:textId="102F5379" w:rsidR="0021192F" w:rsidRPr="005E43E6" w:rsidRDefault="00ED6944" w:rsidP="005E43E6">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Firm electricity supply</w:t>
      </w:r>
      <w:r w:rsidRPr="00ED6944">
        <w:rPr>
          <w:color w:val="000000" w:themeColor="text1"/>
          <w:szCs w:val="24"/>
          <w:highlight w:val="yellow"/>
        </w:rPr>
        <w:t xml:space="preserve"> refers to electricity service capable of meeting demand continuously through a combination of generation, storage, backup resources, contractual supply arrangements, and network support.</w:t>
      </w:r>
    </w:p>
    <w:p w14:paraId="2DA205BF" w14:textId="3742C90F" w:rsidR="0021192F" w:rsidRPr="00AF443A" w:rsidRDefault="0021192F" w:rsidP="0017635A">
      <w:pPr>
        <w:spacing w:after="120"/>
        <w:ind w:firstLine="480"/>
        <w:rPr>
          <w:color w:val="000000" w:themeColor="text1"/>
          <w:szCs w:val="24"/>
          <w:highlight w:val="yellow"/>
        </w:rPr>
      </w:pPr>
      <w:r w:rsidRPr="00AF443A">
        <w:rPr>
          <w:color w:val="000000" w:themeColor="text1"/>
          <w:szCs w:val="24"/>
          <w:highlight w:val="yellow"/>
        </w:rPr>
        <w:t xml:space="preserve">Using these distinctions, </w:t>
      </w:r>
      <w:r w:rsidR="0017635A" w:rsidRPr="00AF443A">
        <w:rPr>
          <w:color w:val="000000" w:themeColor="text1"/>
          <w:szCs w:val="24"/>
          <w:highlight w:val="yellow"/>
        </w:rPr>
        <w:fldChar w:fldCharType="begin"/>
      </w:r>
      <w:r w:rsidR="0017635A" w:rsidRPr="00AF443A">
        <w:rPr>
          <w:color w:val="000000" w:themeColor="text1"/>
          <w:szCs w:val="24"/>
          <w:highlight w:val="yellow"/>
        </w:rPr>
        <w:instrText xml:space="preserve"> REF _Ref239530954 \h </w:instrText>
      </w:r>
      <w:r w:rsidR="00AF443A">
        <w:rPr>
          <w:color w:val="000000" w:themeColor="text1"/>
          <w:szCs w:val="24"/>
          <w:highlight w:val="yellow"/>
        </w:rPr>
        <w:instrText xml:space="preserve"> \* MERGEFORMAT </w:instrText>
      </w:r>
      <w:r w:rsidR="0017635A" w:rsidRPr="00AF443A">
        <w:rPr>
          <w:color w:val="000000" w:themeColor="text1"/>
          <w:szCs w:val="24"/>
          <w:highlight w:val="yellow"/>
        </w:rPr>
      </w:r>
      <w:r w:rsidR="0017635A" w:rsidRPr="00AF443A">
        <w:rPr>
          <w:color w:val="000000" w:themeColor="text1"/>
          <w:szCs w:val="24"/>
          <w:highlight w:val="yellow"/>
        </w:rPr>
        <w:fldChar w:fldCharType="separate"/>
      </w:r>
      <w:r w:rsidR="0017635A" w:rsidRPr="00AF443A">
        <w:rPr>
          <w:highlight w:val="yellow"/>
        </w:rPr>
        <w:t xml:space="preserve">Table </w:t>
      </w:r>
      <w:r w:rsidR="0017635A" w:rsidRPr="00AF443A">
        <w:rPr>
          <w:noProof/>
          <w:highlight w:val="yellow"/>
        </w:rPr>
        <w:t>9</w:t>
      </w:r>
      <w:r w:rsidR="0017635A" w:rsidRPr="00AF443A">
        <w:rPr>
          <w:highlight w:val="yellow"/>
        </w:rPr>
        <w:t xml:space="preserve"> </w:t>
      </w:r>
      <w:r w:rsidR="0017635A" w:rsidRPr="00AF443A">
        <w:rPr>
          <w:highlight w:val="yellow"/>
          <w:lang w:val="en-CA"/>
        </w:rPr>
        <w:t>Literature-based electricity-cost benchmarks relevant to AI data centers</w:t>
      </w:r>
      <w:r w:rsidR="0017635A" w:rsidRPr="00AF443A">
        <w:rPr>
          <w:color w:val="000000" w:themeColor="text1"/>
          <w:szCs w:val="24"/>
          <w:highlight w:val="yellow"/>
        </w:rPr>
        <w:fldChar w:fldCharType="end"/>
      </w:r>
      <w:r w:rsidR="0017635A" w:rsidRPr="00AF443A">
        <w:rPr>
          <w:color w:val="000000" w:themeColor="text1"/>
          <w:szCs w:val="24"/>
          <w:highlight w:val="yellow"/>
        </w:rPr>
        <w:t xml:space="preserve">, </w:t>
      </w:r>
      <w:r w:rsidRPr="00AF443A">
        <w:rPr>
          <w:color w:val="000000" w:themeColor="text1"/>
          <w:szCs w:val="24"/>
          <w:highlight w:val="yellow"/>
        </w:rPr>
        <w:t>summarizes representative literature-based electricity-cost benchmarks relevant to AI data centers. The values are organized according to their underlying cost boundary so that generation-only LCOE, partially firmed renewable-storage configurations, and firm delivered electricity service are not treated as directly equivalent cost metrics.</w:t>
      </w:r>
    </w:p>
    <w:p w14:paraId="2A8D6365" w14:textId="716FFBB7" w:rsidR="00FE013C" w:rsidRPr="00417AAE" w:rsidRDefault="00FE013C" w:rsidP="00417AAE">
      <w:pPr>
        <w:pStyle w:val="Caption"/>
        <w:keepNext/>
        <w:rPr>
          <w:lang w:val="en-CA"/>
        </w:rPr>
      </w:pPr>
      <w:bookmarkStart w:id="25" w:name="_Ref239530954"/>
      <w:r>
        <w:t xml:space="preserve">Table </w:t>
      </w:r>
      <w:fldSimple w:instr=" SEQ Table \* ARABIC ">
        <w:r w:rsidR="003A45CA">
          <w:rPr>
            <w:noProof/>
          </w:rPr>
          <w:t>9</w:t>
        </w:r>
      </w:fldSimple>
      <w:r>
        <w:t xml:space="preserve"> </w:t>
      </w:r>
      <w:r w:rsidR="00417AAE" w:rsidRPr="00417AAE">
        <w:rPr>
          <w:lang w:val="en-CA"/>
        </w:rPr>
        <w:t>Literature-based electricity-cost benchmarks relevant to AI data centers</w:t>
      </w:r>
      <w:bookmarkEnd w:id="25"/>
    </w:p>
    <w:tbl>
      <w:tblPr>
        <w:tblStyle w:val="MDPI41threelinetable"/>
        <w:tblW w:w="0" w:type="auto"/>
        <w:tblLook w:val="04A0" w:firstRow="1" w:lastRow="0" w:firstColumn="1" w:lastColumn="0" w:noHBand="0" w:noVBand="1"/>
      </w:tblPr>
      <w:tblGrid>
        <w:gridCol w:w="1346"/>
        <w:gridCol w:w="1247"/>
        <w:gridCol w:w="1348"/>
        <w:gridCol w:w="3628"/>
        <w:gridCol w:w="2183"/>
      </w:tblGrid>
      <w:tr w:rsidR="003C5CA7" w:rsidRPr="002651BD" w14:paraId="265CBA4B" w14:textId="77777777" w:rsidTr="003C5CA7">
        <w:trPr>
          <w:cnfStyle w:val="100000000000" w:firstRow="1" w:lastRow="0" w:firstColumn="0" w:lastColumn="0" w:oddVBand="0" w:evenVBand="0" w:oddHBand="0" w:evenHBand="0" w:firstRowFirstColumn="0" w:firstRowLastColumn="0" w:lastRowFirstColumn="0" w:lastRowLastColumn="0"/>
        </w:trPr>
        <w:tc>
          <w:tcPr>
            <w:tcW w:w="0" w:type="auto"/>
            <w:hideMark/>
          </w:tcPr>
          <w:p w14:paraId="7B7B48A6" w14:textId="1CBDB56D" w:rsidR="003C5CA7" w:rsidRPr="002651BD" w:rsidRDefault="003C5CA7" w:rsidP="003C5CA7">
            <w:pPr>
              <w:spacing w:after="120"/>
              <w:rPr>
                <w:bCs/>
                <w:color w:val="EE0000"/>
                <w:sz w:val="18"/>
                <w:szCs w:val="18"/>
                <w:highlight w:val="yellow"/>
                <w:lang w:val="en-CA"/>
              </w:rPr>
            </w:pPr>
            <w:commentRangeStart w:id="26"/>
            <w:r w:rsidRPr="002651BD">
              <w:rPr>
                <w:b w:val="0"/>
                <w:bCs/>
                <w:color w:val="EE0000"/>
                <w:sz w:val="18"/>
                <w:szCs w:val="18"/>
              </w:rPr>
              <w:t>Supply Option</w:t>
            </w:r>
          </w:p>
        </w:tc>
        <w:tc>
          <w:tcPr>
            <w:tcW w:w="0" w:type="auto"/>
            <w:hideMark/>
          </w:tcPr>
          <w:p w14:paraId="439EEF68" w14:textId="71E745A5"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Cost Benchmark</w:t>
            </w:r>
          </w:p>
        </w:tc>
        <w:tc>
          <w:tcPr>
            <w:tcW w:w="0" w:type="auto"/>
            <w:hideMark/>
          </w:tcPr>
          <w:p w14:paraId="43534039" w14:textId="36EC5328"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Classification</w:t>
            </w:r>
          </w:p>
        </w:tc>
        <w:tc>
          <w:tcPr>
            <w:tcW w:w="0" w:type="auto"/>
            <w:hideMark/>
          </w:tcPr>
          <w:p w14:paraId="6BD3A392" w14:textId="3F317B37"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Interpretation</w:t>
            </w:r>
          </w:p>
        </w:tc>
        <w:tc>
          <w:tcPr>
            <w:tcW w:w="0" w:type="auto"/>
            <w:hideMark/>
          </w:tcPr>
          <w:p w14:paraId="31370237" w14:textId="7D559E8E"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Principal Sensitivity</w:t>
            </w:r>
          </w:p>
        </w:tc>
      </w:tr>
      <w:tr w:rsidR="003C5CA7" w:rsidRPr="002651BD" w14:paraId="38047541" w14:textId="77777777" w:rsidTr="003C5CA7">
        <w:tc>
          <w:tcPr>
            <w:tcW w:w="0" w:type="auto"/>
            <w:hideMark/>
          </w:tcPr>
          <w:p w14:paraId="4E639F92" w14:textId="09F73384"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Utility-Scale</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PV</w:t>
            </w:r>
          </w:p>
        </w:tc>
        <w:tc>
          <w:tcPr>
            <w:tcW w:w="0" w:type="auto"/>
            <w:hideMark/>
          </w:tcPr>
          <w:p w14:paraId="5EED7316" w14:textId="270FBCF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$43/MWh</w:t>
            </w:r>
          </w:p>
        </w:tc>
        <w:tc>
          <w:tcPr>
            <w:tcW w:w="0" w:type="auto"/>
            <w:hideMark/>
          </w:tcPr>
          <w:p w14:paraId="56650508" w14:textId="7A10662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7C7EEF46" w14:textId="52CE2D8E"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utility-scale solar PV projects commissioned in 2024. Represents generation cost only and excludes storage, backup generation, curtailment, transmission, and reliability requirements.</w:t>
            </w:r>
          </w:p>
        </w:tc>
        <w:tc>
          <w:tcPr>
            <w:tcW w:w="0" w:type="auto"/>
            <w:hideMark/>
          </w:tcPr>
          <w:p w14:paraId="2CAE5BCC" w14:textId="56C28AEA" w:rsidR="003C5CA7" w:rsidRPr="002651BD" w:rsidRDefault="003C5CA7" w:rsidP="003C5CA7">
            <w:pPr>
              <w:spacing w:after="120"/>
              <w:rPr>
                <w:color w:val="EE0000"/>
                <w:sz w:val="18"/>
                <w:szCs w:val="18"/>
                <w:highlight w:val="yellow"/>
                <w:lang w:val="en-CA"/>
              </w:rPr>
            </w:pPr>
            <w:r w:rsidRPr="002651BD">
              <w:rPr>
                <w:color w:val="EE0000"/>
                <w:sz w:val="18"/>
                <w:szCs w:val="18"/>
              </w:rPr>
              <w:t>Solar resource quality, financing cost, curtailment, interconnection requirements</w:t>
            </w:r>
          </w:p>
        </w:tc>
      </w:tr>
      <w:tr w:rsidR="003C5CA7" w:rsidRPr="002651BD" w14:paraId="423E6E3D" w14:textId="77777777" w:rsidTr="003C5CA7">
        <w:tc>
          <w:tcPr>
            <w:tcW w:w="0" w:type="auto"/>
            <w:hideMark/>
          </w:tcPr>
          <w:p w14:paraId="1E1317C8" w14:textId="4D508E3C"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Onshore</w:t>
            </w:r>
            <w:r w:rsidRPr="002651BD">
              <w:rPr>
                <w:rStyle w:val="Strong"/>
                <w:color w:val="EE0000"/>
                <w:sz w:val="18"/>
                <w:szCs w:val="18"/>
              </w:rPr>
              <w:t xml:space="preserve"> </w:t>
            </w:r>
            <w:r w:rsidRPr="002651BD">
              <w:rPr>
                <w:rStyle w:val="xxxjie0"/>
                <w:b/>
                <w:bCs/>
                <w:color w:val="EE0000"/>
                <w:sz w:val="18"/>
                <w:szCs w:val="18"/>
              </w:rPr>
              <w:t>Wind</w:t>
            </w:r>
          </w:p>
        </w:tc>
        <w:tc>
          <w:tcPr>
            <w:tcW w:w="0" w:type="auto"/>
            <w:hideMark/>
          </w:tcPr>
          <w:p w14:paraId="5D840CFA" w14:textId="51A068E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$34/MWh</w:t>
            </w:r>
          </w:p>
        </w:tc>
        <w:tc>
          <w:tcPr>
            <w:tcW w:w="0" w:type="auto"/>
            <w:hideMark/>
          </w:tcPr>
          <w:p w14:paraId="2DF2AAF0" w14:textId="36CB40D2"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5194840A" w14:textId="60470384"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onshore wind projects commissioned in 2024. Represents generation cost only and excludes storage, backup generation, transmission, and reliability requirements.</w:t>
            </w:r>
          </w:p>
        </w:tc>
        <w:tc>
          <w:tcPr>
            <w:tcW w:w="0" w:type="auto"/>
            <w:hideMark/>
          </w:tcPr>
          <w:p w14:paraId="499A5F14" w14:textId="10B5EBFB" w:rsidR="003C5CA7" w:rsidRPr="002651BD" w:rsidRDefault="003C5CA7" w:rsidP="003C5CA7">
            <w:pPr>
              <w:spacing w:after="120"/>
              <w:rPr>
                <w:color w:val="EE0000"/>
                <w:sz w:val="18"/>
                <w:szCs w:val="18"/>
                <w:highlight w:val="yellow"/>
                <w:lang w:val="en-CA"/>
              </w:rPr>
            </w:pPr>
            <w:r w:rsidRPr="002651BD">
              <w:rPr>
                <w:color w:val="EE0000"/>
                <w:sz w:val="18"/>
                <w:szCs w:val="18"/>
              </w:rPr>
              <w:t>Wind resource quality, capital cost, financing assumptions, grid access</w:t>
            </w:r>
          </w:p>
        </w:tc>
      </w:tr>
      <w:tr w:rsidR="003C5CA7" w:rsidRPr="002651BD" w14:paraId="09B0EC78" w14:textId="77777777" w:rsidTr="003C5CA7">
        <w:tc>
          <w:tcPr>
            <w:tcW w:w="0" w:type="auto"/>
            <w:hideMark/>
          </w:tcPr>
          <w:p w14:paraId="7017EA2E" w14:textId="37794E5E"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U.S.</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w:t>
            </w:r>
            <w:r w:rsidRPr="002651BD">
              <w:rPr>
                <w:rStyle w:val="Strong"/>
                <w:color w:val="EE0000"/>
                <w:sz w:val="18"/>
                <w:szCs w:val="18"/>
              </w:rPr>
              <w:t xml:space="preserve"> </w:t>
            </w:r>
            <w:r w:rsidRPr="002651BD">
              <w:rPr>
                <w:rStyle w:val="xxxjie0"/>
                <w:b/>
                <w:bCs/>
                <w:color w:val="EE0000"/>
                <w:sz w:val="18"/>
                <w:szCs w:val="18"/>
              </w:rPr>
              <w:t>Storage</w:t>
            </w:r>
            <w:r w:rsidRPr="002651BD">
              <w:rPr>
                <w:rStyle w:val="Strong"/>
                <w:color w:val="EE0000"/>
                <w:sz w:val="18"/>
                <w:szCs w:val="18"/>
              </w:rPr>
              <w:t xml:space="preserve"> </w:t>
            </w:r>
            <w:r w:rsidRPr="002651BD">
              <w:rPr>
                <w:rStyle w:val="xxxjie0"/>
                <w:b/>
                <w:bCs/>
                <w:color w:val="EE0000"/>
                <w:sz w:val="18"/>
                <w:szCs w:val="18"/>
              </w:rPr>
              <w:t>Hybrids</w:t>
            </w:r>
          </w:p>
        </w:tc>
        <w:tc>
          <w:tcPr>
            <w:tcW w:w="0" w:type="auto"/>
            <w:hideMark/>
          </w:tcPr>
          <w:p w14:paraId="607FE69D" w14:textId="41E5311C"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$79/MWh</w:t>
            </w:r>
          </w:p>
        </w:tc>
        <w:tc>
          <w:tcPr>
            <w:tcW w:w="0" w:type="auto"/>
            <w:hideMark/>
          </w:tcPr>
          <w:p w14:paraId="25BEF146" w14:textId="77B44A71"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293AD4E9" w14:textId="32BD668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17 operational U.S. solar-plus-storage projects reported by IRENA. Includes a degree of renewable firming but does not necessarily demonstrate continuous supply at a 99.99% reliability target.</w:t>
            </w:r>
          </w:p>
        </w:tc>
        <w:tc>
          <w:tcPr>
            <w:tcW w:w="0" w:type="auto"/>
            <w:hideMark/>
          </w:tcPr>
          <w:p w14:paraId="5106B740" w14:textId="7EAA59D9" w:rsidR="003C5CA7" w:rsidRPr="002651BD" w:rsidRDefault="003C5CA7" w:rsidP="003C5CA7">
            <w:pPr>
              <w:spacing w:after="120"/>
              <w:rPr>
                <w:color w:val="EE0000"/>
                <w:sz w:val="18"/>
                <w:szCs w:val="18"/>
                <w:highlight w:val="yellow"/>
                <w:lang w:val="en-CA"/>
              </w:rPr>
            </w:pPr>
            <w:r w:rsidRPr="002651BD">
              <w:rPr>
                <w:color w:val="EE0000"/>
                <w:sz w:val="18"/>
                <w:szCs w:val="18"/>
              </w:rPr>
              <w:t>Storage duration, battery cycling, charging source, capacity value</w:t>
            </w:r>
          </w:p>
        </w:tc>
      </w:tr>
      <w:tr w:rsidR="003C5CA7" w:rsidRPr="002651BD" w14:paraId="41478744" w14:textId="77777777" w:rsidTr="003C5CA7">
        <w:tc>
          <w:tcPr>
            <w:tcW w:w="0" w:type="auto"/>
            <w:hideMark/>
          </w:tcPr>
          <w:p w14:paraId="636C5F61" w14:textId="5A20C492"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Australian</w:t>
            </w:r>
            <w:r w:rsidRPr="002651BD">
              <w:rPr>
                <w:rStyle w:val="Strong"/>
                <w:color w:val="EE0000"/>
                <w:sz w:val="18"/>
                <w:szCs w:val="18"/>
              </w:rPr>
              <w:t xml:space="preserve"> </w:t>
            </w:r>
            <w:r w:rsidRPr="002651BD">
              <w:rPr>
                <w:rStyle w:val="xxxjie0"/>
                <w:b/>
                <w:bCs/>
                <w:color w:val="EE0000"/>
                <w:sz w:val="18"/>
                <w:szCs w:val="18"/>
              </w:rPr>
              <w:t>Renewable-Storage</w:t>
            </w:r>
          </w:p>
        </w:tc>
        <w:tc>
          <w:tcPr>
            <w:tcW w:w="0" w:type="auto"/>
            <w:hideMark/>
          </w:tcPr>
          <w:p w14:paraId="4F93F763" w14:textId="50B609D0"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$51/MWh</w:t>
            </w:r>
          </w:p>
        </w:tc>
        <w:tc>
          <w:tcPr>
            <w:tcW w:w="0" w:type="auto"/>
            <w:hideMark/>
          </w:tcPr>
          <w:p w14:paraId="7A86610F" w14:textId="7DB1FFD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10468353" w14:textId="1ED9DCA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eight operational renewable-storage hybrid projects reported by IRENA. Project economics reflect local resource quality, market design, and project configuration.</w:t>
            </w:r>
          </w:p>
        </w:tc>
        <w:tc>
          <w:tcPr>
            <w:tcW w:w="0" w:type="auto"/>
            <w:hideMark/>
          </w:tcPr>
          <w:p w14:paraId="7C28B8D4" w14:textId="25BCBD1E" w:rsidR="003C5CA7" w:rsidRPr="002651BD" w:rsidRDefault="003C5CA7" w:rsidP="003C5CA7">
            <w:pPr>
              <w:spacing w:after="120"/>
              <w:rPr>
                <w:color w:val="EE0000"/>
                <w:sz w:val="18"/>
                <w:szCs w:val="18"/>
                <w:highlight w:val="yellow"/>
                <w:lang w:val="en-CA"/>
              </w:rPr>
            </w:pPr>
            <w:r w:rsidRPr="002651BD">
              <w:rPr>
                <w:color w:val="EE0000"/>
                <w:sz w:val="18"/>
                <w:szCs w:val="18"/>
              </w:rPr>
              <w:t>Resource quality, project design, market structure</w:t>
            </w:r>
          </w:p>
        </w:tc>
      </w:tr>
      <w:tr w:rsidR="003C5CA7" w:rsidRPr="002651BD" w14:paraId="424C1BAD" w14:textId="77777777" w:rsidTr="003C5CA7">
        <w:tc>
          <w:tcPr>
            <w:tcW w:w="0" w:type="auto"/>
            <w:hideMark/>
          </w:tcPr>
          <w:p w14:paraId="701D050E" w14:textId="7B5A0E34" w:rsidR="003C5CA7" w:rsidRPr="002651BD" w:rsidRDefault="003C5CA7" w:rsidP="003C5CA7">
            <w:pPr>
              <w:spacing w:after="120"/>
              <w:rPr>
                <w:b/>
                <w:bCs/>
                <w:color w:val="EE0000"/>
                <w:sz w:val="18"/>
                <w:szCs w:val="18"/>
                <w:highlight w:val="yellow"/>
                <w:lang w:val="en-CA"/>
              </w:rPr>
            </w:pPr>
            <w:r w:rsidRPr="002651BD">
              <w:rPr>
                <w:rStyle w:val="xxxjie0"/>
                <w:b/>
                <w:bCs/>
                <w:color w:val="EE0000"/>
                <w:sz w:val="18"/>
                <w:szCs w:val="18"/>
              </w:rPr>
              <w:t>Grid</w:t>
            </w:r>
            <w:r w:rsidRPr="002651BD">
              <w:rPr>
                <w:rStyle w:val="Strong"/>
                <w:color w:val="EE0000"/>
                <w:sz w:val="18"/>
                <w:szCs w:val="18"/>
              </w:rPr>
              <w:t xml:space="preserve"> </w:t>
            </w:r>
            <w:r w:rsidRPr="002651BD">
              <w:rPr>
                <w:rStyle w:val="xxxjie0"/>
                <w:b/>
                <w:bCs/>
                <w:color w:val="EE0000"/>
                <w:sz w:val="18"/>
                <w:szCs w:val="18"/>
              </w:rPr>
              <w:t>Electricity</w:t>
            </w:r>
            <w:r w:rsidRPr="002651BD">
              <w:rPr>
                <w:rStyle w:val="Strong"/>
                <w:color w:val="EE0000"/>
                <w:sz w:val="18"/>
                <w:szCs w:val="18"/>
              </w:rPr>
              <w:t xml:space="preserve"> </w:t>
            </w:r>
            <w:r w:rsidRPr="002651BD">
              <w:rPr>
                <w:rStyle w:val="xxxjie0"/>
                <w:b/>
                <w:bCs/>
                <w:color w:val="EE0000"/>
                <w:sz w:val="18"/>
                <w:szCs w:val="18"/>
              </w:rPr>
              <w:t>Supply</w:t>
            </w:r>
          </w:p>
        </w:tc>
        <w:tc>
          <w:tcPr>
            <w:tcW w:w="0" w:type="auto"/>
            <w:hideMark/>
          </w:tcPr>
          <w:p w14:paraId="2457E39F" w14:textId="514F3615"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Region- and Tariff-Specific</w:t>
            </w:r>
          </w:p>
        </w:tc>
        <w:tc>
          <w:tcPr>
            <w:tcW w:w="0" w:type="auto"/>
            <w:hideMark/>
          </w:tcPr>
          <w:p w14:paraId="5AC41637" w14:textId="6AFA803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Firm Delivered Service</w:t>
            </w:r>
          </w:p>
        </w:tc>
        <w:tc>
          <w:tcPr>
            <w:tcW w:w="0" w:type="auto"/>
            <w:hideMark/>
          </w:tcPr>
          <w:p w14:paraId="2F951273" w14:textId="0F6BEF56" w:rsidR="003C5CA7" w:rsidRPr="002651BD" w:rsidRDefault="003C5CA7" w:rsidP="003C5CA7">
            <w:pPr>
              <w:spacing w:after="120"/>
              <w:rPr>
                <w:color w:val="EE0000"/>
                <w:sz w:val="18"/>
                <w:szCs w:val="18"/>
                <w:highlight w:val="yellow"/>
                <w:lang w:val="en-CA"/>
              </w:rPr>
            </w:pPr>
            <w:r w:rsidRPr="002651BD">
              <w:rPr>
                <w:color w:val="EE0000"/>
                <w:sz w:val="18"/>
                <w:szCs w:val="18"/>
              </w:rPr>
              <w:t>Delivered electricity service that includes energy charges, capacity charges (where applicable), ancillary services, transmission, distribution, demand charges, taxes, and utility fees. This is not an LCOE value.</w:t>
            </w:r>
          </w:p>
        </w:tc>
        <w:tc>
          <w:tcPr>
            <w:tcW w:w="0" w:type="auto"/>
            <w:hideMark/>
          </w:tcPr>
          <w:p w14:paraId="04F190C9" w14:textId="5A31BD4D" w:rsidR="003C5CA7" w:rsidRPr="002651BD" w:rsidRDefault="003C5CA7" w:rsidP="003C5CA7">
            <w:pPr>
              <w:spacing w:after="120"/>
              <w:rPr>
                <w:color w:val="EE0000"/>
                <w:sz w:val="18"/>
                <w:szCs w:val="18"/>
                <w:highlight w:val="yellow"/>
                <w:lang w:val="en-CA"/>
              </w:rPr>
            </w:pPr>
            <w:r w:rsidRPr="002651BD">
              <w:rPr>
                <w:color w:val="EE0000"/>
                <w:sz w:val="18"/>
                <w:szCs w:val="18"/>
              </w:rPr>
              <w:t>Tariff structure, load factor, demand profile, market conditions</w:t>
            </w:r>
            <w:commentRangeEnd w:id="26"/>
            <w:r w:rsidR="002651BD" w:rsidRPr="002651BD">
              <w:rPr>
                <w:rStyle w:val="CommentReference"/>
                <w:color w:val="EE0000"/>
                <w:sz w:val="18"/>
                <w:szCs w:val="18"/>
                <w:highlight w:val="yellow"/>
                <w:lang w:val="en-CA"/>
              </w:rPr>
              <w:commentReference w:id="26"/>
            </w:r>
          </w:p>
        </w:tc>
      </w:tr>
    </w:tbl>
    <w:p w14:paraId="3C220C6C" w14:textId="77777777" w:rsidR="00417AAE" w:rsidRDefault="00417AAE" w:rsidP="004C16FF">
      <w:pPr>
        <w:spacing w:after="120"/>
        <w:rPr>
          <w:szCs w:val="24"/>
          <w:lang w:val="en-CA"/>
        </w:rPr>
      </w:pPr>
    </w:p>
    <w:p w14:paraId="7F7DADC9" w14:textId="574FCA0B" w:rsidR="00F416AE" w:rsidRPr="00F416AE" w:rsidRDefault="00F416AE" w:rsidP="00F416AE">
      <w:pPr>
        <w:spacing w:after="120"/>
        <w:ind w:firstLine="480"/>
        <w:rPr>
          <w:color w:val="000000" w:themeColor="text1"/>
          <w:szCs w:val="24"/>
          <w:highlight w:val="yellow"/>
          <w:lang w:val="en-CA"/>
        </w:rPr>
      </w:pPr>
      <w:r w:rsidRPr="00F416AE">
        <w:rPr>
          <w:color w:val="000000" w:themeColor="text1"/>
          <w:szCs w:val="24"/>
          <w:highlight w:val="yellow"/>
          <w:lang w:val="en-CA"/>
        </w:rPr>
        <w:t>Unfirmed generation cost values for standalone solar PV and onshore wind are maintained as resource-cost value-only only. These values are data-center load values that exclude storage, backup generation, grid imports, curtailment, transmission and varying operational flexibility as required to support a continuous data-center load. The question therefore should not be compared directly with the firm delivered-grid service.</w:t>
      </w:r>
      <w:r>
        <w:rPr>
          <w:color w:val="000000" w:themeColor="text1"/>
          <w:szCs w:val="24"/>
          <w:highlight w:val="yellow"/>
          <w:lang w:val="en-CA"/>
        </w:rPr>
        <w:t xml:space="preserve"> </w:t>
      </w:r>
      <w:r w:rsidRPr="00F416AE">
        <w:rPr>
          <w:color w:val="000000" w:themeColor="text1"/>
          <w:szCs w:val="24"/>
          <w:highlight w:val="yellow"/>
          <w:lang w:val="en-CA"/>
        </w:rPr>
        <w:t>Renewable-storage hybrid benchmarks are more relevant, in that they will consider a minimum part of the cost of a change in variable renewable generation. However</w:t>
      </w:r>
      <w:r w:rsidR="00F149F2">
        <w:rPr>
          <w:color w:val="000000" w:themeColor="text1"/>
          <w:szCs w:val="24"/>
          <w:highlight w:val="yellow"/>
          <w:lang w:val="en-CA"/>
        </w:rPr>
        <w:t xml:space="preserve"> </w:t>
      </w:r>
      <w:r w:rsidRPr="00F416AE">
        <w:rPr>
          <w:color w:val="000000" w:themeColor="text1"/>
          <w:szCs w:val="24"/>
          <w:highlight w:val="yellow"/>
          <w:lang w:val="en-CA"/>
        </w:rPr>
        <w:t>the hybrid renewable/firm storage must be treated as full firm storage until it has been proven over an extended period by chronological reliability analysis. Other grid support, back-up generation, redundancy or demand flexibility may still be needed to meet the requirement of 99.99% availability of the framework.</w:t>
      </w:r>
    </w:p>
    <w:p w14:paraId="031ABA0B" w14:textId="77777777" w:rsidR="00F416AE"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lastRenderedPageBreak/>
        <w:t xml:space="preserve">Solar and wind values are global weighted averages for newly commissioned projects and should not be interpreted as site-specific US data-center electricity costs. Hybrid values represent observed project portfolios with different designs and do not guarantee 99.99% facility-level power availability without additional grid, backup, or redundancy provisions. Grid supply is not an LCOE and should be evaluated using the applicable utility tariff or retail supply agreement. The grid-supply row is deliberately not assigned a universal LCOE. </w:t>
      </w:r>
    </w:p>
    <w:p w14:paraId="71E90D41" w14:textId="461A8986"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The all-in cost of grid electricity consists of several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AC4E47" w:rsidRPr="00100329" w14:paraId="60A8C724" w14:textId="77777777" w:rsidTr="00AC4E47">
        <w:tc>
          <w:tcPr>
            <w:tcW w:w="421" w:type="dxa"/>
          </w:tcPr>
          <w:p w14:paraId="300300D7" w14:textId="77777777" w:rsidR="00AC4E47" w:rsidRPr="00100329" w:rsidRDefault="00AC4E47" w:rsidP="001E5821">
            <w:pPr>
              <w:rPr>
                <w:color w:val="auto"/>
                <w:szCs w:val="24"/>
                <w:highlight w:val="yellow"/>
                <w:lang w:val="en-CA" w:eastAsia="en-CA"/>
              </w:rPr>
            </w:pPr>
          </w:p>
        </w:tc>
        <w:tc>
          <w:tcPr>
            <w:tcW w:w="7908" w:type="dxa"/>
          </w:tcPr>
          <w:p w14:paraId="7E43F5C5" w14:textId="554A89AE" w:rsidR="00AC4E47"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grid, delivered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energy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ancillary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transmission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distribution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demand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taxes and fees</m:t>
                    </m:r>
                  </m:sub>
                </m:sSub>
              </m:oMath>
            </m:oMathPara>
          </w:p>
        </w:tc>
        <w:tc>
          <w:tcPr>
            <w:tcW w:w="616" w:type="dxa"/>
            <w:vAlign w:val="center"/>
          </w:tcPr>
          <w:p w14:paraId="10387337" w14:textId="48AA906F" w:rsidR="00AC4E47" w:rsidRPr="00100329" w:rsidRDefault="00AC4E47" w:rsidP="001E5821">
            <w:pPr>
              <w:rPr>
                <w:color w:val="auto"/>
                <w:szCs w:val="24"/>
                <w:highlight w:val="yellow"/>
                <w:lang w:val="en-CA" w:eastAsia="en-CA"/>
              </w:rPr>
            </w:pPr>
            <w:r w:rsidRPr="00100329">
              <w:rPr>
                <w:color w:val="auto"/>
                <w:szCs w:val="24"/>
                <w:highlight w:val="yellow"/>
                <w:lang w:val="en-CA" w:eastAsia="en-CA"/>
              </w:rPr>
              <w:t>(1</w:t>
            </w:r>
            <w:r w:rsidR="00966EE7">
              <w:rPr>
                <w:color w:val="auto"/>
                <w:szCs w:val="24"/>
                <w:highlight w:val="yellow"/>
                <w:lang w:val="en-CA" w:eastAsia="en-CA"/>
              </w:rPr>
              <w:t>9</w:t>
            </w:r>
            <w:r w:rsidRPr="00100329">
              <w:rPr>
                <w:color w:val="auto"/>
                <w:szCs w:val="24"/>
                <w:highlight w:val="yellow"/>
                <w:lang w:val="en-CA" w:eastAsia="en-CA"/>
              </w:rPr>
              <w:t>)</w:t>
            </w:r>
          </w:p>
        </w:tc>
      </w:tr>
    </w:tbl>
    <w:p w14:paraId="41EBFE3A" w14:textId="469D33C7"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Wholesale-energy prices are generally reported in dollars per megawatt-hour, whereas capacity-market prices may be reported in dollars per megawatt-day. A capacity price must therefore be converted before it is combined with an energy price. For an illustrative load factor </w:t>
      </w:r>
      <m:oMath>
        <m:r>
          <w:rPr>
            <w:rFonts w:ascii="Cambria Math" w:hAnsi="Cambria Math"/>
            <w:color w:val="000000" w:themeColor="text1"/>
            <w:szCs w:val="24"/>
            <w:highlight w:val="yellow"/>
            <w:lang w:val="en-CA"/>
          </w:rPr>
          <m:t>LF</m:t>
        </m:r>
      </m:oMath>
      <w:r w:rsidRPr="00100329">
        <w:rPr>
          <w:color w:val="000000" w:themeColor="text1"/>
          <w:szCs w:val="24"/>
          <w:highlight w:val="yellow"/>
          <w:lang w:val="en-CA"/>
        </w:rPr>
        <w:t>, the equivalent capacity-cost adder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677594" w:rsidRPr="00100329" w14:paraId="325959B8" w14:textId="77777777" w:rsidTr="001E5821">
        <w:tc>
          <w:tcPr>
            <w:tcW w:w="421" w:type="dxa"/>
          </w:tcPr>
          <w:p w14:paraId="16A1EE11" w14:textId="77777777" w:rsidR="00677594" w:rsidRPr="00100329" w:rsidRDefault="00677594" w:rsidP="001E5821">
            <w:pPr>
              <w:rPr>
                <w:color w:val="auto"/>
                <w:szCs w:val="24"/>
                <w:highlight w:val="yellow"/>
                <w:lang w:val="en-CA" w:eastAsia="en-CA"/>
              </w:rPr>
            </w:pPr>
          </w:p>
        </w:tc>
        <w:tc>
          <w:tcPr>
            <w:tcW w:w="7908" w:type="dxa"/>
          </w:tcPr>
          <w:p w14:paraId="5D36BCB1" w14:textId="75D8519C" w:rsidR="00677594"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capacity,equivalent</m:t>
                    </m:r>
                  </m:sub>
                </m:sSub>
                <m:r>
                  <w:rPr>
                    <w:rFonts w:ascii="Cambria Math" w:hAnsi="Cambria Math"/>
                    <w:color w:val="auto"/>
                    <w:sz w:val="18"/>
                    <w:szCs w:val="18"/>
                    <w:highlight w:val="yellow"/>
                  </w:rPr>
                  <m:t>=</m:t>
                </m:r>
                <m:f>
                  <m:fPr>
                    <m:ctrlPr>
                      <w:rPr>
                        <w:rFonts w:ascii="Cambria Math" w:hAnsi="Cambria Math"/>
                        <w:color w:val="auto"/>
                        <w:sz w:val="18"/>
                        <w:szCs w:val="18"/>
                        <w:highlight w:val="yellow"/>
                      </w:rPr>
                    </m:ctrlPr>
                  </m:fPr>
                  <m:num>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π</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×365</m:t>
                    </m:r>
                  </m:num>
                  <m:den>
                    <m:r>
                      <w:rPr>
                        <w:rFonts w:ascii="Cambria Math" w:hAnsi="Cambria Math"/>
                        <w:color w:val="auto"/>
                        <w:sz w:val="18"/>
                        <w:szCs w:val="18"/>
                        <w:highlight w:val="yellow"/>
                      </w:rPr>
                      <m:t>8760×LF</m:t>
                    </m:r>
                  </m:den>
                </m:f>
              </m:oMath>
            </m:oMathPara>
          </w:p>
        </w:tc>
        <w:tc>
          <w:tcPr>
            <w:tcW w:w="616" w:type="dxa"/>
            <w:vAlign w:val="center"/>
          </w:tcPr>
          <w:p w14:paraId="17F1CD30" w14:textId="7F1A9E43" w:rsidR="00677594" w:rsidRPr="00100329" w:rsidRDefault="00677594" w:rsidP="001E5821">
            <w:pPr>
              <w:rPr>
                <w:color w:val="auto"/>
                <w:szCs w:val="24"/>
                <w:highlight w:val="yellow"/>
                <w:lang w:val="en-CA" w:eastAsia="en-CA"/>
              </w:rPr>
            </w:pPr>
            <w:r w:rsidRPr="00100329">
              <w:rPr>
                <w:color w:val="auto"/>
                <w:szCs w:val="24"/>
                <w:highlight w:val="yellow"/>
                <w:lang w:val="en-CA" w:eastAsia="en-CA"/>
              </w:rPr>
              <w:t>(</w:t>
            </w:r>
            <w:r w:rsidR="00966EE7">
              <w:rPr>
                <w:color w:val="auto"/>
                <w:szCs w:val="24"/>
                <w:highlight w:val="yellow"/>
                <w:lang w:val="en-CA" w:eastAsia="en-CA"/>
              </w:rPr>
              <w:t>20</w:t>
            </w:r>
            <w:r w:rsidRPr="00100329">
              <w:rPr>
                <w:color w:val="auto"/>
                <w:szCs w:val="24"/>
                <w:highlight w:val="yellow"/>
                <w:lang w:val="en-CA" w:eastAsia="en-CA"/>
              </w:rPr>
              <w:t>)</w:t>
            </w:r>
          </w:p>
        </w:tc>
      </w:tr>
    </w:tbl>
    <w:p w14:paraId="3BD21833" w14:textId="77777777" w:rsidR="009F5D08" w:rsidRPr="009F5D08" w:rsidRDefault="009F5D08" w:rsidP="009F5D08">
      <w:pPr>
        <w:spacing w:after="120"/>
        <w:ind w:firstLine="480"/>
        <w:rPr>
          <w:szCs w:val="24"/>
          <w:highlight w:val="yellow"/>
          <w:lang w:val="en-CA"/>
        </w:rPr>
      </w:pPr>
      <w:r w:rsidRPr="009F5D08">
        <w:rPr>
          <w:szCs w:val="24"/>
          <w:highlight w:val="yellow"/>
          <w:lang w:val="en-CA"/>
        </w:rPr>
        <w:t>where:</w:t>
      </w:r>
    </w:p>
    <w:p w14:paraId="05F73B04" w14:textId="078DEA75"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C</m:t>
            </m:r>
          </m:e>
          <m:sub>
            <m:r>
              <m:rPr>
                <m:sty m:val="p"/>
              </m:rPr>
              <w:rPr>
                <w:rFonts w:ascii="Cambria Math" w:hAnsi="Cambria Math"/>
                <w:szCs w:val="24"/>
                <w:highlight w:val="yellow"/>
                <w:lang w:val="en-CA"/>
              </w:rPr>
              <m:t>capacity</m:t>
            </m:r>
            <m:r>
              <w:rPr>
                <w:rFonts w:ascii="Cambria Math" w:hAnsi="Cambria Math"/>
                <w:szCs w:val="24"/>
                <w:highlight w:val="yellow"/>
                <w:lang w:val="en-CA"/>
              </w:rPr>
              <m:t>,</m:t>
            </m:r>
            <m:r>
              <m:rPr>
                <m:sty m:val="p"/>
              </m:rPr>
              <w:rPr>
                <w:rFonts w:ascii="Cambria Math" w:hAnsi="Cambria Math"/>
                <w:szCs w:val="24"/>
                <w:highlight w:val="yellow"/>
                <w:lang w:val="en-CA"/>
              </w:rPr>
              <m:t>equivalent</m:t>
            </m:r>
          </m:sub>
        </m:sSub>
      </m:oMath>
      <w:r w:rsidR="009F5D08" w:rsidRPr="009F5D08">
        <w:rPr>
          <w:szCs w:val="24"/>
          <w:highlight w:val="yellow"/>
          <w:lang w:val="en-CA"/>
        </w:rPr>
        <w:t>= equivalent capacity-cost contribution (</w:t>
      </w:r>
      <w:r w:rsidR="00F3733F">
        <w:rPr>
          <w:szCs w:val="24"/>
          <w:highlight w:val="yellow"/>
          <w:lang w:val="en-CA"/>
        </w:rPr>
        <w:t>$</w:t>
      </w:r>
      <w:r w:rsidR="009F5D08" w:rsidRPr="009F5D08">
        <w:rPr>
          <w:szCs w:val="24"/>
          <w:highlight w:val="yellow"/>
          <w:lang w:val="en-CA"/>
        </w:rPr>
        <w:t>/MWh)</w:t>
      </w:r>
    </w:p>
    <w:p w14:paraId="789FBDCD" w14:textId="3B1EDA5C"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π</m:t>
            </m:r>
          </m:e>
          <m:sub>
            <m:r>
              <m:rPr>
                <m:sty m:val="p"/>
              </m:rPr>
              <w:rPr>
                <w:rFonts w:ascii="Cambria Math" w:hAnsi="Cambria Math"/>
                <w:szCs w:val="24"/>
                <w:highlight w:val="yellow"/>
                <w:lang w:val="en-CA"/>
              </w:rPr>
              <m:t>capacity</m:t>
            </m:r>
          </m:sub>
        </m:sSub>
      </m:oMath>
      <w:r w:rsidR="009F5D08" w:rsidRPr="009F5D08">
        <w:rPr>
          <w:szCs w:val="24"/>
          <w:highlight w:val="yellow"/>
          <w:lang w:val="en-CA"/>
        </w:rPr>
        <w:t>= capacity-market clearing price (</w:t>
      </w:r>
      <w:r w:rsidR="00F3733F">
        <w:rPr>
          <w:szCs w:val="24"/>
          <w:highlight w:val="yellow"/>
          <w:lang w:val="en-CA"/>
        </w:rPr>
        <w:t>$</w:t>
      </w:r>
      <w:r w:rsidR="009F5D08" w:rsidRPr="009F5D08">
        <w:rPr>
          <w:szCs w:val="24"/>
          <w:highlight w:val="yellow"/>
          <w:lang w:val="en-CA"/>
        </w:rPr>
        <w:t>/MW-day)</w:t>
      </w:r>
    </w:p>
    <w:p w14:paraId="234147E7" w14:textId="4EEA0B83" w:rsidR="009F5D08" w:rsidRPr="009F5D08" w:rsidRDefault="009F5D08" w:rsidP="009F5D08">
      <w:pPr>
        <w:numPr>
          <w:ilvl w:val="0"/>
          <w:numId w:val="28"/>
        </w:numPr>
        <w:spacing w:after="120"/>
        <w:rPr>
          <w:szCs w:val="24"/>
          <w:highlight w:val="yellow"/>
          <w:lang w:val="en-CA"/>
        </w:rPr>
      </w:pPr>
      <m:oMath>
        <m:r>
          <w:rPr>
            <w:rFonts w:ascii="Cambria Math" w:hAnsi="Cambria Math"/>
            <w:szCs w:val="24"/>
            <w:highlight w:val="yellow"/>
            <w:lang w:val="en-CA"/>
          </w:rPr>
          <m:t>LF</m:t>
        </m:r>
      </m:oMath>
      <w:r w:rsidRPr="009F5D08">
        <w:rPr>
          <w:szCs w:val="24"/>
          <w:highlight w:val="yellow"/>
          <w:lang w:val="en-CA"/>
        </w:rPr>
        <w:t>= annual load factor (dimensionless)</w:t>
      </w:r>
    </w:p>
    <w:p w14:paraId="1A702816"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365 = days per year</w:t>
      </w:r>
    </w:p>
    <w:p w14:paraId="5BBE8C30"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8,760 = hours per year</w:t>
      </w:r>
    </w:p>
    <w:p w14:paraId="51339625" w14:textId="1E9CE8BB" w:rsidR="00100329" w:rsidRPr="00100329" w:rsidRDefault="00100329" w:rsidP="00E842C0">
      <w:pPr>
        <w:spacing w:after="120"/>
        <w:ind w:firstLine="480"/>
        <w:rPr>
          <w:color w:val="000000" w:themeColor="text1"/>
          <w:szCs w:val="24"/>
          <w:highlight w:val="yellow"/>
          <w:lang w:val="en-CA"/>
        </w:rPr>
      </w:pPr>
      <w:r w:rsidRPr="00100329">
        <w:rPr>
          <w:color w:val="000000" w:themeColor="text1"/>
          <w:szCs w:val="24"/>
          <w:highlight w:val="yellow"/>
          <w:lang w:val="en-CA"/>
        </w:rPr>
        <w:t>For example, PJM’s 2026/2027 Base Residual Auction cleared at $329.17/MW-day</w:t>
      </w:r>
      <w:r>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{"citationID":"6FlDxlFD","properties":{"unsorted":false,"formattedCitation":"[159]","plainCitation":"[159]","noteIndex":0},"citationItems":[{"id":2717,"uris":["http://zotero.org/users/9870935/items/MQIRHM6M"],"itemData":{"id":2717,"type":"post-weblog","title":"PJM Markets Support Efficiency and Resource Adequacy","URL":"https://services.pjm.com/annualreport2025/markets/","author":[{"literal":"Markets"}]}}],"schema":"https://github.com/citation-style-language/schema/raw/master/csl-citation.json"} </w:instrText>
      </w:r>
      <w:r>
        <w:rPr>
          <w:color w:val="000000" w:themeColor="text1"/>
          <w:szCs w:val="24"/>
          <w:highlight w:val="yellow"/>
          <w:lang w:val="en-CA"/>
        </w:rPr>
        <w:fldChar w:fldCharType="separate"/>
      </w:r>
      <w:r w:rsidR="00E842C0" w:rsidRPr="00E842C0">
        <w:rPr>
          <w:highlight w:val="yellow"/>
          <w:lang w:val="en-CA"/>
        </w:rPr>
        <w:t>[159]</w:t>
      </w:r>
      <w:r>
        <w:rPr>
          <w:color w:val="000000" w:themeColor="text1"/>
          <w:szCs w:val="24"/>
          <w:highlight w:val="yellow"/>
          <w:lang w:val="en-CA"/>
        </w:rPr>
        <w:fldChar w:fldCharType="end"/>
      </w:r>
      <w:r w:rsidRPr="00100329">
        <w:rPr>
          <w:color w:val="000000" w:themeColor="text1"/>
          <w:szCs w:val="24"/>
          <w:highlight w:val="yellow"/>
          <w:lang w:val="en-CA"/>
        </w:rPr>
        <w:t>. This value represents a 92% annual load factor and is an illustrative capacity component of about $14.9/MWh excluding load-serving-entity adjustments, reserve requirements, zonal differences, transmission, distribution, ancillary services and retail charges. This conversion is offered as a demonstration only of the appropriate treatment of capacity prices and does not represent a full delivered electricity tariff. As for energy and capacity, PJM's separate report on YTD load-weighted average locational marginal price (</w:t>
      </w:r>
      <w:r w:rsidR="00453135">
        <w:rPr>
          <w:color w:val="000000" w:themeColor="text1"/>
          <w:szCs w:val="24"/>
          <w:highlight w:val="yellow"/>
          <w:lang w:val="en-CA"/>
        </w:rPr>
        <w:t>LMP</w:t>
      </w:r>
      <w:r w:rsidRPr="00100329">
        <w:rPr>
          <w:color w:val="000000" w:themeColor="text1"/>
          <w:szCs w:val="24"/>
          <w:highlight w:val="yellow"/>
          <w:lang w:val="en-CA"/>
        </w:rPr>
        <w:t>) through October 2025 shows it to be about $50.53/MWh for 2025</w:t>
      </w:r>
      <w:r w:rsidR="005D447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{"citationID":"58h5ye89","properties":{"unsorted":false,"formattedCitation":"[160]","plainCitation":"[160]","noteIndex":0},"citationItems":[{"id":2735,"uris":["http://zotero.org/users/9870935/items/WFERDGP5"],"itemData":{"id":2735,"type":"document","title":"Markets Report","URL":"https://www.pjm.com/-/media/DotCom/committees-groups/committees/mc/2025/20251120/20251120-item-04a---1-pjm-market-operations-report---presentation.pdf","author":[{"literal":"PJM"}]}}],"schema":"https://github.com/citation-style-language/schema/raw/master/csl-citation.json"} </w:instrText>
      </w:r>
      <w:r w:rsidR="005D447E">
        <w:rPr>
          <w:color w:val="000000" w:themeColor="text1"/>
          <w:szCs w:val="24"/>
          <w:highlight w:val="yellow"/>
          <w:lang w:val="en-CA"/>
        </w:rPr>
        <w:fldChar w:fldCharType="separate"/>
      </w:r>
      <w:r w:rsidR="00E842C0" w:rsidRPr="00E842C0">
        <w:rPr>
          <w:highlight w:val="yellow"/>
          <w:lang w:val="en-CA"/>
        </w:rPr>
        <w:t>[160]</w:t>
      </w:r>
      <w:r w:rsidR="005D447E">
        <w:rPr>
          <w:color w:val="000000" w:themeColor="text1"/>
          <w:szCs w:val="24"/>
          <w:highlight w:val="yellow"/>
          <w:lang w:val="en-CA"/>
        </w:rPr>
        <w:fldChar w:fldCharType="end"/>
      </w:r>
      <w:r w:rsidRPr="00100329">
        <w:rPr>
          <w:color w:val="000000" w:themeColor="text1"/>
          <w:szCs w:val="24"/>
          <w:highlight w:val="yellow"/>
          <w:lang w:val="en-CA"/>
        </w:rPr>
        <w:t>.</w:t>
      </w:r>
    </w:p>
    <w:p w14:paraId="38A065E8" w14:textId="6E47FF39" w:rsidR="00FF669C" w:rsidRPr="00FF669C" w:rsidRDefault="00FF669C" w:rsidP="00FF669C">
      <w:pPr>
        <w:spacing w:after="120"/>
        <w:ind w:firstLine="480"/>
        <w:rPr>
          <w:color w:val="000000" w:themeColor="text1"/>
          <w:szCs w:val="24"/>
          <w:highlight w:val="yellow"/>
        </w:rPr>
      </w:pPr>
      <w:r w:rsidRPr="00FF669C">
        <w:rPr>
          <w:color w:val="000000" w:themeColor="text1"/>
          <w:szCs w:val="24"/>
          <w:highlight w:val="yellow"/>
        </w:rPr>
        <w:t xml:space="preserve">Rather than using a single universal grid supply LCOE, regional grid-electricity costs should be determined by considering the specific tariff components of the relevant wholesale energy, capacity, ancillary-service, transmission, distribution and retail components. Capacity-market prices in </w:t>
      </w:r>
      <w:r w:rsidR="00B7026F">
        <w:rPr>
          <w:color w:val="000000" w:themeColor="text1"/>
          <w:szCs w:val="24"/>
          <w:highlight w:val="yellow"/>
        </w:rPr>
        <w:t>$</w:t>
      </w:r>
      <w:r w:rsidRPr="00FF669C">
        <w:rPr>
          <w:color w:val="000000" w:themeColor="text1"/>
          <w:szCs w:val="24"/>
          <w:highlight w:val="yellow"/>
        </w:rPr>
        <w:t xml:space="preserve">/MW-day are prices of available capacity and should not be treated as energy prices or LCOE values in </w:t>
      </w:r>
      <w:r w:rsidR="00403E67">
        <w:rPr>
          <w:color w:val="000000" w:themeColor="text1"/>
          <w:szCs w:val="24"/>
          <w:highlight w:val="yellow"/>
        </w:rPr>
        <w:t>$</w:t>
      </w:r>
      <w:r w:rsidRPr="00FF669C">
        <w:rPr>
          <w:color w:val="000000" w:themeColor="text1"/>
          <w:szCs w:val="24"/>
          <w:highlight w:val="yellow"/>
        </w:rPr>
        <w:t>/MWh without a specified price allocation methodology. There are also significant differences in markets across regions, meaning the facility load profile, energy price, regional capacity mechanism (if applicable), ancillary service and network charges, demand charges, taxes and fees, and applicable utility tariff or electricity supply agreement are necessary to implement a reproducible grid cost assessment.</w:t>
      </w:r>
    </w:p>
    <w:p w14:paraId="45BFE78D" w14:textId="498520A4" w:rsidR="00FF669C" w:rsidRPr="00FF669C" w:rsidRDefault="00FF669C" w:rsidP="00FF669C">
      <w:pPr>
        <w:spacing w:after="120"/>
        <w:ind w:firstLine="480"/>
        <w:rPr>
          <w:color w:val="000000" w:themeColor="text1"/>
          <w:szCs w:val="24"/>
          <w:highlight w:val="yellow"/>
        </w:rPr>
      </w:pPr>
      <w:r w:rsidRPr="00FF669C">
        <w:rPr>
          <w:color w:val="000000" w:themeColor="text1"/>
          <w:szCs w:val="24"/>
          <w:highlight w:val="yellow"/>
        </w:rPr>
        <w:t xml:space="preserve">When comparing grid electricity with renewable-generation and storage options, this distinction is crucial. Generation-only LCOE is the levelized cost of electricity generation within a specific generation-system boundary and is not the same as the all-in cost of firm electricity delivered to the </w:t>
      </w:r>
      <w:r w:rsidRPr="00FF669C">
        <w:rPr>
          <w:color w:val="000000" w:themeColor="text1"/>
          <w:szCs w:val="24"/>
          <w:highlight w:val="yellow"/>
        </w:rPr>
        <w:lastRenderedPageBreak/>
        <w:t>data-center facility. Likewise, a regional wholesale electricity-price average does not reflect the actual electricity expense for a data-center operator since electricity delivered to a data-center may contain capacity, transmission and distribution, demand, ancillary-service and tax, and tariff-specific components. The literature-derived costs listed in Table 7 therefore should be viewed as a cost benchmark with varying system boundaries, not as a direct comparison of the delivered electricity cost. They should not therefore be interpreted as a general rule that renewable or renewable storage systems are always cheaper than electricity from the grid.</w:t>
      </w:r>
    </w:p>
    <w:p w14:paraId="744689C8" w14:textId="634AA5C8" w:rsidR="00AC4E47" w:rsidRDefault="00F12435" w:rsidP="00FF669C">
      <w:pPr>
        <w:spacing w:after="120"/>
        <w:ind w:firstLine="480"/>
        <w:rPr>
          <w:color w:val="000000" w:themeColor="text1"/>
          <w:szCs w:val="24"/>
          <w:highlight w:val="yellow"/>
          <w:lang w:val="en-CA"/>
        </w:rPr>
      </w:pPr>
      <w:r w:rsidRPr="00F12435">
        <w:rPr>
          <w:color w:val="000000" w:themeColor="text1"/>
          <w:szCs w:val="24"/>
          <w:highlight w:val="yellow"/>
        </w:rPr>
        <w:fldChar w:fldCharType="begin"/>
      </w:r>
      <w:r w:rsidRPr="00F12435">
        <w:rPr>
          <w:color w:val="000000" w:themeColor="text1"/>
          <w:szCs w:val="24"/>
          <w:highlight w:val="yellow"/>
        </w:rPr>
        <w:instrText xml:space="preserve"> REF _Ref239529865 \h </w:instrText>
      </w:r>
      <w:r>
        <w:rPr>
          <w:color w:val="000000" w:themeColor="text1"/>
          <w:szCs w:val="24"/>
          <w:highlight w:val="yellow"/>
        </w:rPr>
        <w:instrText xml:space="preserve"> \* MERGEFORMAT </w:instrText>
      </w:r>
      <w:r w:rsidRPr="00F12435">
        <w:rPr>
          <w:color w:val="000000" w:themeColor="text1"/>
          <w:szCs w:val="24"/>
          <w:highlight w:val="yellow"/>
        </w:rPr>
      </w:r>
      <w:r w:rsidRPr="00F12435">
        <w:rPr>
          <w:color w:val="000000" w:themeColor="text1"/>
          <w:szCs w:val="24"/>
          <w:highlight w:val="yellow"/>
        </w:rPr>
        <w:fldChar w:fldCharType="separate"/>
      </w:r>
      <w:r w:rsidRPr="00F12435">
        <w:rPr>
          <w:color w:val="000000" w:themeColor="text1"/>
          <w:szCs w:val="24"/>
          <w:highlight w:val="yellow"/>
        </w:rPr>
        <w:t>Figure 10 Literature-Based Electricity-Cost Benchmarks</w:t>
      </w:r>
      <w:r w:rsidRPr="00F12435">
        <w:rPr>
          <w:color w:val="000000" w:themeColor="text1"/>
          <w:szCs w:val="24"/>
          <w:highlight w:val="yellow"/>
        </w:rPr>
        <w:fldChar w:fldCharType="end"/>
      </w:r>
      <w:r w:rsidRPr="00F12435">
        <w:rPr>
          <w:color w:val="000000" w:themeColor="text1"/>
          <w:szCs w:val="24"/>
          <w:highlight w:val="yellow"/>
        </w:rPr>
        <w:t>, distinguishing unfirmed renewable generation, partially firmed renewable-storage supply, and location- and tariff-specific firm delivered grid electricity. Source: Authors’ synthesis based on IRENA [16], Lazard [161], and the literature summarized in Table 9. Grid electricity is not assigned a universal LCOE because delivered electricity costs are region-, tariff-, and load-specific.</w:t>
      </w:r>
    </w:p>
    <w:p w14:paraId="79B0EA98" w14:textId="0C787491" w:rsidR="00725F05" w:rsidRPr="00725F05" w:rsidRDefault="00725F05" w:rsidP="00725F05">
      <w:pPr>
        <w:keepNext/>
        <w:spacing w:after="120"/>
        <w:jc w:val="center"/>
        <w:rPr>
          <w:lang w:val="en-CA"/>
        </w:rPr>
      </w:pPr>
      <w:r w:rsidRPr="00725F05">
        <w:rPr>
          <w:noProof/>
          <w:lang w:val="en-CA"/>
        </w:rPr>
        <w:drawing>
          <wp:inline distT="0" distB="0" distL="0" distR="0" wp14:anchorId="3DDA45B4" wp14:editId="58AF2C38">
            <wp:extent cx="6192520" cy="2876566"/>
            <wp:effectExtent l="0" t="0" r="0" b="0"/>
            <wp:docPr id="212515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096"/>
                    <a:stretch>
                      <a:fillRect/>
                    </a:stretch>
                  </pic:blipFill>
                  <pic:spPr bwMode="auto">
                    <a:xfrm>
                      <a:off x="0" y="0"/>
                      <a:ext cx="6192520" cy="2876566"/>
                    </a:xfrm>
                    <a:prstGeom prst="rect">
                      <a:avLst/>
                    </a:prstGeom>
                    <a:noFill/>
                    <a:ln>
                      <a:noFill/>
                    </a:ln>
                    <a:extLst>
                      <a:ext uri="{53640926-AAD7-44D8-BBD7-CCE9431645EC}">
                        <a14:shadowObscured xmlns:a14="http://schemas.microsoft.com/office/drawing/2010/main"/>
                      </a:ext>
                    </a:extLst>
                  </pic:spPr>
                </pic:pic>
              </a:graphicData>
            </a:graphic>
          </wp:inline>
        </w:drawing>
      </w:r>
    </w:p>
    <w:p w14:paraId="4515981F" w14:textId="7DA7E4F4" w:rsidR="00807110" w:rsidRDefault="00807110" w:rsidP="00807110">
      <w:pPr>
        <w:keepNext/>
        <w:spacing w:after="120"/>
        <w:ind w:firstLine="480"/>
        <w:jc w:val="center"/>
      </w:pPr>
    </w:p>
    <w:p w14:paraId="2AFE6F6E" w14:textId="2BFB6C81" w:rsidR="00807110" w:rsidRPr="00100329" w:rsidRDefault="00807110" w:rsidP="001B5CFD">
      <w:pPr>
        <w:pStyle w:val="Caption"/>
        <w:jc w:val="center"/>
        <w:rPr>
          <w:color w:val="000000" w:themeColor="text1"/>
          <w:szCs w:val="24"/>
          <w:highlight w:val="yellow"/>
          <w:lang w:val="en-CA"/>
        </w:rPr>
      </w:pPr>
      <w:bookmarkStart w:id="27" w:name="_Ref239529865"/>
      <w:r>
        <w:t xml:space="preserve">Figure </w:t>
      </w:r>
      <w:fldSimple w:instr=" SEQ Figure \* ARABIC ">
        <w:r>
          <w:rPr>
            <w:noProof/>
          </w:rPr>
          <w:t>10</w:t>
        </w:r>
      </w:fldSimple>
      <w:r>
        <w:t xml:space="preserve"> Literature-Based Electricity-Cost Benchmarks</w:t>
      </w:r>
      <w:bookmarkEnd w:id="27"/>
    </w:p>
    <w:p w14:paraId="76DA58C6" w14:textId="77777777" w:rsidR="00FE013C" w:rsidRDefault="00FE013C" w:rsidP="004C16FF">
      <w:pPr>
        <w:pStyle w:val="Heading20"/>
        <w:jc w:val="both"/>
        <w:rPr>
          <w:color w:val="auto"/>
        </w:rPr>
      </w:pPr>
      <w:r w:rsidRPr="00807110">
        <w:rPr>
          <w:color w:val="auto"/>
          <w:highlight w:val="yellow"/>
        </w:rPr>
        <w:t>10.3 Power Purchase Agreements (PPAs)</w:t>
      </w:r>
    </w:p>
    <w:p w14:paraId="67E2BF33" w14:textId="412AF2A9" w:rsidR="00E16731" w:rsidRPr="00E16731" w:rsidRDefault="00E16731" w:rsidP="00E16731">
      <w:pPr>
        <w:spacing w:after="120"/>
        <w:ind w:firstLine="480"/>
        <w:rPr>
          <w:color w:val="000000" w:themeColor="text1"/>
          <w:szCs w:val="24"/>
          <w:highlight w:val="yellow"/>
          <w:lang w:val="en-CA"/>
        </w:rPr>
      </w:pPr>
      <w:r w:rsidRPr="00E16731">
        <w:rPr>
          <w:color w:val="000000" w:themeColor="text1"/>
          <w:szCs w:val="24"/>
          <w:highlight w:val="yellow"/>
          <w:lang w:val="en-CA"/>
        </w:rPr>
        <w:t xml:space="preserve">PPAs still play a significant role in data center procurement strategy as they offer long-term price transparency, enable financing </w:t>
      </w:r>
      <w:r w:rsidRPr="00AC525C">
        <w:rPr>
          <w:color w:val="000000" w:themeColor="text1"/>
          <w:szCs w:val="24"/>
          <w:highlight w:val="yellow"/>
          <w:lang w:val="en-CA"/>
        </w:rPr>
        <w:t xml:space="preserve">of </w:t>
      </w:r>
      <w:r w:rsidR="00D16A35" w:rsidRPr="00AC525C">
        <w:rPr>
          <w:color w:val="000000" w:themeColor="text1"/>
          <w:szCs w:val="24"/>
          <w:highlight w:val="yellow"/>
          <w:lang w:val="en-CA"/>
        </w:rPr>
        <w:t>new renewable-energy projects</w:t>
      </w:r>
      <w:r w:rsidRPr="00AC525C">
        <w:rPr>
          <w:color w:val="000000" w:themeColor="text1"/>
          <w:szCs w:val="24"/>
          <w:highlight w:val="yellow"/>
          <w:lang w:val="en-CA"/>
        </w:rPr>
        <w:t xml:space="preserve">, and enable corporations to achieve their clean </w:t>
      </w:r>
      <w:r w:rsidRPr="00F95641">
        <w:rPr>
          <w:color w:val="000000" w:themeColor="text1"/>
          <w:szCs w:val="24"/>
          <w:highlight w:val="yellow"/>
          <w:lang w:val="en-CA"/>
        </w:rPr>
        <w:t xml:space="preserve">energy goals. </w:t>
      </w:r>
      <w:r w:rsidR="00A04503" w:rsidRPr="00F95641">
        <w:rPr>
          <w:color w:val="000000" w:themeColor="text1"/>
          <w:szCs w:val="24"/>
          <w:highlight w:val="yellow"/>
          <w:lang w:val="en-CA"/>
        </w:rPr>
        <w:t>A PPA price is not equivalent to the delivered retail electricity price. The buyer may remain exposed to basis, shape, balancing, congestion, curtailment, transmission, and settlement risks.</w:t>
      </w:r>
    </w:p>
    <w:p w14:paraId="77E966AF" w14:textId="6B309B49" w:rsidR="00E16731" w:rsidRPr="00E16731" w:rsidRDefault="00291195" w:rsidP="001D1223">
      <w:pPr>
        <w:spacing w:after="120"/>
        <w:ind w:firstLine="480"/>
        <w:rPr>
          <w:color w:val="000000" w:themeColor="text1"/>
          <w:szCs w:val="24"/>
          <w:highlight w:val="yellow"/>
          <w:lang w:val="en-CA"/>
        </w:rPr>
      </w:pPr>
      <w:r w:rsidRPr="00291195">
        <w:rPr>
          <w:color w:val="000000" w:themeColor="text1"/>
          <w:szCs w:val="24"/>
          <w:highlight w:val="yellow"/>
          <w:lang w:val="en-CA"/>
        </w:rPr>
        <w:t xml:space="preserve">LevelTen Energy’s North American PPA Price Index reported continued upward pressure on renewable-energy procurement costs during the first quarter of 2026. Market-averaged P25 solar PPA prices increased by 4.6% during the quarter and by more than 13% year over year, while corresponding wind PPA prices increased by nearly 8% during the quarter and approximately 24% relative to the same period in the previous year. Average North American PPA offer prices were reported at approximately </w:t>
      </w:r>
      <w:r w:rsidR="008F7456">
        <w:rPr>
          <w:color w:val="000000" w:themeColor="text1"/>
          <w:szCs w:val="24"/>
          <w:highlight w:val="yellow"/>
          <w:lang w:val="en-CA"/>
        </w:rPr>
        <w:t>$</w:t>
      </w:r>
      <w:r w:rsidRPr="00291195">
        <w:rPr>
          <w:color w:val="000000" w:themeColor="text1"/>
          <w:szCs w:val="24"/>
          <w:highlight w:val="yellow"/>
          <w:lang w:val="en-CA"/>
        </w:rPr>
        <w:t xml:space="preserve">64.49/MWh for solar and </w:t>
      </w:r>
      <w:r w:rsidR="00043AAC">
        <w:rPr>
          <w:color w:val="000000" w:themeColor="text1"/>
          <w:szCs w:val="24"/>
          <w:highlight w:val="yellow"/>
          <w:lang w:val="en-CA"/>
        </w:rPr>
        <w:t>$</w:t>
      </w:r>
      <w:r w:rsidRPr="00291195">
        <w:rPr>
          <w:color w:val="000000" w:themeColor="text1"/>
          <w:szCs w:val="24"/>
          <w:highlight w:val="yellow"/>
          <w:lang w:val="en-CA"/>
        </w:rPr>
        <w:t xml:space="preserve">79.40/MWh for wind </w:t>
      </w:r>
      <w:r w:rsidR="00E16731">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5HLOw4Iq","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E16731">
        <w:rPr>
          <w:color w:val="000000" w:themeColor="text1"/>
          <w:szCs w:val="24"/>
          <w:highlight w:val="yellow"/>
          <w:lang w:val="en-CA"/>
        </w:rPr>
        <w:fldChar w:fldCharType="separate"/>
      </w:r>
      <w:r w:rsidR="001D1223" w:rsidRPr="001D1223">
        <w:rPr>
          <w:highlight w:val="yellow"/>
          <w:lang w:val="en-CA"/>
        </w:rPr>
        <w:t>[63]</w:t>
      </w:r>
      <w:r w:rsidR="00E16731">
        <w:rPr>
          <w:color w:val="000000" w:themeColor="text1"/>
          <w:szCs w:val="24"/>
          <w:highlight w:val="yellow"/>
          <w:lang w:val="en-CA"/>
        </w:rPr>
        <w:fldChar w:fldCharType="end"/>
      </w:r>
      <w:r w:rsidR="00E16731" w:rsidRPr="00E16731">
        <w:rPr>
          <w:color w:val="000000" w:themeColor="text1"/>
          <w:szCs w:val="24"/>
          <w:highlight w:val="yellow"/>
          <w:lang w:val="en-CA"/>
        </w:rPr>
        <w:t>.</w:t>
      </w:r>
    </w:p>
    <w:p w14:paraId="5B331D38" w14:textId="1BB25FD0" w:rsidR="00E16731" w:rsidRPr="00E16731" w:rsidRDefault="00E16731" w:rsidP="001D1223">
      <w:pPr>
        <w:spacing w:after="120"/>
        <w:ind w:firstLine="480"/>
        <w:rPr>
          <w:color w:val="000000" w:themeColor="text1"/>
          <w:szCs w:val="24"/>
          <w:highlight w:val="yellow"/>
          <w:lang w:val="en-CA"/>
        </w:rPr>
      </w:pPr>
      <w:r w:rsidRPr="00E16731">
        <w:rPr>
          <w:color w:val="000000" w:themeColor="text1"/>
          <w:szCs w:val="24"/>
          <w:highlight w:val="yellow"/>
          <w:lang w:val="en-CA"/>
        </w:rPr>
        <w:lastRenderedPageBreak/>
        <w:t xml:space="preserve">The rise was linked to the high electricity demand, permitting delays, equipment tariffs, labor shortage, rising insurance rates, and other development constraints </w:t>
      </w:r>
      <w:r w:rsidR="00B37D51">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YxxwLXnf","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B37D51">
        <w:rPr>
          <w:color w:val="000000" w:themeColor="text1"/>
          <w:szCs w:val="24"/>
          <w:highlight w:val="yellow"/>
          <w:lang w:val="en-CA"/>
        </w:rPr>
        <w:fldChar w:fldCharType="separate"/>
      </w:r>
      <w:r w:rsidR="001D1223" w:rsidRPr="001D1223">
        <w:rPr>
          <w:highlight w:val="yellow"/>
          <w:lang w:val="en-CA"/>
        </w:rPr>
        <w:t>[63]</w:t>
      </w:r>
      <w:r w:rsidR="00B37D51">
        <w:rPr>
          <w:color w:val="000000" w:themeColor="text1"/>
          <w:szCs w:val="24"/>
          <w:highlight w:val="yellow"/>
          <w:lang w:val="en-CA"/>
        </w:rPr>
        <w:fldChar w:fldCharType="end"/>
      </w:r>
      <w:r w:rsidRPr="00E16731">
        <w:rPr>
          <w:color w:val="000000" w:themeColor="text1"/>
          <w:szCs w:val="24"/>
          <w:highlight w:val="yellow"/>
          <w:lang w:val="en-CA"/>
        </w:rPr>
        <w:t>. The prices listed in these offers are not indicative of single contract prices due to the following: PPA pricing is dependent on market location, commercial operation date, project maturity, contract tenor, settlement point, escalation provisions, environmental attributes, credit terms and risk allocation.</w:t>
      </w:r>
    </w:p>
    <w:p w14:paraId="761CDC7B" w14:textId="2E2C1221" w:rsidR="00807110" w:rsidRPr="00151B76" w:rsidRDefault="001F7D10" w:rsidP="001D1223">
      <w:pPr>
        <w:spacing w:after="120"/>
        <w:ind w:firstLine="480"/>
        <w:rPr>
          <w:color w:val="000000" w:themeColor="text1"/>
          <w:szCs w:val="24"/>
          <w:highlight w:val="yellow"/>
          <w:lang w:val="en-CA"/>
        </w:rPr>
      </w:pPr>
      <w:r w:rsidRPr="00151B76">
        <w:rPr>
          <w:color w:val="000000" w:themeColor="text1"/>
          <w:szCs w:val="24"/>
          <w:highlight w:val="yellow"/>
          <w:lang w:val="en-CA"/>
        </w:rPr>
        <w:t>For data centers, therefore</w:t>
      </w:r>
      <w:r w:rsidR="00E16731" w:rsidRPr="00151B76">
        <w:rPr>
          <w:color w:val="000000" w:themeColor="text1"/>
          <w:szCs w:val="24"/>
          <w:highlight w:val="yellow"/>
          <w:lang w:val="en-CA"/>
        </w:rPr>
        <w:t xml:space="preserve">, a PPA should be considered as part of the overall portfolio of electricity-procurement options. Having a PPA with annual energy matching does not guarantee that the electricity will be carbon-free or physically reliable on an hourly basis. To handle the time shift between electricity production and consumption, a data center could need a mix of a PPA, grid service, storage, backup generation and workload flexibility. While basis and settlement risk may be present with PPAs, it can be minimized by project generation and facility demand being at different locations or at different times </w:t>
      </w:r>
      <w:r w:rsidR="00962957" w:rsidRPr="00151B76">
        <w:rPr>
          <w:color w:val="000000" w:themeColor="text1"/>
          <w:szCs w:val="24"/>
          <w:highlight w:val="yellow"/>
          <w:lang w:val="en-CA"/>
        </w:rPr>
        <w:fldChar w:fldCharType="begin"/>
      </w:r>
      <w:r w:rsidR="001D1223" w:rsidRPr="00151B76">
        <w:rPr>
          <w:color w:val="000000" w:themeColor="text1"/>
          <w:szCs w:val="24"/>
          <w:highlight w:val="yellow"/>
          <w:lang w:val="en-CA"/>
        </w:rPr>
        <w:instrText xml:space="preserve"> ADDIN ZOTERO_ITEM CSL_CITATION {"citationID":"hPcVMlIH","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962957" w:rsidRPr="00151B76">
        <w:rPr>
          <w:color w:val="000000" w:themeColor="text1"/>
          <w:szCs w:val="24"/>
          <w:highlight w:val="yellow"/>
          <w:lang w:val="en-CA"/>
        </w:rPr>
        <w:fldChar w:fldCharType="separate"/>
      </w:r>
      <w:r w:rsidR="001D1223" w:rsidRPr="00151B76">
        <w:rPr>
          <w:highlight w:val="yellow"/>
          <w:lang w:val="en-CA"/>
        </w:rPr>
        <w:t>[63]</w:t>
      </w:r>
      <w:r w:rsidR="00962957" w:rsidRPr="00151B76">
        <w:rPr>
          <w:color w:val="000000" w:themeColor="text1"/>
          <w:szCs w:val="24"/>
          <w:highlight w:val="yellow"/>
          <w:lang w:val="en-CA"/>
        </w:rPr>
        <w:fldChar w:fldCharType="end"/>
      </w:r>
      <w:r w:rsidR="00E16731" w:rsidRPr="00151B76">
        <w:rPr>
          <w:color w:val="000000" w:themeColor="text1"/>
          <w:szCs w:val="24"/>
          <w:highlight w:val="yellow"/>
          <w:lang w:val="en-CA"/>
        </w:rPr>
        <w:t>.</w:t>
      </w:r>
    </w:p>
    <w:p w14:paraId="7C5BF444" w14:textId="3C6E7F77" w:rsidR="00FE013C" w:rsidRPr="00807110" w:rsidRDefault="00FE013C" w:rsidP="00807110">
      <w:pPr>
        <w:pStyle w:val="Heading20"/>
        <w:jc w:val="both"/>
        <w:rPr>
          <w:color w:val="auto"/>
          <w:highlight w:val="yellow"/>
        </w:rPr>
      </w:pPr>
      <w:r w:rsidRPr="00807110">
        <w:rPr>
          <w:color w:val="auto"/>
          <w:highlight w:val="yellow"/>
        </w:rPr>
        <w:t>10.4 Financial Modeling: NPV and IRR</w:t>
      </w:r>
    </w:p>
    <w:p w14:paraId="6E3DE7F1" w14:textId="77777777"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Project-specific financial viability should be evaluated using net present value (NPV), internal rate of return (IRR), discounted payback period, and sensitivity analysis. These metrics require an auditable cash-flow model rather than applying assumed return ranges to generic project configurations.</w:t>
      </w:r>
    </w:p>
    <w:p w14:paraId="2459874A" w14:textId="036884D3"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 xml:space="preserve">For a project lifetime of </w:t>
      </w:r>
      <m:oMath>
        <m:r>
          <w:rPr>
            <w:rFonts w:ascii="Cambria Math" w:hAnsi="Cambria Math"/>
            <w:color w:val="000000" w:themeColor="text1"/>
            <w:szCs w:val="24"/>
            <w:highlight w:val="yellow"/>
            <w:lang w:val="en-CA"/>
          </w:rPr>
          <m:t>N</m:t>
        </m:r>
      </m:oMath>
      <w:r w:rsidRPr="005810F9">
        <w:rPr>
          <w:color w:val="000000" w:themeColor="text1"/>
          <w:szCs w:val="24"/>
          <w:highlight w:val="yellow"/>
          <w:lang w:val="en-CA"/>
        </w:rPr>
        <w:t>years, NPV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96AEE" w:rsidRPr="00100329" w14:paraId="5B31A178" w14:textId="77777777" w:rsidTr="001E5821">
        <w:tc>
          <w:tcPr>
            <w:tcW w:w="421" w:type="dxa"/>
          </w:tcPr>
          <w:p w14:paraId="4A8B1FBF" w14:textId="77777777" w:rsidR="00C96AEE" w:rsidRPr="00100329" w:rsidRDefault="00C96AEE" w:rsidP="001E5821">
            <w:pPr>
              <w:rPr>
                <w:color w:val="auto"/>
                <w:szCs w:val="24"/>
                <w:highlight w:val="yellow"/>
                <w:lang w:val="en-CA" w:eastAsia="en-CA"/>
              </w:rPr>
            </w:pPr>
          </w:p>
        </w:tc>
        <w:tc>
          <w:tcPr>
            <w:tcW w:w="7908" w:type="dxa"/>
          </w:tcPr>
          <w:p w14:paraId="564DB089" w14:textId="5F6FAF82" w:rsidR="00C96AEE" w:rsidRPr="00100329" w:rsidRDefault="00C96AEE" w:rsidP="001E5821">
            <w:pPr>
              <w:rPr>
                <w:rFonts w:asciiTheme="majorBidi" w:hAnsiTheme="majorBidi" w:cstheme="majorBidi"/>
                <w:color w:val="auto"/>
                <w:sz w:val="18"/>
                <w:szCs w:val="18"/>
                <w:highlight w:val="yellow"/>
                <w:lang w:val="en-CA" w:eastAsia="en-CA"/>
              </w:rPr>
            </w:pPr>
            <m:oMathPara>
              <m:oMath>
                <m:r>
                  <m:rPr>
                    <m:nor/>
                  </m:rPr>
                  <w:rPr>
                    <w:rFonts w:ascii="Cambria Math" w:hAnsi="Cambria Math"/>
                    <w:color w:val="auto"/>
                    <w:sz w:val="18"/>
                    <w:szCs w:val="18"/>
                  </w:rPr>
                  <m:t>NPV</m:t>
                </m:r>
                <m:r>
                  <w:rPr>
                    <w:rFonts w:ascii="Cambria Math" w:hAnsi="Cambria Math"/>
                    <w:color w:val="auto"/>
                    <w:sz w:val="18"/>
                    <w:szCs w:val="18"/>
                  </w:rPr>
                  <m:t>=-</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N</m:t>
                        </m:r>
                      </m:sup>
                    </m:sSup>
                  </m:den>
                </m:f>
              </m:oMath>
            </m:oMathPara>
          </w:p>
        </w:tc>
        <w:tc>
          <w:tcPr>
            <w:tcW w:w="616" w:type="dxa"/>
            <w:vAlign w:val="center"/>
          </w:tcPr>
          <w:p w14:paraId="7D7A62EA" w14:textId="4114CD2E" w:rsidR="00C96AEE" w:rsidRPr="00100329" w:rsidRDefault="00C96AEE"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21</w:t>
            </w:r>
            <w:r w:rsidRPr="00100329">
              <w:rPr>
                <w:color w:val="auto"/>
                <w:szCs w:val="24"/>
                <w:highlight w:val="yellow"/>
                <w:lang w:val="en-CA" w:eastAsia="en-CA"/>
              </w:rPr>
              <w:t>)</w:t>
            </w:r>
          </w:p>
        </w:tc>
      </w:tr>
    </w:tbl>
    <w:p w14:paraId="49A81060" w14:textId="7D29D3F8" w:rsidR="00A50C22" w:rsidRPr="00A50C22" w:rsidRDefault="00A50C22" w:rsidP="00A50C22">
      <w:pPr>
        <w:spacing w:after="120"/>
        <w:ind w:firstLine="480"/>
        <w:rPr>
          <w:color w:val="000000" w:themeColor="text1"/>
          <w:szCs w:val="24"/>
          <w:highlight w:val="yellow"/>
          <w:lang w:val="en-CA"/>
        </w:rPr>
      </w:pPr>
      <w:r w:rsidRPr="00A50C22">
        <w:rPr>
          <w:color w:val="000000" w:themeColor="text1"/>
          <w:szCs w:val="24"/>
          <w:highlight w:val="yellow"/>
          <w:lang w:val="en-CA"/>
        </w:rPr>
        <w:t xml:space="preserve">where </w:t>
      </w:r>
      <m:oMath>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I</m:t>
            </m:r>
          </m:e>
          <m:sub>
            <m:r>
              <m:rPr>
                <m:sty m:val="p"/>
              </m:rPr>
              <w:rPr>
                <w:rFonts w:ascii="Cambria Math" w:hAnsi="Cambria Math"/>
                <w:color w:val="000000" w:themeColor="text1"/>
                <w:szCs w:val="24"/>
                <w:highlight w:val="yellow"/>
                <w:lang w:val="en-CA"/>
              </w:rPr>
              <m:t>0</m:t>
            </m:r>
          </m:sub>
        </m:sSub>
      </m:oMath>
      <w:r w:rsidRPr="00A50C22">
        <w:rPr>
          <w:color w:val="000000" w:themeColor="text1"/>
          <w:szCs w:val="24"/>
          <w:highlight w:val="yellow"/>
          <w:lang w:val="en-CA"/>
        </w:rPr>
        <w:t xml:space="preserve">is the initial investment, </w:t>
      </w:r>
      <m:oMath>
        <m:r>
          <w:rPr>
            <w:rFonts w:ascii="Cambria Math" w:hAnsi="Cambria Math"/>
            <w:color w:val="000000" w:themeColor="text1"/>
            <w:szCs w:val="24"/>
            <w:highlight w:val="yellow"/>
            <w:lang w:val="en-CA"/>
          </w:rPr>
          <m:t>C</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F</m:t>
            </m:r>
          </m:e>
          <m:sub>
            <m:r>
              <w:rPr>
                <w:rFonts w:ascii="Cambria Math" w:hAnsi="Cambria Math"/>
                <w:color w:val="000000" w:themeColor="text1"/>
                <w:szCs w:val="24"/>
                <w:highlight w:val="yellow"/>
                <w:lang w:val="en-CA"/>
              </w:rPr>
              <m:t>t</m:t>
            </m:r>
          </m:sub>
        </m:sSub>
      </m:oMath>
      <w:r w:rsidRPr="00A50C22">
        <w:rPr>
          <w:color w:val="000000" w:themeColor="text1"/>
          <w:szCs w:val="24"/>
          <w:highlight w:val="yellow"/>
          <w:lang w:val="en-CA"/>
        </w:rPr>
        <w:t xml:space="preserve">is the net cash flow in year </w:t>
      </w:r>
      <m:oMath>
        <m:r>
          <w:rPr>
            <w:rFonts w:ascii="Cambria Math" w:hAnsi="Cambria Math"/>
            <w:color w:val="000000" w:themeColor="text1"/>
            <w:szCs w:val="24"/>
            <w:highlight w:val="yellow"/>
            <w:lang w:val="en-CA"/>
          </w:rPr>
          <m:t>t</m:t>
        </m:r>
      </m:oMath>
      <w:r w:rsidRPr="00A50C22">
        <w:rPr>
          <w:color w:val="000000" w:themeColor="text1"/>
          <w:szCs w:val="24"/>
          <w:highlight w:val="yellow"/>
          <w:lang w:val="en-CA"/>
        </w:rPr>
        <w:t xml:space="preserve">, </w:t>
      </w:r>
      <m:oMath>
        <m:r>
          <w:rPr>
            <w:rFonts w:ascii="Cambria Math" w:hAnsi="Cambria Math"/>
            <w:color w:val="000000" w:themeColor="text1"/>
            <w:szCs w:val="24"/>
            <w:highlight w:val="yellow"/>
            <w:lang w:val="en-CA"/>
          </w:rPr>
          <m:t>r</m:t>
        </m:r>
      </m:oMath>
      <w:r w:rsidRPr="00A50C22">
        <w:rPr>
          <w:color w:val="000000" w:themeColor="text1"/>
          <w:szCs w:val="24"/>
          <w:highlight w:val="yellow"/>
          <w:lang w:val="en-CA"/>
        </w:rPr>
        <w:t xml:space="preserve">is the real discount rate, and </w:t>
      </w:r>
      <m:oMath>
        <m:r>
          <w:rPr>
            <w:rFonts w:ascii="Cambria Math" w:hAnsi="Cambria Math"/>
            <w:color w:val="000000" w:themeColor="text1"/>
            <w:szCs w:val="24"/>
            <w:highlight w:val="yellow"/>
            <w:lang w:val="en-CA"/>
          </w:rPr>
          <m:t>R</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V</m:t>
            </m:r>
          </m:e>
          <m:sub>
            <m:r>
              <w:rPr>
                <w:rFonts w:ascii="Cambria Math" w:hAnsi="Cambria Math"/>
                <w:color w:val="000000" w:themeColor="text1"/>
                <w:szCs w:val="24"/>
                <w:highlight w:val="yellow"/>
                <w:lang w:val="en-CA"/>
              </w:rPr>
              <m:t>N</m:t>
            </m:r>
          </m:sub>
        </m:sSub>
      </m:oMath>
      <w:r w:rsidRPr="00A50C22">
        <w:rPr>
          <w:color w:val="000000" w:themeColor="text1"/>
          <w:szCs w:val="24"/>
          <w:highlight w:val="yellow"/>
          <w:lang w:val="en-CA"/>
        </w:rPr>
        <w:t>is the residual value at the end of the analysis period.</w:t>
      </w:r>
    </w:p>
    <w:p w14:paraId="5E8F04A7" w14:textId="77777777" w:rsidR="00833AA9" w:rsidRPr="00A52AC2" w:rsidRDefault="00833AA9" w:rsidP="00A52AC2">
      <w:pPr>
        <w:spacing w:after="120"/>
        <w:ind w:firstLine="480"/>
        <w:rPr>
          <w:color w:val="000000" w:themeColor="text1"/>
          <w:szCs w:val="24"/>
          <w:highlight w:val="yellow"/>
          <w:lang w:val="en-CA"/>
        </w:rPr>
      </w:pPr>
      <w:r w:rsidRPr="00A52AC2">
        <w:rPr>
          <w:color w:val="000000" w:themeColor="text1"/>
          <w:szCs w:val="24"/>
          <w:highlight w:val="yellow"/>
          <w:lang w:val="en-CA"/>
        </w:rPr>
        <w:t>The IRR is the discount rate that satisfies: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833AA9" w:rsidRPr="00100329" w14:paraId="5164CB15" w14:textId="77777777" w:rsidTr="001E5821">
        <w:tc>
          <w:tcPr>
            <w:tcW w:w="421" w:type="dxa"/>
          </w:tcPr>
          <w:p w14:paraId="67E7A95A" w14:textId="77777777" w:rsidR="00833AA9" w:rsidRPr="00100329" w:rsidRDefault="00833AA9" w:rsidP="001E5821">
            <w:pPr>
              <w:rPr>
                <w:color w:val="auto"/>
                <w:szCs w:val="24"/>
                <w:highlight w:val="yellow"/>
                <w:lang w:val="en-CA" w:eastAsia="en-CA"/>
              </w:rPr>
            </w:pPr>
          </w:p>
        </w:tc>
        <w:tc>
          <w:tcPr>
            <w:tcW w:w="7908" w:type="dxa"/>
          </w:tcPr>
          <w:p w14:paraId="3D58E01A" w14:textId="35E3FDE6" w:rsidR="00833AA9" w:rsidRPr="009D6F40" w:rsidRDefault="00833AA9" w:rsidP="001E5821">
            <w:pPr>
              <w:rPr>
                <w:rFonts w:asciiTheme="majorBidi" w:hAnsiTheme="majorBidi" w:cstheme="majorBidi"/>
                <w:color w:val="auto"/>
                <w:sz w:val="18"/>
                <w:szCs w:val="18"/>
                <w:highlight w:val="yellow"/>
                <w:lang w:val="de-DE" w:eastAsia="en-CA"/>
              </w:rPr>
            </w:pPr>
            <m:oMathPara>
              <m:oMath>
                <m:r>
                  <w:rPr>
                    <w:rFonts w:ascii="Cambria Math" w:hAnsi="Cambria Math"/>
                    <w:color w:val="auto"/>
                    <w:sz w:val="18"/>
                    <w:szCs w:val="18"/>
                    <w:lang w:val="de-DE"/>
                  </w:rPr>
                  <m:t>0=-</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lang w:val="de-DE"/>
                      </w:rPr>
                      <m:t>0</m:t>
                    </m:r>
                  </m:sub>
                </m:sSub>
                <m:r>
                  <w:rPr>
                    <w:rFonts w:ascii="Cambria Math" w:hAnsi="Cambria Math"/>
                    <w:color w:val="auto"/>
                    <w:sz w:val="18"/>
                    <w:szCs w:val="18"/>
                    <w:lang w:val="de-DE"/>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m:t>
                    </m:r>
                    <m:r>
                      <w:rPr>
                        <w:rFonts w:ascii="Cambria Math" w:hAnsi="Cambria Math"/>
                        <w:color w:val="auto"/>
                        <w:sz w:val="18"/>
                        <w:szCs w:val="18"/>
                        <w:lang w:val="de-DE"/>
                      </w:rPr>
                      <m: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lang w:val="de-DE"/>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lang w:val="de-DE"/>
                                  </w:rPr>
                                  <m:t>1+</m:t>
                                </m:r>
                                <m:r>
                                  <m:rPr>
                                    <m:nor/>
                                  </m:rPr>
                                  <w:rPr>
                                    <w:rFonts w:ascii="Cambria Math" w:hAnsi="Cambria Math"/>
                                    <w:color w:val="auto"/>
                                    <w:sz w:val="18"/>
                                    <w:szCs w:val="18"/>
                                    <w:lang w:val="de-DE"/>
                                  </w:rPr>
                                  <m:t>IRR</m:t>
                                </m:r>
                              </m:e>
                            </m:d>
                          </m:e>
                          <m:sup>
                            <m:r>
                              <w:rPr>
                                <w:rFonts w:ascii="Cambria Math" w:hAnsi="Cambria Math"/>
                                <w:color w:val="auto"/>
                                <w:sz w:val="18"/>
                                <w:szCs w:val="18"/>
                              </w:rPr>
                              <m:t>t</m:t>
                            </m:r>
                          </m:sup>
                        </m:sSup>
                      </m:den>
                    </m:f>
                  </m:e>
                </m:nary>
                <m:r>
                  <w:rPr>
                    <w:rFonts w:ascii="Cambria Math" w:hAnsi="Cambria Math"/>
                    <w:color w:val="auto"/>
                    <w:sz w:val="18"/>
                    <w:szCs w:val="18"/>
                    <w:lang w:val="de-DE"/>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lang w:val="de-DE"/>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lang w:val="de-DE"/>
                              </w:rPr>
                              <m:t>1+</m:t>
                            </m:r>
                            <m:r>
                              <m:rPr>
                                <m:nor/>
                              </m:rPr>
                              <w:rPr>
                                <w:rFonts w:ascii="Cambria Math" w:hAnsi="Cambria Math"/>
                                <w:color w:val="auto"/>
                                <w:sz w:val="18"/>
                                <w:szCs w:val="18"/>
                                <w:lang w:val="de-DE"/>
                              </w:rPr>
                              <m:t>IRR</m:t>
                            </m:r>
                          </m:e>
                        </m:d>
                      </m:e>
                      <m:sup>
                        <m:r>
                          <w:rPr>
                            <w:rFonts w:ascii="Cambria Math" w:hAnsi="Cambria Math"/>
                            <w:color w:val="auto"/>
                            <w:sz w:val="18"/>
                            <w:szCs w:val="18"/>
                          </w:rPr>
                          <m:t>n</m:t>
                        </m:r>
                      </m:sup>
                    </m:sSup>
                  </m:den>
                </m:f>
              </m:oMath>
            </m:oMathPara>
          </w:p>
        </w:tc>
        <w:tc>
          <w:tcPr>
            <w:tcW w:w="616" w:type="dxa"/>
            <w:vAlign w:val="center"/>
          </w:tcPr>
          <w:p w14:paraId="159A0955" w14:textId="6D5C7E41" w:rsidR="00833AA9" w:rsidRPr="00100329" w:rsidRDefault="00833AA9"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22</w:t>
            </w:r>
            <w:r w:rsidRPr="00100329">
              <w:rPr>
                <w:color w:val="auto"/>
                <w:szCs w:val="24"/>
                <w:highlight w:val="yellow"/>
                <w:lang w:val="en-CA" w:eastAsia="en-CA"/>
              </w:rPr>
              <w:t>)</w:t>
            </w:r>
          </w:p>
        </w:tc>
      </w:tr>
    </w:tbl>
    <w:p w14:paraId="5AF900CC" w14:textId="77777777" w:rsidR="00E028BC" w:rsidRPr="00E028BC" w:rsidRDefault="00E028BC" w:rsidP="00E028BC">
      <w:pPr>
        <w:spacing w:after="120"/>
        <w:ind w:firstLine="480"/>
        <w:rPr>
          <w:color w:val="000000" w:themeColor="text1"/>
          <w:szCs w:val="24"/>
          <w:highlight w:val="yellow"/>
        </w:rPr>
      </w:pPr>
      <w:r w:rsidRPr="00E028BC">
        <w:rPr>
          <w:color w:val="000000" w:themeColor="text1"/>
          <w:szCs w:val="24"/>
          <w:highlight w:val="yellow"/>
        </w:rPr>
        <w:t>A real WACC of 7.5% may be used as an illustrative screening assumption, with a real discount-rate range of 5%–12% considered in sensitivity analysis. This assumption is not a finding or a recommended project-specific financing rate. Investment-grade analysis should derive the discount rate from the actual capital structure, technology and market risks, ownership arrangement, and contractual allocation of risk. Real cash flows should be discounted using a real rate, while nominal cash flows require a nominal rate and explicit treatment of inflation.</w:t>
      </w:r>
    </w:p>
    <w:p w14:paraId="67C01547" w14:textId="65FB41E7" w:rsidR="000E7A56" w:rsidRPr="0041400E" w:rsidRDefault="001810B6" w:rsidP="00A52AC2">
      <w:pPr>
        <w:spacing w:after="120"/>
        <w:ind w:firstLine="480"/>
        <w:rPr>
          <w:color w:val="000000" w:themeColor="text1"/>
          <w:szCs w:val="24"/>
          <w:highlight w:val="yellow"/>
          <w:lang w:val="en-CA"/>
        </w:rPr>
      </w:pPr>
      <w:r w:rsidRPr="0041400E">
        <w:rPr>
          <w:color w:val="000000" w:themeColor="text1"/>
          <w:szCs w:val="24"/>
          <w:highlight w:val="yellow"/>
          <w:lang w:val="en-CA"/>
        </w:rPr>
        <w:t>A project cash-flow model should include</w:t>
      </w:r>
      <w:r w:rsidR="000E7A56" w:rsidRPr="0041400E">
        <w:rPr>
          <w:color w:val="000000" w:themeColor="text1"/>
          <w:szCs w:val="24"/>
          <w:highlight w:val="yellow"/>
          <w:lang w:val="en-CA"/>
        </w:rPr>
        <w:t>:</w:t>
      </w:r>
    </w:p>
    <w:p w14:paraId="5CEC7440" w14:textId="12D824B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Capital costs for renewable generation, BESS, backup power, interconnection, and electrical infrastructure.</w:t>
      </w:r>
    </w:p>
    <w:p w14:paraId="76349BFB" w14:textId="74F03DE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Engineering, procurement, construction, development, financing, and contingency costs.</w:t>
      </w:r>
    </w:p>
    <w:p w14:paraId="5B50D921" w14:textId="62F48AC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Fixed and variable operation and maintenance costs.</w:t>
      </w:r>
    </w:p>
    <w:p w14:paraId="47A6A506" w14:textId="6F966EAC"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Battery augmentation and replacement costs.</w:t>
      </w:r>
    </w:p>
    <w:p w14:paraId="5F15AF72" w14:textId="6E76CE6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Replacement of major equipment, including inverters, transformers, and control systems.</w:t>
      </w:r>
    </w:p>
    <w:p w14:paraId="5DF88134" w14:textId="6AEB913F"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Grid-energy purchases, capacity charges, demand charges, and tariff escalation.</w:t>
      </w:r>
    </w:p>
    <w:p w14:paraId="21818B19" w14:textId="6ECCB4B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Avoided electricity-purchase and demand-charge costs.</w:t>
      </w:r>
    </w:p>
    <w:p w14:paraId="01C20472" w14:textId="07554CD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lastRenderedPageBreak/>
        <w:t>PPA settlements and payments, where applicable.</w:t>
      </w:r>
    </w:p>
    <w:p w14:paraId="0B312C09" w14:textId="3C27FE29"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Ancillary-service or demand-response revenues, where applicable and demonstrable.</w:t>
      </w:r>
    </w:p>
    <w:p w14:paraId="78730599" w14:textId="6219B466"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Outage-related costs, conversion losses, equipment degradation, and renewable curtailment.</w:t>
      </w:r>
    </w:p>
    <w:p w14:paraId="6FAAB57B" w14:textId="3045A17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Applicable taxes, incentives, depreciation, and residual value.</w:t>
      </w:r>
    </w:p>
    <w:p w14:paraId="54D4C2B9" w14:textId="5DC651C3" w:rsidR="00305DE9" w:rsidRPr="00305DE9" w:rsidRDefault="00305DE9" w:rsidP="00E842C0">
      <w:pPr>
        <w:spacing w:after="120"/>
        <w:ind w:firstLine="480"/>
        <w:rPr>
          <w:color w:val="000000" w:themeColor="text1"/>
          <w:szCs w:val="24"/>
          <w:highlight w:val="yellow"/>
        </w:rPr>
      </w:pPr>
      <w:r w:rsidRPr="00305DE9">
        <w:rPr>
          <w:color w:val="000000" w:themeColor="text1"/>
          <w:szCs w:val="24"/>
          <w:highlight w:val="yellow"/>
        </w:rPr>
        <w:t>Federal incentive eligibility is highly dependent on the applicable regulatory framework, project commissioning date, ownership structure, technology type, domestic-content requirements, and jurisdiction-specific implementation rules. Because renewable-energy incentive programs continue to evolve, project developers should verify eligibility using current legislation, regulatory guidance, and professional tax advice. The discussion presented here is intended only as contextual information and should not be interpreted as investment or tax guidance</w:t>
      </w:r>
      <w:r w:rsidR="004775F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{"citationID":"t87KCa5e","properties":{"unsorted":false,"formattedCitation":"[161]","plainCitation":"[161]","noteIndex":0},"citationItems":[{"id":2719,"uris":["http://zotero.org/users/9870935/items/MKVPUMBA"],"itemData":{"id":2719,"type":"document","title":"What’s News in Tax Analysis that matters from Washington National Tax","URL":"https://kpmg.com/kpmg-us/content/dam/kpmg/taxnewsflash/pdf/2026/01/tnf-wnit-energy-credits-jan-12-2026.pdf","author":[{"literal":"KPMG"}]}}],"schema":"https://github.com/citation-style-language/schema/raw/master/csl-citation.json"} </w:instrText>
      </w:r>
      <w:r w:rsidR="004775FE">
        <w:rPr>
          <w:color w:val="000000" w:themeColor="text1"/>
          <w:szCs w:val="24"/>
          <w:highlight w:val="yellow"/>
          <w:lang w:val="en-CA"/>
        </w:rPr>
        <w:fldChar w:fldCharType="separate"/>
      </w:r>
      <w:r w:rsidR="00E842C0" w:rsidRPr="00E842C0">
        <w:rPr>
          <w:highlight w:val="yellow"/>
          <w:lang w:val="en-CA"/>
        </w:rPr>
        <w:t>[161]</w:t>
      </w:r>
      <w:r w:rsidR="004775FE">
        <w:rPr>
          <w:color w:val="000000" w:themeColor="text1"/>
          <w:szCs w:val="24"/>
          <w:highlight w:val="yellow"/>
          <w:lang w:val="en-CA"/>
        </w:rPr>
        <w:fldChar w:fldCharType="end"/>
      </w:r>
      <w:r w:rsidRPr="00305DE9">
        <w:rPr>
          <w:color w:val="000000" w:themeColor="text1"/>
          <w:szCs w:val="24"/>
          <w:highlight w:val="yellow"/>
        </w:rPr>
        <w:t>.</w:t>
      </w:r>
    </w:p>
    <w:p w14:paraId="4DB0D478" w14:textId="184C856B" w:rsidR="00A52AC2" w:rsidRDefault="00A52AC2" w:rsidP="00A52AC2">
      <w:pPr>
        <w:pStyle w:val="Heading20"/>
        <w:jc w:val="both"/>
        <w:rPr>
          <w:color w:val="auto"/>
          <w:highlight w:val="yellow"/>
        </w:rPr>
      </w:pPr>
      <w:r w:rsidRPr="00807110">
        <w:rPr>
          <w:color w:val="auto"/>
          <w:highlight w:val="yellow"/>
        </w:rPr>
        <w:t>10.</w:t>
      </w:r>
      <w:r>
        <w:rPr>
          <w:color w:val="auto"/>
          <w:highlight w:val="yellow"/>
        </w:rPr>
        <w:t>5</w:t>
      </w:r>
      <w:r w:rsidRPr="00807110">
        <w:rPr>
          <w:color w:val="auto"/>
          <w:highlight w:val="yellow"/>
        </w:rPr>
        <w:t xml:space="preserve"> </w:t>
      </w:r>
      <w:r>
        <w:rPr>
          <w:color w:val="auto"/>
          <w:highlight w:val="yellow"/>
        </w:rPr>
        <w:t>Business Case and Critical Appraisal</w:t>
      </w:r>
    </w:p>
    <w:p w14:paraId="0D6E1383" w14:textId="77777777" w:rsidR="0041400E" w:rsidRPr="0041400E" w:rsidRDefault="0041400E" w:rsidP="00E842C0">
      <w:pPr>
        <w:spacing w:after="120"/>
        <w:ind w:firstLine="480"/>
        <w:rPr>
          <w:color w:val="000000" w:themeColor="text1"/>
          <w:szCs w:val="24"/>
          <w:highlight w:val="yellow"/>
        </w:rPr>
      </w:pPr>
      <w:r w:rsidRPr="0041400E">
        <w:rPr>
          <w:color w:val="000000" w:themeColor="text1"/>
          <w:szCs w:val="24"/>
          <w:highlight w:val="yellow"/>
        </w:rPr>
        <w:t>Four factors materially influence the business case for renewable-powered AI data centers:</w:t>
      </w:r>
    </w:p>
    <w:p w14:paraId="6CCEA258" w14:textId="60112966" w:rsidR="003342AC" w:rsidRPr="003342AC" w:rsidRDefault="003342AC" w:rsidP="00E842C0">
      <w:pPr>
        <w:spacing w:after="120"/>
        <w:ind w:firstLine="480"/>
        <w:rPr>
          <w:color w:val="000000" w:themeColor="text1"/>
          <w:szCs w:val="24"/>
          <w:highlight w:val="yellow"/>
          <w:lang w:val="en-CA"/>
        </w:rPr>
      </w:pPr>
      <w:r w:rsidRPr="003342AC">
        <w:rPr>
          <w:b/>
          <w:bCs/>
          <w:color w:val="000000" w:themeColor="text1"/>
          <w:szCs w:val="24"/>
          <w:highlight w:val="yellow"/>
          <w:lang w:val="en-CA"/>
        </w:rPr>
        <w:t xml:space="preserve">Energy-cost </w:t>
      </w:r>
      <w:r>
        <w:rPr>
          <w:b/>
          <w:bCs/>
          <w:color w:val="000000" w:themeColor="text1"/>
          <w:szCs w:val="24"/>
          <w:highlight w:val="yellow"/>
          <w:lang w:val="en-CA"/>
        </w:rPr>
        <w:t>M</w:t>
      </w:r>
      <w:r w:rsidRPr="003342AC">
        <w:rPr>
          <w:b/>
          <w:bCs/>
          <w:color w:val="000000" w:themeColor="text1"/>
          <w:szCs w:val="24"/>
          <w:highlight w:val="yellow"/>
          <w:lang w:val="en-CA"/>
        </w:rPr>
        <w:t>anagement</w:t>
      </w:r>
      <w:r>
        <w:rPr>
          <w:b/>
          <w:bCs/>
          <w:color w:val="000000" w:themeColor="text1"/>
          <w:szCs w:val="24"/>
          <w:highlight w:val="yellow"/>
          <w:lang w:val="en-CA"/>
        </w:rPr>
        <w:t>:</w:t>
      </w:r>
      <w:r w:rsidRPr="003342AC">
        <w:rPr>
          <w:color w:val="000000" w:themeColor="text1"/>
          <w:szCs w:val="24"/>
          <w:highlight w:val="yellow"/>
          <w:lang w:val="en-CA"/>
        </w:rPr>
        <w:t xml:space="preserve"> The cost of new solar and onshore wind are still competitive, and existing hybrid schemes show the cost of renewable electricity with battery storage can match the cost of conventional electricity generation in some markets</w:t>
      </w:r>
      <w:r w:rsidR="003511DA">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{"citationID":"oYKlJ3go","properties":{"unsorted":false,"formattedCitation":"[158]","plainCitation":"[158]","noteIndex":0},"citationItems":[{"id":2716,"uris":["http://zotero.org/users/9870935/items/QM3FE6TY"],"itemData":{"id":2716,"type":"post-weblog","title":"Lazard’s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3511DA">
        <w:rPr>
          <w:color w:val="000000" w:themeColor="text1"/>
          <w:szCs w:val="24"/>
          <w:highlight w:val="yellow"/>
          <w:lang w:val="en-CA"/>
        </w:rPr>
        <w:fldChar w:fldCharType="separate"/>
      </w:r>
      <w:r w:rsidR="00E842C0" w:rsidRPr="00E842C0">
        <w:rPr>
          <w:highlight w:val="yellow"/>
          <w:lang w:val="en-CA"/>
        </w:rPr>
        <w:t>[158]</w:t>
      </w:r>
      <w:r w:rsidR="003511DA">
        <w:rPr>
          <w:color w:val="000000" w:themeColor="text1"/>
          <w:szCs w:val="24"/>
          <w:highlight w:val="yellow"/>
          <w:lang w:val="en-CA"/>
        </w:rPr>
        <w:fldChar w:fldCharType="end"/>
      </w:r>
      <w:r w:rsidRPr="003342AC">
        <w:rPr>
          <w:color w:val="000000" w:themeColor="text1"/>
          <w:szCs w:val="24"/>
          <w:highlight w:val="yellow"/>
          <w:lang w:val="en-CA"/>
        </w:rPr>
        <w:t>,</w:t>
      </w:r>
      <w:r w:rsidR="003511DA">
        <w:rPr>
          <w:color w:val="000000" w:themeColor="text1"/>
          <w:szCs w:val="24"/>
          <w:highlight w:val="yellow"/>
          <w:lang w:val="en-CA"/>
        </w:rPr>
        <w:fldChar w:fldCharType="begin"/>
      </w:r>
      <w:r w:rsidR="003511DA">
        <w:rPr>
          <w:color w:val="000000" w:themeColor="text1"/>
          <w:szCs w:val="24"/>
          <w:highlight w:val="yellow"/>
          <w:lang w:val="en-CA"/>
        </w:rPr>
        <w:instrText xml:space="preserve"> ADDIN ZOTERO_ITEM CSL_CITATION {"citationID":"wYIdAcMN","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3511DA">
        <w:rPr>
          <w:color w:val="000000" w:themeColor="text1"/>
          <w:szCs w:val="24"/>
          <w:highlight w:val="yellow"/>
          <w:lang w:val="en-CA"/>
        </w:rPr>
        <w:fldChar w:fldCharType="separate"/>
      </w:r>
      <w:r w:rsidR="003511DA" w:rsidRPr="003511DA">
        <w:rPr>
          <w:highlight w:val="yellow"/>
          <w:lang w:val="en-CA"/>
        </w:rPr>
        <w:t>[16]</w:t>
      </w:r>
      <w:r w:rsidR="003511DA">
        <w:rPr>
          <w:color w:val="000000" w:themeColor="text1"/>
          <w:szCs w:val="24"/>
          <w:highlight w:val="yellow"/>
          <w:lang w:val="en-CA"/>
        </w:rPr>
        <w:fldChar w:fldCharType="end"/>
      </w:r>
      <w:r w:rsidRPr="003342AC">
        <w:rPr>
          <w:color w:val="000000" w:themeColor="text1"/>
          <w:szCs w:val="24"/>
          <w:highlight w:val="yellow"/>
          <w:lang w:val="en-CA"/>
        </w:rPr>
        <w:t>. However, viability of the project is subject to resource quality, project financing, firming requirements, grid access, curtailment, and interconnection costs. Cost of the continuous data center service should not be estimated as Generation-only LCOE.</w:t>
      </w:r>
    </w:p>
    <w:p w14:paraId="2D9FCD90" w14:textId="457DF331" w:rsidR="003342AC" w:rsidRPr="003342AC" w:rsidRDefault="003342AC" w:rsidP="0011144A">
      <w:pPr>
        <w:spacing w:after="120"/>
        <w:ind w:firstLine="480"/>
        <w:rPr>
          <w:color w:val="000000" w:themeColor="text1"/>
          <w:szCs w:val="24"/>
          <w:highlight w:val="yellow"/>
          <w:lang w:val="en-CA"/>
        </w:rPr>
      </w:pPr>
      <w:r w:rsidRPr="00CA7AD5">
        <w:rPr>
          <w:b/>
          <w:bCs/>
          <w:color w:val="000000" w:themeColor="text1"/>
          <w:szCs w:val="24"/>
          <w:highlight w:val="yellow"/>
          <w:lang w:val="en-CA"/>
        </w:rPr>
        <w:t xml:space="preserve">Reliability and </w:t>
      </w:r>
      <w:r w:rsidR="00CA7AD5">
        <w:rPr>
          <w:b/>
          <w:bCs/>
          <w:color w:val="000000" w:themeColor="text1"/>
          <w:szCs w:val="24"/>
          <w:highlight w:val="yellow"/>
          <w:lang w:val="en-CA"/>
        </w:rPr>
        <w:t>R</w:t>
      </w:r>
      <w:r w:rsidRPr="00CA7AD5">
        <w:rPr>
          <w:b/>
          <w:bCs/>
          <w:color w:val="000000" w:themeColor="text1"/>
          <w:szCs w:val="24"/>
          <w:highlight w:val="yellow"/>
          <w:lang w:val="en-CA"/>
        </w:rPr>
        <w:t>esilience</w:t>
      </w:r>
      <w:r w:rsidR="00CA7AD5" w:rsidRPr="00EE49A4">
        <w:rPr>
          <w:b/>
          <w:bCs/>
          <w:color w:val="000000" w:themeColor="text1"/>
          <w:szCs w:val="24"/>
          <w:highlight w:val="yellow"/>
          <w:lang w:val="en-CA"/>
        </w:rPr>
        <w:t>:</w:t>
      </w:r>
      <w:r w:rsidRPr="003342AC">
        <w:rPr>
          <w:color w:val="000000" w:themeColor="text1"/>
          <w:szCs w:val="24"/>
          <w:highlight w:val="yellow"/>
          <w:lang w:val="en-CA"/>
        </w:rPr>
        <w:t xml:space="preserve"> </w:t>
      </w:r>
      <w:r w:rsidR="0011144A" w:rsidRPr="0011144A">
        <w:rPr>
          <w:color w:val="000000" w:themeColor="text1"/>
          <w:szCs w:val="24"/>
          <w:highlight w:val="yellow"/>
        </w:rPr>
        <w:t xml:space="preserve">On-site generation and energy storage can reduce exposure to certain grid disturbances, provide short-duration ride-through capability, and </w:t>
      </w:r>
      <w:r w:rsidR="0011144A" w:rsidRPr="0011144A">
        <w:rPr>
          <w:color w:val="000000" w:themeColor="text1"/>
          <w:szCs w:val="24"/>
          <w:highlight w:val="yellow"/>
        </w:rPr>
        <w:t>support-controlled</w:t>
      </w:r>
      <w:r w:rsidR="0011144A" w:rsidRPr="0011144A">
        <w:rPr>
          <w:color w:val="000000" w:themeColor="text1"/>
          <w:szCs w:val="24"/>
          <w:highlight w:val="yellow"/>
        </w:rPr>
        <w:t xml:space="preserve"> transitions to backup power. However, these resources do not eliminate outage risk. Overall reliability also depends on the electrical distribution topology, protection coordination, common-mode failures, backup-fuel or energy availability, control-system performance, equipment redundancy, and maintenance practices. Uptime Institute reports outage costs as a distribution rather than establishing a universal hourly downtime cost for AI training clusters. Accordingly, downtime costs used in project-specific economic assessments should reflect the affected IT capacity, the value and criticality of the interrupted workloads, recovery duration, contractual or service-level penalties, and the economic consequences of lost computing utilization.</w:t>
      </w:r>
    </w:p>
    <w:p w14:paraId="4F35DD51" w14:textId="628C0C35" w:rsidR="003342AC" w:rsidRPr="003342AC" w:rsidRDefault="003342AC" w:rsidP="001D1223">
      <w:pPr>
        <w:spacing w:after="120"/>
        <w:ind w:firstLine="480"/>
        <w:rPr>
          <w:color w:val="000000" w:themeColor="text1"/>
          <w:szCs w:val="24"/>
          <w:highlight w:val="yellow"/>
          <w:lang w:val="en-CA"/>
        </w:rPr>
      </w:pPr>
      <w:r w:rsidRPr="001F3982">
        <w:rPr>
          <w:b/>
          <w:bCs/>
          <w:color w:val="000000" w:themeColor="text1"/>
          <w:szCs w:val="24"/>
          <w:highlight w:val="yellow"/>
          <w:lang w:val="en-CA"/>
        </w:rPr>
        <w:t xml:space="preserve">Sustainability and </w:t>
      </w:r>
      <w:r w:rsidR="001F3982">
        <w:rPr>
          <w:b/>
          <w:bCs/>
          <w:color w:val="000000" w:themeColor="text1"/>
          <w:szCs w:val="24"/>
          <w:highlight w:val="yellow"/>
          <w:lang w:val="en-CA"/>
        </w:rPr>
        <w:t>C</w:t>
      </w:r>
      <w:r w:rsidRPr="001F3982">
        <w:rPr>
          <w:b/>
          <w:bCs/>
          <w:color w:val="000000" w:themeColor="text1"/>
          <w:szCs w:val="24"/>
          <w:highlight w:val="yellow"/>
          <w:lang w:val="en-CA"/>
        </w:rPr>
        <w:t xml:space="preserve">ompliance with </w:t>
      </w:r>
      <w:r w:rsidR="001F3982">
        <w:rPr>
          <w:b/>
          <w:bCs/>
          <w:color w:val="000000" w:themeColor="text1"/>
          <w:szCs w:val="24"/>
          <w:highlight w:val="yellow"/>
          <w:lang w:val="en-CA"/>
        </w:rPr>
        <w:t>R</w:t>
      </w:r>
      <w:r w:rsidRPr="001F3982">
        <w:rPr>
          <w:b/>
          <w:bCs/>
          <w:color w:val="000000" w:themeColor="text1"/>
          <w:szCs w:val="24"/>
          <w:highlight w:val="yellow"/>
          <w:lang w:val="en-CA"/>
        </w:rPr>
        <w:t>egulations</w:t>
      </w:r>
      <w:r w:rsidR="001F3982" w:rsidRPr="001F3982">
        <w:rPr>
          <w:b/>
          <w:bCs/>
          <w:color w:val="000000" w:themeColor="text1"/>
          <w:szCs w:val="24"/>
          <w:highlight w:val="yellow"/>
          <w:lang w:val="en-CA"/>
        </w:rPr>
        <w:t>:</w:t>
      </w:r>
      <w:r w:rsidRPr="003342AC">
        <w:rPr>
          <w:color w:val="000000" w:themeColor="text1"/>
          <w:szCs w:val="24"/>
          <w:highlight w:val="yellow"/>
          <w:lang w:val="en-CA"/>
        </w:rPr>
        <w:t xml:space="preserve"> Market-based Scope 2 emissions can be reduced through renewable </w:t>
      </w:r>
      <w:r w:rsidR="003511DA" w:rsidRPr="003342AC">
        <w:rPr>
          <w:color w:val="000000" w:themeColor="text1"/>
          <w:szCs w:val="24"/>
          <w:highlight w:val="yellow"/>
          <w:lang w:val="en-CA"/>
        </w:rPr>
        <w:t>procurement and</w:t>
      </w:r>
      <w:r w:rsidRPr="003342AC">
        <w:rPr>
          <w:color w:val="000000" w:themeColor="text1"/>
          <w:szCs w:val="24"/>
          <w:highlight w:val="yellow"/>
          <w:lang w:val="en-CA"/>
        </w:rPr>
        <w:t xml:space="preserve"> can help companies meet their clean energy goals. The monetary benefit of these advantages varies on reporting conditions, structures of the electricity contract, characteristics of renewable energy, relevant carbon prices and customer needs. Purchasing corporate sustainability claims based on PPAs or renewable-energy certificates should be separated from actual physical delivery on an hourly basis, as well as from 24/7 carbon-free energy matching</w:t>
      </w:r>
      <w:r w:rsidR="003511DA">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{"citationID":"xwziHGBm","properties":{"unsorted":false,"formattedCitation":"[65], [66]","plainCitation":"[65], [66]","noteIndex":0},"citationItems":[{"id":2720,"uris":["http://zotero.org/users/9870935/items/HK3R4MRM"],"itemData":{"id":2720,"type":"document","title":"GHG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3511DA">
        <w:rPr>
          <w:color w:val="000000" w:themeColor="text1"/>
          <w:szCs w:val="24"/>
          <w:highlight w:val="yellow"/>
          <w:lang w:val="en-CA"/>
        </w:rPr>
        <w:fldChar w:fldCharType="separate"/>
      </w:r>
      <w:r w:rsidR="001D1223" w:rsidRPr="001D1223">
        <w:rPr>
          <w:highlight w:val="yellow"/>
          <w:lang w:val="en-CA"/>
        </w:rPr>
        <w:t>[65], [66]</w:t>
      </w:r>
      <w:r w:rsidR="003511DA">
        <w:rPr>
          <w:color w:val="000000" w:themeColor="text1"/>
          <w:szCs w:val="24"/>
          <w:highlight w:val="yellow"/>
          <w:lang w:val="en-CA"/>
        </w:rPr>
        <w:fldChar w:fldCharType="end"/>
      </w:r>
      <w:r w:rsidRPr="003342AC">
        <w:rPr>
          <w:color w:val="000000" w:themeColor="text1"/>
          <w:szCs w:val="24"/>
          <w:highlight w:val="yellow"/>
          <w:lang w:val="en-CA"/>
        </w:rPr>
        <w:t>.</w:t>
      </w:r>
    </w:p>
    <w:p w14:paraId="04B027E6" w14:textId="2ACDE0D9" w:rsidR="003342AC" w:rsidRPr="003342AC" w:rsidRDefault="003342AC" w:rsidP="00E842C0">
      <w:pPr>
        <w:spacing w:after="120"/>
        <w:ind w:firstLine="480"/>
        <w:rPr>
          <w:color w:val="000000" w:themeColor="text1"/>
          <w:szCs w:val="24"/>
          <w:highlight w:val="yellow"/>
          <w:lang w:val="en-CA"/>
        </w:rPr>
      </w:pPr>
      <w:r w:rsidRPr="003511DA">
        <w:rPr>
          <w:b/>
          <w:bCs/>
          <w:color w:val="000000" w:themeColor="text1"/>
          <w:szCs w:val="24"/>
          <w:highlight w:val="yellow"/>
          <w:lang w:val="en-CA"/>
        </w:rPr>
        <w:t xml:space="preserve">Long-term </w:t>
      </w:r>
      <w:r w:rsidR="003511DA">
        <w:rPr>
          <w:b/>
          <w:bCs/>
          <w:color w:val="000000" w:themeColor="text1"/>
          <w:szCs w:val="24"/>
          <w:highlight w:val="yellow"/>
          <w:lang w:val="en-CA"/>
        </w:rPr>
        <w:t>R</w:t>
      </w:r>
      <w:r w:rsidRPr="003511DA">
        <w:rPr>
          <w:b/>
          <w:bCs/>
          <w:color w:val="000000" w:themeColor="text1"/>
          <w:szCs w:val="24"/>
          <w:highlight w:val="yellow"/>
          <w:lang w:val="en-CA"/>
        </w:rPr>
        <w:t xml:space="preserve">isk </w:t>
      </w:r>
      <w:r w:rsidR="003511DA">
        <w:rPr>
          <w:b/>
          <w:bCs/>
          <w:color w:val="000000" w:themeColor="text1"/>
          <w:szCs w:val="24"/>
          <w:highlight w:val="yellow"/>
          <w:lang w:val="en-CA"/>
        </w:rPr>
        <w:t>M</w:t>
      </w:r>
      <w:r w:rsidRPr="003511DA">
        <w:rPr>
          <w:b/>
          <w:bCs/>
          <w:color w:val="000000" w:themeColor="text1"/>
          <w:szCs w:val="24"/>
          <w:highlight w:val="yellow"/>
          <w:lang w:val="en-CA"/>
        </w:rPr>
        <w:t>anagement</w:t>
      </w:r>
      <w:r w:rsidR="003511DA">
        <w:rPr>
          <w:b/>
          <w:bCs/>
          <w:color w:val="000000" w:themeColor="text1"/>
          <w:szCs w:val="24"/>
          <w:highlight w:val="yellow"/>
          <w:lang w:val="en-CA"/>
        </w:rPr>
        <w:t>:</w:t>
      </w:r>
      <w:r w:rsidRPr="003342AC">
        <w:rPr>
          <w:color w:val="000000" w:themeColor="text1"/>
          <w:szCs w:val="24"/>
          <w:highlight w:val="yellow"/>
          <w:lang w:val="en-CA"/>
        </w:rPr>
        <w:t xml:space="preserve"> Long-term PPAs can mitigate some types of fuel and wholesale electricity price risk, but also pose settlement, counterparty, basis, curtailment and shape risks. The merits of PPA should therefore be considered in conjunction with the grid tariff, storage needs, flexibility and the load profile of the purchaser</w:t>
      </w:r>
      <w:r w:rsidR="003511DA">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{"citationID":"pGf1JNIH","properties":{"unsorted":false,"formattedCitation":"[162], [163]","plainCitation":"[162], [163]","noteIndex":0},"citationItems":[{"id":2722,"uris":["http://zotero.org/users/9870935/items/5SC4PJND"],"itemData":{"id":2722,"type":"article-journal","container-title":"International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exposure","volume":"103","author":[{"family":"Duppati","given":"Geeta"}],"issued":{"date-parts":[["2025",10]]}}},{"id":2724,"uris":["http://zotero.org/users/9870935/items/U7SXPGAB"],"itemData":{"id":2724,"type":"document","title":"Risk Structure and Financial Hedging in Nodal Electricity Markets","URL":"https://www.oxfordenergy.org/wpcms/wp-content/uploads/2026/01/EL-61-Risk-Structure-and-Financial-Hedging.pdf","author":[{"literal":"Oxford"}]}}],"schema":"https://github.com/citation-style-language/schema/raw/master/csl-citation.json"} </w:instrText>
      </w:r>
      <w:r w:rsidR="003511DA">
        <w:rPr>
          <w:color w:val="000000" w:themeColor="text1"/>
          <w:szCs w:val="24"/>
          <w:highlight w:val="yellow"/>
          <w:lang w:val="en-CA"/>
        </w:rPr>
        <w:fldChar w:fldCharType="separate"/>
      </w:r>
      <w:r w:rsidR="00E842C0" w:rsidRPr="00E842C0">
        <w:rPr>
          <w:highlight w:val="yellow"/>
          <w:lang w:val="en-CA"/>
        </w:rPr>
        <w:t>[162], [163]</w:t>
      </w:r>
      <w:r w:rsidR="003511DA">
        <w:rPr>
          <w:color w:val="000000" w:themeColor="text1"/>
          <w:szCs w:val="24"/>
          <w:highlight w:val="yellow"/>
          <w:lang w:val="en-CA"/>
        </w:rPr>
        <w:fldChar w:fldCharType="end"/>
      </w:r>
      <w:r w:rsidR="003511DA">
        <w:rPr>
          <w:color w:val="000000" w:themeColor="text1"/>
          <w:szCs w:val="24"/>
          <w:highlight w:val="yellow"/>
          <w:lang w:val="en-CA"/>
        </w:rPr>
        <w:t>.</w:t>
      </w:r>
    </w:p>
    <w:p w14:paraId="7952092B" w14:textId="5D375F44" w:rsidR="000E7A56" w:rsidRPr="00EA36D1" w:rsidRDefault="003342AC" w:rsidP="00C46C72">
      <w:pPr>
        <w:spacing w:after="120"/>
        <w:ind w:firstLine="480"/>
        <w:rPr>
          <w:color w:val="000000" w:themeColor="text1"/>
          <w:szCs w:val="24"/>
          <w:highlight w:val="yellow"/>
        </w:rPr>
      </w:pPr>
      <w:r w:rsidRPr="00EA36D1">
        <w:rPr>
          <w:color w:val="000000" w:themeColor="text1"/>
          <w:szCs w:val="24"/>
          <w:highlight w:val="yellow"/>
          <w:lang w:val="en-CA"/>
        </w:rPr>
        <w:lastRenderedPageBreak/>
        <w:t xml:space="preserve">While </w:t>
      </w:r>
      <w:r w:rsidR="00C46C72" w:rsidRPr="00EA36D1">
        <w:rPr>
          <w:color w:val="000000" w:themeColor="text1"/>
          <w:szCs w:val="24"/>
          <w:highlight w:val="yellow"/>
        </w:rPr>
        <w:t>there is insufficient evidence for universal cost parity</w:t>
      </w:r>
      <w:r w:rsidRPr="00EA36D1">
        <w:rPr>
          <w:color w:val="000000" w:themeColor="text1"/>
          <w:szCs w:val="24"/>
          <w:highlight w:val="yellow"/>
          <w:lang w:val="en-CA"/>
        </w:rPr>
        <w:t xml:space="preserve">, </w:t>
      </w:r>
      <w:r w:rsidR="00022719" w:rsidRPr="00EA36D1">
        <w:rPr>
          <w:color w:val="000000" w:themeColor="text1"/>
          <w:szCs w:val="24"/>
          <w:highlight w:val="yellow"/>
          <w:lang w:val="en-CA"/>
        </w:rPr>
        <w:t>t</w:t>
      </w:r>
      <w:r w:rsidR="00FA2913" w:rsidRPr="00EA36D1">
        <w:rPr>
          <w:color w:val="000000" w:themeColor="text1"/>
          <w:szCs w:val="24"/>
          <w:highlight w:val="yellow"/>
          <w:lang w:val="en-CA"/>
        </w:rPr>
        <w:t>he available evidence does not support a universal cost-parity conclusion</w:t>
      </w:r>
      <w:r w:rsidRPr="00EA36D1">
        <w:rPr>
          <w:color w:val="000000" w:themeColor="text1"/>
          <w:szCs w:val="24"/>
          <w:highlight w:val="yellow"/>
          <w:lang w:val="en-CA"/>
        </w:rPr>
        <w:t xml:space="preserve">. The cost benchmarks reported are from projects with varying locations, commissioning years, financing requirements, resource quality, tax treatment, storage time, and market structure. Case studies from companies are frequently company-provided and </w:t>
      </w:r>
      <w:r w:rsidRPr="00B26025">
        <w:rPr>
          <w:color w:val="000000" w:themeColor="text1"/>
          <w:szCs w:val="24"/>
          <w:highlight w:val="yellow"/>
          <w:lang w:val="en-CA"/>
        </w:rPr>
        <w:t xml:space="preserve">commercial cost surveys do not necessarily identify all of the assumptions made at project level. Moreover, </w:t>
      </w:r>
      <w:r w:rsidR="00CA26B4" w:rsidRPr="00B26025">
        <w:rPr>
          <w:color w:val="000000" w:themeColor="text1"/>
          <w:szCs w:val="24"/>
          <w:highlight w:val="yellow"/>
          <w:lang w:val="en-CA"/>
        </w:rPr>
        <w:t>t</w:t>
      </w:r>
      <w:r w:rsidR="008910E1" w:rsidRPr="00B26025">
        <w:rPr>
          <w:color w:val="000000" w:themeColor="text1"/>
          <w:szCs w:val="24"/>
          <w:highlight w:val="yellow"/>
          <w:lang w:val="en-CA"/>
        </w:rPr>
        <w:t>he cited cost benchmarks do not independently demonstrate 99.99% facility-level availability</w:t>
      </w:r>
      <w:r w:rsidRPr="00B26025">
        <w:rPr>
          <w:color w:val="000000" w:themeColor="text1"/>
          <w:szCs w:val="24"/>
          <w:highlight w:val="yellow"/>
          <w:lang w:val="en-CA"/>
        </w:rPr>
        <w:t>. The results should therefore be read as a demonstration that renewable and hybrid systems can be cost competitive, not as a demonstration that each AI data center that uses renewable energy will be more cost effective than the grid. A site-specific, reproducible model must be developed for investment decisions based on existing load, resource, tariff, interconnection, reliability and financing information.</w:t>
      </w:r>
    </w:p>
    <w:p w14:paraId="1D05BDAA" w14:textId="77777777" w:rsidR="00FE013C" w:rsidRDefault="00FE013C" w:rsidP="004C16FF">
      <w:pPr>
        <w:pStyle w:val="Heading1"/>
        <w:keepNext/>
        <w:jc w:val="both"/>
      </w:pPr>
      <w:r>
        <w:t>11. Operational Strategies and Demand-Side Integration</w:t>
      </w:r>
    </w:p>
    <w:p w14:paraId="0049E287" w14:textId="5D4A3A1D" w:rsidR="00FE013C" w:rsidRDefault="00FE013C" w:rsidP="004C16FF">
      <w:pPr>
        <w:spacing w:after="120"/>
        <w:ind w:firstLine="480"/>
      </w:pPr>
      <w:r>
        <w:t xml:space="preserve">This section examines operational strategies that </w:t>
      </w:r>
      <w:r w:rsidR="008910E1">
        <w:t>maximize</w:t>
      </w:r>
      <w:r>
        <w:t xml:space="preserve"> renewable energy </w:t>
      </w:r>
      <w:r w:rsidR="008910E1">
        <w:t>utilization</w:t>
      </w:r>
      <w:r>
        <w:t xml:space="preserve"> in AI data </w:t>
      </w:r>
      <w:r w:rsidR="00580BAE">
        <w:t>center</w:t>
      </w:r>
      <w:r>
        <w:t>s, with particular emphasis on demand-side management, workload flexibility, and real-time grid services. These strategies leverage the unique characteristics of AI workloads to create value that is not available in conventional electricity-consuming facilities.</w:t>
      </w:r>
    </w:p>
    <w:p w14:paraId="2D83F843" w14:textId="77777777" w:rsidR="00FE013C"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3AD7E40E" w14:textId="1687A5DE" w:rsidR="00FE013C" w:rsidRDefault="00FE013C" w:rsidP="004E7A62">
      <w:pPr>
        <w:spacing w:after="120"/>
        <w:ind w:firstLine="480"/>
      </w:pPr>
      <w:r w:rsidRPr="00F72FC8">
        <w:t xml:space="preserve">Accurate forecasting of renewable energy supplies is </w:t>
      </w:r>
      <w:r w:rsidR="00BC2ADC" w:rsidRPr="00BC2ADC">
        <w:t xml:space="preserve">important for </w:t>
      </w:r>
      <w:r w:rsidRPr="00F72FC8">
        <w:t>effective demand-side management. The accuracy of solar forecasting depends on the time scale forecasted (3–12</w:t>
      </w:r>
      <w:r>
        <w:t xml:space="preserve">% </w:t>
      </w:r>
      <w:r w:rsidRPr="00F72FC8">
        <w:t>MAPE for day-ahead forecasts using numerical weather prediction models; 3–8</w:t>
      </w:r>
      <w:r>
        <w:t xml:space="preserve">% </w:t>
      </w:r>
      <w:r w:rsidRPr="00F72FC8">
        <w:t>MAPE for intra-hour forecasts based on satellite observations and sky-camera networks; and less than 3</w:t>
      </w:r>
      <w:r>
        <w:t xml:space="preserve">% </w:t>
      </w:r>
      <w:r w:rsidRPr="00F72FC8">
        <w:t>MAPE for very short-term forecasting on the minute scale, according to persistence assumptions). Weather forecasting for wind is not as precise as solar forecasting, with day-ahead MAPE for renewables ranging from 10</w:t>
      </w:r>
      <w:r>
        <w:t xml:space="preserve">% </w:t>
      </w:r>
      <w:r w:rsidRPr="00F72FC8">
        <w:t>to 18</w:t>
      </w:r>
      <w:r>
        <w:t xml:space="preserve">% </w:t>
      </w:r>
      <w:r w:rsidRPr="00F72FC8">
        <w:t>based on a geographic area and terrain complexity. Machine learning post-processing based on LSTM and more sophisticated graph-based architectures has been shown to reduce MAPE by 20-30</w:t>
      </w:r>
      <w:r>
        <w:t xml:space="preserve">% </w:t>
      </w:r>
      <w:r w:rsidRPr="00F72FC8">
        <w:t>from NWP raw data, especially at lead times between 1 and 6 hours</w:t>
      </w:r>
      <w:r>
        <w:fldChar w:fldCharType="begin"/>
      </w:r>
      <w:r w:rsidR="004E7A62">
        <w:instrText xml:space="preserve"> ADDIN ZOTERO_ITEM CSL_CITATION {"citationID":"JrzmaHyH","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4E7A62" w:rsidRPr="004E7A62">
        <w:t>[140]</w:t>
      </w:r>
      <w:r>
        <w:fldChar w:fldCharType="end"/>
      </w:r>
      <w:r w:rsidRPr="00F72FC8">
        <w:t>.</w:t>
      </w:r>
    </w:p>
    <w:p w14:paraId="7260ADC2" w14:textId="0EB44FA8" w:rsidR="00B42A22" w:rsidRPr="00E842C0" w:rsidRDefault="00B42A22" w:rsidP="003725EC">
      <w:pPr>
        <w:spacing w:after="120"/>
        <w:ind w:firstLine="480"/>
      </w:pPr>
      <w:r w:rsidRPr="00E842C0">
        <w:t>Renewable generation and load forecasts should be treated with uncertainty when making storage schedules, grid exchanges, commitment decisions for back-up resources, and establishing operating reserves directly in the dispatch optimization problem. Over-optimistic forecasts of renewable generation needs could lead to fewer reserves scheduled, with greater exposure to real-time balancing action, greater operating cost, or threats to reliability if generation does not meet forecast levels. One way to explicitly model such uncertainty is through the use of stochastic optimization, which entails the introduction of multiple scenarios or probability distributions of uncertain variables into the dispatch problem, so that the economic performance and reliability requirements can be evaluated together</w:t>
      </w:r>
      <w:r w:rsidR="00E842C0">
        <w:fldChar w:fldCharType="begin"/>
      </w:r>
      <w:r w:rsidR="00E842C0">
        <w:instrText xml:space="preserve"> ADDIN ZOTERO_ITEM CSL_CITATION {"citationID":"g7gaYOI2","properties":{"unsorted":false,"formattedCitation":"[121]","plainCitation":"[121]","noteIndex":0},"citationItems":[{"id":2110,"uris":["http://zotero.org/users/9870935/items/WXV5HE5P"],"itemData":{"id":2110,"type":"book","abstract":"This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E842C0">
        <w:fldChar w:fldCharType="separate"/>
      </w:r>
      <w:r w:rsidR="00E842C0" w:rsidRPr="00E842C0">
        <w:t>[121]</w:t>
      </w:r>
      <w:r w:rsidR="00E842C0">
        <w:fldChar w:fldCharType="end"/>
      </w:r>
      <w:r w:rsidRPr="00E842C0">
        <w:t>. Forecast uncertainty regarding renewables generation is also influenced by forecast horizon, meteorological conditions, geographic aggregation, and forecasting methodology</w:t>
      </w:r>
      <w:r w:rsidR="003725EC">
        <w:fldChar w:fldCharType="begin"/>
      </w:r>
      <w:r w:rsidR="003725EC">
        <w:instrText xml:space="preserve"> ADDIN ZOTERO_ITEM CSL_CITATION {"citationID":"6p9cdsjJ","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3725EC">
        <w:fldChar w:fldCharType="separate"/>
      </w:r>
      <w:r w:rsidR="003725EC" w:rsidRPr="003725EC">
        <w:t>[140]</w:t>
      </w:r>
      <w:r w:rsidR="003725EC">
        <w:fldChar w:fldCharType="end"/>
      </w:r>
      <w:r w:rsidRPr="00E842C0">
        <w:t>. Therefore, the 2015 review does not specify a general percentage reserve margin. The values of the reserve requirements should be based on the forecast-error distribution, variability of renewable resources, state and availability of storage, grid-import capacity, characteristics of storage-backup resources, and the required reliability criterion</w:t>
      </w:r>
      <w:r w:rsidR="003725EC">
        <w:fldChar w:fldCharType="begin"/>
      </w:r>
      <w:r w:rsidR="003725EC">
        <w:instrText xml:space="preserve"> ADDIN ZOTERO_ITEM CSL_CITATION {"citationID":"Jb8CbN9B","properties":{"unsorted":false,"formattedCitation":"[113]","plainCitation":"[113]","noteIndex":0},"citationItems":[{"id":2078,"uris":["http://zotero.org/users/9870935/items/UAQIETIN"],"itemData":{"id":2078,"type":"article-journal","abstract":"Large-scale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3725EC">
        <w:fldChar w:fldCharType="separate"/>
      </w:r>
      <w:r w:rsidR="003725EC" w:rsidRPr="003725EC">
        <w:t>[113]</w:t>
      </w:r>
      <w:r w:rsidR="003725EC">
        <w:fldChar w:fldCharType="end"/>
      </w:r>
      <w:r w:rsidRPr="00E842C0">
        <w:t xml:space="preserve">, </w:t>
      </w:r>
      <w:r w:rsidR="00E842C0">
        <w:fldChar w:fldCharType="begin"/>
      </w:r>
      <w:r w:rsidR="003725EC">
        <w:instrText xml:space="preserve"> ADDIN ZOTERO_ITEM CSL_CITATION {"citationID":"YimAljSz","properties":{"unsorted":false,"formattedCitation":"[121]","plainCitation":"[121]","noteIndex":0},"citationItems":[{"id":2110,"uris":["http://zotero.org/users/9870935/items/WXV5HE5P"],"itemData":{"id":2110,"type":"book","abstract":"This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E842C0">
        <w:fldChar w:fldCharType="separate"/>
      </w:r>
      <w:r w:rsidR="00E842C0" w:rsidRPr="00E842C0">
        <w:t>[121]</w:t>
      </w:r>
      <w:r w:rsidR="00E842C0">
        <w:fldChar w:fldCharType="end"/>
      </w:r>
      <w:r w:rsidRPr="00E842C0">
        <w:t>.</w:t>
      </w:r>
    </w:p>
    <w:p w14:paraId="5880395E" w14:textId="5A93C7B1" w:rsidR="00FE013C" w:rsidRPr="00F914E9" w:rsidRDefault="00FE013C" w:rsidP="004C16FF">
      <w:pPr>
        <w:pStyle w:val="Heading20"/>
        <w:jc w:val="both"/>
        <w:rPr>
          <w:color w:val="auto"/>
        </w:rPr>
      </w:pPr>
      <w:r w:rsidRPr="00EB1FF0">
        <w:rPr>
          <w:color w:val="auto"/>
        </w:rPr>
        <w:lastRenderedPageBreak/>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4A25A237" w14:textId="56EAADD7" w:rsidR="00FE013C" w:rsidRPr="00CF3F57" w:rsidRDefault="00CF3F57" w:rsidP="00E842C0">
      <w:pPr>
        <w:spacing w:after="120"/>
        <w:ind w:firstLine="480"/>
        <w:rPr>
          <w:highlight w:val="yellow"/>
        </w:rPr>
      </w:pPr>
      <w:r w:rsidRPr="00CF3F57">
        <w:rPr>
          <w:highlight w:val="yellow"/>
        </w:rPr>
        <w:t>AI workload scheduling represents one of the most important demand-side flexibility mechanisms available in renewable-powered AI data centers</w:t>
      </w:r>
      <w:r w:rsidR="00FE013C" w:rsidRPr="00CF3F57">
        <w:rPr>
          <w:highlight w:val="yellow"/>
        </w:rPr>
        <w:t xml:space="preserve">. </w:t>
      </w:r>
      <w:r w:rsidR="00A5344E" w:rsidRPr="00CF3F57">
        <w:rPr>
          <w:highlight w:val="yellow"/>
        </w:rPr>
        <w:t>Training workloads are often considered among the most flexible data-center loads because many training processes can be checkpointed and resumed. However, the degree of achievable flexibility depends on model-development schedules, GPU-resource utilization targets, contractual commitments, service-level agreements, and business priorities. Consequently, not all training workloads can be deferred without operational consequences</w:t>
      </w:r>
      <w:r w:rsidR="00FE013C" w:rsidRPr="00CF3F57">
        <w:rPr>
          <w:highlight w:val="yellow"/>
        </w:rPr>
        <w:fldChar w:fldCharType="begin"/>
      </w:r>
      <w:r w:rsidR="00E842C0">
        <w:rPr>
          <w:highlight w:val="yellow"/>
        </w:rPr>
        <w:instrText xml:space="preserve"> ADDIN ZOTERO_ITEM CSL_CITATION {"citationID":"PsWoDqZ3","properties":{"unsorted":false,"formattedCitation":"[164]","plainCitation":"[164]","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rsidR="00FE013C" w:rsidRPr="00CF3F57">
        <w:rPr>
          <w:highlight w:val="yellow"/>
        </w:rPr>
        <w:fldChar w:fldCharType="separate"/>
      </w:r>
      <w:r w:rsidR="00E842C0" w:rsidRPr="00E842C0">
        <w:rPr>
          <w:highlight w:val="yellow"/>
        </w:rPr>
        <w:t>[164]</w:t>
      </w:r>
      <w:r w:rsidR="00FE013C" w:rsidRPr="00CF3F57">
        <w:rPr>
          <w:highlight w:val="yellow"/>
        </w:rPr>
        <w:fldChar w:fldCharType="end"/>
      </w:r>
      <w:r w:rsidR="00FE013C" w:rsidRPr="00CF3F57">
        <w:rPr>
          <w:highlight w:val="yellow"/>
        </w:rPr>
        <w:t>.</w:t>
      </w:r>
      <w:r w:rsidR="00FE013C" w:rsidRPr="00F914E9">
        <w:t xml:space="preserve"> </w:t>
      </w:r>
    </w:p>
    <w:p w14:paraId="20CCF45F" w14:textId="7985AA7D" w:rsidR="00FE013C" w:rsidRPr="00AE36CD" w:rsidRDefault="00FE013C" w:rsidP="004C16FF">
      <w:pPr>
        <w:spacing w:after="120"/>
        <w:ind w:firstLine="480"/>
      </w:pPr>
      <w:r w:rsidRPr="00AE36CD">
        <w:t xml:space="preserve">Latency requirements make the scheduling challenge for inference workloads more complicated. The interaction with users depends on sub-100ms response times and must not be postponed, as in real-time inference, the user will be waiting for a response to the action. Batch inference (including image processing, document processing, or model scoring) can be flexed for minutes to hours and is suitable for load shifting. </w:t>
      </w:r>
      <w:r w:rsidRPr="00120E08">
        <w:t xml:space="preserve">A tiered scheduling approach — </w:t>
      </w:r>
      <w:r w:rsidR="00030122" w:rsidRPr="00120E08">
        <w:t>prioritizing</w:t>
      </w:r>
      <w:r w:rsidRPr="00120E08">
        <w:t xml:space="preserve"> real-time inference, then batch inference, then training workloads, then background tasks — provides a systematic method for allocating limited renewable energy across competing compute demands</w:t>
      </w:r>
      <w:r w:rsidRPr="00AE36CD">
        <w:t>.</w:t>
      </w:r>
    </w:p>
    <w:p w14:paraId="71C79290" w14:textId="77796BB1" w:rsidR="00FE013C" w:rsidRPr="00AE36CD" w:rsidRDefault="00FE013C" w:rsidP="004C16FF">
      <w:pPr>
        <w:spacing w:after="120"/>
        <w:ind w:firstLine="480"/>
      </w:pPr>
      <w:r w:rsidRPr="00AE36CD">
        <w:t xml:space="preserve">The EMS maintains a renewable availability API that provides </w:t>
      </w:r>
      <w:r w:rsidR="00030122" w:rsidRPr="00AE36CD">
        <w:t>24–48-hour</w:t>
      </w:r>
      <w:r w:rsidRPr="00AE36CD">
        <w:t xml:space="preserve"> forecasts that indicate the portion of the workload that can be achieved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w:t>
      </w:r>
      <w:r w:rsidR="00030122" w:rsidRPr="00AE36CD">
        <w:t>optimize</w:t>
      </w:r>
      <w:r w:rsidRPr="00AE36CD">
        <w:t xml:space="preserve"> energy efficiency and align with renewable energy resources.</w:t>
      </w:r>
    </w:p>
    <w:p w14:paraId="104E850B" w14:textId="77777777" w:rsidR="00FE013C" w:rsidRPr="00E75DCC" w:rsidRDefault="00FE013C" w:rsidP="004C16FF">
      <w:pPr>
        <w:pStyle w:val="Heading20"/>
        <w:jc w:val="both"/>
        <w:rPr>
          <w:color w:val="auto"/>
        </w:rPr>
      </w:pPr>
      <w:bookmarkStart w:id="28" w:name="_Toc100078"/>
      <w:r w:rsidRPr="00E75DCC">
        <w:rPr>
          <w:color w:val="auto"/>
        </w:rPr>
        <w:t>11.3 Multi-Facility Load Balancing and Geographic Diversity</w:t>
      </w:r>
      <w:bookmarkEnd w:id="28"/>
    </w:p>
    <w:p w14:paraId="51E7AA66" w14:textId="3E44B9C9" w:rsidR="007D29E8" w:rsidRPr="007D29E8" w:rsidRDefault="007D29E8" w:rsidP="00A95675">
      <w:pPr>
        <w:spacing w:after="120"/>
        <w:ind w:firstLine="480"/>
        <w:rPr>
          <w:highlight w:val="yellow"/>
        </w:rPr>
      </w:pPr>
      <w:r w:rsidRPr="007D29E8">
        <w:rPr>
          <w:highlight w:val="yellow"/>
        </w:rPr>
        <w:t>Multi-facility load balancing may exploit differences in renewable-resource availability across geographically distributed data centers. Geographic diversification can reduce aggregate renewable-generation variability when renewable-production profiles are weakly correlated; however, the magnitude of the benefit depends on geographic separation, weather systems, transmission availability, workload portability, network latency, and temporal resolution. Consequently, any reduction in storage requirements or renewable-generation variability must be quantified through geographically resolved chronological analysis rather than assumed from a universal percentage</w:t>
      </w:r>
      <w:r>
        <w:rPr>
          <w:highlight w:val="yellow"/>
        </w:rPr>
        <w:fldChar w:fldCharType="begin"/>
      </w:r>
      <w:r w:rsidR="00A95675">
        <w:rPr>
          <w:highlight w:val="yellow"/>
        </w:rPr>
        <w:instrText xml:space="preserve"> ADDIN ZOTERO_ITEM CSL_CITATION {"citationID":"knd2GV6A","properties":{"unsorted":false,"formattedCitation":"[20],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Pr>
          <w:highlight w:val="yellow"/>
        </w:rPr>
        <w:fldChar w:fldCharType="separate"/>
      </w:r>
      <w:r w:rsidR="00A95675" w:rsidRPr="00A95675">
        <w:rPr>
          <w:highlight w:val="yellow"/>
        </w:rPr>
        <w:t>[20], [104], [105]</w:t>
      </w:r>
      <w:r>
        <w:rPr>
          <w:highlight w:val="yellow"/>
        </w:rPr>
        <w:fldChar w:fldCharType="end"/>
      </w:r>
    </w:p>
    <w:p w14:paraId="4ECB9782" w14:textId="4F43046F" w:rsidR="007D29E8" w:rsidRPr="007D29E8" w:rsidRDefault="007D29E8" w:rsidP="007D29E8">
      <w:pPr>
        <w:spacing w:after="120"/>
        <w:ind w:firstLine="480"/>
        <w:rPr>
          <w:highlight w:val="yellow"/>
        </w:rPr>
      </w:pPr>
      <w:r w:rsidRPr="007D29E8">
        <w:rPr>
          <w:highlight w:val="yellow"/>
        </w:rPr>
        <w:t>A practical application of this concept involves operators with facilities located in different climatic regions and electricity markets. Differences in weather conditions, renewable-resource availability, electricity prices, and time zones may create opportunities to schedule eligible workloads at locations with more favorable operating conditions. However, the effectiveness of such strategies depends on the operational characteristics of the workload and the ability to transfer computational tasks among facilities without violating technical or commercial constraints.</w:t>
      </w:r>
    </w:p>
    <w:p w14:paraId="1AC60B10" w14:textId="465BEA94" w:rsidR="007D29E8" w:rsidRPr="007D29E8" w:rsidRDefault="007D29E8" w:rsidP="007D29E8">
      <w:pPr>
        <w:spacing w:after="120"/>
        <w:ind w:firstLine="480"/>
        <w:rPr>
          <w:highlight w:val="yellow"/>
        </w:rPr>
      </w:pPr>
      <w:r w:rsidRPr="007D29E8">
        <w:rPr>
          <w:highlight w:val="yellow"/>
        </w:rPr>
        <w:t>Technical constraints on multi-facility workload balancing include network latency, which may limit the geographic relocation of latency-sensitive applications, data-residency requirements that mandate processing within specific jurisdictions, inter-facility communication bandwidth, cybersecurity requirements, and the cost of transferring large datasets between regions. Consequently, not all workloads are suitable for geographic distribution.</w:t>
      </w:r>
    </w:p>
    <w:p w14:paraId="5B19B28C" w14:textId="0D2CE5A4" w:rsidR="007D29E8" w:rsidRPr="007D29E8" w:rsidRDefault="007D29E8" w:rsidP="007D29E8">
      <w:pPr>
        <w:spacing w:after="120"/>
        <w:ind w:firstLine="480"/>
        <w:rPr>
          <w:highlight w:val="yellow"/>
        </w:rPr>
      </w:pPr>
      <w:r w:rsidRPr="007D29E8">
        <w:rPr>
          <w:highlight w:val="yellow"/>
        </w:rPr>
        <w:lastRenderedPageBreak/>
        <w:t>Workloads most compatible with geographic balancing typically include model-training tasks, batch-processing applications, selected analytics workloads, and other computational processes that can tolerate delayed execution or limited geographic relocation. In contrast, real-time inference services and latency-sensitive applications generally require local execution and are therefore less suitable for large-scale geographic shifting. Successful implementation of multi-facility balancing strategies requires coordination among workload schedulers, renewable-generation forecasts, electricity-market signals, network availability, and service-level agreement requirements.</w:t>
      </w:r>
    </w:p>
    <w:p w14:paraId="0A1CD979" w14:textId="0029DF04" w:rsidR="007D29E8" w:rsidRPr="007D29E8" w:rsidRDefault="00FE013C" w:rsidP="007D29E8">
      <w:pPr>
        <w:pStyle w:val="Heading20"/>
        <w:jc w:val="both"/>
        <w:rPr>
          <w:color w:val="auto"/>
        </w:rPr>
      </w:pPr>
      <w:r w:rsidRPr="00E75DCC">
        <w:rPr>
          <w:color w:val="auto"/>
        </w:rPr>
        <w:t>11.</w:t>
      </w:r>
      <w:r>
        <w:rPr>
          <w:color w:val="auto"/>
        </w:rPr>
        <w:t>4</w:t>
      </w:r>
      <w:r w:rsidRPr="00E75DCC">
        <w:rPr>
          <w:color w:val="auto"/>
        </w:rPr>
        <w:t xml:space="preserve"> </w:t>
      </w:r>
      <w:r w:rsidRPr="00C33AC1">
        <w:rPr>
          <w:color w:val="auto"/>
        </w:rPr>
        <w:t>Real-Time Demand Response and Grid Services</w:t>
      </w:r>
    </w:p>
    <w:p w14:paraId="2BCA6182" w14:textId="0895F724" w:rsidR="007D29E8" w:rsidRPr="007D29E8" w:rsidRDefault="007D29E8" w:rsidP="00E842C0">
      <w:pPr>
        <w:spacing w:after="120"/>
        <w:ind w:firstLine="480"/>
        <w:rPr>
          <w:highlight w:val="yellow"/>
        </w:rPr>
      </w:pPr>
      <w:r w:rsidRPr="007D29E8">
        <w:rPr>
          <w:highlight w:val="yellow"/>
        </w:rPr>
        <w:t>Data-center battery systems and flexible computing loads can participate in demand-response and ancillary-service programs where electricity-market rules permit. These services can support grid reliability while potentially creating additional value streams for facility operators. One important application is primary frequency response (PFR), in which battery-storage systems or controllable loads automatically adjust power consumption or injection within seconds following a frequency disturbance. Fast-response resources are increasingly important in power systems with high penetrations of inverter-based renewable generation because they can help compensate for declining synchronous inertia and support system stability</w:t>
      </w:r>
      <w:r>
        <w:rPr>
          <w:highlight w:val="yellow"/>
        </w:rPr>
        <w:fldChar w:fldCharType="begin"/>
      </w:r>
      <w:r w:rsidR="00E842C0">
        <w:rPr>
          <w:highlight w:val="yellow"/>
        </w:rPr>
        <w:instrText xml:space="preserve"> ADDIN ZOTERO_ITEM CSL_CITATION {"citationID":"EjzMVRkt","properties":{"unsorted":false,"formattedCitation":"[114], [165]","plainCitation":"[114], [165]","noteIndex":0},"citationItems":[{"id":2215,"uris":["http://zotero.org/users/9870935/items/6KYBNJ5X"],"itemData":{"id":2215,"type":"article-journal","abstract":"Abstract\n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rPr>
          <w:highlight w:val="yellow"/>
        </w:rPr>
        <w:fldChar w:fldCharType="separate"/>
      </w:r>
      <w:r w:rsidR="00E842C0" w:rsidRPr="00E842C0">
        <w:rPr>
          <w:highlight w:val="yellow"/>
        </w:rPr>
        <w:t>[114], [165]</w:t>
      </w:r>
      <w:r>
        <w:rPr>
          <w:highlight w:val="yellow"/>
        </w:rPr>
        <w:fldChar w:fldCharType="end"/>
      </w:r>
      <w:r w:rsidRPr="007D29E8">
        <w:rPr>
          <w:highlight w:val="yellow"/>
        </w:rPr>
        <w:t>.</w:t>
      </w:r>
    </w:p>
    <w:p w14:paraId="6A5765B8" w14:textId="49093CC1" w:rsidR="007D29E8" w:rsidRPr="007D29E8" w:rsidRDefault="007D29E8" w:rsidP="001D1223">
      <w:pPr>
        <w:spacing w:after="120"/>
        <w:ind w:firstLine="480"/>
        <w:rPr>
          <w:highlight w:val="yellow"/>
        </w:rPr>
      </w:pPr>
      <w:r w:rsidRPr="007D29E8">
        <w:rPr>
          <w:highlight w:val="yellow"/>
        </w:rPr>
        <w:t>Advanced battery energy storage systems can also provide reserve services, demand-response participation, ramp-rate support, and other balancing functions depending on local market requirements and technical capabilities. Similarly, AI-enabled workload management can act as a flexible demand-side resource by adjusting selected computational workloads in response to grid conditions, electricity prices, or renewable-energy availability</w:t>
      </w:r>
      <w:r>
        <w:rPr>
          <w:highlight w:val="yellow"/>
        </w:rPr>
        <w:fldChar w:fldCharType="begin"/>
      </w:r>
      <w:r w:rsidR="001D1223">
        <w:rPr>
          <w:highlight w:val="yellow"/>
        </w:rPr>
        <w:instrText xml:space="preserve"> ADDIN ZOTERO_ITEM CSL_CITATION {"citationID":"1kyVFO1r","properties":{"unsorted":false,"formattedCitation":"[60],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001D1223" w:rsidRPr="001D1223">
        <w:rPr>
          <w:highlight w:val="yellow"/>
        </w:rPr>
        <w:t>[60], [114]</w:t>
      </w:r>
      <w:r>
        <w:rPr>
          <w:highlight w:val="yellow"/>
        </w:rPr>
        <w:fldChar w:fldCharType="end"/>
      </w:r>
      <w:r w:rsidRPr="007D29E8">
        <w:rPr>
          <w:highlight w:val="yellow"/>
        </w:rPr>
        <w:t>.</w:t>
      </w:r>
    </w:p>
    <w:p w14:paraId="5CAAFF17" w14:textId="4612A6FC" w:rsidR="007D29E8" w:rsidRPr="007D29E8" w:rsidRDefault="007D29E8" w:rsidP="00E842C0">
      <w:pPr>
        <w:spacing w:after="120"/>
        <w:ind w:firstLine="480"/>
        <w:rPr>
          <w:highlight w:val="yellow"/>
        </w:rPr>
      </w:pPr>
      <w:r w:rsidRPr="007D29E8">
        <w:rPr>
          <w:highlight w:val="yellow"/>
        </w:rPr>
        <w:t>Voltage-support services represent another potential grid-service application. Grid-forming and voltage-source-control (VSC) inverters can provide reactive-power support and voltage regulation without necessarily affecting active-power production, thereby contributing to power-quality management and local grid stability</w:t>
      </w:r>
      <w:r>
        <w:rPr>
          <w:highlight w:val="yellow"/>
        </w:rPr>
        <w:fldChar w:fldCharType="begin"/>
      </w:r>
      <w:r w:rsidR="00E842C0">
        <w:rPr>
          <w:highlight w:val="yellow"/>
        </w:rPr>
        <w:instrText xml:space="preserve"> ADDIN ZOTERO_ITEM CSL_CITATION {"citationID":"7fApsYgC","properties":{"unsorted":false,"formattedCitation":"[18], [151]","plainCitation":"[18], [151]","noteIndex":0},"citationItems":[{"id":1927,"uris":["http://zotero.org/users/9870935/items/PZK7R79L"],"itemData":{"id":1927,"type":"article-journal","abstract":"The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Pr>
          <w:highlight w:val="yellow"/>
        </w:rPr>
        <w:fldChar w:fldCharType="separate"/>
      </w:r>
      <w:r w:rsidR="00E842C0" w:rsidRPr="00E842C0">
        <w:rPr>
          <w:highlight w:val="yellow"/>
        </w:rPr>
        <w:t>[18], [151]</w:t>
      </w:r>
      <w:r>
        <w:rPr>
          <w:highlight w:val="yellow"/>
        </w:rPr>
        <w:fldChar w:fldCharType="end"/>
      </w:r>
      <w:r w:rsidRPr="007D29E8">
        <w:rPr>
          <w:highlight w:val="yellow"/>
        </w:rPr>
        <w:t>. The ability of renewable-generation and storage systems to supply reactive power can be particularly valuable in weak-grid environments where voltage support and dynamic system-strength services are required.</w:t>
      </w:r>
    </w:p>
    <w:p w14:paraId="557A034A" w14:textId="72DB6B3D" w:rsidR="007D29E8" w:rsidRPr="007D29E8" w:rsidRDefault="007D29E8" w:rsidP="001D1223">
      <w:pPr>
        <w:spacing w:after="120"/>
        <w:ind w:firstLine="480"/>
      </w:pPr>
      <w:r w:rsidRPr="007D29E8">
        <w:rPr>
          <w:highlight w:val="yellow"/>
        </w:rPr>
        <w:t>Although ancillary-service participation may provide additional economic value, the achievable revenues depend on market structure, qualification requirements, performance obligations, resource availability, battery degradation costs, and locational factors. Consequently, project-specific market analysis is required before assigning economic value to frequency-response, voltage-support, reserve, or demand-response services. Generalized revenue estimates should not be assumed because ancillary-service prices and participation rules vary significantly among electricity markets</w:t>
      </w:r>
      <w:r>
        <w:rPr>
          <w:highlight w:val="yellow"/>
        </w:rPr>
        <w:fldChar w:fldCharType="begin"/>
      </w:r>
      <w:r w:rsidR="001D1223">
        <w:rPr>
          <w:highlight w:val="yellow"/>
        </w:rPr>
        <w:instrText xml:space="preserve"> ADDIN ZOTERO_ITEM CSL_CITATION {"citationID":"uVx1lzOH","properties":{"unsorted":false,"formattedCitation":"[60],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001D1223" w:rsidRPr="001D1223">
        <w:rPr>
          <w:highlight w:val="yellow"/>
        </w:rPr>
        <w:t>[60], [114]</w:t>
      </w:r>
      <w:r>
        <w:rPr>
          <w:highlight w:val="yellow"/>
        </w:rPr>
        <w:fldChar w:fldCharType="end"/>
      </w:r>
      <w:r w:rsidRPr="007D29E8">
        <w:rPr>
          <w:highlight w:val="yellow"/>
        </w:rPr>
        <w:t>.</w:t>
      </w:r>
    </w:p>
    <w:p w14:paraId="7FB6D186" w14:textId="1BE258EB" w:rsidR="00FE013C" w:rsidRPr="00C34C89" w:rsidRDefault="00FE013C" w:rsidP="004C16FF">
      <w:pPr>
        <w:pStyle w:val="Heading20"/>
        <w:jc w:val="both"/>
        <w:rPr>
          <w:color w:val="auto"/>
        </w:rPr>
      </w:pPr>
      <w:r w:rsidRPr="00E75DCC">
        <w:rPr>
          <w:color w:val="auto"/>
        </w:rPr>
        <w:t>11.</w:t>
      </w:r>
      <w:r>
        <w:rPr>
          <w:color w:val="auto"/>
        </w:rPr>
        <w:t>5</w:t>
      </w:r>
      <w:r w:rsidRPr="00E75DCC">
        <w:rPr>
          <w:color w:val="auto"/>
        </w:rPr>
        <w:t xml:space="preserve"> </w:t>
      </w:r>
      <w:r>
        <w:t>Energy Management System and Control Architecture</w:t>
      </w:r>
    </w:p>
    <w:p w14:paraId="23910089" w14:textId="1B2E1C52" w:rsidR="00FE013C" w:rsidRDefault="009D4BBD" w:rsidP="00E842C0">
      <w:pPr>
        <w:spacing w:after="120"/>
        <w:ind w:firstLine="480"/>
      </w:pPr>
      <w:r w:rsidRPr="009D4BBD">
        <w:t xml:space="preserve">In a renewable-powered data-center microgrid, the EMS can be represented through </w:t>
      </w:r>
      <w:r w:rsidR="00FE013C" w:rsidRPr="00C34C89">
        <w:t xml:space="preserve">a hierarchical control system architecture with three timescales and varying control objectives. Level 1 (device-level) reacts to changes in frequency and voltage in milliseconds to deliver the primary frequency response and voltage regulation via the inverter/battery controller. With 24-to-48-hour horizons and model predictive control, Level 2 (facility-level) implements dispatch </w:t>
      </w:r>
      <w:r w:rsidR="008F5C4B" w:rsidRPr="00C34C89">
        <w:t>optimization</w:t>
      </w:r>
      <w:r w:rsidR="00FE013C" w:rsidRPr="00C34C89">
        <w:t xml:space="preserve"> hours, achieving a balance of </w:t>
      </w:r>
      <w:r w:rsidR="008F5C4B" w:rsidRPr="00C34C89">
        <w:t>minimizing</w:t>
      </w:r>
      <w:r w:rsidR="00FE013C" w:rsidRPr="00C34C89">
        <w:t xml:space="preserve"> energy cost/and or carbon emissions while maintaining reliability targets. Level 3 </w:t>
      </w:r>
      <w:r w:rsidR="00FE013C" w:rsidRPr="00C34C89">
        <w:lastRenderedPageBreak/>
        <w:t xml:space="preserve">(corporate level) is responsible for the allocation of resources across multiple facilities, routing workloads to facilities whose renewable conditions are most </w:t>
      </w:r>
      <w:r w:rsidR="008F5C4B" w:rsidRPr="00C34C89">
        <w:t>favorable and</w:t>
      </w:r>
      <w:r w:rsidR="00FE013C" w:rsidRPr="00C34C89">
        <w:t xml:space="preserve"> coordinating inter-facility energy exchanges.</w:t>
      </w:r>
      <w:r w:rsidR="00FE013C">
        <w:t xml:space="preserve"> </w:t>
      </w:r>
      <w:r w:rsidR="00FE013C" w:rsidRPr="00C34C89">
        <w:t xml:space="preserve">The EMS's capabilities encompass forecasting, </w:t>
      </w:r>
      <w:r w:rsidR="008F5C4B" w:rsidRPr="00C34C89">
        <w:t>optimization</w:t>
      </w:r>
      <w:r w:rsidR="00FE013C" w:rsidRPr="00C34C89">
        <w:t xml:space="preserve">, monitoring, and cyber security. Forecast modules include solar, wind, and load forecasts over a range of time scales. </w:t>
      </w:r>
      <w:r w:rsidR="008F5C4B" w:rsidRPr="00C34C89">
        <w:t>Optimization</w:t>
      </w:r>
      <w:r w:rsidR="00FE013C" w:rsidRPr="00C34C89">
        <w:t xml:space="preserve"> modules formulate and solve the dispatch problem as a mixed-integer linear program (MILP) or use heuristic algorithms for real-time decision-making. Data collection modules gather information from metering points around the site and deliver dashboards, trending, alarms, and automated reporting</w:t>
      </w:r>
      <w:r w:rsidR="00FE013C">
        <w:fldChar w:fldCharType="begin"/>
      </w:r>
      <w:r w:rsidR="00E842C0">
        <w:instrText xml:space="preserve"> ADDIN ZOTERO_ITEM CSL_CITATION {"citationID":"HnuRFse8","properties":{"unsorted":false,"formattedCitation":"[166]","plainCitation":"[166]","noteIndex":0},"citationItems":[{"id":2122,"uris":["http://zotero.org/users/9870935/items/JQYYBKN7"],"itemData":{"id":2122,"type":"article-journal","abstract":"As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rsidR="00FE013C">
        <w:fldChar w:fldCharType="separate"/>
      </w:r>
      <w:r w:rsidR="00E842C0" w:rsidRPr="00E842C0">
        <w:t>[166]</w:t>
      </w:r>
      <w:r w:rsidR="00FE013C">
        <w:fldChar w:fldCharType="end"/>
      </w:r>
      <w:r w:rsidR="00FE013C" w:rsidRPr="00C34C89">
        <w:t xml:space="preserve">. </w:t>
      </w:r>
    </w:p>
    <w:p w14:paraId="0CCE4F2E" w14:textId="77777777" w:rsidR="00FE013C" w:rsidRPr="00F56D3B" w:rsidRDefault="00FE013C" w:rsidP="004C16FF">
      <w:pPr>
        <w:pStyle w:val="Heading1"/>
        <w:keepNext/>
        <w:jc w:val="both"/>
        <w:rPr>
          <w:lang w:val="en-US"/>
        </w:rPr>
      </w:pPr>
      <w:r>
        <w:t>12. Regulatory, Policy, and Sustainability</w:t>
      </w:r>
    </w:p>
    <w:p w14:paraId="61C04F28" w14:textId="696E9B9E" w:rsidR="00FE013C" w:rsidRDefault="00FE013C" w:rsidP="004C16FF">
      <w:pPr>
        <w:spacing w:after="120"/>
        <w:ind w:firstLine="480"/>
      </w:pPr>
      <w:r>
        <w:t xml:space="preserve">This section examines the regulatory environment, policy frameworks, and sustainability standards that govern the design and operation of renewable-powered data </w:t>
      </w:r>
      <w:r w:rsidR="00580BAE">
        <w:t>center</w:t>
      </w:r>
      <w:r>
        <w:t>s. Effective navigation of this landscape is essential for project permitting, interconnection, and long-term compliance with evolving environmental requirements of the industry.</w:t>
      </w:r>
    </w:p>
    <w:p w14:paraId="29A99B42" w14:textId="77777777" w:rsidR="00FE013C" w:rsidRDefault="00FE013C" w:rsidP="004C16FF">
      <w:pPr>
        <w:pStyle w:val="Heading20"/>
        <w:jc w:val="both"/>
      </w:pPr>
      <w:r w:rsidRPr="00E75DCC">
        <w:rPr>
          <w:color w:val="auto"/>
        </w:rPr>
        <w:t>1</w:t>
      </w:r>
      <w:r>
        <w:rPr>
          <w:color w:val="auto"/>
        </w:rPr>
        <w:t>2.1</w:t>
      </w:r>
      <w:r w:rsidRPr="00E75DCC">
        <w:rPr>
          <w:color w:val="auto"/>
        </w:rPr>
        <w:t xml:space="preserve"> </w:t>
      </w:r>
      <w:r>
        <w:t>Grid Interconnection Standards</w:t>
      </w:r>
    </w:p>
    <w:p w14:paraId="6AB5F1C4" w14:textId="227EC457" w:rsidR="00FE013C" w:rsidRDefault="00961B9D" w:rsidP="00961B9D">
      <w:pPr>
        <w:spacing w:after="120"/>
        <w:ind w:firstLine="480"/>
      </w:pPr>
      <w:r w:rsidRPr="00961B9D">
        <w:rPr>
          <w:lang w:val="en-CA"/>
        </w:rPr>
        <w:t>Grid-interconnection standards define the technical and operational</w:t>
      </w:r>
      <w:r>
        <w:rPr>
          <w:lang w:val="en-CA"/>
        </w:rPr>
        <w:t xml:space="preserve"> </w:t>
      </w:r>
      <w:r w:rsidRPr="00961B9D">
        <w:rPr>
          <w:lang w:val="en-CA"/>
        </w:rPr>
        <w:t>requirements that generation, storage, and other inverter-based</w:t>
      </w:r>
      <w:r>
        <w:rPr>
          <w:lang w:val="en-CA"/>
        </w:rPr>
        <w:t xml:space="preserve"> </w:t>
      </w:r>
      <w:r w:rsidRPr="00961B9D">
        <w:rPr>
          <w:lang w:val="en-CA"/>
        </w:rPr>
        <w:t>resources must satisfy when connecting to an electric power system</w:t>
      </w:r>
      <w:r w:rsidR="00FE013C" w:rsidRPr="00BE55EA">
        <w:t xml:space="preserve">. </w:t>
      </w:r>
      <w:r w:rsidR="003D5BC3" w:rsidRPr="003D5BC3">
        <w:t>IEEE 1547 provides a principal technical framework for distribution-level DER interconnection in the United States</w:t>
      </w:r>
      <w:r w:rsidR="00FE013C" w:rsidRPr="00BE55EA">
        <w:t xml:space="preserve">. On the data </w:t>
      </w:r>
      <w:r w:rsidR="00580BAE">
        <w:t>center</w:t>
      </w:r>
      <w:r w:rsidR="00FE013C" w:rsidRPr="00BE55EA">
        <w:t xml:space="preserve"> scale, which typically involves medium-voltage or transmission-voltage installation with generation capacity ranging from 10 to 100 MW, the relevant standards that apply are IEEE 2800-2022 and Inverter-based resources (IBRs) </w:t>
      </w:r>
      <w:r w:rsidR="00FE013C">
        <w:fldChar w:fldCharType="begin"/>
      </w:r>
      <w:r w:rsidR="00E842C0">
        <w:instrText xml:space="preserve"> ADDIN ZOTERO_ITEM CSL_CITATION {"citationID":"PikiXW36","properties":{"unsorted":false,"formattedCitation":"[167]","plainCitation":"[167]","noteIndex":0},"citationItems":[{"id":2189,"uris":["http://zotero.org/users/9870935/items/U4Y7SALQ"],"itemData":{"id":2189,"type":"article-journal","abstract":"The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rsidR="00FE013C">
        <w:fldChar w:fldCharType="separate"/>
      </w:r>
      <w:r w:rsidR="00E842C0" w:rsidRPr="00E842C0">
        <w:t>[167]</w:t>
      </w:r>
      <w:r w:rsidR="00FE013C">
        <w:fldChar w:fldCharType="end"/>
      </w:r>
      <w:r w:rsidR="00FE013C" w:rsidRPr="00BE55EA">
        <w:t xml:space="preserve">. IBRs deployed in low-system-strength zones will soon become increasingly common in data </w:t>
      </w:r>
      <w:r w:rsidR="00580BAE">
        <w:t>center</w:t>
      </w:r>
      <w:r w:rsidR="00FE013C" w:rsidRPr="00BE55EA">
        <w:t>s, where the short circuit ratio (SCR) becomes an important measurement of grid stability to guarantee the stability of control</w:t>
      </w:r>
      <w:r w:rsidR="00FE013C">
        <w:fldChar w:fldCharType="begin"/>
      </w:r>
      <w:r w:rsidR="00E842C0">
        <w:instrText xml:space="preserve"> ADDIN ZOTERO_ITEM CSL_CITATION {"citationID":"XthWHI4E","properties":{"unsorted":false,"formattedCitation":"[135], [168]","plainCitation":"[135], [168]","noteIndex":0},"citationItems":[{"id":2097,"uris":["http://zotero.org/users/9870935/items/KGQXJHH9"],"itemData":{"id":2097,"type":"article-journal","container-title":"IEEE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rsidR="00FE013C">
        <w:fldChar w:fldCharType="separate"/>
      </w:r>
      <w:r w:rsidR="00E842C0" w:rsidRPr="00E842C0">
        <w:t>[135], [168]</w:t>
      </w:r>
      <w:r w:rsidR="00FE013C">
        <w:fldChar w:fldCharType="end"/>
      </w:r>
      <w:r w:rsidR="00FE013C" w:rsidRPr="00BE55EA">
        <w:t xml:space="preserve">. In today's interconnection studies, IBR fault ride-through and dynamic voltage support during transients are given significant attention. </w:t>
      </w:r>
      <w:r w:rsidR="00FE013C" w:rsidRPr="002458A7">
        <w:t xml:space="preserve">FERC Order 2023 (issued July 2023, with implementation ongoing through 2027) represented a major reform </w:t>
      </w:r>
      <w:r w:rsidR="00FE013C" w:rsidRPr="00493D72">
        <w:t xml:space="preserve">of transmission interconnection procedures by shifting to cluster studies and </w:t>
      </w:r>
      <w:r w:rsidR="00DB7639" w:rsidRPr="00493D72">
        <w:t>penalizing</w:t>
      </w:r>
      <w:r w:rsidR="00FE013C" w:rsidRPr="00493D72">
        <w:t xml:space="preserve"> study delays. However, its implementation across regional transmission operators (RTOs) remains an ongoing challenge; as of the end of 2025, over 2,060 GW of generation and storage capacity was actively stalled in interconnection queues</w:t>
      </w:r>
      <w:r w:rsidR="00FE013C">
        <w:fldChar w:fldCharType="begin"/>
      </w:r>
      <w:r w:rsidR="00E842C0">
        <w:instrText xml:space="preserve"> ADDIN ZOTERO_ITEM CSL_CITATION {"citationID":"Px6p0cAj","properties":{"unsorted":false,"formattedCitation":"[169]","plainCitation":"[169]","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rsidR="00FE013C">
        <w:fldChar w:fldCharType="separate"/>
      </w:r>
      <w:r w:rsidR="00E842C0" w:rsidRPr="00E842C0">
        <w:t>[169]</w:t>
      </w:r>
      <w:r w:rsidR="00FE013C">
        <w:fldChar w:fldCharType="end"/>
      </w:r>
      <w:r w:rsidR="00FE013C" w:rsidRPr="00493D72">
        <w:t>.</w:t>
      </w:r>
    </w:p>
    <w:p w14:paraId="6108CE48" w14:textId="77777777" w:rsidR="00FE013C" w:rsidRDefault="00FE013C" w:rsidP="004C16FF">
      <w:pPr>
        <w:pStyle w:val="Heading20"/>
        <w:jc w:val="both"/>
      </w:pPr>
      <w:r w:rsidRPr="00E75DCC">
        <w:rPr>
          <w:color w:val="auto"/>
        </w:rPr>
        <w:t>1</w:t>
      </w:r>
      <w:r>
        <w:rPr>
          <w:color w:val="auto"/>
        </w:rPr>
        <w:t>2.2</w:t>
      </w:r>
      <w:r w:rsidRPr="00E75DCC">
        <w:rPr>
          <w:color w:val="auto"/>
        </w:rPr>
        <w:t xml:space="preserve"> </w:t>
      </w:r>
      <w:r>
        <w:t>Renewable Energy Policies and Mandates</w:t>
      </w:r>
    </w:p>
    <w:p w14:paraId="29DE9772" w14:textId="42014D52" w:rsidR="00FE013C" w:rsidRPr="00EB3CAD" w:rsidRDefault="00FE013C" w:rsidP="00E842C0">
      <w:pPr>
        <w:spacing w:after="120"/>
        <w:ind w:firstLine="480"/>
      </w:pPr>
      <w:r w:rsidRPr="00EB3CAD">
        <w:t xml:space="preserve">Renewable Portfolio Standards (RPS) and Clean Energy Standards (CES) require utilities to buy a percentage of electricity from renewables. State-level calls for corporate renewable procurement persist in the United States. However, as AI workloads continue to </w:t>
      </w:r>
      <w:r w:rsidR="00A518B2">
        <w:t>increase rapidly</w:t>
      </w:r>
      <w:r w:rsidRPr="00EB3CAD">
        <w:t>, they have rapidly accelerated the shift in procurement moves, projecting up to 945 TWh yearly worldwide by 2030</w:t>
      </w:r>
      <w:r>
        <w:fldChar w:fldCharType="begin"/>
      </w:r>
      <w:r w:rsidR="00E842C0">
        <w:instrText xml:space="preserve"> ADDIN ZOTERO_ITEM CSL_CITATION {"citationID":"2uQLzaxM","properties":{"unsorted":false,"formattedCitation":"[170]","plainCitation":"[170]","noteIndex":0},"citationItems":[{"id":2191,"uris":["http://zotero.org/users/9870935/items/PGQT4HIW"],"itemData":{"id":2191,"type":"document","title":"ENVIRONMENTAL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00E842C0" w:rsidRPr="00E842C0">
        <w:t>[170]</w:t>
      </w:r>
      <w:r>
        <w:fldChar w:fldCharType="end"/>
      </w:r>
      <w:r w:rsidRPr="00EB3CAD">
        <w:t xml:space="preserve">. In response to this demand, leading data </w:t>
      </w:r>
      <w:r w:rsidR="00580BAE">
        <w:t>center</w:t>
      </w:r>
      <w:r w:rsidRPr="00EB3CAD">
        <w:t xml:space="preserve"> companies are turning to nuclear generation partnership arrangements alongside traditional wind and solar PPAs to obtain baseload zero-carbon electricity. The EU Renewable Energy Directive (RED III) lays out a legal 42.5</w:t>
      </w:r>
      <w:r>
        <w:t xml:space="preserve">% </w:t>
      </w:r>
      <w:r w:rsidRPr="00EB3CAD">
        <w:t xml:space="preserve">RE target in Europe until 2030. This legislation (reported requirements) is now </w:t>
      </w:r>
      <w:r w:rsidR="00F93957" w:rsidRPr="00F93957">
        <w:t xml:space="preserve">supports or influences </w:t>
      </w:r>
      <w:r w:rsidRPr="00EB3CAD">
        <w:t>for the creation of direct corporate PPAs and clean generation schemes</w:t>
      </w:r>
      <w:r>
        <w:fldChar w:fldCharType="begin"/>
      </w:r>
      <w:r w:rsidR="00E842C0">
        <w:instrText xml:space="preserve"> ADDIN ZOTERO_ITEM CSL_CITATION {"citationID":"ufdpjCHf","properties":{"unsorted":false,"formattedCitation":"[171]","plainCitation":"[171]","noteIndex":0},"citationItems":[{"id":2193,"uris":["http://zotero.org/users/9870935/items/VDQUTJZK"],"itemData":{"id":2193,"type":"document","title":"Powering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fldChar w:fldCharType="separate"/>
      </w:r>
      <w:r w:rsidR="00E842C0" w:rsidRPr="00E842C0">
        <w:t>[171]</w:t>
      </w:r>
      <w:r>
        <w:fldChar w:fldCharType="end"/>
      </w:r>
      <w:r w:rsidRPr="00EB3CAD">
        <w:t>.</w:t>
      </w:r>
    </w:p>
    <w:p w14:paraId="5B64AA7B" w14:textId="77777777" w:rsidR="00FE013C" w:rsidRDefault="00FE013C" w:rsidP="004C16FF">
      <w:pPr>
        <w:pStyle w:val="Heading20"/>
        <w:jc w:val="both"/>
      </w:pPr>
      <w:r w:rsidRPr="00E75DCC">
        <w:rPr>
          <w:color w:val="auto"/>
        </w:rPr>
        <w:lastRenderedPageBreak/>
        <w:t>1</w:t>
      </w:r>
      <w:r>
        <w:rPr>
          <w:color w:val="auto"/>
        </w:rPr>
        <w:t>2.3</w:t>
      </w:r>
      <w:r w:rsidRPr="00E75DCC">
        <w:rPr>
          <w:color w:val="auto"/>
        </w:rPr>
        <w:t xml:space="preserve"> </w:t>
      </w:r>
      <w:r>
        <w:t>Carbon Accounting and Environmental Reporting</w:t>
      </w:r>
    </w:p>
    <w:p w14:paraId="3FED281F" w14:textId="2D1DD04F" w:rsidR="00FE013C" w:rsidRDefault="00FE013C" w:rsidP="001D1223">
      <w:pPr>
        <w:spacing w:after="120"/>
        <w:ind w:firstLine="480"/>
      </w:pPr>
      <w:r w:rsidRPr="00AC40BA">
        <w:t xml:space="preserve">The standard framework for corporate carbon accounting is the Greenhouse Gas (GHG) Protocol. Scope 2 emissions include those arising from purchased electricity, using either location-based or market-based accounting methods. The transition to 24/7 carbon-free Energy (CFE) – pairing every hour of electricity usage with carbon-free electricity generation – </w:t>
      </w:r>
      <w:r w:rsidR="00FB75C9" w:rsidRPr="00FB75C9">
        <w:t xml:space="preserve">has emerged as an increasingly important objective </w:t>
      </w:r>
      <w:r w:rsidRPr="00AC40BA">
        <w:t xml:space="preserve">for data </w:t>
      </w:r>
      <w:r w:rsidR="00580BAE">
        <w:t>center</w:t>
      </w:r>
      <w:r w:rsidRPr="00AC40BA">
        <w:t xml:space="preserve"> sustainability. </w:t>
      </w:r>
      <w:r w:rsidRPr="00BD018A">
        <w:t>Implementing 24/7 CFE requires sub-hourly granular data, advanced forecasting, and stringent temporal and spatial carbon accounting frameworks to verify continuous clean energy alignment and prevent the double-counting of clean energy attributes</w:t>
      </w:r>
      <w:r>
        <w:fldChar w:fldCharType="begin"/>
      </w:r>
      <w:r w:rsidR="001D1223">
        <w:instrText xml:space="preserve"> ADDIN ZOTERO_ITEM CSL_CITATION {"citationID":"n6iDXFFL","properties":{"unsorted":false,"formattedCitation":"[64]","plainCitation":"[64]","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fldChar w:fldCharType="separate"/>
      </w:r>
      <w:r w:rsidR="001D1223" w:rsidRPr="001D1223">
        <w:t>[64]</w:t>
      </w:r>
      <w:r>
        <w:fldChar w:fldCharType="end"/>
      </w:r>
      <w:r w:rsidRPr="00AC40BA">
        <w:t>.</w:t>
      </w:r>
      <w:r w:rsidR="00490AAB">
        <w:t xml:space="preserve"> </w:t>
      </w:r>
      <w:r w:rsidR="00490AAB">
        <w:fldChar w:fldCharType="begin"/>
      </w:r>
      <w:r w:rsidR="00490AAB">
        <w:instrText xml:space="preserve"> REF _Ref239530982 \h </w:instrText>
      </w:r>
      <w:r w:rsidR="00490AAB">
        <w:fldChar w:fldCharType="separate"/>
      </w:r>
      <w:r w:rsidR="00490AAB">
        <w:t xml:space="preserve">Table </w:t>
      </w:r>
      <w:r w:rsidR="00490AAB">
        <w:rPr>
          <w:noProof/>
        </w:rPr>
        <w:t>10</w:t>
      </w:r>
      <w:r w:rsidR="00490AAB">
        <w:t xml:space="preserve"> </w:t>
      </w:r>
      <w:r w:rsidR="00490AAB" w:rsidRPr="003D249D">
        <w:t>Common Sustainability Metrics Used in Renewable-Powered AI Data Centers</w:t>
      </w:r>
      <w:r w:rsidR="00490AAB">
        <w:fldChar w:fldCharType="end"/>
      </w:r>
      <w:r w:rsidR="00490AAB">
        <w:t xml:space="preserve">, </w:t>
      </w:r>
      <w:r w:rsidR="00490AAB" w:rsidRPr="00490AAB">
        <w:t>summarizes the principal sustainability metrics used to evaluate the energy and environmental performance of AI data centers, including energy efficiency, carbon performance, water consumption, renewable-energy matching, and lifecycle indicators. These metrics represent different dimensions of sustainability and should therefore be interpreted collectively rather than as interchangeable measures of overall facility performance.</w:t>
      </w:r>
    </w:p>
    <w:p w14:paraId="74FFE71C" w14:textId="045E0A7C" w:rsidR="003A45CA" w:rsidRDefault="003A45CA" w:rsidP="003A45CA">
      <w:pPr>
        <w:pStyle w:val="Caption"/>
        <w:keepNext/>
      </w:pPr>
      <w:bookmarkStart w:id="29" w:name="_Ref239530982"/>
      <w:r>
        <w:t xml:space="preserve">Table </w:t>
      </w:r>
      <w:fldSimple w:instr=" SEQ Table \* ARABIC ">
        <w:r>
          <w:rPr>
            <w:noProof/>
          </w:rPr>
          <w:t>10</w:t>
        </w:r>
      </w:fldSimple>
      <w:r>
        <w:t xml:space="preserve"> </w:t>
      </w:r>
      <w:r w:rsidRPr="003D249D">
        <w:t>Common Sustainability Metrics Used in Renewable-Powered AI Data Centers</w:t>
      </w:r>
      <w:bookmarkEnd w:id="29"/>
    </w:p>
    <w:tbl>
      <w:tblPr>
        <w:tblStyle w:val="MDPI41threelinetable"/>
        <w:tblW w:w="0" w:type="auto"/>
        <w:tblLook w:val="04A0" w:firstRow="1" w:lastRow="0" w:firstColumn="1" w:lastColumn="0" w:noHBand="0" w:noVBand="1"/>
      </w:tblPr>
      <w:tblGrid>
        <w:gridCol w:w="1864"/>
        <w:gridCol w:w="3314"/>
        <w:gridCol w:w="1293"/>
        <w:gridCol w:w="1715"/>
        <w:gridCol w:w="1566"/>
      </w:tblGrid>
      <w:tr w:rsidR="00A2637A" w:rsidRPr="0021434E" w14:paraId="59C7E5F8" w14:textId="77777777" w:rsidTr="0021434E">
        <w:trPr>
          <w:cnfStyle w:val="100000000000" w:firstRow="1" w:lastRow="0" w:firstColumn="0" w:lastColumn="0" w:oddVBand="0" w:evenVBand="0" w:oddHBand="0" w:evenHBand="0" w:firstRowFirstColumn="0" w:firstRowLastColumn="0" w:lastRowFirstColumn="0" w:lastRowLastColumn="0"/>
        </w:trPr>
        <w:tc>
          <w:tcPr>
            <w:tcW w:w="0" w:type="auto"/>
            <w:hideMark/>
          </w:tcPr>
          <w:p w14:paraId="5E8D3A96" w14:textId="77777777" w:rsidR="00A2637A" w:rsidRPr="00F14236" w:rsidRDefault="00A2637A" w:rsidP="00F14236">
            <w:pPr>
              <w:spacing w:after="120"/>
              <w:rPr>
                <w:bCs/>
                <w:color w:val="000000" w:themeColor="text1"/>
                <w:sz w:val="18"/>
                <w:szCs w:val="18"/>
              </w:rPr>
            </w:pPr>
            <w:r w:rsidRPr="00F14236">
              <w:rPr>
                <w:bCs/>
                <w:color w:val="000000" w:themeColor="text1"/>
                <w:sz w:val="18"/>
                <w:szCs w:val="18"/>
              </w:rPr>
              <w:t>Metric</w:t>
            </w:r>
          </w:p>
        </w:tc>
        <w:tc>
          <w:tcPr>
            <w:tcW w:w="0" w:type="auto"/>
            <w:hideMark/>
          </w:tcPr>
          <w:p w14:paraId="6B0D7C0F" w14:textId="77777777" w:rsidR="00A2637A" w:rsidRPr="00F14236" w:rsidRDefault="00A2637A" w:rsidP="00F14236">
            <w:pPr>
              <w:spacing w:after="120"/>
              <w:rPr>
                <w:bCs/>
                <w:color w:val="000000" w:themeColor="text1"/>
                <w:sz w:val="18"/>
                <w:szCs w:val="18"/>
              </w:rPr>
            </w:pPr>
            <w:r w:rsidRPr="00F14236">
              <w:rPr>
                <w:bCs/>
                <w:color w:val="000000" w:themeColor="text1"/>
                <w:sz w:val="18"/>
                <w:szCs w:val="18"/>
              </w:rPr>
              <w:t>Definition</w:t>
            </w:r>
          </w:p>
        </w:tc>
        <w:tc>
          <w:tcPr>
            <w:tcW w:w="0" w:type="auto"/>
            <w:hideMark/>
          </w:tcPr>
          <w:p w14:paraId="7F5D370B" w14:textId="77777777" w:rsidR="00A2637A" w:rsidRPr="00F14236" w:rsidRDefault="00A2637A" w:rsidP="00F14236">
            <w:pPr>
              <w:spacing w:after="120"/>
              <w:rPr>
                <w:bCs/>
                <w:color w:val="000000" w:themeColor="text1"/>
                <w:sz w:val="18"/>
                <w:szCs w:val="18"/>
              </w:rPr>
            </w:pPr>
            <w:r w:rsidRPr="00F14236">
              <w:rPr>
                <w:bCs/>
                <w:color w:val="000000" w:themeColor="text1"/>
                <w:sz w:val="18"/>
                <w:szCs w:val="18"/>
              </w:rPr>
              <w:t>Units</w:t>
            </w:r>
          </w:p>
        </w:tc>
        <w:tc>
          <w:tcPr>
            <w:tcW w:w="0" w:type="auto"/>
            <w:hideMark/>
          </w:tcPr>
          <w:p w14:paraId="36159AE8" w14:textId="77777777" w:rsidR="00A2637A" w:rsidRPr="00F14236" w:rsidRDefault="00A2637A" w:rsidP="00F14236">
            <w:pPr>
              <w:spacing w:after="120"/>
              <w:rPr>
                <w:bCs/>
                <w:color w:val="000000" w:themeColor="text1"/>
                <w:sz w:val="18"/>
                <w:szCs w:val="18"/>
              </w:rPr>
            </w:pPr>
            <w:r w:rsidRPr="00F14236">
              <w:rPr>
                <w:bCs/>
                <w:color w:val="000000" w:themeColor="text1"/>
                <w:sz w:val="18"/>
                <w:szCs w:val="18"/>
              </w:rPr>
              <w:t>Primary Purpose</w:t>
            </w:r>
          </w:p>
        </w:tc>
        <w:tc>
          <w:tcPr>
            <w:tcW w:w="0" w:type="auto"/>
            <w:hideMark/>
          </w:tcPr>
          <w:p w14:paraId="75E47E22" w14:textId="77777777" w:rsidR="00A2637A" w:rsidRPr="00F14236" w:rsidRDefault="00A2637A" w:rsidP="00F14236">
            <w:pPr>
              <w:spacing w:after="120"/>
              <w:rPr>
                <w:bCs/>
                <w:color w:val="000000" w:themeColor="text1"/>
                <w:sz w:val="18"/>
                <w:szCs w:val="18"/>
              </w:rPr>
            </w:pPr>
            <w:r w:rsidRPr="00F14236">
              <w:rPr>
                <w:bCs/>
                <w:color w:val="000000" w:themeColor="text1"/>
                <w:sz w:val="18"/>
                <w:szCs w:val="18"/>
              </w:rPr>
              <w:t>Typical Boundary</w:t>
            </w:r>
          </w:p>
        </w:tc>
      </w:tr>
      <w:tr w:rsidR="00A2637A" w:rsidRPr="0021434E" w14:paraId="46C3F937" w14:textId="77777777" w:rsidTr="0021434E">
        <w:tc>
          <w:tcPr>
            <w:tcW w:w="0" w:type="auto"/>
            <w:hideMark/>
          </w:tcPr>
          <w:p w14:paraId="64CE529A" w14:textId="77777777" w:rsidR="00A2637A" w:rsidRPr="0021434E" w:rsidRDefault="00A2637A" w:rsidP="00F14236">
            <w:pPr>
              <w:spacing w:after="120"/>
              <w:rPr>
                <w:color w:val="000000" w:themeColor="text1"/>
                <w:sz w:val="18"/>
                <w:szCs w:val="18"/>
              </w:rPr>
            </w:pPr>
            <w:r w:rsidRPr="0021434E">
              <w:rPr>
                <w:color w:val="000000" w:themeColor="text1"/>
                <w:sz w:val="18"/>
                <w:szCs w:val="18"/>
              </w:rPr>
              <w:t>PUE (Power Usage Effectiveness)</w:t>
            </w:r>
          </w:p>
        </w:tc>
        <w:tc>
          <w:tcPr>
            <w:tcW w:w="0" w:type="auto"/>
            <w:hideMark/>
          </w:tcPr>
          <w:p w14:paraId="5A43D348" w14:textId="77777777" w:rsidR="00A2637A" w:rsidRPr="0021434E" w:rsidRDefault="00A2637A" w:rsidP="00F14236">
            <w:pPr>
              <w:spacing w:after="120"/>
              <w:rPr>
                <w:color w:val="000000" w:themeColor="text1"/>
                <w:sz w:val="18"/>
                <w:szCs w:val="18"/>
              </w:rPr>
            </w:pPr>
            <w:r w:rsidRPr="0021434E">
              <w:rPr>
                <w:color w:val="000000" w:themeColor="text1"/>
                <w:sz w:val="18"/>
                <w:szCs w:val="18"/>
              </w:rPr>
              <w:t>Ratio of total facility energy consumption to IT-equipment energy consumption</w:t>
            </w:r>
          </w:p>
        </w:tc>
        <w:tc>
          <w:tcPr>
            <w:tcW w:w="0" w:type="auto"/>
            <w:hideMark/>
          </w:tcPr>
          <w:p w14:paraId="770D5C3A" w14:textId="77777777" w:rsidR="00A2637A" w:rsidRPr="0021434E" w:rsidRDefault="00A2637A" w:rsidP="00F14236">
            <w:pPr>
              <w:spacing w:after="120"/>
              <w:rPr>
                <w:color w:val="000000" w:themeColor="text1"/>
                <w:sz w:val="18"/>
                <w:szCs w:val="18"/>
              </w:rPr>
            </w:pPr>
            <w:r w:rsidRPr="0021434E">
              <w:rPr>
                <w:color w:val="000000" w:themeColor="text1"/>
                <w:sz w:val="18"/>
                <w:szCs w:val="18"/>
              </w:rPr>
              <w:t>Dimensionless</w:t>
            </w:r>
          </w:p>
        </w:tc>
        <w:tc>
          <w:tcPr>
            <w:tcW w:w="0" w:type="auto"/>
            <w:hideMark/>
          </w:tcPr>
          <w:p w14:paraId="56980C90" w14:textId="77777777" w:rsidR="00A2637A" w:rsidRPr="0021434E" w:rsidRDefault="00A2637A" w:rsidP="00F14236">
            <w:pPr>
              <w:spacing w:after="120"/>
              <w:rPr>
                <w:color w:val="000000" w:themeColor="text1"/>
                <w:sz w:val="18"/>
                <w:szCs w:val="18"/>
              </w:rPr>
            </w:pPr>
            <w:r w:rsidRPr="0021434E">
              <w:rPr>
                <w:color w:val="000000" w:themeColor="text1"/>
                <w:sz w:val="18"/>
                <w:szCs w:val="18"/>
              </w:rPr>
              <w:t>Energy-efficiency assessment</w:t>
            </w:r>
          </w:p>
        </w:tc>
        <w:tc>
          <w:tcPr>
            <w:tcW w:w="0" w:type="auto"/>
            <w:hideMark/>
          </w:tcPr>
          <w:p w14:paraId="2226D4F1" w14:textId="77777777" w:rsidR="00A2637A" w:rsidRPr="0021434E" w:rsidRDefault="00A2637A" w:rsidP="00F14236">
            <w:pPr>
              <w:spacing w:after="120"/>
              <w:rPr>
                <w:color w:val="000000" w:themeColor="text1"/>
                <w:sz w:val="18"/>
                <w:szCs w:val="18"/>
              </w:rPr>
            </w:pPr>
            <w:r w:rsidRPr="0021434E">
              <w:rPr>
                <w:color w:val="000000" w:themeColor="text1"/>
                <w:sz w:val="18"/>
                <w:szCs w:val="18"/>
              </w:rPr>
              <w:t>Facility operation</w:t>
            </w:r>
          </w:p>
        </w:tc>
      </w:tr>
      <w:tr w:rsidR="00A2637A" w:rsidRPr="0021434E" w14:paraId="2AD2109C" w14:textId="77777777" w:rsidTr="0021434E">
        <w:tc>
          <w:tcPr>
            <w:tcW w:w="0" w:type="auto"/>
            <w:hideMark/>
          </w:tcPr>
          <w:p w14:paraId="673CA0C0" w14:textId="77777777" w:rsidR="00A2637A" w:rsidRPr="0021434E" w:rsidRDefault="00A2637A" w:rsidP="00F14236">
            <w:pPr>
              <w:spacing w:after="120"/>
              <w:rPr>
                <w:color w:val="000000" w:themeColor="text1"/>
                <w:sz w:val="18"/>
                <w:szCs w:val="18"/>
              </w:rPr>
            </w:pPr>
            <w:r w:rsidRPr="0021434E">
              <w:rPr>
                <w:color w:val="000000" w:themeColor="text1"/>
                <w:sz w:val="18"/>
                <w:szCs w:val="18"/>
              </w:rPr>
              <w:t>WUE (Water Usage Effectiveness)</w:t>
            </w:r>
          </w:p>
        </w:tc>
        <w:tc>
          <w:tcPr>
            <w:tcW w:w="0" w:type="auto"/>
            <w:hideMark/>
          </w:tcPr>
          <w:p w14:paraId="1BEFC390" w14:textId="77777777" w:rsidR="00A2637A" w:rsidRPr="0021434E" w:rsidRDefault="00A2637A" w:rsidP="00F14236">
            <w:pPr>
              <w:spacing w:after="120"/>
              <w:rPr>
                <w:color w:val="000000" w:themeColor="text1"/>
                <w:sz w:val="18"/>
                <w:szCs w:val="18"/>
              </w:rPr>
            </w:pPr>
            <w:r w:rsidRPr="0021434E">
              <w:rPr>
                <w:color w:val="000000" w:themeColor="text1"/>
                <w:sz w:val="18"/>
                <w:szCs w:val="18"/>
              </w:rPr>
              <w:t>Annual water consumption divided by IT-equipment energy consumption</w:t>
            </w:r>
          </w:p>
        </w:tc>
        <w:tc>
          <w:tcPr>
            <w:tcW w:w="0" w:type="auto"/>
            <w:hideMark/>
          </w:tcPr>
          <w:p w14:paraId="582E2EAC" w14:textId="77777777" w:rsidR="00A2637A" w:rsidRPr="0021434E" w:rsidRDefault="00A2637A" w:rsidP="00F14236">
            <w:pPr>
              <w:spacing w:after="120"/>
              <w:rPr>
                <w:color w:val="000000" w:themeColor="text1"/>
                <w:sz w:val="18"/>
                <w:szCs w:val="18"/>
              </w:rPr>
            </w:pPr>
            <w:r w:rsidRPr="0021434E">
              <w:rPr>
                <w:color w:val="000000" w:themeColor="text1"/>
                <w:sz w:val="18"/>
                <w:szCs w:val="18"/>
              </w:rPr>
              <w:t>L/kWhIT</w:t>
            </w:r>
          </w:p>
        </w:tc>
        <w:tc>
          <w:tcPr>
            <w:tcW w:w="0" w:type="auto"/>
            <w:hideMark/>
          </w:tcPr>
          <w:p w14:paraId="7EC161A2" w14:textId="77777777" w:rsidR="00A2637A" w:rsidRPr="0021434E" w:rsidRDefault="00A2637A" w:rsidP="00F14236">
            <w:pPr>
              <w:spacing w:after="120"/>
              <w:rPr>
                <w:color w:val="000000" w:themeColor="text1"/>
                <w:sz w:val="18"/>
                <w:szCs w:val="18"/>
              </w:rPr>
            </w:pPr>
            <w:r w:rsidRPr="0021434E">
              <w:rPr>
                <w:color w:val="000000" w:themeColor="text1"/>
                <w:sz w:val="18"/>
                <w:szCs w:val="18"/>
              </w:rPr>
              <w:t>Water-use assessment</w:t>
            </w:r>
          </w:p>
        </w:tc>
        <w:tc>
          <w:tcPr>
            <w:tcW w:w="0" w:type="auto"/>
            <w:hideMark/>
          </w:tcPr>
          <w:p w14:paraId="5BCB8C4B" w14:textId="77777777" w:rsidR="00A2637A" w:rsidRPr="0021434E" w:rsidRDefault="00A2637A" w:rsidP="00F14236">
            <w:pPr>
              <w:spacing w:after="120"/>
              <w:rPr>
                <w:color w:val="000000" w:themeColor="text1"/>
                <w:sz w:val="18"/>
                <w:szCs w:val="18"/>
              </w:rPr>
            </w:pPr>
            <w:r w:rsidRPr="0021434E">
              <w:rPr>
                <w:color w:val="000000" w:themeColor="text1"/>
                <w:sz w:val="18"/>
                <w:szCs w:val="18"/>
              </w:rPr>
              <w:t>Facility operation</w:t>
            </w:r>
          </w:p>
        </w:tc>
      </w:tr>
      <w:tr w:rsidR="00A2637A" w:rsidRPr="0021434E" w14:paraId="0CC03609" w14:textId="77777777" w:rsidTr="0021434E">
        <w:tc>
          <w:tcPr>
            <w:tcW w:w="0" w:type="auto"/>
            <w:hideMark/>
          </w:tcPr>
          <w:p w14:paraId="57D3F1B5" w14:textId="77777777" w:rsidR="00A2637A" w:rsidRPr="0021434E" w:rsidRDefault="00A2637A" w:rsidP="00F14236">
            <w:pPr>
              <w:spacing w:after="120"/>
              <w:rPr>
                <w:color w:val="000000" w:themeColor="text1"/>
                <w:sz w:val="18"/>
                <w:szCs w:val="18"/>
              </w:rPr>
            </w:pPr>
            <w:r w:rsidRPr="0021434E">
              <w:rPr>
                <w:color w:val="000000" w:themeColor="text1"/>
                <w:sz w:val="18"/>
                <w:szCs w:val="18"/>
              </w:rPr>
              <w:t>Operational Carbon Intensity (or CUE)</w:t>
            </w:r>
          </w:p>
        </w:tc>
        <w:tc>
          <w:tcPr>
            <w:tcW w:w="0" w:type="auto"/>
            <w:hideMark/>
          </w:tcPr>
          <w:p w14:paraId="78ECA011" w14:textId="77777777" w:rsidR="00A2637A" w:rsidRPr="0021434E" w:rsidRDefault="00A2637A" w:rsidP="00F14236">
            <w:pPr>
              <w:spacing w:after="120"/>
              <w:rPr>
                <w:color w:val="000000" w:themeColor="text1"/>
                <w:sz w:val="18"/>
                <w:szCs w:val="18"/>
              </w:rPr>
            </w:pPr>
            <w:r w:rsidRPr="0021434E">
              <w:rPr>
                <w:color w:val="000000" w:themeColor="text1"/>
                <w:sz w:val="18"/>
                <w:szCs w:val="18"/>
              </w:rPr>
              <w:t>Operational greenhouse-gas emissions relative to electricity consumption</w:t>
            </w:r>
          </w:p>
        </w:tc>
        <w:tc>
          <w:tcPr>
            <w:tcW w:w="0" w:type="auto"/>
            <w:hideMark/>
          </w:tcPr>
          <w:p w14:paraId="28C59AEC" w14:textId="77777777" w:rsidR="00A2637A" w:rsidRPr="0021434E" w:rsidRDefault="00A2637A" w:rsidP="00F14236">
            <w:pPr>
              <w:spacing w:after="120"/>
              <w:rPr>
                <w:color w:val="000000" w:themeColor="text1"/>
                <w:sz w:val="18"/>
                <w:szCs w:val="18"/>
              </w:rPr>
            </w:pPr>
            <w:r w:rsidRPr="0021434E">
              <w:rPr>
                <w:color w:val="000000" w:themeColor="text1"/>
                <w:sz w:val="18"/>
                <w:szCs w:val="18"/>
              </w:rPr>
              <w:t>kg CO₂e/kWh</w:t>
            </w:r>
          </w:p>
        </w:tc>
        <w:tc>
          <w:tcPr>
            <w:tcW w:w="0" w:type="auto"/>
            <w:hideMark/>
          </w:tcPr>
          <w:p w14:paraId="3FD51531" w14:textId="77777777" w:rsidR="00A2637A" w:rsidRPr="0021434E" w:rsidRDefault="00A2637A" w:rsidP="00F14236">
            <w:pPr>
              <w:spacing w:after="120"/>
              <w:rPr>
                <w:color w:val="000000" w:themeColor="text1"/>
                <w:sz w:val="18"/>
                <w:szCs w:val="18"/>
              </w:rPr>
            </w:pPr>
            <w:r w:rsidRPr="0021434E">
              <w:rPr>
                <w:color w:val="000000" w:themeColor="text1"/>
                <w:sz w:val="18"/>
                <w:szCs w:val="18"/>
              </w:rPr>
              <w:t>Carbon-performance assessment</w:t>
            </w:r>
          </w:p>
        </w:tc>
        <w:tc>
          <w:tcPr>
            <w:tcW w:w="0" w:type="auto"/>
            <w:hideMark/>
          </w:tcPr>
          <w:p w14:paraId="6C9AE140" w14:textId="77777777" w:rsidR="00A2637A" w:rsidRPr="0021434E" w:rsidRDefault="00A2637A" w:rsidP="00F14236">
            <w:pPr>
              <w:spacing w:after="120"/>
              <w:rPr>
                <w:color w:val="000000" w:themeColor="text1"/>
                <w:sz w:val="18"/>
                <w:szCs w:val="18"/>
              </w:rPr>
            </w:pPr>
            <w:r w:rsidRPr="0021434E">
              <w:rPr>
                <w:color w:val="000000" w:themeColor="text1"/>
                <w:sz w:val="18"/>
                <w:szCs w:val="18"/>
              </w:rPr>
              <w:t>Electricity consumption</w:t>
            </w:r>
          </w:p>
        </w:tc>
      </w:tr>
      <w:tr w:rsidR="00A2637A" w:rsidRPr="0021434E" w14:paraId="14FB0BC6" w14:textId="77777777" w:rsidTr="0021434E">
        <w:tc>
          <w:tcPr>
            <w:tcW w:w="0" w:type="auto"/>
            <w:hideMark/>
          </w:tcPr>
          <w:p w14:paraId="44E5AC65" w14:textId="77777777" w:rsidR="00A2637A" w:rsidRPr="0021434E" w:rsidRDefault="00A2637A" w:rsidP="00F14236">
            <w:pPr>
              <w:spacing w:after="120"/>
              <w:rPr>
                <w:color w:val="000000" w:themeColor="text1"/>
                <w:sz w:val="18"/>
                <w:szCs w:val="18"/>
              </w:rPr>
            </w:pPr>
            <w:r w:rsidRPr="0021434E">
              <w:rPr>
                <w:color w:val="000000" w:themeColor="text1"/>
                <w:sz w:val="18"/>
                <w:szCs w:val="18"/>
              </w:rPr>
              <w:t>Hourly CFE Score</w:t>
            </w:r>
          </w:p>
        </w:tc>
        <w:tc>
          <w:tcPr>
            <w:tcW w:w="0" w:type="auto"/>
            <w:hideMark/>
          </w:tcPr>
          <w:p w14:paraId="3A137037" w14:textId="77777777" w:rsidR="00A2637A" w:rsidRPr="0021434E" w:rsidRDefault="00A2637A" w:rsidP="00F14236">
            <w:pPr>
              <w:spacing w:after="120"/>
              <w:rPr>
                <w:color w:val="000000" w:themeColor="text1"/>
                <w:sz w:val="18"/>
                <w:szCs w:val="18"/>
              </w:rPr>
            </w:pPr>
            <w:r w:rsidRPr="0021434E">
              <w:rPr>
                <w:color w:val="000000" w:themeColor="text1"/>
                <w:sz w:val="18"/>
                <w:szCs w:val="18"/>
              </w:rPr>
              <w:t>Fraction of electricity consumption matched hourly by carbon-free energy resources</w:t>
            </w:r>
          </w:p>
        </w:tc>
        <w:tc>
          <w:tcPr>
            <w:tcW w:w="0" w:type="auto"/>
            <w:hideMark/>
          </w:tcPr>
          <w:p w14:paraId="16C4B970" w14:textId="77777777" w:rsidR="00A2637A" w:rsidRPr="0021434E" w:rsidRDefault="00A2637A" w:rsidP="00F14236">
            <w:pPr>
              <w:spacing w:after="120"/>
              <w:rPr>
                <w:color w:val="000000" w:themeColor="text1"/>
                <w:sz w:val="18"/>
                <w:szCs w:val="18"/>
              </w:rPr>
            </w:pPr>
            <w:r w:rsidRPr="0021434E">
              <w:rPr>
                <w:color w:val="000000" w:themeColor="text1"/>
                <w:sz w:val="18"/>
                <w:szCs w:val="18"/>
              </w:rPr>
              <w:t>%</w:t>
            </w:r>
          </w:p>
        </w:tc>
        <w:tc>
          <w:tcPr>
            <w:tcW w:w="0" w:type="auto"/>
            <w:hideMark/>
          </w:tcPr>
          <w:p w14:paraId="140AADCB" w14:textId="77777777" w:rsidR="00A2637A" w:rsidRPr="0021434E" w:rsidRDefault="00A2637A" w:rsidP="00F14236">
            <w:pPr>
              <w:spacing w:after="120"/>
              <w:rPr>
                <w:color w:val="000000" w:themeColor="text1"/>
                <w:sz w:val="18"/>
                <w:szCs w:val="18"/>
              </w:rPr>
            </w:pPr>
            <w:r w:rsidRPr="0021434E">
              <w:rPr>
                <w:color w:val="000000" w:themeColor="text1"/>
                <w:sz w:val="18"/>
                <w:szCs w:val="18"/>
              </w:rPr>
              <w:t>Temporal clean-energy matching</w:t>
            </w:r>
          </w:p>
        </w:tc>
        <w:tc>
          <w:tcPr>
            <w:tcW w:w="0" w:type="auto"/>
            <w:hideMark/>
          </w:tcPr>
          <w:p w14:paraId="78BA0FBF" w14:textId="77777777" w:rsidR="00A2637A" w:rsidRPr="0021434E" w:rsidRDefault="00A2637A" w:rsidP="00F14236">
            <w:pPr>
              <w:spacing w:after="120"/>
              <w:rPr>
                <w:color w:val="000000" w:themeColor="text1"/>
                <w:sz w:val="18"/>
                <w:szCs w:val="18"/>
              </w:rPr>
            </w:pPr>
            <w:r w:rsidRPr="0021434E">
              <w:rPr>
                <w:color w:val="000000" w:themeColor="text1"/>
                <w:sz w:val="18"/>
                <w:szCs w:val="18"/>
              </w:rPr>
              <w:t>Facility or portfolio</w:t>
            </w:r>
          </w:p>
        </w:tc>
      </w:tr>
      <w:tr w:rsidR="00A2637A" w:rsidRPr="0021434E" w14:paraId="7A1DDB57" w14:textId="77777777" w:rsidTr="0021434E">
        <w:tc>
          <w:tcPr>
            <w:tcW w:w="0" w:type="auto"/>
            <w:hideMark/>
          </w:tcPr>
          <w:p w14:paraId="7DFF684B" w14:textId="77777777" w:rsidR="00A2637A" w:rsidRPr="0021434E" w:rsidRDefault="00A2637A" w:rsidP="00F14236">
            <w:pPr>
              <w:spacing w:after="120"/>
              <w:rPr>
                <w:color w:val="000000" w:themeColor="text1"/>
                <w:sz w:val="18"/>
                <w:szCs w:val="18"/>
              </w:rPr>
            </w:pPr>
            <w:r w:rsidRPr="0021434E">
              <w:rPr>
                <w:color w:val="000000" w:themeColor="text1"/>
                <w:sz w:val="18"/>
                <w:szCs w:val="18"/>
              </w:rPr>
              <w:t>Annual Renewable Matching</w:t>
            </w:r>
          </w:p>
        </w:tc>
        <w:tc>
          <w:tcPr>
            <w:tcW w:w="0" w:type="auto"/>
            <w:hideMark/>
          </w:tcPr>
          <w:p w14:paraId="4A50FC62" w14:textId="77777777" w:rsidR="00A2637A" w:rsidRPr="0021434E" w:rsidRDefault="00A2637A" w:rsidP="00F14236">
            <w:pPr>
              <w:spacing w:after="120"/>
              <w:rPr>
                <w:color w:val="000000" w:themeColor="text1"/>
                <w:sz w:val="18"/>
                <w:szCs w:val="18"/>
              </w:rPr>
            </w:pPr>
            <w:r w:rsidRPr="0021434E">
              <w:rPr>
                <w:color w:val="000000" w:themeColor="text1"/>
                <w:sz w:val="18"/>
                <w:szCs w:val="18"/>
              </w:rPr>
              <w:t>Annual renewable-energy procurement relative to annual electricity consumption</w:t>
            </w:r>
          </w:p>
        </w:tc>
        <w:tc>
          <w:tcPr>
            <w:tcW w:w="0" w:type="auto"/>
            <w:hideMark/>
          </w:tcPr>
          <w:p w14:paraId="1FEF0E40" w14:textId="77777777" w:rsidR="00A2637A" w:rsidRPr="0021434E" w:rsidRDefault="00A2637A" w:rsidP="00F14236">
            <w:pPr>
              <w:spacing w:after="120"/>
              <w:rPr>
                <w:color w:val="000000" w:themeColor="text1"/>
                <w:sz w:val="18"/>
                <w:szCs w:val="18"/>
              </w:rPr>
            </w:pPr>
            <w:r w:rsidRPr="0021434E">
              <w:rPr>
                <w:color w:val="000000" w:themeColor="text1"/>
                <w:sz w:val="18"/>
                <w:szCs w:val="18"/>
              </w:rPr>
              <w:t>%</w:t>
            </w:r>
          </w:p>
        </w:tc>
        <w:tc>
          <w:tcPr>
            <w:tcW w:w="0" w:type="auto"/>
            <w:hideMark/>
          </w:tcPr>
          <w:p w14:paraId="31026E24" w14:textId="77777777" w:rsidR="00A2637A" w:rsidRPr="0021434E" w:rsidRDefault="00A2637A" w:rsidP="00F14236">
            <w:pPr>
              <w:spacing w:after="120"/>
              <w:rPr>
                <w:color w:val="000000" w:themeColor="text1"/>
                <w:sz w:val="18"/>
                <w:szCs w:val="18"/>
              </w:rPr>
            </w:pPr>
            <w:r w:rsidRPr="0021434E">
              <w:rPr>
                <w:color w:val="000000" w:themeColor="text1"/>
                <w:sz w:val="18"/>
                <w:szCs w:val="18"/>
              </w:rPr>
              <w:t>Renewable-procurement assessment</w:t>
            </w:r>
          </w:p>
        </w:tc>
        <w:tc>
          <w:tcPr>
            <w:tcW w:w="0" w:type="auto"/>
            <w:hideMark/>
          </w:tcPr>
          <w:p w14:paraId="45481A18" w14:textId="77777777" w:rsidR="00A2637A" w:rsidRPr="0021434E" w:rsidRDefault="00A2637A" w:rsidP="00F14236">
            <w:pPr>
              <w:spacing w:after="120"/>
              <w:rPr>
                <w:color w:val="000000" w:themeColor="text1"/>
                <w:sz w:val="18"/>
                <w:szCs w:val="18"/>
              </w:rPr>
            </w:pPr>
            <w:r w:rsidRPr="0021434E">
              <w:rPr>
                <w:color w:val="000000" w:themeColor="text1"/>
                <w:sz w:val="18"/>
                <w:szCs w:val="18"/>
              </w:rPr>
              <w:t>Facility or corporate portfolio</w:t>
            </w:r>
          </w:p>
        </w:tc>
      </w:tr>
      <w:tr w:rsidR="00A2637A" w:rsidRPr="0021434E" w14:paraId="78660E94" w14:textId="77777777" w:rsidTr="0021434E">
        <w:tc>
          <w:tcPr>
            <w:tcW w:w="0" w:type="auto"/>
            <w:hideMark/>
          </w:tcPr>
          <w:p w14:paraId="66748387" w14:textId="77777777" w:rsidR="00A2637A" w:rsidRPr="0021434E" w:rsidRDefault="00A2637A" w:rsidP="00F14236">
            <w:pPr>
              <w:spacing w:after="120"/>
              <w:rPr>
                <w:color w:val="000000" w:themeColor="text1"/>
                <w:sz w:val="18"/>
                <w:szCs w:val="18"/>
              </w:rPr>
            </w:pPr>
            <w:r w:rsidRPr="0021434E">
              <w:rPr>
                <w:color w:val="000000" w:themeColor="text1"/>
                <w:sz w:val="18"/>
                <w:szCs w:val="18"/>
              </w:rPr>
              <w:t>Embodied Carbon</w:t>
            </w:r>
          </w:p>
        </w:tc>
        <w:tc>
          <w:tcPr>
            <w:tcW w:w="0" w:type="auto"/>
            <w:hideMark/>
          </w:tcPr>
          <w:p w14:paraId="1EE6B3AD" w14:textId="77777777" w:rsidR="00A2637A" w:rsidRPr="0021434E" w:rsidRDefault="00A2637A" w:rsidP="00F14236">
            <w:pPr>
              <w:spacing w:after="120"/>
              <w:rPr>
                <w:color w:val="000000" w:themeColor="text1"/>
                <w:sz w:val="18"/>
                <w:szCs w:val="18"/>
              </w:rPr>
            </w:pPr>
            <w:r w:rsidRPr="0021434E">
              <w:rPr>
                <w:color w:val="000000" w:themeColor="text1"/>
                <w:sz w:val="18"/>
                <w:szCs w:val="18"/>
              </w:rPr>
              <w:t>Lifecycle greenhouse-gas emissions associated with infrastructure and equipment manufacturing</w:t>
            </w:r>
          </w:p>
        </w:tc>
        <w:tc>
          <w:tcPr>
            <w:tcW w:w="0" w:type="auto"/>
            <w:hideMark/>
          </w:tcPr>
          <w:p w14:paraId="1387C154" w14:textId="77777777" w:rsidR="00A2637A" w:rsidRPr="0021434E" w:rsidRDefault="00A2637A" w:rsidP="00F14236">
            <w:pPr>
              <w:spacing w:after="120"/>
              <w:rPr>
                <w:color w:val="000000" w:themeColor="text1"/>
                <w:sz w:val="18"/>
                <w:szCs w:val="18"/>
              </w:rPr>
            </w:pPr>
            <w:r w:rsidRPr="0021434E">
              <w:rPr>
                <w:color w:val="000000" w:themeColor="text1"/>
                <w:sz w:val="18"/>
                <w:szCs w:val="18"/>
              </w:rPr>
              <w:t>kg CO₂e</w:t>
            </w:r>
          </w:p>
        </w:tc>
        <w:tc>
          <w:tcPr>
            <w:tcW w:w="0" w:type="auto"/>
            <w:hideMark/>
          </w:tcPr>
          <w:p w14:paraId="5A105FF2" w14:textId="77777777" w:rsidR="00A2637A" w:rsidRPr="0021434E" w:rsidRDefault="00A2637A" w:rsidP="00F14236">
            <w:pPr>
              <w:spacing w:after="120"/>
              <w:rPr>
                <w:color w:val="000000" w:themeColor="text1"/>
                <w:sz w:val="18"/>
                <w:szCs w:val="18"/>
              </w:rPr>
            </w:pPr>
            <w:r w:rsidRPr="0021434E">
              <w:rPr>
                <w:color w:val="000000" w:themeColor="text1"/>
                <w:sz w:val="18"/>
                <w:szCs w:val="18"/>
              </w:rPr>
              <w:t>Lifecycle assessment</w:t>
            </w:r>
          </w:p>
        </w:tc>
        <w:tc>
          <w:tcPr>
            <w:tcW w:w="0" w:type="auto"/>
            <w:hideMark/>
          </w:tcPr>
          <w:p w14:paraId="413DBC1A" w14:textId="77777777" w:rsidR="00A2637A" w:rsidRPr="0021434E" w:rsidRDefault="00A2637A" w:rsidP="00F14236">
            <w:pPr>
              <w:spacing w:after="120"/>
              <w:rPr>
                <w:color w:val="000000" w:themeColor="text1"/>
                <w:sz w:val="18"/>
                <w:szCs w:val="18"/>
              </w:rPr>
            </w:pPr>
            <w:r w:rsidRPr="0021434E">
              <w:rPr>
                <w:color w:val="000000" w:themeColor="text1"/>
                <w:sz w:val="18"/>
                <w:szCs w:val="18"/>
              </w:rPr>
              <w:t>Asset lifecycle</w:t>
            </w:r>
          </w:p>
        </w:tc>
      </w:tr>
      <w:tr w:rsidR="00A2637A" w:rsidRPr="0021434E" w14:paraId="19BAB44D" w14:textId="77777777" w:rsidTr="0021434E">
        <w:tc>
          <w:tcPr>
            <w:tcW w:w="0" w:type="auto"/>
            <w:hideMark/>
          </w:tcPr>
          <w:p w14:paraId="7E4A3B7F" w14:textId="77777777" w:rsidR="00A2637A" w:rsidRPr="0021434E" w:rsidRDefault="00A2637A" w:rsidP="00F14236">
            <w:pPr>
              <w:spacing w:after="120"/>
              <w:rPr>
                <w:color w:val="000000" w:themeColor="text1"/>
                <w:sz w:val="18"/>
                <w:szCs w:val="18"/>
              </w:rPr>
            </w:pPr>
            <w:r w:rsidRPr="0021434E">
              <w:rPr>
                <w:color w:val="000000" w:themeColor="text1"/>
                <w:sz w:val="18"/>
                <w:szCs w:val="18"/>
              </w:rPr>
              <w:t>Circularity / E-Waste Metric</w:t>
            </w:r>
          </w:p>
        </w:tc>
        <w:tc>
          <w:tcPr>
            <w:tcW w:w="0" w:type="auto"/>
            <w:hideMark/>
          </w:tcPr>
          <w:p w14:paraId="00D98189" w14:textId="77777777" w:rsidR="00A2637A" w:rsidRPr="0021434E" w:rsidRDefault="00A2637A" w:rsidP="00F14236">
            <w:pPr>
              <w:spacing w:after="120"/>
              <w:rPr>
                <w:color w:val="000000" w:themeColor="text1"/>
                <w:sz w:val="18"/>
                <w:szCs w:val="18"/>
              </w:rPr>
            </w:pPr>
            <w:r w:rsidRPr="0021434E">
              <w:rPr>
                <w:color w:val="000000" w:themeColor="text1"/>
                <w:sz w:val="18"/>
                <w:szCs w:val="18"/>
              </w:rPr>
              <w:t>Reuse, recycling, refurbishment, or end-of-life recovery performance</w:t>
            </w:r>
          </w:p>
        </w:tc>
        <w:tc>
          <w:tcPr>
            <w:tcW w:w="0" w:type="auto"/>
            <w:hideMark/>
          </w:tcPr>
          <w:p w14:paraId="334B04C4" w14:textId="77777777" w:rsidR="00A2637A" w:rsidRPr="0021434E" w:rsidRDefault="00A2637A" w:rsidP="00F14236">
            <w:pPr>
              <w:spacing w:after="120"/>
              <w:rPr>
                <w:color w:val="000000" w:themeColor="text1"/>
                <w:sz w:val="18"/>
                <w:szCs w:val="18"/>
              </w:rPr>
            </w:pPr>
            <w:r w:rsidRPr="0021434E">
              <w:rPr>
                <w:color w:val="000000" w:themeColor="text1"/>
                <w:sz w:val="18"/>
                <w:szCs w:val="18"/>
              </w:rPr>
              <w:t>% or mass/year</w:t>
            </w:r>
          </w:p>
        </w:tc>
        <w:tc>
          <w:tcPr>
            <w:tcW w:w="0" w:type="auto"/>
            <w:hideMark/>
          </w:tcPr>
          <w:p w14:paraId="60029C2F" w14:textId="77777777" w:rsidR="00A2637A" w:rsidRPr="0021434E" w:rsidRDefault="00A2637A" w:rsidP="00F14236">
            <w:pPr>
              <w:spacing w:after="120"/>
              <w:rPr>
                <w:color w:val="000000" w:themeColor="text1"/>
                <w:sz w:val="18"/>
                <w:szCs w:val="18"/>
              </w:rPr>
            </w:pPr>
            <w:r w:rsidRPr="0021434E">
              <w:rPr>
                <w:color w:val="000000" w:themeColor="text1"/>
                <w:sz w:val="18"/>
                <w:szCs w:val="18"/>
              </w:rPr>
              <w:t>Resource-efficiency assessment</w:t>
            </w:r>
          </w:p>
        </w:tc>
        <w:tc>
          <w:tcPr>
            <w:tcW w:w="0" w:type="auto"/>
            <w:hideMark/>
          </w:tcPr>
          <w:p w14:paraId="5F2E9944" w14:textId="77777777" w:rsidR="00A2637A" w:rsidRPr="0021434E" w:rsidRDefault="00A2637A" w:rsidP="00F14236">
            <w:pPr>
              <w:spacing w:after="120"/>
              <w:rPr>
                <w:color w:val="000000" w:themeColor="text1"/>
                <w:sz w:val="18"/>
                <w:szCs w:val="18"/>
              </w:rPr>
            </w:pPr>
            <w:r w:rsidRPr="0021434E">
              <w:rPr>
                <w:color w:val="000000" w:themeColor="text1"/>
                <w:sz w:val="18"/>
                <w:szCs w:val="18"/>
              </w:rPr>
              <w:t>Equipment lifecycle</w:t>
            </w:r>
          </w:p>
        </w:tc>
      </w:tr>
    </w:tbl>
    <w:p w14:paraId="0828F546" w14:textId="77777777" w:rsidR="00FE013C" w:rsidRDefault="00FE013C" w:rsidP="004C16FF">
      <w:pPr>
        <w:pStyle w:val="Heading20"/>
        <w:jc w:val="both"/>
      </w:pPr>
      <w:r w:rsidRPr="00E75DCC">
        <w:rPr>
          <w:color w:val="auto"/>
        </w:rPr>
        <w:t>1</w:t>
      </w:r>
      <w:r>
        <w:rPr>
          <w:color w:val="auto"/>
        </w:rPr>
        <w:t>2.4</w:t>
      </w:r>
      <w:r w:rsidRPr="00E75DCC">
        <w:rPr>
          <w:color w:val="auto"/>
        </w:rPr>
        <w:t xml:space="preserve"> </w:t>
      </w:r>
      <w:r>
        <w:t>Environmental Impact Assessment</w:t>
      </w:r>
    </w:p>
    <w:p w14:paraId="2A9132E1" w14:textId="339DFEE4" w:rsidR="0059318D" w:rsidRPr="0059318D" w:rsidRDefault="0059318D" w:rsidP="00E842C0">
      <w:pPr>
        <w:spacing w:after="120"/>
        <w:ind w:firstLine="480"/>
      </w:pPr>
      <w:r w:rsidRPr="00454173">
        <w:rPr>
          <w:highlight w:val="yellow"/>
        </w:rPr>
        <w:t>The environmental impacts associated with AI-data-center infrastructure extend beyond electricity consumption and include water use, land use, material demand, and electronic waste generation. Water consumption is particularly important because cooling-system selection often involves a trade-off between energy efficiency and water use. Air-cooled systems typically minimize direct water consumption but may require higher electrical energy for cooling, whereas evaporative and some liquid-cooling configurations can reduce cooling-energy requirements while increasing water demand.</w:t>
      </w:r>
      <w:r w:rsidR="00645FA3" w:rsidRPr="00454173">
        <w:rPr>
          <w:highlight w:val="yellow"/>
        </w:rPr>
        <w:t xml:space="preserve"> </w:t>
      </w:r>
      <w:r w:rsidRPr="00454173">
        <w:rPr>
          <w:highlight w:val="yellow"/>
        </w:rPr>
        <w:t>The environmental significance of water consumption is highly location-dependent. Facilities located in water-stressed regions may face additional sustainability constraints and regulatory scrutiny, even when operating highly efficient cooling systems. Therefore, both energy-</w:t>
      </w:r>
      <w:r w:rsidRPr="00454173">
        <w:rPr>
          <w:highlight w:val="yellow"/>
        </w:rPr>
        <w:lastRenderedPageBreak/>
        <w:t>related metrics (such as PUE) and water-related metrics (such as WUE) should be considered when evaluating cooling-system alternatives.</w:t>
      </w:r>
      <w:r w:rsidR="00645FA3" w:rsidRPr="00454173">
        <w:rPr>
          <w:highlight w:val="yellow"/>
        </w:rPr>
        <w:t xml:space="preserve"> </w:t>
      </w:r>
      <w:r w:rsidRPr="00454173">
        <w:rPr>
          <w:highlight w:val="yellow"/>
        </w:rPr>
        <w:t>Electronic-waste generation and supply-chain impacts are additional sustainability concerns associated with rapid AI-infrastructure deployment. Although several studies have projected significant increases in AI-related material consumption and equipment turnover, the magnitude of future e-waste generation remains uncertain because it depends on hardware life expectancy, refurbishment practices, recycling rates, technological progress, and future computing architectures</w:t>
      </w:r>
      <w:r w:rsidR="00110E0F" w:rsidRPr="00454173">
        <w:rPr>
          <w:highlight w:val="yellow"/>
        </w:rPr>
        <w:t xml:space="preserve"> </w:t>
      </w:r>
      <w:r w:rsidR="00CE602A" w:rsidRPr="00454173">
        <w:rPr>
          <w:highlight w:val="yellow"/>
        </w:rPr>
        <w:fldChar w:fldCharType="begin"/>
      </w:r>
      <w:r w:rsidR="00CE602A" w:rsidRPr="00454173">
        <w:rPr>
          <w:highlight w:val="yellow"/>
        </w:rPr>
        <w:instrText xml:space="preserve"> ADDIN ZOTERO_ITEM CSL_CITATION {"citationID":"IDGo5Rau","properties":{"unsorted":false,"formattedCitation":"[2]","plainCitation":"[2]","noteIndex":0},"citationItems":[{"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sidR="00CE602A" w:rsidRPr="00454173">
        <w:rPr>
          <w:highlight w:val="yellow"/>
        </w:rPr>
        <w:fldChar w:fldCharType="separate"/>
      </w:r>
      <w:r w:rsidR="00CE602A" w:rsidRPr="00454173">
        <w:rPr>
          <w:highlight w:val="yellow"/>
        </w:rPr>
        <w:t>[2]</w:t>
      </w:r>
      <w:r w:rsidR="00CE602A" w:rsidRPr="00454173">
        <w:rPr>
          <w:highlight w:val="yellow"/>
        </w:rPr>
        <w:fldChar w:fldCharType="end"/>
      </w:r>
      <w:r w:rsidR="00CE602A" w:rsidRPr="00454173">
        <w:rPr>
          <w:highlight w:val="yellow"/>
        </w:rPr>
        <w:t xml:space="preserve">, </w:t>
      </w:r>
      <w:r w:rsidR="00110E0F" w:rsidRPr="00454173">
        <w:rPr>
          <w:highlight w:val="yellow"/>
        </w:rPr>
        <w:fldChar w:fldCharType="begin"/>
      </w:r>
      <w:r w:rsidR="00E842C0">
        <w:rPr>
          <w:highlight w:val="yellow"/>
        </w:rPr>
        <w:instrText xml:space="preserve"> ADDIN ZOTERO_ITEM CSL_CITATION {"citationID":"dmjkCpIF","properties":{"unsorted":false,"formattedCitation":"[170]","plainCitation":"[170]","noteIndex":0},"citationItems":[{"id":2191,"uris":["http://zotero.org/users/9870935/items/PGQT4HIW"],"itemData":{"id":2191,"type":"document","title":"ENVIRONMENTAL COST OF AI'S ENERGY USE","author":[{"family":"UN","given":""}]}}],"schema":"https://github.com/citation-style-language/schema/raw/master/csl-citation.json"} </w:instrText>
      </w:r>
      <w:r w:rsidR="00110E0F" w:rsidRPr="00454173">
        <w:rPr>
          <w:highlight w:val="yellow"/>
        </w:rPr>
        <w:fldChar w:fldCharType="separate"/>
      </w:r>
      <w:r w:rsidR="00E842C0" w:rsidRPr="00E842C0">
        <w:rPr>
          <w:highlight w:val="yellow"/>
        </w:rPr>
        <w:t>[170]</w:t>
      </w:r>
      <w:r w:rsidR="00110E0F" w:rsidRPr="00454173">
        <w:rPr>
          <w:highlight w:val="yellow"/>
        </w:rPr>
        <w:fldChar w:fldCharType="end"/>
      </w:r>
      <w:r w:rsidRPr="00454173">
        <w:rPr>
          <w:highlight w:val="yellow"/>
        </w:rPr>
        <w:t>.</w:t>
      </w:r>
    </w:p>
    <w:p w14:paraId="5138E04F" w14:textId="77777777" w:rsidR="00FE013C" w:rsidRDefault="00FE013C" w:rsidP="004C16FF">
      <w:pPr>
        <w:pStyle w:val="Heading20"/>
        <w:jc w:val="both"/>
      </w:pPr>
      <w:r w:rsidRPr="00E75DCC">
        <w:rPr>
          <w:color w:val="auto"/>
        </w:rPr>
        <w:t>1</w:t>
      </w:r>
      <w:r>
        <w:rPr>
          <w:color w:val="auto"/>
        </w:rPr>
        <w:t>2.5</w:t>
      </w:r>
      <w:r w:rsidRPr="00E75DCC">
        <w:rPr>
          <w:color w:val="auto"/>
        </w:rPr>
        <w:t xml:space="preserve"> </w:t>
      </w:r>
      <w:r>
        <w:t>Regulatory Barriers and Opportunities</w:t>
      </w:r>
    </w:p>
    <w:p w14:paraId="0E021EDA" w14:textId="1963A343" w:rsidR="00FE013C" w:rsidRDefault="00FE013C" w:rsidP="00E842C0">
      <w:pPr>
        <w:spacing w:after="120"/>
        <w:ind w:firstLine="480"/>
      </w:pPr>
      <w:r w:rsidRPr="00C57C71">
        <w:t xml:space="preserve">Interconnection queue congestion is a major regulatory barrier for renewable-powered data </w:t>
      </w:r>
      <w:r w:rsidR="00580BAE">
        <w:t>center</w:t>
      </w:r>
      <w:r w:rsidRPr="00C57C71">
        <w:t>s today. In the past decade, the number of requests has grown substantially, and 2500</w:t>
      </w:r>
      <w:r w:rsidR="00C81C3C">
        <w:t xml:space="preserve"> - </w:t>
      </w:r>
      <w:r w:rsidRPr="00C57C71">
        <w:t>3,000 new requests have been submitted for new interconnection capacity of 400-750 GW/year. This has left a significant backlog, which is delaying efforts to integrate clean energy. Other hurdles involving distributed generation include distribution system design barriers (</w:t>
      </w:r>
      <w:r w:rsidR="00F46601" w:rsidRPr="00F46601">
        <w:t>legacy distribution designs that were not originally configured for bidirectional power flow</w:t>
      </w:r>
      <w:r w:rsidR="00F46601">
        <w:t>)</w:t>
      </w:r>
      <w:r w:rsidRPr="00C57C71">
        <w:t xml:space="preserve">permitting barriers (environmental review, building permits/approvals, utility coordination), and opposition from incumbent utilities.  Alternative routes exist, such as community choice aggregation (CCA) and green tariff programs, and interconnection complexity and costs can be mitigated with behind-the-meter exemptions. Policy recommendations based on the framework analysis are (1) streamline interconnection following the FERC Order 2023 format, including practices such as the U.S. Department of Energy's i2X roadmap to automate data collection and </w:t>
      </w:r>
      <w:r w:rsidR="00DB7639" w:rsidRPr="00C57C71">
        <w:t>standardize</w:t>
      </w:r>
      <w:r w:rsidRPr="00C57C71">
        <w:t xml:space="preserve"> cluster study parameters; (2) continue and increase renewable energy tax credits (ITC and PTC) to provide grid investment certainty; (3) clarify and update zoning and building code requirements to support on-site renewable generation and storage; (4) ensure grid data </w:t>
      </w:r>
      <w:r w:rsidR="00580BAE">
        <w:t>center</w:t>
      </w:r>
      <w:r w:rsidRPr="00C57C71">
        <w:t xml:space="preserve">s are viable through an aggressive research program in the area of 24/7 CFE accounting methodology, establishing a transparent, </w:t>
      </w:r>
      <w:r w:rsidR="00DB7639" w:rsidRPr="00C57C71">
        <w:t>standardized</w:t>
      </w:r>
      <w:r w:rsidRPr="00C57C71">
        <w:t xml:space="preserve"> approach to 24/7 CFE accounting for the stability of IBRs operating on weak grids; and (5) support grid </w:t>
      </w:r>
      <w:r w:rsidR="00DB7639" w:rsidRPr="00C57C71">
        <w:t>modernization</w:t>
      </w:r>
      <w:r w:rsidRPr="00C57C71">
        <w:t xml:space="preserve"> research with a focus on the stability of IBRs (Inverter-Based Resources) on weak grids to achieve data </w:t>
      </w:r>
      <w:r w:rsidR="00580BAE">
        <w:t>center</w:t>
      </w:r>
      <w:r w:rsidRPr="00C57C71">
        <w:t xml:space="preserve"> reliability</w:t>
      </w:r>
      <w:r>
        <w:fldChar w:fldCharType="begin"/>
      </w:r>
      <w:r w:rsidR="00E842C0">
        <w:instrText xml:space="preserve"> ADDIN ZOTERO_ITEM CSL_CITATION {"citationID":"3kR8mlfQ","properties":{"unsorted":false,"formattedCitation":"[168], [172]","plainCitation":"[168], [172]","noteIndex":0},"citationItems":[{"id":2175,"uris":["http://zotero.org/users/9870935/items/YE4EN6MK"],"itemData":{"id":2175,"type":"document","title":"2026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00E842C0" w:rsidRPr="00E842C0">
        <w:t>[168], [172]</w:t>
      </w:r>
      <w:r>
        <w:fldChar w:fldCharType="end"/>
      </w:r>
      <w:r w:rsidRPr="00C57C71">
        <w:t xml:space="preserve">.  </w:t>
      </w:r>
    </w:p>
    <w:p w14:paraId="0266571C" w14:textId="77777777" w:rsidR="00FE013C" w:rsidRPr="002108A4" w:rsidRDefault="00FE013C" w:rsidP="004C16FF">
      <w:pPr>
        <w:pStyle w:val="Heading20"/>
        <w:jc w:val="both"/>
      </w:pPr>
      <w:r w:rsidRPr="00E75DCC">
        <w:rPr>
          <w:color w:val="auto"/>
        </w:rPr>
        <w:t>1</w:t>
      </w:r>
      <w:r>
        <w:rPr>
          <w:color w:val="auto"/>
        </w:rPr>
        <w:t>2.6</w:t>
      </w:r>
      <w:r w:rsidRPr="00E75DCC">
        <w:rPr>
          <w:color w:val="auto"/>
        </w:rPr>
        <w:t xml:space="preserve"> </w:t>
      </w:r>
      <w:r>
        <w:t>Sustainability Certifications and Reporting</w:t>
      </w:r>
    </w:p>
    <w:p w14:paraId="2B286C58" w14:textId="39CDFCBF" w:rsidR="00FE013C" w:rsidRDefault="00831628" w:rsidP="00E842C0">
      <w:pPr>
        <w:spacing w:after="120"/>
        <w:ind w:firstLine="480"/>
      </w:pPr>
      <w:r w:rsidRPr="00831628">
        <w:t>Voluntary certifications and mandatory sustainability-reporting frameworks increasingly coexist in data-center sustainability practice</w:t>
      </w:r>
      <w:r w:rsidR="00FE013C" w:rsidRPr="002108A4">
        <w:t xml:space="preserve">. Approximately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for sustainability finance disclosures that has changed corporate accountability in S1 and S2 IFRS Sustainability-related financial disclosures.  As a result, multinational data </w:t>
      </w:r>
      <w:r w:rsidR="00580BAE">
        <w:t>center</w:t>
      </w:r>
      <w:r w:rsidR="00FE013C" w:rsidRPr="002108A4">
        <w:t xml:space="preserve"> operators now need to gather and cross-validate granular data points across all their operational footprints and supply chains. Concerns regarding the digital industry's increasing environmental footprint have resulted in a comprehensive framework of EU laws and policy that seeks to build climate-neutral and energy-efficient data </w:t>
      </w:r>
      <w:r w:rsidR="00580BAE">
        <w:t>center</w:t>
      </w:r>
      <w:r w:rsidR="00FE013C" w:rsidRPr="002108A4">
        <w:t xml:space="preserve">s by 2030. </w:t>
      </w:r>
      <w:r w:rsidR="00143994" w:rsidRPr="00143994">
        <w:t>Established standards and certifications</w:t>
      </w:r>
      <w:r w:rsidR="00FE013C" w:rsidRPr="002108A4">
        <w:t>, such as LEED and ISO 50001 and the Uptime Institute's Tier Standard, are still significant benchmarks to use during operation, but are increasingly being incorporated into these higher-level compliance frameworks</w:t>
      </w:r>
      <w:r w:rsidR="00FE013C">
        <w:fldChar w:fldCharType="begin"/>
      </w:r>
      <w:r w:rsidR="00E842C0">
        <w:instrText xml:space="preserve"> ADDIN ZOTERO_ITEM CSL_CITATION {"citationID":"uVwMO1fa","properties":{"unsorted":false,"formattedCitation":"[164], [173]","plainCitation":"[164], [173]","noteIndex":0},"citationItems":[{"id":2256,"uris":["http://zotero.org/users/9870935/items/CYR5QZSI"],"itemData":{"id":2256,"type":"article-journal","container-title":"European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Jesús"}],"issued":{"date-parts":[["2026",5,27]]}}}],"schema":"https://github.com/citation-style-language/schema/raw/master/csl-citation.json"} </w:instrText>
      </w:r>
      <w:r w:rsidR="00FE013C">
        <w:fldChar w:fldCharType="separate"/>
      </w:r>
      <w:r w:rsidR="00E842C0" w:rsidRPr="00E842C0">
        <w:t>[164], [173]</w:t>
      </w:r>
      <w:r w:rsidR="00FE013C">
        <w:fldChar w:fldCharType="end"/>
      </w:r>
      <w:r w:rsidR="00FE013C" w:rsidRPr="002108A4">
        <w:t>.</w:t>
      </w:r>
    </w:p>
    <w:p w14:paraId="558776F0" w14:textId="7589D979" w:rsidR="00CA1249" w:rsidRDefault="00CA1249" w:rsidP="00CA1249">
      <w:pPr>
        <w:pStyle w:val="Heading1"/>
        <w:keepNext/>
        <w:jc w:val="both"/>
      </w:pPr>
      <w:r>
        <w:lastRenderedPageBreak/>
        <w:t>13. Limitation</w:t>
      </w:r>
      <w:r w:rsidR="00B91499">
        <w:t>s</w:t>
      </w:r>
    </w:p>
    <w:p w14:paraId="71803421" w14:textId="7815EE37" w:rsidR="005650D4" w:rsidRPr="000C3519" w:rsidRDefault="005650D4" w:rsidP="000C3519">
      <w:pPr>
        <w:pStyle w:val="Heading20"/>
        <w:jc w:val="both"/>
        <w:rPr>
          <w:color w:val="auto"/>
        </w:rPr>
      </w:pPr>
      <w:r w:rsidRPr="005650D4">
        <w:rPr>
          <w:color w:val="auto"/>
        </w:rPr>
        <w:t>13.</w:t>
      </w:r>
      <w:r>
        <w:rPr>
          <w:color w:val="auto"/>
        </w:rPr>
        <w:t>1</w:t>
      </w:r>
      <w:r w:rsidRPr="005650D4">
        <w:rPr>
          <w:color w:val="auto"/>
        </w:rPr>
        <w:t xml:space="preserve"> </w:t>
      </w:r>
      <w:r>
        <w:rPr>
          <w:color w:val="auto"/>
        </w:rPr>
        <w:t>Evidence Base and Geographic Scope</w:t>
      </w:r>
    </w:p>
    <w:p w14:paraId="76C2FBD8" w14:textId="77777777" w:rsidR="00807371" w:rsidRPr="0011396C" w:rsidRDefault="00807371" w:rsidP="0011396C">
      <w:pPr>
        <w:spacing w:after="120"/>
        <w:ind w:firstLine="480"/>
        <w:rPr>
          <w:highlight w:val="yellow"/>
        </w:rPr>
      </w:pPr>
      <w:r w:rsidRPr="00807371">
        <w:rPr>
          <w:highlight w:val="yellow"/>
        </w:rPr>
        <w:t>The evidence used for this review is geographically unbalanced. Many of the corporate case studies, market profiles, cost comparisons and regulatory references are from North America, primarily the United States. Electricity-market design, interconnection processes, quality of renewable resources, tax and incentive regimes, equipment, labor, supply-chain constraints, environmental mandates, and data center laws differ significantly from one jurisdiction to another. Therefore, the numbers estimated in this review are to be considered as literature derived benchmarks and not as exact transfer criteria for the project. Specific local renewable-resource data, electricity tariffs and market rules, engineering standards, regulatory constraints, equipment costs, financing assumptions, and interconnection requirements are all required for the application of the proposed framework, and thus must be met on a local level.</w:t>
      </w:r>
    </w:p>
    <w:p w14:paraId="0EB83682" w14:textId="379F566A" w:rsidR="005650D4" w:rsidRPr="005650D4" w:rsidRDefault="005650D4" w:rsidP="00807371">
      <w:pPr>
        <w:pStyle w:val="Heading20"/>
        <w:jc w:val="both"/>
        <w:rPr>
          <w:color w:val="auto"/>
        </w:rPr>
      </w:pPr>
      <w:r w:rsidRPr="005650D4">
        <w:rPr>
          <w:color w:val="auto"/>
        </w:rPr>
        <w:t>13.2 Corporate Reporting and Source Quality</w:t>
      </w:r>
    </w:p>
    <w:p w14:paraId="114D1008" w14:textId="4EB7B57E" w:rsidR="0011396C" w:rsidRPr="0011396C" w:rsidRDefault="0011396C" w:rsidP="0011396C">
      <w:pPr>
        <w:spacing w:after="120"/>
        <w:ind w:firstLine="480"/>
        <w:rPr>
          <w:highlight w:val="yellow"/>
        </w:rPr>
      </w:pPr>
      <w:r w:rsidRPr="0011396C">
        <w:rPr>
          <w:highlight w:val="yellow"/>
        </w:rPr>
        <w:t xml:space="preserve">Some industry case studies include metrics derived from corporate sustainability reports, technical disclosures, and other documents published by companies, as such data are not always available at the facility level in peer-reviewed literature. The sources are generally self-reported sources, and their boundaries and purposes in an organization, averaging periods, renewable-energy accounting methods, emissions methodologies, and practices of external assurance vary. </w:t>
      </w:r>
      <w:r w:rsidR="00F516F4" w:rsidRPr="0011396C">
        <w:rPr>
          <w:highlight w:val="yellow"/>
        </w:rPr>
        <w:t>Therefore,</w:t>
      </w:r>
      <w:r w:rsidRPr="0011396C">
        <w:rPr>
          <w:highlight w:val="yellow"/>
        </w:rPr>
        <w:t xml:space="preserve"> comparisons of metrics like annual renewable-energy matching, hourly carbon-free-energy matching, power usage effectiveness (PUE), water usage effectiveness (WUE) and greenhouse-gas emissions should</w:t>
      </w:r>
      <w:r w:rsidR="001727AD">
        <w:rPr>
          <w:highlight w:val="yellow"/>
        </w:rPr>
        <w:t xml:space="preserve"> not</w:t>
      </w:r>
      <w:r w:rsidRPr="0011396C">
        <w:rPr>
          <w:highlight w:val="yellow"/>
        </w:rPr>
        <w:t xml:space="preserve"> be done until definitions and reporting boundaries are sp</w:t>
      </w:r>
      <w:r w:rsidRPr="004F5BDB">
        <w:rPr>
          <w:highlight w:val="yellow"/>
        </w:rPr>
        <w:t xml:space="preserve">elled out. </w:t>
      </w:r>
      <w:r w:rsidR="00B15959" w:rsidRPr="004F5BDB">
        <w:rPr>
          <w:highlight w:val="yellow"/>
        </w:rPr>
        <w:t>This review does not independently audit or verify company-reported operational data.</w:t>
      </w:r>
    </w:p>
    <w:p w14:paraId="42E78203" w14:textId="7A0E4A80" w:rsidR="005650D4" w:rsidRPr="005650D4" w:rsidRDefault="005650D4" w:rsidP="0011396C">
      <w:pPr>
        <w:pStyle w:val="Heading20"/>
        <w:jc w:val="both"/>
        <w:rPr>
          <w:color w:val="auto"/>
        </w:rPr>
      </w:pPr>
      <w:r w:rsidRPr="005650D4">
        <w:rPr>
          <w:color w:val="auto"/>
        </w:rPr>
        <w:t>13.3 Methodological and Screening Limitations</w:t>
      </w:r>
    </w:p>
    <w:p w14:paraId="430E2CCE" w14:textId="379248B0" w:rsidR="00F516F4" w:rsidRPr="00F516F4" w:rsidRDefault="00F516F4" w:rsidP="00F516F4">
      <w:pPr>
        <w:spacing w:after="120"/>
        <w:ind w:firstLine="480"/>
        <w:rPr>
          <w:highlight w:val="yellow"/>
        </w:rPr>
      </w:pPr>
      <w:r w:rsidRPr="00C03B2F">
        <w:rPr>
          <w:highlight w:val="yellow"/>
        </w:rPr>
        <w:t xml:space="preserve">The review sources evidence from peer-reviewed journal articles, conference papers, </w:t>
      </w:r>
      <w:r w:rsidR="00C03B2F" w:rsidRPr="00C03B2F">
        <w:rPr>
          <w:highlight w:val="yellow"/>
        </w:rPr>
        <w:t>technical standards and patent documents</w:t>
      </w:r>
      <w:r w:rsidRPr="00C03B2F">
        <w:rPr>
          <w:highlight w:val="yellow"/>
        </w:rPr>
        <w:t xml:space="preserve">, agency, institutional, corporate disclosure, market analysis, and other grey-literature sources. Some source types are more peer-reviewed, more transparent, have more data available, are more reproducible, and have way broader reporting boundaries than others. The search and screening process informed by the PRISMA </w:t>
      </w:r>
      <w:r w:rsidRPr="00F516F4">
        <w:rPr>
          <w:highlight w:val="yellow"/>
        </w:rPr>
        <w:t>statement will enhance transparency and consistency of source selection but will not resolve heterogeneity, selection and reporting bias among sources found in the literature. Some cost and performance estimates are also clustered in a relatively small number of reporting organizations, making independent triangulation of some estimates difficult and confining technology and cost benchmarks to those reporting. The resulting synthesis should therefore be understood as a structured critical evaluation of different, heterogeneous evidence and should not be viewed as a homogeneous dataset suitable for meta-analysis.</w:t>
      </w:r>
    </w:p>
    <w:p w14:paraId="1D7C7B8F" w14:textId="2940DBB5" w:rsidR="005650D4" w:rsidRPr="004E72B6" w:rsidRDefault="004E72B6" w:rsidP="00F516F4">
      <w:pPr>
        <w:pStyle w:val="Heading20"/>
        <w:jc w:val="both"/>
        <w:rPr>
          <w:color w:val="auto"/>
        </w:rPr>
      </w:pPr>
      <w:r w:rsidRPr="004E72B6">
        <w:rPr>
          <w:color w:val="auto"/>
        </w:rPr>
        <w:t xml:space="preserve">13.4 </w:t>
      </w:r>
      <w:r w:rsidR="00940A55" w:rsidRPr="00940A55">
        <w:rPr>
          <w:color w:val="auto"/>
        </w:rPr>
        <w:t>Lack of Site-Specific Validation</w:t>
      </w:r>
    </w:p>
    <w:p w14:paraId="64BDB55B" w14:textId="176765A2" w:rsidR="006810FA" w:rsidRPr="006810FA" w:rsidRDefault="006810FA" w:rsidP="006810FA">
      <w:pPr>
        <w:spacing w:after="120"/>
        <w:ind w:firstLine="480"/>
        <w:rPr>
          <w:highlight w:val="yellow"/>
        </w:rPr>
      </w:pPr>
      <w:r w:rsidRPr="006810FA">
        <w:rPr>
          <w:highlight w:val="yellow"/>
        </w:rPr>
        <w:t>The seven components have not b</w:t>
      </w:r>
      <w:r w:rsidRPr="002E7C0B">
        <w:rPr>
          <w:highlight w:val="yellow"/>
        </w:rPr>
        <w:t xml:space="preserve">een </w:t>
      </w:r>
      <w:r w:rsidR="003E3339" w:rsidRPr="002E7C0B">
        <w:rPr>
          <w:highlight w:val="yellow"/>
        </w:rPr>
        <w:t xml:space="preserve">benchmarked or preferably validated end-to-end </w:t>
      </w:r>
      <w:r w:rsidRPr="002E7C0B">
        <w:rPr>
          <w:highlight w:val="yellow"/>
        </w:rPr>
        <w:t xml:space="preserve">across any single operating data-center project with all the necessary detailed technical, economic, </w:t>
      </w:r>
      <w:r w:rsidR="00A00EF9">
        <w:rPr>
          <w:highlight w:val="yellow"/>
        </w:rPr>
        <w:t xml:space="preserve">Stochastic </w:t>
      </w:r>
      <w:r w:rsidR="00A00EF9">
        <w:rPr>
          <w:highlight w:val="yellow"/>
        </w:rPr>
        <w:lastRenderedPageBreak/>
        <w:t>Frontier Analysis (</w:t>
      </w:r>
      <w:r w:rsidRPr="002E7C0B">
        <w:rPr>
          <w:highlight w:val="yellow"/>
        </w:rPr>
        <w:t>SFA</w:t>
      </w:r>
      <w:r w:rsidR="00A00EF9">
        <w:rPr>
          <w:highlight w:val="yellow"/>
        </w:rPr>
        <w:t>)</w:t>
      </w:r>
      <w:r w:rsidRPr="002E7C0B">
        <w:rPr>
          <w:highlight w:val="yellow"/>
        </w:rPr>
        <w:t xml:space="preserve"> and environmental inputs and outputs made publicly available. These MCDA weights in Section 7.2 are presented as illustrative screening weights and the technology-cost and electricity-cost benchmarks created as part of this review are literature-based and apply to various geographic</w:t>
      </w:r>
      <w:r w:rsidRPr="006810FA">
        <w:rPr>
          <w:highlight w:val="yellow"/>
        </w:rPr>
        <w:t xml:space="preserve">, temporal, and system-level boundaries. </w:t>
      </w:r>
      <w:r w:rsidRPr="006A52E7">
        <w:rPr>
          <w:highlight w:val="yellow"/>
        </w:rPr>
        <w:t xml:space="preserve">Likewise, </w:t>
      </w:r>
      <w:r w:rsidR="001C5597" w:rsidRPr="006A52E7">
        <w:rPr>
          <w:highlight w:val="yellow"/>
        </w:rPr>
        <w:t>reliability and availability requirements should be treated as project-specific criteria rather than universal thresholds</w:t>
      </w:r>
      <w:r w:rsidRPr="006A52E7">
        <w:rPr>
          <w:highlight w:val="yellow"/>
        </w:rPr>
        <w:t xml:space="preserve">. Chronological site-specific load, renewable-resource, grid-availability, and operational data, preferably spanning multiple representative years where such data are available, should </w:t>
      </w:r>
      <w:r w:rsidR="001F12EE">
        <w:rPr>
          <w:highlight w:val="yellow"/>
        </w:rPr>
        <w:t>therefore be</w:t>
      </w:r>
      <w:r w:rsidRPr="006A52E7">
        <w:rPr>
          <w:highlight w:val="yellow"/>
        </w:rPr>
        <w:t xml:space="preserve"> used to determine actual renewable-generation capacity, energy-storage requirements, grid-interconnection capacity, reserve requirements, and the sizing of backup resources. Investment-grade implementation </w:t>
      </w:r>
      <w:r w:rsidRPr="006810FA">
        <w:rPr>
          <w:highlight w:val="yellow"/>
        </w:rPr>
        <w:t>of the framework would also involve detailed electrical system studies, equipment specifications, protection and power quality analysis, reliability and resilience assessments, lifecycle-cost analysis, environmental and permitting analysis, and a project-specific financial analysis.</w:t>
      </w:r>
    </w:p>
    <w:p w14:paraId="0FBED228" w14:textId="7DC76013" w:rsidR="005650D4" w:rsidRPr="00987689" w:rsidRDefault="005650D4" w:rsidP="006810FA">
      <w:pPr>
        <w:pStyle w:val="Heading20"/>
        <w:jc w:val="both"/>
        <w:rPr>
          <w:color w:val="auto"/>
        </w:rPr>
      </w:pPr>
      <w:r w:rsidRPr="00987689">
        <w:rPr>
          <w:color w:val="auto"/>
        </w:rPr>
        <w:t>13.5 Technology, Policy, and Market Uncertainty</w:t>
      </w:r>
    </w:p>
    <w:p w14:paraId="35977D60" w14:textId="77777777" w:rsidR="009F4B46" w:rsidRPr="009F4B46" w:rsidRDefault="009F4B46" w:rsidP="009F4B46">
      <w:pPr>
        <w:spacing w:after="120"/>
        <w:ind w:firstLine="480"/>
        <w:rPr>
          <w:highlight w:val="yellow"/>
        </w:rPr>
      </w:pPr>
      <w:r w:rsidRPr="009F4B46">
        <w:rPr>
          <w:highlight w:val="yellow"/>
        </w:rPr>
        <w:t>The cost of technology, electricity-market rules, interconnection procedures, tax incentives, financing conditions, corporate procurement practices, grid requirements and AI workload characteristics are constantly changing. The cost and performance data cited in this review are therefore applicable to the technology and market conditions represented in the source literature referenced during the conduct of this review and will likely evolve prior to the construction or commercial operation of a proposed data-center project. For project specific applications, the sources and geographic basis, vintage, and system boundary should be documented for each material assumption, as well as repeat sensitivity analyses whenever technology costs, electricity tariff, market, policy, financing, or interconnection needs change significantly. The framework should be updated regularly to incorporate new technical, economic, regulatory, and operational information.</w:t>
      </w:r>
    </w:p>
    <w:p w14:paraId="48D13507" w14:textId="2CA0F303" w:rsidR="00FE013C" w:rsidRDefault="00FE013C" w:rsidP="009F4B46">
      <w:pPr>
        <w:pStyle w:val="Heading1"/>
        <w:keepNext/>
        <w:jc w:val="both"/>
      </w:pPr>
      <w:r>
        <w:t>1</w:t>
      </w:r>
      <w:r w:rsidR="00CA1249">
        <w:t>4</w:t>
      </w:r>
      <w:r>
        <w:t>. Conclusions</w:t>
      </w:r>
    </w:p>
    <w:p w14:paraId="0E1322B4" w14:textId="48AA68EE" w:rsidR="002C0348" w:rsidRPr="00884A62" w:rsidRDefault="005C0DA5" w:rsidP="00884A62">
      <w:pPr>
        <w:spacing w:after="120"/>
        <w:ind w:firstLine="480"/>
        <w:rPr>
          <w:highlight w:val="yellow"/>
        </w:rPr>
      </w:pPr>
      <w:r>
        <w:rPr>
          <w:highlight w:val="yellow"/>
        </w:rPr>
        <w:t>T</w:t>
      </w:r>
      <w:r w:rsidR="002C0348" w:rsidRPr="00884A62">
        <w:rPr>
          <w:highlight w:val="yellow"/>
        </w:rPr>
        <w:t xml:space="preserve">his review presents a seven-component approach for screening and comparing energy-infrastructure pathways for renewable-powered AI data centers. It integrates site and resource assessment, technology selection, electrical architecture, control and dispatch, workload flexibility, economic evaluation, and sustainability and resilience considerations. The framework links engineering, operational, financial, regulatory, and sustainability considerations that are often treated separately in </w:t>
      </w:r>
      <w:r w:rsidRPr="00884A62">
        <w:rPr>
          <w:highlight w:val="yellow"/>
        </w:rPr>
        <w:t>literature</w:t>
      </w:r>
      <w:r w:rsidR="002C0348" w:rsidRPr="00884A62">
        <w:rPr>
          <w:highlight w:val="yellow"/>
        </w:rPr>
        <w:t>. By bringing renewable generation, energy storage, grid integration, and workload scheduling into a common assessment structure, the approach supports systematic comparison of alternative energy-infrastructure pathways without prescribing a universal site-specific design.</w:t>
      </w:r>
    </w:p>
    <w:p w14:paraId="28F50031" w14:textId="42E2B3A9" w:rsidR="00FE013C" w:rsidRPr="00571D88" w:rsidRDefault="00FE013C" w:rsidP="002C0348">
      <w:pPr>
        <w:pStyle w:val="Heading20"/>
        <w:jc w:val="both"/>
        <w:rPr>
          <w:color w:val="auto"/>
        </w:rPr>
      </w:pPr>
      <w:r w:rsidRPr="00E75DCC">
        <w:rPr>
          <w:color w:val="auto"/>
        </w:rPr>
        <w:t>1</w:t>
      </w:r>
      <w:r w:rsidR="00CA1249">
        <w:rPr>
          <w:color w:val="auto"/>
        </w:rPr>
        <w:t>4</w:t>
      </w:r>
      <w:r>
        <w:rPr>
          <w:color w:val="auto"/>
        </w:rPr>
        <w:t>.1</w:t>
      </w:r>
      <w:r w:rsidRPr="00E75DCC">
        <w:rPr>
          <w:color w:val="auto"/>
        </w:rPr>
        <w:t xml:space="preserve"> </w:t>
      </w:r>
      <w:r w:rsidRPr="00571D88">
        <w:rPr>
          <w:color w:val="auto"/>
        </w:rPr>
        <w:t>Key Technical Findings</w:t>
      </w:r>
    </w:p>
    <w:p w14:paraId="66DBF886" w14:textId="4C193C5A" w:rsidR="00407699" w:rsidRPr="00407699" w:rsidRDefault="000343F4" w:rsidP="00407699">
      <w:pPr>
        <w:spacing w:after="120"/>
        <w:ind w:firstLine="480"/>
        <w:rPr>
          <w:highlight w:val="yellow"/>
          <w:lang w:val="en-CA"/>
        </w:rPr>
      </w:pPr>
      <w:r w:rsidRPr="00B90EDF">
        <w:rPr>
          <w:highlight w:val="yellow"/>
        </w:rPr>
        <w:t>The literature documents substantial historical cost reductions in solar PV and lithium-ion batteries, although future trajectories remain uncertain</w:t>
      </w:r>
      <w:r w:rsidR="00FE013C" w:rsidRPr="00B90EDF">
        <w:rPr>
          <w:highlight w:val="yellow"/>
        </w:rPr>
        <w:t xml:space="preserve">. Since 2010, solar PV installed costs have dropped by more than 90%, with current utility-scale prices in the range of $0.70 to $1.20/W depending on project scale and geography. Wind and solar generation profiles exhibit strong seasonal </w:t>
      </w:r>
      <w:r w:rsidR="00FE013C" w:rsidRPr="00B90EDF">
        <w:rPr>
          <w:highlight w:val="yellow"/>
        </w:rPr>
        <w:lastRenderedPageBreak/>
        <w:t xml:space="preserve">complementarity, improving system reliability while reducing storage requirements. </w:t>
      </w:r>
      <w:r w:rsidR="00F02BE4" w:rsidRPr="00B90EDF">
        <w:rPr>
          <w:highlight w:val="yellow"/>
          <w:lang w:val="en-CA"/>
        </w:rPr>
        <w:t>Geographic diversification and complementary renewable-resource portfolios can reduce aggregate renewable-generation variability and may decrease storage requirements compared with single-technology deployments. The magnitude of this benefit is location-specific and should be evaluated using chronological resource and load data</w:t>
      </w:r>
      <w:r w:rsidR="00FE013C" w:rsidRPr="00B90EDF">
        <w:rPr>
          <w:highlight w:val="yellow"/>
        </w:rPr>
        <w:t xml:space="preserve">. Lithium iron phosphate (LFP) battery systems remain the dominant short-to-medium duration storage technology for data </w:t>
      </w:r>
      <w:r w:rsidR="00580BAE" w:rsidRPr="00B90EDF">
        <w:rPr>
          <w:highlight w:val="yellow"/>
        </w:rPr>
        <w:t>center</w:t>
      </w:r>
      <w:r w:rsidR="00FE013C" w:rsidRPr="00B90EDF">
        <w:rPr>
          <w:highlight w:val="yellow"/>
        </w:rPr>
        <w:t xml:space="preserve"> applications. </w:t>
      </w:r>
      <w:r w:rsidR="00407699" w:rsidRPr="00B90EDF">
        <w:rPr>
          <w:highlight w:val="yellow"/>
          <w:lang w:val="en-CA"/>
        </w:rPr>
        <w:t xml:space="preserve">The volume-weighted average lithium-ion battery-pack price declined to </w:t>
      </w:r>
      <w:r w:rsidR="00407699" w:rsidRPr="00407699">
        <w:rPr>
          <w:highlight w:val="yellow"/>
          <w:lang w:val="en-CA"/>
        </w:rPr>
        <w:t xml:space="preserve">approximately </w:t>
      </w:r>
      <w:r w:rsidR="00697A34">
        <w:rPr>
          <w:highlight w:val="yellow"/>
          <w:lang w:val="en-CA"/>
        </w:rPr>
        <w:t>$</w:t>
      </w:r>
      <w:r w:rsidR="00407699" w:rsidRPr="00407699">
        <w:rPr>
          <w:highlight w:val="yellow"/>
          <w:lang w:val="en-CA"/>
        </w:rPr>
        <w:t>108/kWh in 2025. Continued cost reductions are anticipated as manufacturing scale and technology maturity increase; however, future cost trajectories remain uncertain and depend on technology development, supply-chain conditions, and market dynamics.</w:t>
      </w:r>
    </w:p>
    <w:p w14:paraId="776C5149" w14:textId="1FDA09AB" w:rsidR="00FE013C" w:rsidRPr="00CA1249" w:rsidRDefault="00FE013C" w:rsidP="00571D88">
      <w:pPr>
        <w:pStyle w:val="Heading20"/>
        <w:jc w:val="both"/>
        <w:rPr>
          <w:color w:val="auto"/>
        </w:rPr>
      </w:pPr>
      <w:r w:rsidRPr="00E75DCC">
        <w:rPr>
          <w:color w:val="auto"/>
        </w:rPr>
        <w:t>1</w:t>
      </w:r>
      <w:r w:rsidR="00CA1249">
        <w:rPr>
          <w:color w:val="auto"/>
        </w:rPr>
        <w:t>4</w:t>
      </w:r>
      <w:r>
        <w:rPr>
          <w:color w:val="auto"/>
        </w:rPr>
        <w:t>.2</w:t>
      </w:r>
      <w:r w:rsidRPr="00E75DCC">
        <w:rPr>
          <w:color w:val="auto"/>
        </w:rPr>
        <w:t xml:space="preserve"> </w:t>
      </w:r>
      <w:r w:rsidRPr="00CA1249">
        <w:rPr>
          <w:color w:val="auto"/>
        </w:rPr>
        <w:t>Key Economic Findings</w:t>
      </w:r>
    </w:p>
    <w:p w14:paraId="63F67912" w14:textId="77777777" w:rsidR="006D1D14" w:rsidRPr="006D1D14" w:rsidRDefault="006D1D14" w:rsidP="006D1D14">
      <w:pPr>
        <w:spacing w:after="120"/>
        <w:ind w:firstLine="480"/>
        <w:rPr>
          <w:highlight w:val="yellow"/>
        </w:rPr>
      </w:pPr>
      <w:r w:rsidRPr="006D1D14">
        <w:rPr>
          <w:highlight w:val="yellow"/>
        </w:rPr>
        <w:t>The reviewed evidence suggests that renewable-powered AI data centers may be economically viable under favorable combinations of renewable-resource quality, electricity prices, financing conditions, storage requirements, interconnection costs, and policy incentives. Economic outcomes vary substantially across projects and should therefore be evaluated through project-specific techno-economic analysis rather than generalized using industry-wide benchmarks.</w:t>
      </w:r>
    </w:p>
    <w:p w14:paraId="2A002337" w14:textId="4FB9A0A0" w:rsidR="00FE013C" w:rsidRDefault="00FE013C" w:rsidP="004C16FF">
      <w:pPr>
        <w:pStyle w:val="Heading20"/>
        <w:jc w:val="both"/>
      </w:pPr>
      <w:r w:rsidRPr="00E75DCC">
        <w:rPr>
          <w:color w:val="auto"/>
        </w:rPr>
        <w:t>1</w:t>
      </w:r>
      <w:r w:rsidR="00CA1249">
        <w:rPr>
          <w:color w:val="auto"/>
        </w:rPr>
        <w:t>4</w:t>
      </w:r>
      <w:r>
        <w:rPr>
          <w:color w:val="auto"/>
        </w:rPr>
        <w:t>.3</w:t>
      </w:r>
      <w:r w:rsidRPr="00E75DCC">
        <w:rPr>
          <w:color w:val="auto"/>
        </w:rPr>
        <w:t xml:space="preserve"> </w:t>
      </w:r>
      <w:r w:rsidRPr="00B64FB3">
        <w:t>Implementation Recommendations</w:t>
      </w:r>
    </w:p>
    <w:p w14:paraId="27A58A83" w14:textId="77777777" w:rsidR="00933B0C" w:rsidRDefault="00933B0C" w:rsidP="00815CE7">
      <w:pPr>
        <w:spacing w:after="120"/>
        <w:ind w:firstLine="480"/>
        <w:rPr>
          <w:highlight w:val="yellow"/>
        </w:rPr>
      </w:pPr>
      <w:r w:rsidRPr="00933B0C">
        <w:rPr>
          <w:highlight w:val="yellow"/>
        </w:rPr>
        <w:t>Deterministic, probabilistic, and optimization-based storage-sizing methodologies each serve different planning purposes. Deterministic approaches may be appropriate where conservative reliability margins are required, while probabilistic approaches such as Loss of Load Expectation (LOLE) can provide additional insight into reliability-performance trade-offs when sufficient chronological data are available. The appropriate methodology should therefore be selected according to planning objectives, available data, reliability requirements, and risk tolerance.</w:t>
      </w:r>
    </w:p>
    <w:p w14:paraId="7105F7ED" w14:textId="63670E44" w:rsidR="00495994" w:rsidRPr="00933B0C" w:rsidRDefault="00495994" w:rsidP="00495994">
      <w:pPr>
        <w:spacing w:after="120"/>
        <w:ind w:firstLine="480"/>
        <w:rPr>
          <w:highlight w:val="yellow"/>
        </w:rPr>
      </w:pPr>
      <w:r w:rsidRPr="00495994">
        <w:rPr>
          <w:highlight w:val="yellow"/>
        </w:rPr>
        <w:t>Overall, this study contributes a systematic critical review and a structured seven-component decision framework that synthesizes current evidence across energy infrastructure, renewable integration, storage technologies, grid interaction, operational strategies, and sustainability considerations for AI data centers. Rather than prescribing a universal technology pathway, the framework is intended to support transparent evaluation of project-specific options, assumptions, trade-offs, and uncertainties. Future work should focus on reproducible techno-economic assessment methodologies, independently verifiable sustainability metrics, long-duration storage integration, and the evolving interaction between AI computing demand and modern power systems.</w:t>
      </w:r>
    </w:p>
    <w:p w14:paraId="434F0A2E" w14:textId="753B7FF3" w:rsidR="00FE013C" w:rsidRPr="00F56D3B" w:rsidRDefault="00FE013C" w:rsidP="004C16FF">
      <w:pPr>
        <w:pStyle w:val="Heading1"/>
        <w:keepNext/>
        <w:jc w:val="both"/>
        <w:rPr>
          <w:lang w:val="en-US"/>
        </w:rPr>
      </w:pPr>
      <w:r>
        <w:t>1</w:t>
      </w:r>
      <w:r w:rsidR="00CA1249">
        <w:t>5</w:t>
      </w:r>
      <w:r>
        <w:t>. Future Research Directions and Emerging Technologies</w:t>
      </w:r>
    </w:p>
    <w:p w14:paraId="4A464C65" w14:textId="3A4A9EE6" w:rsidR="00FE013C" w:rsidRDefault="00FE013C" w:rsidP="004C16FF">
      <w:pPr>
        <w:spacing w:after="120"/>
        <w:ind w:firstLine="480"/>
      </w:pPr>
      <w:r>
        <w:t xml:space="preserve">This section identifies unresolved research questions and next-generation technologies that will shape the evolution of renewable-powered data </w:t>
      </w:r>
      <w:r w:rsidR="00580BAE">
        <w:t>center</w:t>
      </w:r>
      <w:r>
        <w:t>s in the coming decade and beyond. The analysis distinguishes between near-term opportunities (1–5 years), medium-term developments (5–10 years), and long-term transformations (10+ years).</w:t>
      </w:r>
    </w:p>
    <w:p w14:paraId="05ED95B0" w14:textId="0793E41D" w:rsidR="00FE013C" w:rsidRPr="00035D77" w:rsidRDefault="00FE013C" w:rsidP="004C16FF">
      <w:pPr>
        <w:pStyle w:val="Heading20"/>
        <w:jc w:val="both"/>
        <w:rPr>
          <w:color w:val="auto"/>
        </w:rPr>
      </w:pPr>
      <w:bookmarkStart w:id="30" w:name="_Toc100090"/>
      <w:r w:rsidRPr="00035D77">
        <w:rPr>
          <w:color w:val="auto"/>
        </w:rPr>
        <w:t>1</w:t>
      </w:r>
      <w:r w:rsidR="00CA1249">
        <w:rPr>
          <w:color w:val="auto"/>
        </w:rPr>
        <w:t>5</w:t>
      </w:r>
      <w:r w:rsidRPr="00035D77">
        <w:rPr>
          <w:color w:val="auto"/>
        </w:rPr>
        <w:t>.1 Next-Generation Computing Paradigms</w:t>
      </w:r>
      <w:bookmarkEnd w:id="30"/>
    </w:p>
    <w:p w14:paraId="06942FFF" w14:textId="4A1593C9" w:rsidR="00FE013C" w:rsidRDefault="00FE013C" w:rsidP="00E842C0">
      <w:pPr>
        <w:spacing w:after="120"/>
        <w:ind w:firstLine="480"/>
      </w:pPr>
      <w:r>
        <w:lastRenderedPageBreak/>
        <w:t xml:space="preserve">Although quantum computing is not necessarily meant to out-compete classical GPUs in the AI training and inference space, it does come with its own set of energy demands. Current quantum processors are cryogenically cooled to near-absolute-zero (10-20 </w:t>
      </w:r>
      <w:r w:rsidR="004C1E8D">
        <w:t>millikelvin</w:t>
      </w:r>
      <w:r>
        <w:t>) and require 1-10 kW of cooling for every 10 qubits</w:t>
      </w:r>
      <w:r>
        <w:fldChar w:fldCharType="begin"/>
      </w:r>
      <w:r w:rsidR="00E842C0">
        <w:instrText xml:space="preserve"> ADDIN ZOTERO_ITEM CSL_CITATION {"citationID":"1crukupb","properties":{"unsorted":false,"formattedCitation":"[164]","plainCitation":"[164]","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00E842C0" w:rsidRPr="00E842C0">
        <w:t>[164]</w:t>
      </w:r>
      <w:r>
        <w:fldChar w:fldCharType="end"/>
      </w:r>
      <w:r>
        <w:t xml:space="preserve">. The overall energy impact of the data </w:t>
      </w:r>
      <w:r w:rsidR="00580BAE">
        <w:t>center</w:t>
      </w:r>
      <w:r>
        <w:t xml:space="preserve"> will be small; however, quantum operations require very stable power generation to avoid state decoherence.</w:t>
      </w:r>
    </w:p>
    <w:p w14:paraId="7E01FFCE" w14:textId="6E546EC6" w:rsidR="00FE013C" w:rsidRDefault="00FE013C" w:rsidP="00E842C0">
      <w:pPr>
        <w:spacing w:after="120"/>
        <w:ind w:firstLine="480"/>
      </w:pPr>
      <w:r>
        <w:t>Neuromorphic computing relies on spiking neural networks to replicate biological neural computation and could yield order-of-magnitude energy savings. Implementations of 'neuromorphic' architectures have shown as much as 100 times greater energy efficiency than state-of-the-art GPUs for certain pattern recognition applications that are event driven</w:t>
      </w:r>
      <w:r>
        <w:fldChar w:fldCharType="begin"/>
      </w:r>
      <w:r w:rsidR="00E842C0">
        <w:instrText xml:space="preserve"> ADDIN ZOTERO_ITEM CSL_CITATION {"citationID":"nhFiMoUD","properties":{"unsorted":false,"formattedCitation":"[174]","plainCitation":"[174]","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00E842C0" w:rsidRPr="00E842C0">
        <w:t>[174]</w:t>
      </w:r>
      <w:r>
        <w:fldChar w:fldCharType="end"/>
      </w:r>
      <w:r>
        <w:t>. Yet, a less-developed software ecosystem and the inability of dominant models based on transformers to support the DGX ecosystem of neuromorphic training approaches have stood as an obstacle to widespread adoption.</w:t>
      </w:r>
    </w:p>
    <w:p w14:paraId="2DBF8E8D" w14:textId="3E4CEE89" w:rsidR="00FE013C" w:rsidRDefault="00FE013C" w:rsidP="00E842C0">
      <w:pPr>
        <w:spacing w:after="120"/>
        <w:ind w:firstLine="480"/>
      </w:pPr>
      <w:r>
        <w:t xml:space="preserve">Photonic (optical) computing and interconnects represent the </w:t>
      </w:r>
      <w:r w:rsidR="005B64CC" w:rsidRPr="005B64CC">
        <w:t>an emerging pathway for reducing communication energy in AI systems</w:t>
      </w:r>
      <w:r>
        <w:t>. An increasing number of photonic interconnects are available commercially and help to solve the serious power constraint problem of copper wiring for GPU clusters by scaling down the energy per bit needed for data communication by one order of magnitude. In addition, analogue optical computing processors have demonstrated a level of inference that is greater than 160 TOPS/W (trillion operations per second per watt) in laboratories</w:t>
      </w:r>
      <w:r>
        <w:fldChar w:fldCharType="begin"/>
      </w:r>
      <w:r w:rsidR="00E842C0">
        <w:instrText xml:space="preserve"> ADDIN ZOTERO_ITEM CSL_CITATION {"citationID":"ZGhHTglV","properties":{"unsorted":false,"formattedCitation":"[175]","plainCitation":"[175]","noteIndex":0},"citationItems":[{"id":2207,"uris":["http://zotero.org/users/9870935/items/7C2QV3UH"],"itemData":{"id":2207,"type":"article-journal","abstract":"Panel-scale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fldChar w:fldCharType="separate"/>
      </w:r>
      <w:r w:rsidR="00E842C0" w:rsidRPr="00E842C0">
        <w:t>[175]</w:t>
      </w:r>
      <w:r>
        <w:fldChar w:fldCharType="end"/>
      </w:r>
      <w:r>
        <w:t>.</w:t>
      </w:r>
    </w:p>
    <w:p w14:paraId="28CC95DC" w14:textId="34481DFB" w:rsidR="00FE013C" w:rsidRPr="00131821" w:rsidRDefault="00FE013C" w:rsidP="004C16FF">
      <w:pPr>
        <w:pStyle w:val="Heading20"/>
        <w:jc w:val="both"/>
        <w:rPr>
          <w:color w:val="auto"/>
        </w:rPr>
      </w:pPr>
      <w:r w:rsidRPr="00131821">
        <w:rPr>
          <w:color w:val="auto"/>
        </w:rPr>
        <w:t>1</w:t>
      </w:r>
      <w:r w:rsidR="00CA1249">
        <w:rPr>
          <w:color w:val="auto"/>
        </w:rPr>
        <w:t>5</w:t>
      </w:r>
      <w:r w:rsidRPr="00131821">
        <w:rPr>
          <w:color w:val="auto"/>
        </w:rPr>
        <w:t>.2 Advanced Energy Storage Technologies</w:t>
      </w:r>
    </w:p>
    <w:p w14:paraId="4B9DDC35" w14:textId="0586504F" w:rsidR="00FE013C" w:rsidRDefault="00FE013C" w:rsidP="00E842C0">
      <w:pPr>
        <w:spacing w:after="120"/>
        <w:ind w:firstLine="480"/>
      </w:pPr>
      <w:r>
        <w:t xml:space="preserve">A near-term possible improvement for high-density, low-footprint energy storage is solid-state and lithium-metal batteries, which promise 2–3 times the energy density of today's lithium-ion batteries. </w:t>
      </w:r>
      <w:r w:rsidR="004C1E8D">
        <w:t>Commercialization</w:t>
      </w:r>
      <w:r>
        <w:t xml:space="preserve"> for stationary storage applications is now moving rapidly, and stationary pricing is expected to reach parity with LFP chemistries by the end of the decade</w:t>
      </w:r>
      <w:r>
        <w:fldChar w:fldCharType="begin"/>
      </w:r>
      <w:r w:rsidR="00E842C0">
        <w:instrText xml:space="preserve"> ADDIN ZOTERO_ITEM CSL_CITATION {"citationID":"AOjUg4op","properties":{"unsorted":false,"formattedCitation":"[176]","plainCitation":"[176]","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fldChar w:fldCharType="separate"/>
      </w:r>
      <w:r w:rsidR="00E842C0" w:rsidRPr="00E842C0">
        <w:t>[176]</w:t>
      </w:r>
      <w:r>
        <w:fldChar w:fldCharType="end"/>
      </w:r>
      <w:r>
        <w:t>.</w:t>
      </w:r>
    </w:p>
    <w:p w14:paraId="0215BB71" w14:textId="4B5B75C6" w:rsidR="00FE013C" w:rsidRPr="002108A4" w:rsidRDefault="00FE013C" w:rsidP="00A95675">
      <w:pPr>
        <w:spacing w:after="120"/>
        <w:ind w:firstLine="480"/>
      </w:pPr>
      <w:r>
        <w:t xml:space="preserve">Form Energy's iron air battery technology moved from pilot projects to gigawatt-scale commercial production in 2026, which is critical for 24/7 carbon-free energy matching. Iron-air deployments are designed for multi-day storage time and a considerably lower cost than lithium-ion batteries, </w:t>
      </w:r>
      <w:r w:rsidR="00884D6E" w:rsidRPr="00884D6E">
        <w:t xml:space="preserve">representing a potentially important change in long-duration storage options </w:t>
      </w:r>
      <w:r>
        <w:fldChar w:fldCharType="begin"/>
      </w:r>
      <w:r w:rsidR="00A95675">
        <w:instrText xml:space="preserve"> ADDIN ZOTERO_ITEM CSL_CITATION {"citationID":"kXk4XAc1","properties":{"unsorted":false,"formattedCitation":"[119]","plainCitation":"[119]","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A95675" w:rsidRPr="00A95675">
        <w:t>[119]</w:t>
      </w:r>
      <w:r>
        <w:fldChar w:fldCharType="end"/>
      </w:r>
      <w:r>
        <w:t xml:space="preserve">. A low-carbon hydrogen source can provide seasonal storage times. Now, </w:t>
      </w:r>
      <w:r w:rsidR="00891CE3" w:rsidRPr="00891CE3">
        <w:t>economic competitiveness remains sensitive to hydrogen-production, storage, conversion, and electricity costs</w:t>
      </w:r>
      <w:r>
        <w:t xml:space="preserve">, from $2/kg to less than $1/kg, for economic viability in data </w:t>
      </w:r>
      <w:r w:rsidR="00580BAE">
        <w:t>center</w:t>
      </w:r>
      <w:r>
        <w:t xml:space="preserve"> backup applications—a long-term target of massive amounts of </w:t>
      </w:r>
      <w:r w:rsidR="004C1E8D">
        <w:t>electrolyze</w:t>
      </w:r>
      <w:r>
        <w:t xml:space="preserve"> scale-up and reductions in renewable electricity cost.</w:t>
      </w:r>
    </w:p>
    <w:p w14:paraId="16C49DE4" w14:textId="66B5DC1E" w:rsidR="00FE013C" w:rsidRDefault="00FE013C" w:rsidP="004C16FF">
      <w:pPr>
        <w:pStyle w:val="Heading20"/>
        <w:jc w:val="both"/>
      </w:pPr>
      <w:r w:rsidRPr="00131821">
        <w:rPr>
          <w:color w:val="auto"/>
        </w:rPr>
        <w:t>1</w:t>
      </w:r>
      <w:r w:rsidR="00CA1249">
        <w:rPr>
          <w:color w:val="auto"/>
        </w:rPr>
        <w:t>5</w:t>
      </w:r>
      <w:r w:rsidRPr="00131821">
        <w:rPr>
          <w:color w:val="auto"/>
        </w:rPr>
        <w:t>.</w:t>
      </w:r>
      <w:r>
        <w:rPr>
          <w:color w:val="auto"/>
        </w:rPr>
        <w:t>3</w:t>
      </w:r>
      <w:r w:rsidRPr="00131821">
        <w:rPr>
          <w:color w:val="auto"/>
        </w:rPr>
        <w:t xml:space="preserve"> </w:t>
      </w:r>
      <w:r>
        <w:t>AI and Machine Learning for Grid Optimization</w:t>
      </w:r>
    </w:p>
    <w:p w14:paraId="0FEA0462" w14:textId="2DF45BF0" w:rsidR="00FE013C" w:rsidRPr="00593464" w:rsidRDefault="00FE013C" w:rsidP="00E842C0">
      <w:pPr>
        <w:spacing w:after="120"/>
        <w:ind w:firstLine="480"/>
      </w:pPr>
      <w:r w:rsidRPr="00593464">
        <w:t xml:space="preserve">Machine learning is being applied in many ways across the grid, </w:t>
      </w:r>
      <w:r w:rsidR="00891CE3" w:rsidRPr="00891CE3">
        <w:t>including forecasting, dispatch, and predictive maintenance</w:t>
      </w:r>
      <w:r w:rsidRPr="00593464">
        <w:t>, real-time dispatch, or predictive maintenance. Technologies such as spatio-temporal networks and transformer-based time-series models have been shown to boost the accuracy of solar and wind forecasts by 20–30% compared to traditional numerical weather prediction models</w:t>
      </w:r>
      <w:r>
        <w:fldChar w:fldCharType="begin"/>
      </w:r>
      <w:r w:rsidR="00A95675">
        <w:instrText xml:space="preserve"> ADDIN ZOTERO_ITEM CSL_CITATION {"citationID":"IpOR4aDm","properties":{"unsorted":false,"formattedCitation":"[119]","plainCitation":"[119]","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A95675" w:rsidRPr="00A95675">
        <w:t>[119]</w:t>
      </w:r>
      <w:r>
        <w:fldChar w:fldCharType="end"/>
      </w:r>
      <w:r w:rsidRPr="00593464">
        <w:t xml:space="preserve">. Reinforcement learning (RL) agents are </w:t>
      </w:r>
      <w:r w:rsidR="00B30B7F" w:rsidRPr="00B30B7F">
        <w:t xml:space="preserve">have shown promising results in individual studies, but performance remains application- and training-dependent </w:t>
      </w:r>
      <w:r w:rsidRPr="00593464">
        <w:t xml:space="preserve">in learning optimal policies for multi-microgrid dispatch, consistently outperforming conventional rule-based or purely deterministic approaches in complex multi-objective </w:t>
      </w:r>
      <w:r w:rsidR="004C1E8D" w:rsidRPr="00593464">
        <w:t>optimization</w:t>
      </w:r>
      <w:r w:rsidRPr="00593464">
        <w:t xml:space="preserve"> problems, while continuously interacting with simulated environments. Additionally, systems for predictive maintenance with applications based on </w:t>
      </w:r>
      <w:r w:rsidRPr="00593464">
        <w:lastRenderedPageBreak/>
        <w:t xml:space="preserve">anomaly detection algorithms on the edge can detect trends in insulation and mechanical degradation of equipment in substations at an early stage. This is proactive maintenance (before catastrophic fault) that can be scheduled and </w:t>
      </w:r>
      <w:r w:rsidR="004C1E8D" w:rsidRPr="00593464">
        <w:t>minimize</w:t>
      </w:r>
      <w:r w:rsidRPr="00593464">
        <w:t xml:space="preserve"> unplanned downtime in the facility. Developing autonomous grid control with AI is challenging because of the lack of ability to </w:t>
      </w:r>
      <w:r w:rsidR="004C1E8D" w:rsidRPr="00593464">
        <w:t>generalize</w:t>
      </w:r>
      <w:r w:rsidRPr="00593464">
        <w:t xml:space="preserve"> the models and provide guarantees over the training distribution, especially for high-impact, low-frequency extreme weather events</w:t>
      </w:r>
      <w:r>
        <w:fldChar w:fldCharType="begin"/>
      </w:r>
      <w:r w:rsidR="00E842C0">
        <w:instrText xml:space="preserve"> ADDIN ZOTERO_ITEM CSL_CITATION {"citationID":"rSU4U6il","properties":{"unsorted":false,"formattedCitation":"[177]","plainCitation":"[177]","noteIndex":0},"citationItems":[{"id":2212,"uris":["http://zotero.org/users/9870935/items/VXAENHHC"],"itemData":{"id":2212,"type":"article","abstract":"Safe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fldChar w:fldCharType="separate"/>
      </w:r>
      <w:r w:rsidR="00E842C0" w:rsidRPr="00E842C0">
        <w:t>[177]</w:t>
      </w:r>
      <w:r>
        <w:fldChar w:fldCharType="end"/>
      </w:r>
      <w:r w:rsidRPr="00593464">
        <w:t>.</w:t>
      </w:r>
    </w:p>
    <w:p w14:paraId="1FB6D1D6" w14:textId="12CC9507"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.4 Challenges for a 100 percent Renewable Grid</w:t>
      </w:r>
    </w:p>
    <w:p w14:paraId="439CB4FE" w14:textId="4A3220F7" w:rsidR="00FE013C" w:rsidRPr="00180502" w:rsidRDefault="00FE013C" w:rsidP="00E842C0">
      <w:pPr>
        <w:spacing w:after="120"/>
        <w:ind w:firstLine="480"/>
      </w:pPr>
      <w:r w:rsidRPr="00180502">
        <w:t>The structural stability challenges faced by power systems operating with a renewable penetration of more than 80</w:t>
      </w:r>
      <w:r>
        <w:t xml:space="preserve">% </w:t>
      </w:r>
      <w:r w:rsidRPr="00180502">
        <w:t xml:space="preserve">are qualitatively different from those faced by power systems operating in a traditional manner. Conventional thermal generation has been retired, leaving frequency nadir and rate of change of frequency (RoCoF) dynamics as a significant challenge. In this operating environment, fast acting Inverter Based Resources (IBRs) with Grid-Forming Control (GFC) is required to provide synthetic inertia and help stabilize sub-second frequency deviations </w:t>
      </w:r>
      <w:r>
        <w:fldChar w:fldCharType="begin"/>
      </w:r>
      <w:r w:rsidR="00E842C0">
        <w:instrText xml:space="preserve"> ADDIN ZOTERO_ITEM CSL_CITATION {"citationID":"TKwvq3OP","properties":{"unsorted":false,"formattedCitation":"[165]","plainCitation":"[165]","noteIndex":0},"citationItems":[{"id":2214,"uris":["http://zotero.org/users/9870935/items/L3VF7GNN"],"itemData":{"id":2214,"type":"article-journal","abstract":"This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fldChar w:fldCharType="separate"/>
      </w:r>
      <w:r w:rsidR="00E842C0" w:rsidRPr="00E842C0">
        <w:t>[165]</w:t>
      </w:r>
      <w:r>
        <w:fldChar w:fldCharType="end"/>
      </w:r>
      <w:r w:rsidRPr="00180502">
        <w:t>.</w:t>
      </w:r>
    </w:p>
    <w:p w14:paraId="6DD83B3A" w14:textId="6086AF8C" w:rsidR="00FE013C" w:rsidRPr="00180502" w:rsidRDefault="00FE013C" w:rsidP="00E842C0">
      <w:pPr>
        <w:spacing w:after="120"/>
        <w:ind w:firstLine="480"/>
      </w:pPr>
      <w:r w:rsidRPr="00180502">
        <w:t>Moreover, weak grid conditions, such as low system strength and low short circuit ratios (SCR), pose serious risks of control interaction and transient voltage instability when operating the equipment. With a growing number of deep generation oversupply and deep generation undersupply events, the system needs to be highly coordinated from the millisecond level of dynamic voltage support to seasonal energy storage dispatch</w:t>
      </w:r>
      <w:r>
        <w:fldChar w:fldCharType="begin"/>
      </w:r>
      <w:r w:rsidR="00E842C0">
        <w:instrText xml:space="preserve"> ADDIN ZOTERO_ITEM CSL_CITATION {"citationID":"g1phXAsO","properties":{"unsorted":false,"formattedCitation":"[167]","plainCitation":"[167]","noteIndex":0},"citationItems":[{"id":2189,"uris":["http://zotero.org/users/9870935/items/U4Y7SALQ"],"itemData":{"id":2189,"type":"article-journal","abstract":"The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00E842C0" w:rsidRPr="00E842C0">
        <w:t>[167]</w:t>
      </w:r>
      <w:r>
        <w:fldChar w:fldCharType="end"/>
      </w:r>
      <w:r w:rsidRPr="00180502">
        <w:t>.</w:t>
      </w:r>
    </w:p>
    <w:p w14:paraId="1B6520CD" w14:textId="79DD5D9F" w:rsidR="00FE013C" w:rsidRDefault="00FE013C" w:rsidP="00A95675">
      <w:pPr>
        <w:spacing w:after="120"/>
        <w:ind w:firstLine="480"/>
      </w:pPr>
      <w:r w:rsidRPr="00180502">
        <w:t xml:space="preserve">Unlike conventional loads, data </w:t>
      </w:r>
      <w:r w:rsidR="00580BAE">
        <w:t>center</w:t>
      </w:r>
      <w:r w:rsidRPr="00180502">
        <w:t xml:space="preserve">s can be used to stabilize low-inertia grids. They can run as "anchor loads" and help ensure financial certainty for new clean energy projects. At the same time, data </w:t>
      </w:r>
      <w:r w:rsidR="00580BAE">
        <w:t>center</w:t>
      </w:r>
      <w:r w:rsidRPr="00180502">
        <w:t>s can use their on-site battery energy storage systems (BESS) and flexible computing architectures to provide the balancing authority with much-needed frequency response (FR), primary frequency response (PFR), and automated demand response (ADR) services at speeds that can be as rapid as a few seconds or as instantaneous as a few milliseconds</w:t>
      </w:r>
      <w:r>
        <w:fldChar w:fldCharType="begin"/>
      </w:r>
      <w:r w:rsidR="00A95675">
        <w:instrText xml:space="preserve"> ADDIN ZOTERO_ITEM CSL_CITATION {"citationID":"3pIrnlsx","properties":{"unsorted":false,"formattedCitation":"[114]","plainCitation":"[114]","noteIndex":0},"citationItems":[{"id":2215,"uris":["http://zotero.org/users/9870935/items/6KYBNJ5X"],"itemData":{"id":2215,"type":"article-journal","abstract":"Abstract\n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fldChar w:fldCharType="separate"/>
      </w:r>
      <w:r w:rsidR="00A95675" w:rsidRPr="00A95675">
        <w:t>[114]</w:t>
      </w:r>
      <w:r>
        <w:fldChar w:fldCharType="end"/>
      </w:r>
      <w:r w:rsidRPr="00180502">
        <w:t>.</w:t>
      </w:r>
    </w:p>
    <w:p w14:paraId="11A80E59" w14:textId="74FCC2A5"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5</w:t>
      </w:r>
      <w:r w:rsidRPr="00593464">
        <w:rPr>
          <w:color w:val="auto"/>
        </w:rPr>
        <w:t xml:space="preserve"> </w:t>
      </w:r>
      <w:r>
        <w:t>Integration with Grid Modernization</w:t>
      </w:r>
    </w:p>
    <w:p w14:paraId="773B36CF" w14:textId="7FA5BDF9" w:rsidR="00FE013C" w:rsidRPr="00931E05" w:rsidRDefault="00FE013C" w:rsidP="00E842C0">
      <w:pPr>
        <w:spacing w:after="120"/>
        <w:ind w:firstLine="480"/>
      </w:pPr>
      <w:r w:rsidRPr="00931E05">
        <w:t xml:space="preserve">Smart grid technologies, including advanced distribution automation, </w:t>
      </w:r>
      <w:r w:rsidR="004C1E8D" w:rsidRPr="00931E05">
        <w:t>localized</w:t>
      </w:r>
      <w:r w:rsidRPr="00931E05">
        <w:t xml:space="preserve"> microgrid designs, and power bidirectionality, are creating </w:t>
      </w:r>
      <w:r w:rsidR="005A5B88">
        <w:t>new opportunities</w:t>
      </w:r>
      <w:r w:rsidRPr="00931E05">
        <w:t xml:space="preserve"> for deep data </w:t>
      </w:r>
      <w:r w:rsidR="00580BAE">
        <w:t>center</w:t>
      </w:r>
      <w:r w:rsidRPr="00931E05">
        <w:t xml:space="preserve"> integration. </w:t>
      </w:r>
      <w:r w:rsidR="004C1E8D" w:rsidRPr="00931E05">
        <w:t>Optimized</w:t>
      </w:r>
      <w:r w:rsidRPr="00931E05">
        <w:t xml:space="preserve"> vehicle-to-grid (V2G) multi-facility aggregation could decrease a data </w:t>
      </w:r>
      <w:r w:rsidR="00580BAE">
        <w:t>center</w:t>
      </w:r>
      <w:r w:rsidRPr="00931E05">
        <w:t xml:space="preserve"> 's stationary battery footprint by 30–50</w:t>
      </w:r>
      <w:r>
        <w:t>%</w:t>
      </w:r>
      <w:r w:rsidRPr="00931E05">
        <w:t xml:space="preserve"> by using co-located vehicle fleet infrastructure facilities as a single energy buffer. </w:t>
      </w:r>
      <w:r w:rsidR="0039203F" w:rsidRPr="0039203F">
        <w:t xml:space="preserve">Another </w:t>
      </w:r>
      <w:r w:rsidR="00F917F3" w:rsidRPr="0039203F">
        <w:t>potential</w:t>
      </w:r>
      <w:r w:rsidR="0039203F" w:rsidRPr="0039203F">
        <w:t xml:space="preserve"> pathway </w:t>
      </w:r>
      <w:r w:rsidRPr="00931E05">
        <w:t xml:space="preserve">is thermal </w:t>
      </w:r>
      <w:r w:rsidR="004C1E8D" w:rsidRPr="00931E05">
        <w:t>modernization</w:t>
      </w:r>
      <w:r w:rsidRPr="00931E05">
        <w:t>. Hype</w:t>
      </w:r>
      <w:r>
        <w:t>r</w:t>
      </w:r>
      <w:r w:rsidRPr="00931E05">
        <w:t>scale facilities are quickly moving to liquid cooling loops to support high-density AI clusters and are rejecting high-grade waste heat, often in excess of 60°C. This increased temperature resource enables very effective integration with nearby municipal district heating or district cooling systems and/or adjacent industrial processes, resulting in a significant reduction in the comprehensive power usage effectiveness (PUE) and total resource effectiveness (TRE) of the facility</w:t>
      </w:r>
      <w:r>
        <w:fldChar w:fldCharType="begin"/>
      </w:r>
      <w:r w:rsidR="00E842C0">
        <w:instrText xml:space="preserve"> ADDIN ZOTERO_ITEM CSL_CITATION {"citationID":"Gz8clESV","properties":{"unsorted":false,"formattedCitation":"[178]","plainCitation":"[178]","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fldChar w:fldCharType="separate"/>
      </w:r>
      <w:r w:rsidR="00E842C0" w:rsidRPr="00E842C0">
        <w:t>[178]</w:t>
      </w:r>
      <w:r>
        <w:fldChar w:fldCharType="end"/>
      </w:r>
      <w:r w:rsidRPr="00931E05">
        <w:t>.</w:t>
      </w:r>
    </w:p>
    <w:p w14:paraId="35B2922B" w14:textId="429BBD70"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6</w:t>
      </w:r>
      <w:r w:rsidRPr="00593464">
        <w:rPr>
          <w:color w:val="auto"/>
        </w:rPr>
        <w:t xml:space="preserve"> </w:t>
      </w:r>
      <w:r>
        <w:t>Recommendations for Future Research</w:t>
      </w:r>
    </w:p>
    <w:p w14:paraId="1E9E55E9" w14:textId="09591719" w:rsidR="00FE013C" w:rsidRPr="00CE10B6" w:rsidRDefault="00FE013C" w:rsidP="004C16FF">
      <w:pPr>
        <w:pStyle w:val="ListParagraph"/>
        <w:numPr>
          <w:ilvl w:val="0"/>
          <w:numId w:val="7"/>
        </w:numPr>
        <w:spacing w:after="120"/>
      </w:pPr>
      <w:r>
        <w:rPr>
          <w:b/>
          <w:bCs/>
        </w:rPr>
        <w:t>Near</w:t>
      </w:r>
      <w:r w:rsidRPr="00B42D4C">
        <w:rPr>
          <w:b/>
          <w:bCs/>
        </w:rPr>
        <w:t>-Term Goals (</w:t>
      </w:r>
      <w:r>
        <w:rPr>
          <w:b/>
          <w:bCs/>
        </w:rPr>
        <w:t>1</w:t>
      </w:r>
      <w:r w:rsidRPr="00B42D4C">
        <w:rPr>
          <w:b/>
          <w:bCs/>
        </w:rPr>
        <w:t xml:space="preserve"> to </w:t>
      </w:r>
      <w:r>
        <w:rPr>
          <w:b/>
          <w:bCs/>
        </w:rPr>
        <w:t>5</w:t>
      </w:r>
      <w:r w:rsidRPr="00B42D4C">
        <w:rPr>
          <w:b/>
          <w:bCs/>
        </w:rPr>
        <w:t xml:space="preserve"> Years):</w:t>
      </w:r>
      <w:r w:rsidRPr="00CE10B6">
        <w:t xml:space="preserve"> Implement sub-hour 24/7 CFE tracking protocols in a standard way (using cryptographic granular certificates); </w:t>
      </w:r>
      <w:r w:rsidR="004C1E8D" w:rsidRPr="00CE10B6">
        <w:t>utilize</w:t>
      </w:r>
      <w:r w:rsidRPr="00CE10B6">
        <w:t xml:space="preserve"> the stability of the control loop in the grid-forming inverter (GFI) under low SCR conditions to validate the stability </w:t>
      </w:r>
      <w:r w:rsidRPr="00CE10B6">
        <w:lastRenderedPageBreak/>
        <w:t xml:space="preserve">of the control loop within data </w:t>
      </w:r>
      <w:r w:rsidR="00580BAE">
        <w:t>center</w:t>
      </w:r>
      <w:r w:rsidRPr="00CE10B6">
        <w:t xml:space="preserve"> (DC) microgrids; and field-test AI-based workload shifting in correlation with local distribution constraint signals.</w:t>
      </w:r>
    </w:p>
    <w:p w14:paraId="3B52A0C4" w14:textId="26EBF795" w:rsidR="00FE013C" w:rsidRPr="00CE10B6" w:rsidRDefault="00FE013C" w:rsidP="004C16FF">
      <w:pPr>
        <w:pStyle w:val="ListParagraph"/>
        <w:numPr>
          <w:ilvl w:val="0"/>
          <w:numId w:val="7"/>
        </w:numPr>
        <w:spacing w:after="120"/>
      </w:pPr>
      <w:r w:rsidRPr="00B42D4C">
        <w:rPr>
          <w:b/>
          <w:bCs/>
        </w:rPr>
        <w:t>Medium-Term Priorities (5 to 10 years):</w:t>
      </w:r>
      <w:r w:rsidRPr="00CE10B6">
        <w:t xml:space="preserve"> Assess the ways in which LDES and LLAES assets can be scaled up for use in a seasonal manner for data </w:t>
      </w:r>
      <w:r w:rsidR="00580BAE">
        <w:t>center</w:t>
      </w:r>
      <w:r w:rsidRPr="00CE10B6">
        <w:t xml:space="preserve"> backup; determine the lifecycle degradation of LDES and LLAES assets when they are scaled up; identify multiple-party co-</w:t>
      </w:r>
      <w:r w:rsidR="004C1E8D" w:rsidRPr="00CE10B6">
        <w:t>optimization</w:t>
      </w:r>
      <w:r w:rsidRPr="00CE10B6">
        <w:t xml:space="preserve"> algorithms for cross-sector thermal coupling between liquid-cooled data </w:t>
      </w:r>
      <w:r w:rsidR="00580BAE">
        <w:t>center</w:t>
      </w:r>
      <w:r w:rsidRPr="00CE10B6">
        <w:t xml:space="preserve">s and district utility networks; and </w:t>
      </w:r>
      <w:r w:rsidR="004C1E8D" w:rsidRPr="00CE10B6">
        <w:t>characterize</w:t>
      </w:r>
      <w:r w:rsidRPr="00CE10B6">
        <w:t xml:space="preserve"> wide-area coordination challenges of multi-gigawatt data </w:t>
      </w:r>
      <w:r w:rsidR="00580BAE">
        <w:t>center</w:t>
      </w:r>
      <w:r w:rsidRPr="00CE10B6">
        <w:t xml:space="preserve"> clusters operating in </w:t>
      </w:r>
      <w:r w:rsidR="007F614E" w:rsidRPr="007F614E">
        <w:t>power systems dominated by inverter-based resources</w:t>
      </w:r>
      <w:r w:rsidRPr="00CE10B6">
        <w:t>.</w:t>
      </w:r>
    </w:p>
    <w:p w14:paraId="6BEE3FDD" w14:textId="2D62E7D2" w:rsidR="00FE013C" w:rsidRPr="00CE10B6" w:rsidRDefault="00FE013C" w:rsidP="004C16FF">
      <w:pPr>
        <w:pStyle w:val="ListParagraph"/>
        <w:numPr>
          <w:ilvl w:val="0"/>
          <w:numId w:val="7"/>
        </w:numPr>
        <w:spacing w:after="120"/>
      </w:pPr>
      <w:r w:rsidRPr="00B42D4C">
        <w:rPr>
          <w:b/>
          <w:bCs/>
        </w:rPr>
        <w:t>Medium-to long-term priorities (10+ years):</w:t>
      </w:r>
      <w:r w:rsidRPr="00CE10B6">
        <w:t xml:space="preserve"> Demonstrate the operational scalability of analogue optical and neuromorphic computing concepts for handling full production workloads for supporting AI training; validate the economic and logistical feasibility of large-scale green hydrogen ecosystems for providing multi-week, seasonal backup power using zero-emission energy; and develop plug-and-play standards for fully </w:t>
      </w:r>
      <w:r w:rsidR="00123E82" w:rsidRPr="00CE10B6">
        <w:t>decentralized</w:t>
      </w:r>
      <w:r w:rsidRPr="00CE10B6">
        <w:t>, self-healing autonomous microgrids operating in island mode.</w:t>
      </w:r>
    </w:p>
    <w:p w14:paraId="2E14F81F" w14:textId="77777777" w:rsidR="00FE013C" w:rsidRDefault="00FE013C" w:rsidP="004C16FF">
      <w:pPr>
        <w:pStyle w:val="Heading10"/>
        <w:jc w:val="both"/>
        <w:rPr>
          <w:color w:val="auto"/>
        </w:rPr>
      </w:pPr>
      <w:r>
        <w:rPr>
          <w:color w:val="auto"/>
        </w:rPr>
        <w:t>References</w:t>
      </w:r>
    </w:p>
    <w:p w14:paraId="176E792F" w14:textId="77777777" w:rsidR="00DC608F" w:rsidRDefault="00BB50D5" w:rsidP="00DC608F">
      <w:pPr>
        <w:pStyle w:val="Bibliography"/>
      </w:pPr>
      <w:r>
        <w:rPr>
          <w:color w:val="auto"/>
        </w:rPr>
        <w:fldChar w:fldCharType="begin"/>
      </w:r>
      <w:r w:rsidR="00E42B7D">
        <w:rPr>
          <w:color w:val="auto"/>
        </w:rPr>
        <w:instrText xml:space="preserve"> ADDIN ZOTERO_BIBL {"uncited":[],"omitted":[],"custom":[]} CSL_BIBLIOGRAPHY </w:instrText>
      </w:r>
      <w:r>
        <w:rPr>
          <w:color w:val="auto"/>
        </w:rPr>
        <w:fldChar w:fldCharType="separate"/>
      </w:r>
      <w:r w:rsidR="00DC608F">
        <w:t>[1]</w:t>
      </w:r>
      <w:r w:rsidR="00DC608F">
        <w:tab/>
        <w:t>IEA, “Data Centres and Data Transmission Networks.” [Online]. Available: https://www.iea.org/energy-system/buildings/data-centres-and-data-transmission-networks</w:t>
      </w:r>
    </w:p>
    <w:p w14:paraId="042BBABF" w14:textId="77777777" w:rsidR="00DC608F" w:rsidRDefault="00DC608F" w:rsidP="00DC608F">
      <w:pPr>
        <w:pStyle w:val="Bibliography"/>
      </w:pPr>
      <w:r>
        <w:t>[2]</w:t>
      </w:r>
      <w:r>
        <w:tab/>
        <w:t xml:space="preserve">A. Shehabi </w:t>
      </w:r>
      <w:r>
        <w:rPr>
          <w:i/>
          <w:iCs/>
        </w:rPr>
        <w:t>et al.</w:t>
      </w:r>
      <w:r>
        <w:t>, “United States Data Center Energy Usage Report,” LBNL--1005775, 1372902, Jun. 2016. doi: 10.2172/1372902.</w:t>
      </w:r>
    </w:p>
    <w:p w14:paraId="1CA7ED7B" w14:textId="77777777" w:rsidR="00DC608F" w:rsidRDefault="00DC608F" w:rsidP="00DC608F">
      <w:pPr>
        <w:pStyle w:val="Bibliography"/>
      </w:pPr>
      <w:r>
        <w:t>[3]</w:t>
      </w:r>
      <w:r>
        <w:tab/>
        <w:t>IEA, “Energy and AI.” Accessed: Apr. 10, 2025. [Online]. Available: https://www.iea.org/reports/energy-and-ai</w:t>
      </w:r>
    </w:p>
    <w:p w14:paraId="714E5515" w14:textId="77777777" w:rsidR="00DC608F" w:rsidRDefault="00DC608F" w:rsidP="00DC608F">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6522F8D1" w14:textId="77777777" w:rsidR="00DC608F" w:rsidRDefault="00DC608F" w:rsidP="00DC608F">
      <w:pPr>
        <w:pStyle w:val="Bibliography"/>
      </w:pPr>
      <w:r>
        <w:t>[5]</w:t>
      </w:r>
      <w:r>
        <w:tab/>
        <w:t xml:space="preserve">E. Strubell, A. Ganesh, and A. McCallum, “Energy and Policy Considerations for Deep Learning in NLP,” 2019, </w:t>
      </w:r>
      <w:r>
        <w:rPr>
          <w:i/>
          <w:iCs/>
        </w:rPr>
        <w:t>arXiv</w:t>
      </w:r>
      <w:r>
        <w:t>. doi: 10.48550/ARXIV.1906.02243.</w:t>
      </w:r>
    </w:p>
    <w:p w14:paraId="09B0633D" w14:textId="77777777" w:rsidR="00DC608F" w:rsidRDefault="00DC608F" w:rsidP="00DC608F">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4EDBD18F" w14:textId="77777777" w:rsidR="00DC608F" w:rsidRDefault="00DC608F" w:rsidP="00DC608F">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62032FD7" w14:textId="77777777" w:rsidR="00DC608F" w:rsidRDefault="00DC608F" w:rsidP="00DC608F">
      <w:pPr>
        <w:pStyle w:val="Bibliography"/>
      </w:pPr>
      <w:r>
        <w:t>[8]</w:t>
      </w:r>
      <w:r>
        <w:tab/>
        <w:t>Goldman Sacho, “Goldman Sachs Research.” [Online]. Available: https://www.goldmansachs.com/insights/articles/ai-to-drive-165-increase-in-data-center-power-demand-by-2030</w:t>
      </w:r>
    </w:p>
    <w:p w14:paraId="2F4F4397" w14:textId="77777777" w:rsidR="00DC608F" w:rsidRDefault="00DC608F" w:rsidP="00DC608F">
      <w:pPr>
        <w:pStyle w:val="Bibliography"/>
      </w:pPr>
      <w:r>
        <w:t>[9]</w:t>
      </w:r>
      <w:r>
        <w:tab/>
        <w:t xml:space="preserve">D. Donnellan </w:t>
      </w:r>
      <w:r>
        <w:rPr>
          <w:i/>
          <w:iCs/>
        </w:rPr>
        <w:t>et al.</w:t>
      </w:r>
      <w:r>
        <w:t>, “Uptime Institute Global Data Center Survey 2024,” 2024, [Online]. Available: https://uptimeinstitute.com/resources/research-and-reports/uptime-institute-global-data-center-survey-results-2024</w:t>
      </w:r>
    </w:p>
    <w:p w14:paraId="0EE0D4B2" w14:textId="77777777" w:rsidR="00DC608F" w:rsidRDefault="00DC608F" w:rsidP="00DC608F">
      <w:pPr>
        <w:pStyle w:val="Bibliography"/>
      </w:pPr>
      <w:r>
        <w:t>[10]</w:t>
      </w:r>
      <w:r>
        <w:tab/>
        <w:t xml:space="preserve">M. Andersch </w:t>
      </w:r>
      <w:r>
        <w:rPr>
          <w:i/>
          <w:iCs/>
        </w:rPr>
        <w:t>et al.</w:t>
      </w:r>
      <w:r>
        <w:t>, “NVIDIA Hopper Architecture In-Depth”, [Online]. Available: https://developer.nvidia.com/blog/nvidia-hopper-architecture-in-depth/</w:t>
      </w:r>
    </w:p>
    <w:p w14:paraId="624C6629" w14:textId="77777777" w:rsidR="00DC608F" w:rsidRDefault="00DC608F" w:rsidP="00DC608F">
      <w:pPr>
        <w:pStyle w:val="Bibliography"/>
      </w:pPr>
      <w:r>
        <w:t>[11]</w:t>
      </w:r>
      <w:r>
        <w:tab/>
        <w:t xml:space="preserve">K. Calvin </w:t>
      </w:r>
      <w:r>
        <w:rPr>
          <w:i/>
          <w:iCs/>
        </w:rPr>
        <w:t>et al.</w:t>
      </w:r>
      <w:r>
        <w:t xml:space="preserve">, “IPCC, 2023: Climate Change 2023: Synthesis Report. Contribution of Working Groups I, II and III to the Sixth Assessment Report of the Intergovernmental Panel on Climate </w:t>
      </w:r>
      <w:r>
        <w:lastRenderedPageBreak/>
        <w:t>Change [Core Writing Team, H. Lee and J. Romero (eds.)]. IPCC, Geneva, Switzerland.,” Intergovernmental Panel on Climate Change (IPCC), Jul. 2023. doi: 10.59327/IPCC/AR6-9789291691647.</w:t>
      </w:r>
    </w:p>
    <w:p w14:paraId="27F82743" w14:textId="77777777" w:rsidR="00DC608F" w:rsidRDefault="00DC608F" w:rsidP="00DC608F">
      <w:pPr>
        <w:pStyle w:val="Bibliography"/>
      </w:pPr>
      <w:r>
        <w:t>[12]</w:t>
      </w:r>
      <w:r>
        <w:tab/>
        <w:t>“Driving sustainable innovation for society.” [Online]. Available: https://datacenters.google/operating-sustainably/</w:t>
      </w:r>
    </w:p>
    <w:p w14:paraId="7606EC2F" w14:textId="77777777" w:rsidR="00DC608F" w:rsidRDefault="00DC608F" w:rsidP="00DC608F">
      <w:pPr>
        <w:pStyle w:val="Bibliography"/>
      </w:pPr>
      <w:r>
        <w:t>[13]</w:t>
      </w:r>
      <w:r>
        <w:tab/>
        <w:t xml:space="preserve">D. Feldman </w:t>
      </w:r>
      <w:r>
        <w:rPr>
          <w:i/>
          <w:iCs/>
        </w:rPr>
        <w:t>et al.</w:t>
      </w:r>
      <w:r>
        <w:t>, “Spring 2024 Solar Industry Update,” NREL/PR--7A40-90042, 2376145, MainId:91820, May 2024. doi: 10.2172/2376145.</w:t>
      </w:r>
    </w:p>
    <w:p w14:paraId="029FC5C8" w14:textId="77777777" w:rsidR="00DC608F" w:rsidRDefault="00DC608F" w:rsidP="00DC608F">
      <w:pPr>
        <w:pStyle w:val="Bibliography"/>
      </w:pPr>
      <w:r>
        <w:t>[14]</w:t>
      </w:r>
      <w:r>
        <w:tab/>
        <w:t>IRENA, “Renewable power generation costs in 2023”, [Online]. Available: https://www.irena.org/-/media/Files/IRENA/Agency/Publication/2024/Sep/IRENA_Renewable_power_generation_costs_in_2023.pdf</w:t>
      </w:r>
    </w:p>
    <w:p w14:paraId="46734320" w14:textId="77777777" w:rsidR="00DC608F" w:rsidRDefault="00DC608F" w:rsidP="00DC608F">
      <w:pPr>
        <w:pStyle w:val="Bibliography"/>
      </w:pPr>
      <w:r>
        <w:t>[15]</w:t>
      </w:r>
      <w:r>
        <w:tab/>
        <w:t>IEA, “Wind.” Accessed: Feb. 25, 2025. [Online]. Available: https://www.iea.org/energy-system/renewables/wind</w:t>
      </w:r>
    </w:p>
    <w:p w14:paraId="4EE308AE" w14:textId="77777777" w:rsidR="00DC608F" w:rsidRDefault="00DC608F" w:rsidP="00DC608F">
      <w:pPr>
        <w:pStyle w:val="Bibliography"/>
      </w:pPr>
      <w:r>
        <w:t>[16]</w:t>
      </w:r>
      <w:r>
        <w:tab/>
        <w:t>“Renewable power generation costs in 2024”, [Online]. Available: https://www.rinnovabili.it/wp-content/uploads/2025/07/IRENA-RENEWABLE-POWER-GENERATION-COSTS-IN-2024.pdf</w:t>
      </w:r>
    </w:p>
    <w:p w14:paraId="76D0D4D2" w14:textId="77777777" w:rsidR="00DC608F" w:rsidRDefault="00DC608F" w:rsidP="00DC608F">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448185C8" w14:textId="77777777" w:rsidR="00DC608F" w:rsidRDefault="00DC608F" w:rsidP="00DC608F">
      <w:pPr>
        <w:pStyle w:val="Bibliography"/>
      </w:pPr>
      <w:r>
        <w:t>[18]</w:t>
      </w:r>
      <w:r>
        <w:tab/>
        <w:t xml:space="preserve">G. Song, B. Cao, and L. Chang, “Review of Grid-forming Inverters in Support of Power System Operation,” </w:t>
      </w:r>
      <w:r>
        <w:rPr>
          <w:i/>
          <w:iCs/>
        </w:rPr>
        <w:t>Chin. J. Electr. Eng.</w:t>
      </w:r>
      <w:r>
        <w:t>, vol. 8, no. 1, pp. 1–15, Mar. 2022, doi: 10.23919/CJEE.2022.000001.</w:t>
      </w:r>
    </w:p>
    <w:p w14:paraId="37F62F7C" w14:textId="77777777" w:rsidR="00DC608F" w:rsidRDefault="00DC608F" w:rsidP="00DC608F">
      <w:pPr>
        <w:pStyle w:val="Bibliography"/>
      </w:pPr>
      <w:r>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7A887C1D" w14:textId="77777777" w:rsidR="00DC608F" w:rsidRDefault="00DC608F" w:rsidP="00DC608F">
      <w:pPr>
        <w:pStyle w:val="Bibliography"/>
      </w:pPr>
      <w:r>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610E5D18" w14:textId="77777777" w:rsidR="00DC608F" w:rsidRDefault="00DC608F" w:rsidP="00DC608F">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7F164598" w14:textId="77777777" w:rsidR="00DC608F" w:rsidRDefault="00DC608F" w:rsidP="00DC608F">
      <w:pPr>
        <w:pStyle w:val="Bibliography"/>
      </w:pPr>
      <w:r>
        <w:t>[22]</w:t>
      </w:r>
      <w:r>
        <w:tab/>
      </w:r>
      <w:r>
        <w:rPr>
          <w:i/>
          <w:iCs/>
        </w:rPr>
        <w:t>IEEE Standard for Harmonic Control in Electric Power Systems</w:t>
      </w:r>
      <w:r>
        <w:t>. doi: 10.1109/IEEESTD.2022.9848440.</w:t>
      </w:r>
    </w:p>
    <w:p w14:paraId="1478DD4B" w14:textId="77777777" w:rsidR="00DC608F" w:rsidRDefault="00DC608F" w:rsidP="00DC608F">
      <w:pPr>
        <w:pStyle w:val="Bibliography"/>
      </w:pPr>
      <w:r>
        <w:t>[23]</w:t>
      </w:r>
      <w:r>
        <w:tab/>
        <w:t>M. C. Offutt and L. Zhu, “Data Centers and Their Energy Consumption: Frequently Asked Questions”, [Online]. Available: https://www.congress.gov/crs_external_products/R/PDF/R48646/R48646.1.pdf</w:t>
      </w:r>
    </w:p>
    <w:p w14:paraId="7BCE507F" w14:textId="77777777" w:rsidR="00DC608F" w:rsidRDefault="00DC608F" w:rsidP="00DC608F">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34F31891" w14:textId="77777777" w:rsidR="00DC608F" w:rsidRDefault="00DC608F" w:rsidP="00DC608F">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6D023309" w14:textId="77777777" w:rsidR="00DC608F" w:rsidRDefault="00DC608F" w:rsidP="00DC608F">
      <w:pPr>
        <w:pStyle w:val="Bibliography"/>
      </w:pPr>
      <w:r>
        <w:t>[26]</w:t>
      </w:r>
      <w:r>
        <w:tab/>
        <w:t xml:space="preserve">R. Mural </w:t>
      </w:r>
      <w:r>
        <w:rPr>
          <w:i/>
          <w:iCs/>
        </w:rPr>
        <w:t>et al.</w:t>
      </w:r>
      <w:r>
        <w:t>, “AI, Data Centers, and the U.S. Electric Grid: A Watershed Moment”, [Online]. Available: https://www.belfercenter.org/research-analysis/ai-data-centers-us-electric-grid</w:t>
      </w:r>
    </w:p>
    <w:p w14:paraId="086CE199" w14:textId="77777777" w:rsidR="00DC608F" w:rsidRDefault="00DC608F" w:rsidP="00DC608F">
      <w:pPr>
        <w:pStyle w:val="Bibliography"/>
      </w:pPr>
      <w:r>
        <w:lastRenderedPageBreak/>
        <w:t>[27]</w:t>
      </w:r>
      <w:r>
        <w:tab/>
        <w:t xml:space="preserve">M. J. Page </w:t>
      </w:r>
      <w:r>
        <w:rPr>
          <w:i/>
          <w:iCs/>
        </w:rPr>
        <w:t>et al.</w:t>
      </w:r>
      <w:r>
        <w:t xml:space="preserve">, “The PRISMA 2020 statement: an updated guideline for reporting systematic reviews,” </w:t>
      </w:r>
      <w:r>
        <w:rPr>
          <w:i/>
          <w:iCs/>
        </w:rPr>
        <w:t>BMJ</w:t>
      </w:r>
      <w:r>
        <w:t>, p. n71, Mar. 2021, doi: 10.1136/bmj.n71.</w:t>
      </w:r>
    </w:p>
    <w:p w14:paraId="541771D7" w14:textId="77777777" w:rsidR="00DC608F" w:rsidRDefault="00DC608F" w:rsidP="00DC608F">
      <w:pPr>
        <w:pStyle w:val="Bibliography"/>
      </w:pPr>
      <w:r>
        <w:t>[28]</w:t>
      </w:r>
      <w:r>
        <w:tab/>
        <w:t xml:space="preserve">M. L. Rethlefsen </w:t>
      </w:r>
      <w:r>
        <w:rPr>
          <w:i/>
          <w:iCs/>
        </w:rPr>
        <w:t>et al.</w:t>
      </w:r>
      <w:r>
        <w:t xml:space="preserve">, “PRISMA-S: an extension to the PRISMA Statement for Reporting Literature Searches in Systematic Reviews,” </w:t>
      </w:r>
      <w:r>
        <w:rPr>
          <w:i/>
          <w:iCs/>
        </w:rPr>
        <w:t>Syst. Rev.</w:t>
      </w:r>
      <w:r>
        <w:t>, vol. 10, no. 1, p. 39, Jan. 2021, doi: 10.1186/s13643-020-01542-z.</w:t>
      </w:r>
    </w:p>
    <w:p w14:paraId="227714FB" w14:textId="77777777" w:rsidR="00DC608F" w:rsidRDefault="00DC608F" w:rsidP="00DC608F">
      <w:pPr>
        <w:pStyle w:val="Bibliography"/>
      </w:pPr>
      <w:r>
        <w:t>[29]</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4D6CACC9" w14:textId="77777777" w:rsidR="00DC608F" w:rsidRDefault="00DC608F" w:rsidP="00DC608F">
      <w:pPr>
        <w:pStyle w:val="Bibliography"/>
      </w:pPr>
      <w:r>
        <w:t>[30]</w:t>
      </w:r>
      <w:r>
        <w:tab/>
        <w:t>V. Avelar and P. Donovan, “How 6 AI Attributes Change Data Center Design”, [Online]. Available: https://download.schneider-electric.com/files?p_Doc_Ref=SPD_WP110_EN&amp;p_enDocType=White+Paper&amp;p_File_Name=WP110_V3_1_EN.pdf</w:t>
      </w:r>
    </w:p>
    <w:p w14:paraId="5D2D7F6C" w14:textId="77777777" w:rsidR="00DC608F" w:rsidRDefault="00DC608F" w:rsidP="00DC608F">
      <w:pPr>
        <w:pStyle w:val="Bibliography"/>
      </w:pPr>
      <w:r>
        <w:t>[31]</w:t>
      </w:r>
      <w:r>
        <w:tab/>
        <w:t>Google, “Growing the internet while reducing energy consumption.” [Online]. Available: https://datacenters.google/efficiency/</w:t>
      </w:r>
    </w:p>
    <w:p w14:paraId="357E3B5C" w14:textId="77777777" w:rsidR="00DC608F" w:rsidRDefault="00DC608F" w:rsidP="00DC608F">
      <w:pPr>
        <w:pStyle w:val="Bibliography"/>
      </w:pPr>
      <w:r>
        <w:t>[32]</w:t>
      </w:r>
      <w:r>
        <w:tab/>
        <w:t xml:space="preserve">D. Al Kez, A. M. Foley, F. W. B. M. Hasan Wong, A. Dolfi, and G. Srinivasan, “AI-driven cooling technologies for high-performance data centres: state-of-the-art review and future directions,” </w:t>
      </w:r>
      <w:r>
        <w:rPr>
          <w:i/>
          <w:iCs/>
        </w:rPr>
        <w:t>Sustain. Energy Technol. Assess.</w:t>
      </w:r>
      <w:r>
        <w:t>, vol. 82, p. 104511, Oct. 2025, doi: 10.1016/j.seta.2025.104511.</w:t>
      </w:r>
    </w:p>
    <w:p w14:paraId="46B80C31" w14:textId="77777777" w:rsidR="00DC608F" w:rsidRDefault="00DC608F" w:rsidP="00DC608F">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1DB8907D" w14:textId="77777777" w:rsidR="00DC608F" w:rsidRDefault="00DC608F" w:rsidP="00DC608F">
      <w:pPr>
        <w:pStyle w:val="Bibliography"/>
      </w:pPr>
      <w:r>
        <w:t>[34]</w:t>
      </w:r>
      <w:r>
        <w:tab/>
        <w:t xml:space="preserve">M. Azarifar, M. Arik, and J.-Y. Chang, “Liquid cooling of data centers: A necessity facing challenges,” </w:t>
      </w:r>
      <w:r>
        <w:rPr>
          <w:i/>
          <w:iCs/>
        </w:rPr>
        <w:t>Appl. Therm. Eng.</w:t>
      </w:r>
      <w:r>
        <w:t>, vol. 247, p. 123112, Jun. 2024, doi: 10.1016/j.applthermaleng.2024.123112.</w:t>
      </w:r>
    </w:p>
    <w:p w14:paraId="4C8BD956" w14:textId="77777777" w:rsidR="00DC608F" w:rsidRDefault="00DC608F" w:rsidP="00DC608F">
      <w:pPr>
        <w:pStyle w:val="Bibliography"/>
      </w:pPr>
      <w:r>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2C1D8E7C" w14:textId="77777777" w:rsidR="00DC608F" w:rsidRDefault="00DC608F" w:rsidP="00DC608F">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04F00783" w14:textId="77777777" w:rsidR="00DC608F" w:rsidRDefault="00DC608F" w:rsidP="00DC608F">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075CE59D" w14:textId="77777777" w:rsidR="00DC608F" w:rsidRDefault="00DC608F" w:rsidP="00DC608F">
      <w:pPr>
        <w:pStyle w:val="Bibliography"/>
      </w:pPr>
      <w:r>
        <w:t>[38]</w:t>
      </w:r>
      <w:r>
        <w:tab/>
        <w:t xml:space="preserve">A. McCoy </w:t>
      </w:r>
      <w:r>
        <w:rPr>
          <w:i/>
          <w:iCs/>
        </w:rPr>
        <w:t>et al.</w:t>
      </w:r>
      <w:r>
        <w:t>, “Offshore Wind Market Report: 2024 Edition”, [Online]. Available: https://docs.nlr.gov/docs/fy24osti/90897.pdf</w:t>
      </w:r>
    </w:p>
    <w:p w14:paraId="11E17448" w14:textId="77777777" w:rsidR="00DC608F" w:rsidRDefault="00DC608F" w:rsidP="00DC608F">
      <w:pPr>
        <w:pStyle w:val="Bibliography"/>
      </w:pPr>
      <w:r>
        <w:t>[39]</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1136A322" w14:textId="77777777" w:rsidR="00DC608F" w:rsidRDefault="00DC608F" w:rsidP="00DC608F">
      <w:pPr>
        <w:pStyle w:val="Bibliography"/>
      </w:pPr>
      <w:r>
        <w:t>[40]</w:t>
      </w:r>
      <w:r>
        <w:tab/>
        <w:t xml:space="preserve">E. Virguez </w:t>
      </w:r>
      <w:r>
        <w:rPr>
          <w:i/>
          <w:iCs/>
        </w:rPr>
        <w:t>et al.</w:t>
      </w:r>
      <w:r>
        <w:t>, “Renewable energy quality trilemma and coincident wind and solar droughts”, doi: 10.17615/C4JD-4Y42.</w:t>
      </w:r>
    </w:p>
    <w:p w14:paraId="781D12EF" w14:textId="77777777" w:rsidR="00DC608F" w:rsidRDefault="00DC608F" w:rsidP="00DC608F">
      <w:pPr>
        <w:pStyle w:val="Bibliography"/>
      </w:pPr>
      <w:r>
        <w:t>[41]</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0E6C54E3" w14:textId="77777777" w:rsidR="00DC608F" w:rsidRDefault="00DC608F" w:rsidP="00DC608F">
      <w:pPr>
        <w:pStyle w:val="Bibliography"/>
      </w:pPr>
      <w:r>
        <w:lastRenderedPageBreak/>
        <w:t>[42]</w:t>
      </w:r>
      <w:r>
        <w:tab/>
        <w:t xml:space="preserve">M. Catania, F. Parolin, F. Fattori, and P. Colbertaldo, “The role of hydropower in decarbonisation scenarios,” </w:t>
      </w:r>
      <w:r>
        <w:rPr>
          <w:i/>
          <w:iCs/>
        </w:rPr>
        <w:t>Renew. Energy</w:t>
      </w:r>
      <w:r>
        <w:t>, vol. 236, p. 121411, Dec. 2024, doi: 10.1016/j.renene.2024.121411.</w:t>
      </w:r>
    </w:p>
    <w:p w14:paraId="6D0137E4" w14:textId="77777777" w:rsidR="00DC608F" w:rsidRDefault="00DC608F" w:rsidP="00DC608F">
      <w:pPr>
        <w:pStyle w:val="Bibliography"/>
      </w:pPr>
      <w:r>
        <w:t>[43]</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62CA2534" w14:textId="77777777" w:rsidR="00DC608F" w:rsidRDefault="00DC608F" w:rsidP="00DC608F">
      <w:pPr>
        <w:pStyle w:val="Bibliography"/>
      </w:pPr>
      <w:r>
        <w:t>[44]</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00023401" w14:textId="77777777" w:rsidR="00DC608F" w:rsidRDefault="00DC608F" w:rsidP="00DC608F">
      <w:pPr>
        <w:pStyle w:val="Bibliography"/>
      </w:pPr>
      <w:r>
        <w:t>[45]</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6F91C45B" w14:textId="77777777" w:rsidR="00DC608F" w:rsidRDefault="00DC608F" w:rsidP="00DC608F">
      <w:pPr>
        <w:pStyle w:val="Bibliography"/>
      </w:pPr>
      <w:r>
        <w:t>[46]</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4626C787" w14:textId="77777777" w:rsidR="00DC608F" w:rsidRDefault="00DC608F" w:rsidP="00DC608F">
      <w:pPr>
        <w:pStyle w:val="Bibliography"/>
      </w:pPr>
      <w:r>
        <w:t>[47]</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58C16008" w14:textId="77777777" w:rsidR="00DC608F" w:rsidRDefault="00DC608F" w:rsidP="00DC608F">
      <w:pPr>
        <w:pStyle w:val="Bibliography"/>
      </w:pPr>
      <w:r>
        <w:t>[48]</w:t>
      </w:r>
      <w:r>
        <w:tab/>
      </w:r>
      <w:r>
        <w:rPr>
          <w:i/>
          <w:iCs/>
        </w:rPr>
        <w:t>IEEE Standard for Interconnection and Interoperability of Inverter-Based Resources (IBRs) Interconnecting with Associated Transmission Electric Power Systems</w:t>
      </w:r>
      <w:r>
        <w:t>. doi: 10.1109/IEEESTD.2022.9762253.</w:t>
      </w:r>
    </w:p>
    <w:p w14:paraId="0D8DF285" w14:textId="77777777" w:rsidR="00DC608F" w:rsidRDefault="00DC608F" w:rsidP="00DC608F">
      <w:pPr>
        <w:pStyle w:val="Bibliography"/>
      </w:pPr>
      <w:r>
        <w:t>[49]</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199D831A" w14:textId="77777777" w:rsidR="00DC608F" w:rsidRDefault="00DC608F" w:rsidP="00DC608F">
      <w:pPr>
        <w:pStyle w:val="Bibliography"/>
      </w:pPr>
      <w:r>
        <w:t>[50]</w:t>
      </w:r>
      <w:r>
        <w:tab/>
        <w:t>Google, “Google Environmental Report 2025.” [Online]. Available: https://sustainability.google/reports/google-2025-environmental-report/</w:t>
      </w:r>
    </w:p>
    <w:p w14:paraId="4ABB4B6B" w14:textId="77777777" w:rsidR="00DC608F" w:rsidRDefault="00DC608F" w:rsidP="00DC608F">
      <w:pPr>
        <w:pStyle w:val="Bibliography"/>
      </w:pPr>
      <w:r>
        <w:t>[51]</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0E4932F2" w14:textId="77777777" w:rsidR="00DC608F" w:rsidRDefault="00DC608F" w:rsidP="00DC608F">
      <w:pPr>
        <w:pStyle w:val="Bibliography"/>
      </w:pPr>
      <w:r>
        <w:t>[52]</w:t>
      </w:r>
      <w:r>
        <w:tab/>
        <w:t>Meta, “2025 Sustainability Report.” [Online]. Available: https://sustainability.atmeta.com/wp-content/uploads/2025/08/Meta_2025-Sustainability-Report.pdf</w:t>
      </w:r>
    </w:p>
    <w:p w14:paraId="2934370C" w14:textId="77777777" w:rsidR="00DC608F" w:rsidRDefault="00DC608F" w:rsidP="00DC608F">
      <w:pPr>
        <w:pStyle w:val="Bibliography"/>
      </w:pPr>
      <w:r>
        <w:t>[53]</w:t>
      </w:r>
      <w:r>
        <w:tab/>
        <w:t>BloombergNEF, “Corporate Clean Energy Buying Fell in 2025 After Nearly a Decade of Growth.” [Online]. Available: https://about.bnef.com/insights/clean-energy/corporate-clean-energy-buying-fell-in-2025-after-nearly-a-decade-of-growth/</w:t>
      </w:r>
    </w:p>
    <w:p w14:paraId="533085A0" w14:textId="77777777" w:rsidR="00DC608F" w:rsidRDefault="00DC608F" w:rsidP="00DC608F">
      <w:pPr>
        <w:pStyle w:val="Bibliography"/>
      </w:pPr>
      <w:r>
        <w:t>[54]</w:t>
      </w:r>
      <w:r>
        <w:tab/>
        <w:t>Y. Panchal, S. Dubey, and R. Pathak, “Exploring the Future of Cloud Computing: A Comprehensive Study of Microsoft’s Underwater Data Centers,” vol. 12, no. 3, 2025, [Online]. Available: https://www.taylorfrancis.com/chapters/edit/10.1201/9781003492160-7/exploring-cloud-computing-platforms-metrics-used-compare-cloud-service-providers-parul-dubey-arvind-kumar-tiwari</w:t>
      </w:r>
    </w:p>
    <w:p w14:paraId="078322CB" w14:textId="77777777" w:rsidR="00DC608F" w:rsidRDefault="00DC608F" w:rsidP="00DC608F">
      <w:pPr>
        <w:pStyle w:val="Bibliography"/>
      </w:pPr>
      <w:r>
        <w:t>[55]</w:t>
      </w:r>
      <w:r>
        <w:tab/>
        <w:t>K. Simon, “Project Natick — Microsoft’s Self-sufficient Underwater Datacenters”, [Online]. Available: https://www.researchgate.net/publication/328214732_Project_Natick-Microsoft’s_Self-sufficient_Underwater_Datacenters</w:t>
      </w:r>
    </w:p>
    <w:p w14:paraId="4CDA8D27" w14:textId="77777777" w:rsidR="00DC608F" w:rsidRDefault="00DC608F" w:rsidP="00DC608F">
      <w:pPr>
        <w:pStyle w:val="Bibliography"/>
      </w:pPr>
      <w:r>
        <w:lastRenderedPageBreak/>
        <w:t>[56]</w:t>
      </w:r>
      <w:r>
        <w:tab/>
        <w:t xml:space="preserve">G. Gülen, J. Das, and M. H. Young, “Assessing Economic Costs of Two Reliable Generation Mix Scenarios in the ERCOT System,” </w:t>
      </w:r>
      <w:r>
        <w:rPr>
          <w:i/>
          <w:iCs/>
        </w:rPr>
        <w:t>Energies</w:t>
      </w:r>
      <w:r>
        <w:t>, vol. 19, no. 9, p. 2195, May 2026, doi: 10.3390/en19092195.</w:t>
      </w:r>
    </w:p>
    <w:p w14:paraId="7765EEFA" w14:textId="77777777" w:rsidR="00DC608F" w:rsidRDefault="00DC608F" w:rsidP="00DC608F">
      <w:pPr>
        <w:pStyle w:val="Bibliography"/>
      </w:pPr>
      <w:r>
        <w:t>[57]</w:t>
      </w:r>
      <w:r>
        <w:tab/>
        <w:t>Equinix, “Sustainability Report 2025.” [Online]. Available: https://delivery-p112322-e1154416.adobeaemcloud.com/adobe/assets/deliver/urn:aaid:aem:116e6fc1-6217-4132-8fcf-1dc7096396df/Equinix-Inc_2025_Sustainability-Report.pdf</w:t>
      </w:r>
    </w:p>
    <w:p w14:paraId="1C8DD68C" w14:textId="77777777" w:rsidR="00DC608F" w:rsidRDefault="00DC608F" w:rsidP="00DC608F">
      <w:pPr>
        <w:pStyle w:val="Bibliography"/>
      </w:pPr>
      <w:r>
        <w:t>[58]</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086C77BA" w14:textId="77777777" w:rsidR="00DC608F" w:rsidRDefault="00DC608F" w:rsidP="00DC608F">
      <w:pPr>
        <w:pStyle w:val="Bibliography"/>
      </w:pPr>
      <w:r>
        <w:t>[59]</w:t>
      </w:r>
      <w:r>
        <w:tab/>
        <w:t xml:space="preserve">J. C. Das, </w:t>
      </w:r>
      <w:r>
        <w:rPr>
          <w:i/>
          <w:iCs/>
        </w:rPr>
        <w:t>Power System Harmonics and Passive Filter Designs</w:t>
      </w:r>
      <w:r>
        <w:t>, 1st ed. Wiley, 2015. doi: 10.1002/9781118887059.</w:t>
      </w:r>
    </w:p>
    <w:p w14:paraId="4439DD42" w14:textId="77777777" w:rsidR="00DC608F" w:rsidRDefault="00DC608F" w:rsidP="00DC608F">
      <w:pPr>
        <w:pStyle w:val="Bibliography"/>
      </w:pPr>
      <w:r>
        <w:t>[60]</w:t>
      </w:r>
      <w:r>
        <w:tab/>
        <w:t xml:space="preserve">M. T. Takci, M. Qadrdan, J. Summers, and J. Gustafsson, “Data centres as a source of flexibility for power systems,” </w:t>
      </w:r>
      <w:r>
        <w:rPr>
          <w:i/>
          <w:iCs/>
        </w:rPr>
        <w:t>Energy Rep.</w:t>
      </w:r>
      <w:r>
        <w:t>, vol. 13, pp. 3661–3671, Jun. 2025, doi: 10.1016/j.egyr.2025.03.020.</w:t>
      </w:r>
    </w:p>
    <w:p w14:paraId="7AE9F9C6" w14:textId="77777777" w:rsidR="00DC608F" w:rsidRDefault="00DC608F" w:rsidP="00DC608F">
      <w:pPr>
        <w:pStyle w:val="Bibliography"/>
      </w:pPr>
      <w:r>
        <w:t>[61]</w:t>
      </w:r>
      <w:r>
        <w:tab/>
        <w:t>Lazard, “Levelized Cost of Energy.” [Online]. Available: https://www.lazard.com/media/eijnqja3/lazards-lcoeplus-june-2025.pdf</w:t>
      </w:r>
    </w:p>
    <w:p w14:paraId="7D202819" w14:textId="77777777" w:rsidR="00DC608F" w:rsidRDefault="00DC608F" w:rsidP="00DC608F">
      <w:pPr>
        <w:pStyle w:val="Bibliography"/>
      </w:pPr>
      <w:r>
        <w:t>[62]</w:t>
      </w:r>
      <w:r>
        <w:tab/>
        <w:t xml:space="preserve">O. Kay, R. Reaser, and R. Taylor, “Processing Power: The Effect of Data Centers on Wholesale Electricity Markets,” </w:t>
      </w:r>
      <w:r>
        <w:rPr>
          <w:i/>
          <w:iCs/>
        </w:rPr>
        <w:t>Fed. Reserve Bank Dallas Work. Pap.</w:t>
      </w:r>
      <w:r>
        <w:t>, vol. 2026, no. 2606, Mar. 2026, doi: 10.24149/wp2606.</w:t>
      </w:r>
    </w:p>
    <w:p w14:paraId="55AF3AFF" w14:textId="77777777" w:rsidR="00DC608F" w:rsidRDefault="00DC608F" w:rsidP="00DC608F">
      <w:pPr>
        <w:pStyle w:val="Bibliography"/>
      </w:pPr>
      <w:r>
        <w:t>[63]</w:t>
      </w:r>
      <w:r>
        <w:tab/>
        <w:t>leveltenenergy, “https://www.leveltenenergy.com/post/levelten-north-american-ppa-price-index-q1-2026.” [Online]. Available: https://www.leveltenenergy.com/post/levelten-north-american-ppa-price-index-q1-2026</w:t>
      </w:r>
    </w:p>
    <w:p w14:paraId="3E77227A" w14:textId="77777777" w:rsidR="00DC608F" w:rsidRDefault="00DC608F" w:rsidP="00DC608F">
      <w:pPr>
        <w:pStyle w:val="Bibliography"/>
      </w:pPr>
      <w:r>
        <w:t>[64]</w:t>
      </w:r>
      <w:r>
        <w:tab/>
        <w:t xml:space="preserve">Q. Xu, W. Ricks, A. Manocha, N. Patankar, and J. D. Jenkins, “System-level impacts of voluntary carbon-free electricity procurement strategies,” </w:t>
      </w:r>
      <w:r>
        <w:rPr>
          <w:i/>
          <w:iCs/>
        </w:rPr>
        <w:t>Joule</w:t>
      </w:r>
      <w:r>
        <w:t>, vol. 8, no. 2, pp. 374–400, Feb. 2024, doi: 10.1016/j.joule.2023.12.007.</w:t>
      </w:r>
    </w:p>
    <w:p w14:paraId="7B7273FD" w14:textId="77777777" w:rsidR="00DC608F" w:rsidRDefault="00DC608F" w:rsidP="00DC608F">
      <w:pPr>
        <w:pStyle w:val="Bibliography"/>
      </w:pPr>
      <w:r>
        <w:t>[65]</w:t>
      </w:r>
      <w:r>
        <w:tab/>
        <w:t>Green House Gas Protocol, “GHG Protocol Scope 2 Guidance.” [Online]. Available: https://ghgprotocol.org/sites/default/files/2023-03/Scope%202%20Guidance.pdf</w:t>
      </w:r>
    </w:p>
    <w:p w14:paraId="70D8B0A9" w14:textId="77777777" w:rsidR="00DC608F" w:rsidRDefault="00DC608F" w:rsidP="00DC608F">
      <w:pPr>
        <w:pStyle w:val="Bibliography"/>
      </w:pPr>
      <w:r>
        <w:t>[66]</w:t>
      </w:r>
      <w:r>
        <w:tab/>
        <w:t>UN Energy, “24/7 Carbon-free Energy Compact.” [Online]. Available: https://www.un.org/en/energy-compacts/page/compact-247-carbon-free-energy</w:t>
      </w:r>
    </w:p>
    <w:p w14:paraId="43FE380F" w14:textId="77777777" w:rsidR="00DC608F" w:rsidRDefault="00DC608F" w:rsidP="00DC608F">
      <w:pPr>
        <w:pStyle w:val="Bibliography"/>
      </w:pPr>
      <w:r>
        <w:t>[67]</w:t>
      </w:r>
      <w:r>
        <w:tab/>
        <w:t>Apple, “Environmental Progress Report.” [Online]. Available: https://www.apple.com/environment/pdf/Apple_Environmental_Progress_Report_2025.pdf</w:t>
      </w:r>
    </w:p>
    <w:p w14:paraId="0AB96A40" w14:textId="77777777" w:rsidR="00DC608F" w:rsidRDefault="00DC608F" w:rsidP="00DC608F">
      <w:pPr>
        <w:pStyle w:val="Bibliography"/>
      </w:pPr>
      <w:r>
        <w:t>[68]</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062DC1B7" w14:textId="77777777" w:rsidR="00DC608F" w:rsidRDefault="00DC608F" w:rsidP="00DC608F">
      <w:pPr>
        <w:pStyle w:val="Bibliography"/>
      </w:pPr>
      <w:r>
        <w:t>[69]</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246D4041" w14:textId="77777777" w:rsidR="00DC608F" w:rsidRDefault="00DC608F" w:rsidP="00DC608F">
      <w:pPr>
        <w:pStyle w:val="Bibliography"/>
      </w:pPr>
      <w:r>
        <w:t>[70]</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0E46CEFD" w14:textId="77777777" w:rsidR="00DC608F" w:rsidRDefault="00DC608F" w:rsidP="00DC608F">
      <w:pPr>
        <w:pStyle w:val="Bibliography"/>
      </w:pPr>
      <w:r>
        <w:t>[71]</w:t>
      </w:r>
      <w:r>
        <w:tab/>
        <w:t xml:space="preserve">T. Jaradat and T. Khatib, “A review of battery energy storage system for renewable energy penetration in electrical power system: Environmental impact, sizing methods, market features, </w:t>
      </w:r>
      <w:r>
        <w:lastRenderedPageBreak/>
        <w:t xml:space="preserve">and policy frameworks,” </w:t>
      </w:r>
      <w:r>
        <w:rPr>
          <w:i/>
          <w:iCs/>
        </w:rPr>
        <w:t>Future Batter.</w:t>
      </w:r>
      <w:r>
        <w:t>, vol. 7, p. 100106, Sep. 2025, doi: 10.1016/j.fub.2025.100106.</w:t>
      </w:r>
    </w:p>
    <w:p w14:paraId="4D7F7D6D" w14:textId="77777777" w:rsidR="00DC608F" w:rsidRDefault="00DC608F" w:rsidP="00DC608F">
      <w:pPr>
        <w:pStyle w:val="Bibliography"/>
      </w:pPr>
      <w:r>
        <w:t>[72]</w:t>
      </w:r>
      <w:r>
        <w:tab/>
      </w:r>
      <w:r>
        <w:rPr>
          <w:i/>
          <w:iCs/>
        </w:rPr>
        <w:t>IEEE Recommended Practice for the Design of Reliable Industrial and Commercial Power Systems (Gold Book)</w:t>
      </w:r>
      <w:r>
        <w:t>. doi: 10.1109/IEEESTD.1998.89291.</w:t>
      </w:r>
    </w:p>
    <w:p w14:paraId="2EFB9D4F" w14:textId="77777777" w:rsidR="00DC608F" w:rsidRDefault="00DC608F" w:rsidP="00DC608F">
      <w:pPr>
        <w:pStyle w:val="Bibliography"/>
      </w:pPr>
      <w:r>
        <w:t>[73]</w:t>
      </w:r>
      <w:r>
        <w:tab/>
        <w:t xml:space="preserve">I. Keskin and G. Soykan, “Reliability, availability, and life-cycle cost (LCC) analysis of combined cooling, heating and power (CCHP) integration to data centers considering electricity and cooling supplies,” </w:t>
      </w:r>
      <w:r>
        <w:rPr>
          <w:i/>
          <w:iCs/>
        </w:rPr>
        <w:t>Energy Convers. Manag.</w:t>
      </w:r>
      <w:r>
        <w:t>, vol. 291, p. 117254, Sep. 2023, doi: 10.1016/j.enconman.2023.117254.</w:t>
      </w:r>
    </w:p>
    <w:p w14:paraId="05CEA9F5" w14:textId="77777777" w:rsidR="00DC608F" w:rsidRDefault="00DC608F" w:rsidP="00DC608F">
      <w:pPr>
        <w:pStyle w:val="Bibliography"/>
      </w:pPr>
      <w:r>
        <w:t>[74]</w:t>
      </w:r>
      <w:r>
        <w:tab/>
        <w:t>Nguyen Anh Huy and X. T. Nguyen, “Data center energy assessment process and energy efficiency metrics,” 2025, doi: 10.13140/RG.2.2.27710.75845.</w:t>
      </w:r>
    </w:p>
    <w:p w14:paraId="645ACFB4" w14:textId="77777777" w:rsidR="00DC608F" w:rsidRDefault="00DC608F" w:rsidP="00DC608F">
      <w:pPr>
        <w:pStyle w:val="Bibliography"/>
      </w:pPr>
      <w:r>
        <w:t>[75]</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0ADF12F9" w14:textId="77777777" w:rsidR="00DC608F" w:rsidRDefault="00DC608F" w:rsidP="00DC608F">
      <w:pPr>
        <w:pStyle w:val="Bibliography"/>
      </w:pPr>
      <w:r>
        <w:t>[76]</w:t>
      </w:r>
      <w:r>
        <w:tab/>
        <w:t xml:space="preserve">S. Narayanaswamy, P. D. Patel, I. Karlin, A. Gupta, S. Saripalli, and J. Guo, “Datacenter Energy Optimized Power Profiles,” 2025, </w:t>
      </w:r>
      <w:r>
        <w:rPr>
          <w:i/>
          <w:iCs/>
        </w:rPr>
        <w:t>arXiv</w:t>
      </w:r>
      <w:r>
        <w:t>. doi: 10.48550/ARXIV.2510.03872.</w:t>
      </w:r>
    </w:p>
    <w:p w14:paraId="2AE7811F" w14:textId="77777777" w:rsidR="00DC608F" w:rsidRDefault="00DC608F" w:rsidP="00DC608F">
      <w:pPr>
        <w:pStyle w:val="Bibliography"/>
      </w:pPr>
      <w:r>
        <w:t>[77]</w:t>
      </w:r>
      <w:r>
        <w:tab/>
        <w:t xml:space="preserve">V. Singhania, S. Aga, and M. A. Ibrahim, “FinGraV: Methodology for Fine-Grain GPU Power Visibility and Insights,” Mar. 28, 2025, </w:t>
      </w:r>
      <w:r>
        <w:rPr>
          <w:i/>
          <w:iCs/>
        </w:rPr>
        <w:t>arXiv</w:t>
      </w:r>
      <w:r>
        <w:t>: arXiv:2412.12426. doi: 10.48550/arXiv.2412.12426.</w:t>
      </w:r>
    </w:p>
    <w:p w14:paraId="0E51519D" w14:textId="77777777" w:rsidR="00DC608F" w:rsidRDefault="00DC608F" w:rsidP="00DC608F">
      <w:pPr>
        <w:pStyle w:val="Bibliography"/>
      </w:pPr>
      <w:r>
        <w:t>[78]</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60B4B539" w14:textId="77777777" w:rsidR="00DC608F" w:rsidRDefault="00DC608F" w:rsidP="00DC608F">
      <w:pPr>
        <w:pStyle w:val="Bibliography"/>
      </w:pPr>
      <w:r>
        <w:t>[79]</w:t>
      </w:r>
      <w:r>
        <w:tab/>
        <w:t xml:space="preserve">Niranchana Radhakrishnan, “Optimizing Data Centre Energy Efficiency with Dynamic Resource Allocation and Intelligent Cooling Management through Machine Learning,” </w:t>
      </w:r>
      <w:r>
        <w:rPr>
          <w:i/>
          <w:iCs/>
        </w:rPr>
        <w:t>J. Electr. Syst.</w:t>
      </w:r>
      <w:r>
        <w:t>, vol. 20, no. 3s, pp. 286–293, Apr. 2024, doi: 10.52783/jes.1287.</w:t>
      </w:r>
    </w:p>
    <w:p w14:paraId="0F992699" w14:textId="77777777" w:rsidR="00DC608F" w:rsidRDefault="00DC608F" w:rsidP="00DC608F">
      <w:pPr>
        <w:pStyle w:val="Bibliography"/>
      </w:pPr>
      <w:r>
        <w:t>[80]</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016A7BBA" w14:textId="77777777" w:rsidR="00DC608F" w:rsidRDefault="00DC608F" w:rsidP="00DC608F">
      <w:pPr>
        <w:pStyle w:val="Bibliography"/>
      </w:pPr>
      <w:r>
        <w:t>[81]</w:t>
      </w:r>
      <w:r>
        <w:tab/>
        <w:t>IEC, “Electrical Energy Storage.” [Online]. Available: https://iec.ch/system/files/2019-09/content/media/files/iec_wp-electrical_energy_storage-en.pdf</w:t>
      </w:r>
    </w:p>
    <w:p w14:paraId="6D192E43" w14:textId="77777777" w:rsidR="00DC608F" w:rsidRDefault="00DC608F" w:rsidP="00DC608F">
      <w:pPr>
        <w:pStyle w:val="Bibliography"/>
      </w:pPr>
      <w:r>
        <w:t>[82]</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7A10BA2C" w14:textId="77777777" w:rsidR="00DC608F" w:rsidRDefault="00DC608F" w:rsidP="00DC608F">
      <w:pPr>
        <w:pStyle w:val="Bibliography"/>
      </w:pPr>
      <w:r>
        <w:t>[83]</w:t>
      </w:r>
      <w:r>
        <w:tab/>
        <w:t xml:space="preserve">E. Eslami, “Air Quality and Greenhouse Gas Emissions Assessment of Data Centers in Texas: Quantifying Impacts and Environmental Tradeoffs,” 2025, </w:t>
      </w:r>
      <w:r>
        <w:rPr>
          <w:i/>
          <w:iCs/>
        </w:rPr>
        <w:t>arXiv</w:t>
      </w:r>
      <w:r>
        <w:t>. doi: 10.48550/ARXIV.2509.21312.</w:t>
      </w:r>
    </w:p>
    <w:p w14:paraId="6EC31CB2" w14:textId="77777777" w:rsidR="00DC608F" w:rsidRDefault="00DC608F" w:rsidP="00DC608F">
      <w:pPr>
        <w:pStyle w:val="Bibliography"/>
      </w:pPr>
      <w:r>
        <w:t>[84]</w:t>
      </w:r>
      <w:r>
        <w:tab/>
        <w:t xml:space="preserve">Y. Tang, X. Bai, C. Jin, Y. Fu, W. Mao, and X. Xu, “Experimental and numerical study on the thermal environment of a data center,” </w:t>
      </w:r>
      <w:r>
        <w:rPr>
          <w:i/>
          <w:iCs/>
        </w:rPr>
        <w:t>Build. Environ.</w:t>
      </w:r>
      <w:r>
        <w:t>, vol. 212, p. 108741, Mar. 2022, doi: 10.1016/j.buildenv.2021.108741.</w:t>
      </w:r>
    </w:p>
    <w:p w14:paraId="4E30DC76" w14:textId="77777777" w:rsidR="00DC608F" w:rsidRDefault="00DC608F" w:rsidP="00DC608F">
      <w:pPr>
        <w:pStyle w:val="Bibliography"/>
      </w:pPr>
      <w:r>
        <w:t>[85]</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43868830" w14:textId="77777777" w:rsidR="00DC608F" w:rsidRDefault="00DC608F" w:rsidP="00DC608F">
      <w:pPr>
        <w:pStyle w:val="Bibliography"/>
      </w:pPr>
      <w:r>
        <w:t>[86]</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1B2373CE" w14:textId="77777777" w:rsidR="00DC608F" w:rsidRDefault="00DC608F" w:rsidP="00DC608F">
      <w:pPr>
        <w:pStyle w:val="Bibliography"/>
      </w:pPr>
      <w:r>
        <w:lastRenderedPageBreak/>
        <w:t>[87]</w:t>
      </w:r>
      <w:r>
        <w:tab/>
      </w:r>
      <w:r>
        <w:rPr>
          <w:i/>
          <w:iCs/>
        </w:rPr>
        <w:t>IEEE Recommended Practice for Powering and Grounding Electronic Equipment</w:t>
      </w:r>
      <w:r>
        <w:t>. doi: 10.1109/IEEESTD.1999.90559.</w:t>
      </w:r>
    </w:p>
    <w:p w14:paraId="3A1E5B8F" w14:textId="77777777" w:rsidR="00DC608F" w:rsidRDefault="00DC608F" w:rsidP="00DC608F">
      <w:pPr>
        <w:pStyle w:val="Bibliography"/>
      </w:pPr>
      <w:r>
        <w:t>[88]</w:t>
      </w:r>
      <w:r>
        <w:tab/>
        <w:t>R. Siddique, “Active Power Filters for Harmonic Mitigation in Power Systems”.</w:t>
      </w:r>
    </w:p>
    <w:p w14:paraId="39AB5FDB" w14:textId="77777777" w:rsidR="00DC608F" w:rsidRDefault="00DC608F" w:rsidP="00DC608F">
      <w:pPr>
        <w:pStyle w:val="Bibliography"/>
      </w:pPr>
      <w:r>
        <w:t>[89]</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7E892567" w14:textId="77777777" w:rsidR="00DC608F" w:rsidRDefault="00DC608F" w:rsidP="00DC608F">
      <w:pPr>
        <w:pStyle w:val="Bibliography"/>
      </w:pPr>
      <w:r>
        <w:t>[90]</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6E6CE03E" w14:textId="77777777" w:rsidR="00DC608F" w:rsidRDefault="00DC608F" w:rsidP="00DC608F">
      <w:pPr>
        <w:pStyle w:val="Bibliography"/>
      </w:pPr>
      <w:r>
        <w:t>[91]</w:t>
      </w:r>
      <w:r>
        <w:tab/>
        <w:t xml:space="preserve">J. Li, C. Wang, and Y. Liu, “AI Driven Virtual Power Plants: A Comprehensive Review,” Jan. 22, 2026, </w:t>
      </w:r>
      <w:r>
        <w:rPr>
          <w:i/>
          <w:iCs/>
        </w:rPr>
        <w:t>Engineering</w:t>
      </w:r>
      <w:r>
        <w:t>. doi: 10.20944/preprints202601.1691.v1.</w:t>
      </w:r>
    </w:p>
    <w:p w14:paraId="61E3A63A" w14:textId="77777777" w:rsidR="00DC608F" w:rsidRDefault="00DC608F" w:rsidP="00DC608F">
      <w:pPr>
        <w:pStyle w:val="Bibliography"/>
      </w:pPr>
      <w:r>
        <w:t>[92]</w:t>
      </w:r>
      <w:r>
        <w:tab/>
        <w:t xml:space="preserve">S. Jadhav and Z. Liu, “Digital Twin-Based Cooling System Optimization for Data Center,” 2026, </w:t>
      </w:r>
      <w:r>
        <w:rPr>
          <w:i/>
          <w:iCs/>
        </w:rPr>
        <w:t>arXiv</w:t>
      </w:r>
      <w:r>
        <w:t>. doi: 10.48550/ARXIV.2603.01198.</w:t>
      </w:r>
    </w:p>
    <w:p w14:paraId="756CFB13" w14:textId="77777777" w:rsidR="00DC608F" w:rsidRDefault="00DC608F" w:rsidP="00DC608F">
      <w:pPr>
        <w:pStyle w:val="Bibliography"/>
      </w:pPr>
      <w:r>
        <w:t>[93]</w:t>
      </w:r>
      <w:r>
        <w:tab/>
      </w:r>
      <w:r>
        <w:rPr>
          <w:i/>
          <w:iCs/>
        </w:rPr>
        <w:t>24/7 renewables: the economics of firm solar and wind</w:t>
      </w:r>
      <w:r>
        <w:t>. Abu Dhabi: International Renewable Energy Agency, 2026.</w:t>
      </w:r>
    </w:p>
    <w:p w14:paraId="70E8F957" w14:textId="77777777" w:rsidR="00DC608F" w:rsidRDefault="00DC608F" w:rsidP="00DC608F">
      <w:pPr>
        <w:pStyle w:val="Bibliography"/>
      </w:pPr>
      <w:r>
        <w:t>[94]</w:t>
      </w:r>
      <w:r>
        <w:tab/>
        <w:t>NREL, “National Renewable Energy Laboratory (NREL).” [Online]. Available: https://atb.nrel.gov/</w:t>
      </w:r>
    </w:p>
    <w:p w14:paraId="34B27F1C" w14:textId="77777777" w:rsidR="00DC608F" w:rsidRDefault="00DC608F" w:rsidP="00DC608F">
      <w:pPr>
        <w:pStyle w:val="Bibliography"/>
      </w:pPr>
      <w:r>
        <w:t>[95]</w:t>
      </w:r>
      <w:r>
        <w:tab/>
        <w:t xml:space="preserve">E. Förstner </w:t>
      </w:r>
      <w:r>
        <w:rPr>
          <w:i/>
          <w:iCs/>
        </w:rPr>
        <w:t>et al.</w:t>
      </w:r>
      <w:r>
        <w:t>, “Photovoltaic system reduces grid voltage waveform distortions in the frequency range from 700 Hz to 1250 Hz,” 2026, doi: 10.5445/IR/1000191363.</w:t>
      </w:r>
    </w:p>
    <w:p w14:paraId="3EC31C6E" w14:textId="77777777" w:rsidR="00DC608F" w:rsidRDefault="00DC608F" w:rsidP="00DC608F">
      <w:pPr>
        <w:pStyle w:val="Bibliography"/>
      </w:pPr>
      <w:r>
        <w:t>[96]</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5E2677D5" w14:textId="77777777" w:rsidR="00DC608F" w:rsidRDefault="00DC608F" w:rsidP="00DC608F">
      <w:pPr>
        <w:pStyle w:val="Bibliography"/>
      </w:pPr>
      <w:r>
        <w:t>[97]</w:t>
      </w:r>
      <w:r>
        <w:tab/>
        <w:t xml:space="preserve">O. Ndindayino, A. Puel, and J. Meyers, “Effect of blockage on wind turbine power and wake development,” Feb. 12, 2025, </w:t>
      </w:r>
      <w:r>
        <w:rPr>
          <w:i/>
          <w:iCs/>
        </w:rPr>
        <w:t>Fluid mechanics/Wakes and wind farm aerodynamics</w:t>
      </w:r>
      <w:r>
        <w:t>. doi: 10.5194/wes-2025-6.</w:t>
      </w:r>
    </w:p>
    <w:p w14:paraId="04D01859" w14:textId="77777777" w:rsidR="00DC608F" w:rsidRDefault="00DC608F" w:rsidP="00DC608F">
      <w:pPr>
        <w:pStyle w:val="Bibliography"/>
      </w:pPr>
      <w:r>
        <w:t>[98]</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3E42CC60" w14:textId="77777777" w:rsidR="00DC608F" w:rsidRDefault="00DC608F" w:rsidP="00DC608F">
      <w:pPr>
        <w:pStyle w:val="Bibliography"/>
      </w:pPr>
      <w:r>
        <w:t>[99]</w:t>
      </w:r>
      <w:r>
        <w:tab/>
        <w:t xml:space="preserve">J. F. S. De Paula, J. L. De Souza Silva, M. V. De Paula, G. Fraidenraich, and T. A. Dos Santos Barros, “A Two-Stage Methodology for Accurate PV Energy Yield Estimation Using Satellite Weather Data and PV Modeling Python Library,” in </w:t>
      </w:r>
      <w:r>
        <w:rPr>
          <w:i/>
          <w:iCs/>
        </w:rPr>
        <w:t>2025 Brazilian Power Electronics Conference (COBEP)</w:t>
      </w:r>
      <w:r>
        <w:t>, Vitoria, Brazil: IEEE, Oct. 2025, pp. 1–6. doi: 10.1109/COBEP66423.2025.11231587.</w:t>
      </w:r>
    </w:p>
    <w:p w14:paraId="23A741A3" w14:textId="77777777" w:rsidR="00DC608F" w:rsidRDefault="00DC608F" w:rsidP="00DC608F">
      <w:pPr>
        <w:pStyle w:val="Bibliography"/>
      </w:pPr>
      <w:r>
        <w:t>[100]</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628DDDFC" w14:textId="77777777" w:rsidR="00DC608F" w:rsidRDefault="00DC608F" w:rsidP="00DC608F">
      <w:pPr>
        <w:pStyle w:val="Bibliography"/>
      </w:pPr>
      <w:r>
        <w:t>[101]</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7789E93B" w14:textId="77777777" w:rsidR="00DC608F" w:rsidRDefault="00DC608F" w:rsidP="00DC608F">
      <w:pPr>
        <w:pStyle w:val="Bibliography"/>
      </w:pPr>
      <w:r>
        <w:t>[102]</w:t>
      </w:r>
      <w:r>
        <w:tab/>
        <w:t xml:space="preserve">T. Anderson, “An improved typical meteorological year for solar energy simulations in Rarotonga, Cook Islands,” </w:t>
      </w:r>
      <w:r>
        <w:rPr>
          <w:i/>
          <w:iCs/>
        </w:rPr>
        <w:t>J. R. Soc. N. Z.</w:t>
      </w:r>
      <w:r>
        <w:t>, vol. 52, no. 5, pp. 606–613, Oct. 2022, doi: 10.1080/03036758.2021.2013262.</w:t>
      </w:r>
    </w:p>
    <w:p w14:paraId="00C570BA" w14:textId="77777777" w:rsidR="00DC608F" w:rsidRDefault="00DC608F" w:rsidP="00DC608F">
      <w:pPr>
        <w:pStyle w:val="Bibliography"/>
      </w:pPr>
      <w:r>
        <w:lastRenderedPageBreak/>
        <w:t>[103]</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31823F73" w14:textId="77777777" w:rsidR="00DC608F" w:rsidRDefault="00DC608F" w:rsidP="00DC608F">
      <w:pPr>
        <w:pStyle w:val="Bibliography"/>
      </w:pPr>
      <w:r>
        <w:t>[104]</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6CC8FB3D" w14:textId="77777777" w:rsidR="00DC608F" w:rsidRDefault="00DC608F" w:rsidP="00DC608F">
      <w:pPr>
        <w:pStyle w:val="Bibliography"/>
      </w:pPr>
      <w:r>
        <w:t>[105]</w:t>
      </w:r>
      <w:r>
        <w:tab/>
        <w:t xml:space="preserve">S. Jerez, I. Tobin, M. Turco, P. Jiménez-Guerrero, R. Vautard, and J. P. Montávez, “Future changes, or lack thereof, in the temporal variability of the combined wind-plus-solar power production in Europe,” </w:t>
      </w:r>
      <w:r>
        <w:rPr>
          <w:i/>
          <w:iCs/>
        </w:rPr>
        <w:t>Renew. Energy</w:t>
      </w:r>
      <w:r>
        <w:t>, vol. 139, pp. 251–260, Aug. 2019, doi: 10.1016/j.renene.2019.02.060.</w:t>
      </w:r>
    </w:p>
    <w:p w14:paraId="755B3E0B" w14:textId="77777777" w:rsidR="00DC608F" w:rsidRDefault="00DC608F" w:rsidP="00DC608F">
      <w:pPr>
        <w:pStyle w:val="Bibliography"/>
      </w:pPr>
      <w:r>
        <w:t>[106]</w:t>
      </w:r>
      <w:r>
        <w:tab/>
        <w:t xml:space="preserve">W. Cole, V. Ramasamy, and M. Turan, “Cost Projections for Utility-Scale Battery Storage: 2025 Update,” </w:t>
      </w:r>
      <w:r>
        <w:rPr>
          <w:i/>
          <w:iCs/>
        </w:rPr>
        <w:t>Renew. Energy</w:t>
      </w:r>
      <w:r>
        <w:t>, 2025, [Online]. Available: https://docs.nrel.gov/docs/fy25osti/93281.pdf</w:t>
      </w:r>
    </w:p>
    <w:p w14:paraId="48681D5D" w14:textId="77777777" w:rsidR="00DC608F" w:rsidRDefault="00DC608F" w:rsidP="00DC608F">
      <w:pPr>
        <w:pStyle w:val="Bibliography"/>
      </w:pPr>
      <w:r>
        <w:t>[107]</w:t>
      </w:r>
      <w:r>
        <w:tab/>
        <w:t>Our World in Data, “Battery costs have declined by 99% in the last three decades, making electrified transport a reality.” [Online]. Available: https://ourworldindata.org/battery-price-decline</w:t>
      </w:r>
    </w:p>
    <w:p w14:paraId="5D3B4BE1" w14:textId="77777777" w:rsidR="00DC608F" w:rsidRDefault="00DC608F" w:rsidP="00DC608F">
      <w:pPr>
        <w:pStyle w:val="Bibliography"/>
      </w:pPr>
      <w:r>
        <w:t>[108]</w:t>
      </w:r>
      <w:r>
        <w:tab/>
        <w:t xml:space="preserve">European Commission. Joint Research Centre </w:t>
      </w:r>
      <w:r>
        <w:rPr>
          <w:i/>
          <w:iCs/>
        </w:rPr>
        <w:t>et al.</w:t>
      </w:r>
      <w:r>
        <w:t xml:space="preserve">, </w:t>
      </w:r>
      <w:r>
        <w:rPr>
          <w:i/>
          <w:iCs/>
        </w:rPr>
        <w:t>Clean Energy Technology Observatory</w:t>
      </w:r>
      <w:r>
        <w:t>. in EUR. LU: Publications Office of the European Union, 2026. doi: 10.2760/2686206.</w:t>
      </w:r>
    </w:p>
    <w:p w14:paraId="46DAE170" w14:textId="77777777" w:rsidR="00DC608F" w:rsidRDefault="00DC608F" w:rsidP="00DC608F">
      <w:pPr>
        <w:pStyle w:val="Bibliography"/>
      </w:pPr>
      <w:r>
        <w:t>[109]</w:t>
      </w:r>
      <w:r>
        <w:tab/>
        <w:t>D. Reber, S. Jarvis, and M. Marshak, “The role of energy density for grid-scale batteries,” Nov. 17, 2022. doi: 10.26434/chemrxiv-2022-5ddhs.</w:t>
      </w:r>
    </w:p>
    <w:p w14:paraId="56075257" w14:textId="77777777" w:rsidR="00DC608F" w:rsidRDefault="00DC608F" w:rsidP="00DC608F">
      <w:pPr>
        <w:pStyle w:val="Bibliography"/>
      </w:pPr>
      <w:r>
        <w:t>[110]</w:t>
      </w:r>
      <w:r>
        <w:tab/>
        <w:t xml:space="preserve">S. Rahman and T. A. Khan, “Energy Storage Systems for AI Data Centers: A Review of Technologies, Characteristics, and Applicability,” </w:t>
      </w:r>
      <w:r>
        <w:rPr>
          <w:i/>
          <w:iCs/>
        </w:rPr>
        <w:t>Energies</w:t>
      </w:r>
      <w:r>
        <w:t>, vol. 19, no. 3, p. 634, Jan. 2026, doi: 10.3390/en19030634.</w:t>
      </w:r>
    </w:p>
    <w:p w14:paraId="71EEA679" w14:textId="77777777" w:rsidR="00DC608F" w:rsidRDefault="00DC608F" w:rsidP="00DC608F">
      <w:pPr>
        <w:pStyle w:val="Bibliography"/>
      </w:pPr>
      <w:r>
        <w:t>[111]</w:t>
      </w:r>
      <w:r>
        <w:tab/>
        <w:t>U. Remme, “Global Hydrogen Review 2025,” 2025, [Online]. Available: https://iea.blob.core.windows.net/assets/12d92ecc-e960-40f3-aff5-b2de6690ab6b/GlobalHydrogenReview2025.pdf</w:t>
      </w:r>
    </w:p>
    <w:p w14:paraId="6B756C1C" w14:textId="77777777" w:rsidR="00DC608F" w:rsidRDefault="00DC608F" w:rsidP="00DC608F">
      <w:pPr>
        <w:pStyle w:val="Bibliography"/>
      </w:pPr>
      <w:r>
        <w:t>[112]</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12C16DA1" w14:textId="77777777" w:rsidR="00DC608F" w:rsidRDefault="00DC608F" w:rsidP="00DC608F">
      <w:pPr>
        <w:pStyle w:val="Bibliography"/>
      </w:pPr>
      <w:r>
        <w:t>[113]</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21976BEB" w14:textId="77777777" w:rsidR="00DC608F" w:rsidRDefault="00DC608F" w:rsidP="00DC608F">
      <w:pPr>
        <w:pStyle w:val="Bibliography"/>
      </w:pPr>
      <w:r>
        <w:t>[114]</w:t>
      </w:r>
      <w:r>
        <w:tab/>
        <w:t xml:space="preserve">H. H. H. Mousa, K. Mahmoud, and M. Lehtonen, “Recent developments of demand‐side management towards flexible DER‐rich power systems: A systematic review,” </w:t>
      </w:r>
      <w:r>
        <w:rPr>
          <w:i/>
          <w:iCs/>
        </w:rPr>
        <w:t>IET Gener. Transm. Distrib.</w:t>
      </w:r>
      <w:r>
        <w:t>, vol. 18, no. 13, pp. 2259–2300, Jul. 2024, doi: 10.1049/gtd2.13204.</w:t>
      </w:r>
    </w:p>
    <w:p w14:paraId="4913D336" w14:textId="77777777" w:rsidR="00DC608F" w:rsidRDefault="00DC608F" w:rsidP="00DC608F">
      <w:pPr>
        <w:pStyle w:val="Bibliography"/>
      </w:pPr>
      <w:r>
        <w:t>[115]</w:t>
      </w:r>
      <w:r>
        <w:tab/>
        <w:t>EIA, “Electric Power Annual 2024.” [Online]. Available: https://www.eia.gov/electricity/annual/pdf/epa.pdf</w:t>
      </w:r>
    </w:p>
    <w:p w14:paraId="189AAB57" w14:textId="77777777" w:rsidR="00DC608F" w:rsidRDefault="00DC608F" w:rsidP="00DC608F">
      <w:pPr>
        <w:pStyle w:val="Bibliography"/>
      </w:pPr>
      <w:r>
        <w:t>[116]</w:t>
      </w:r>
      <w:r>
        <w:tab/>
        <w:t>NREL, “Annual Technoogy Baseline.” [Online]. Available: https://atb-archive.nlr.gov/</w:t>
      </w:r>
    </w:p>
    <w:p w14:paraId="00ABF197" w14:textId="77777777" w:rsidR="00DC608F" w:rsidRDefault="00DC608F" w:rsidP="00DC608F">
      <w:pPr>
        <w:pStyle w:val="Bibliography"/>
      </w:pPr>
      <w:r>
        <w:t>[117]</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5F5FDE2F" w14:textId="77777777" w:rsidR="00DC608F" w:rsidRDefault="00DC608F" w:rsidP="00DC608F">
      <w:pPr>
        <w:pStyle w:val="Bibliography"/>
      </w:pPr>
      <w:r>
        <w:t>[118]</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7BDB90FB" w14:textId="77777777" w:rsidR="00DC608F" w:rsidRDefault="00DC608F" w:rsidP="00DC608F">
      <w:pPr>
        <w:pStyle w:val="Bibliography"/>
      </w:pPr>
      <w:r>
        <w:lastRenderedPageBreak/>
        <w:t>[119]</w:t>
      </w:r>
      <w:r>
        <w:tab/>
        <w:t xml:space="preserve">L. Friedel, J. Grenz, and C. Hagist, “A comparison of long duration energy storage technologies based on levelized cost of storage,” </w:t>
      </w:r>
      <w:r>
        <w:rPr>
          <w:i/>
          <w:iCs/>
        </w:rPr>
        <w:t>J. Energy Storage</w:t>
      </w:r>
      <w:r>
        <w:t>, vol. 153, p. 120679, Apr. 2026, doi: 10.1016/j.est.2026.120679.</w:t>
      </w:r>
    </w:p>
    <w:p w14:paraId="3155E5AB" w14:textId="77777777" w:rsidR="00DC608F" w:rsidRDefault="00DC608F" w:rsidP="00DC608F">
      <w:pPr>
        <w:pStyle w:val="Bibliography"/>
      </w:pPr>
      <w:r>
        <w:t>[120]</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4758ADF5" w14:textId="77777777" w:rsidR="00DC608F" w:rsidRDefault="00DC608F" w:rsidP="00DC608F">
      <w:pPr>
        <w:pStyle w:val="Bibliography"/>
      </w:pPr>
      <w:r>
        <w:t>[121]</w:t>
      </w:r>
      <w:r>
        <w:tab/>
        <w:t xml:space="preserve">J. M. Morales, A. J. Conejo, H. Madsen, P. Pinson, and M. Zugno, </w:t>
      </w:r>
      <w:r>
        <w:rPr>
          <w:i/>
          <w:iCs/>
        </w:rPr>
        <w:t>Integrating Renewables in Electricity Markets: Operational Problems</w:t>
      </w:r>
      <w:r>
        <w:t>, 1st ed. 2014. in International Series in Operations Research &amp; Management Science, no. 205. New York, NY: Springer US : Imprint: Springer, 2014. doi: 10.1007/978-1-4614-9411-9.</w:t>
      </w:r>
    </w:p>
    <w:p w14:paraId="30166BDE" w14:textId="77777777" w:rsidR="00DC608F" w:rsidRDefault="00DC608F" w:rsidP="00DC608F">
      <w:pPr>
        <w:pStyle w:val="Bibliography"/>
      </w:pPr>
      <w:r>
        <w:t>[122]</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6734F1A6" w14:textId="77777777" w:rsidR="00DC608F" w:rsidRDefault="00DC608F" w:rsidP="00DC608F">
      <w:pPr>
        <w:pStyle w:val="Bibliography"/>
      </w:pPr>
      <w:r>
        <w:t>[123]</w:t>
      </w:r>
      <w:r>
        <w:tab/>
        <w:t>Idaho National Lab, “Powering Data Centers with Clean Energy.” [Online]. Available: https://gain.inl.gov/content/uploads/4/2024/11/INL-RPT-24-79307-Powering-Data-Cneters-with-Clean-Energy.pdf</w:t>
      </w:r>
    </w:p>
    <w:p w14:paraId="75274A83" w14:textId="77777777" w:rsidR="00DC608F" w:rsidRDefault="00DC608F" w:rsidP="00DC608F">
      <w:pPr>
        <w:pStyle w:val="Bibliography"/>
      </w:pPr>
      <w:r>
        <w:t>[124]</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7F62824A" w14:textId="77777777" w:rsidR="00DC608F" w:rsidRDefault="00DC608F" w:rsidP="00DC608F">
      <w:pPr>
        <w:pStyle w:val="Bibliography"/>
      </w:pPr>
      <w:r>
        <w:t>[125]</w:t>
      </w:r>
      <w:r>
        <w:tab/>
        <w:t xml:space="preserve">S. Ghosh and J. Damodara, “Scalable data centers – Power generation and delivery challenges and solutions,” </w:t>
      </w:r>
      <w:r>
        <w:rPr>
          <w:i/>
          <w:iCs/>
        </w:rPr>
        <w:t>Energy Rep.</w:t>
      </w:r>
      <w:r>
        <w:t>, vol. 15, p. 109178, Jun. 2026, doi: 10.1016/j.egyr.2026.109178.</w:t>
      </w:r>
    </w:p>
    <w:p w14:paraId="012D5715" w14:textId="77777777" w:rsidR="00DC608F" w:rsidRDefault="00DC608F" w:rsidP="00DC608F">
      <w:pPr>
        <w:pStyle w:val="Bibliography"/>
      </w:pPr>
      <w:r>
        <w:t>[126]</w:t>
      </w:r>
      <w:r>
        <w:tab/>
        <w:t>EPRI, “Powering Data Centers in the AI Era.” [Online]. Available: https://energie.hec.ca/wp-content/uploads/2025/10/PPT_EPRI.pdf</w:t>
      </w:r>
    </w:p>
    <w:p w14:paraId="43728065" w14:textId="77777777" w:rsidR="00DC608F" w:rsidRDefault="00DC608F" w:rsidP="00DC608F">
      <w:pPr>
        <w:pStyle w:val="Bibliography"/>
      </w:pPr>
      <w:r>
        <w:t>[127]</w:t>
      </w:r>
      <w:r>
        <w:tab/>
      </w:r>
      <w:r>
        <w:rPr>
          <w:i/>
          <w:iCs/>
        </w:rPr>
        <w:t>IEEE Standard for the Specification of Microgrid Controllers</w:t>
      </w:r>
      <w:r>
        <w:t>. doi: 10.1109/IEEESTD.2018.8340204.</w:t>
      </w:r>
    </w:p>
    <w:p w14:paraId="1AB46C46" w14:textId="77777777" w:rsidR="00DC608F" w:rsidRDefault="00DC608F" w:rsidP="00DC608F">
      <w:pPr>
        <w:pStyle w:val="Bibliography"/>
      </w:pPr>
      <w:r>
        <w:t>[128]</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16AA869C" w14:textId="77777777" w:rsidR="00DC608F" w:rsidRDefault="00DC608F" w:rsidP="00DC608F">
      <w:pPr>
        <w:pStyle w:val="Bibliography"/>
      </w:pPr>
      <w:r>
        <w:t>[129]</w:t>
      </w:r>
      <w:r>
        <w:tab/>
        <w:t>M. G. Todeschini, G. Dondossola, and R. Terruggia, “IMPACT EVALUATION OF IEC 62351 CYBER SECURITY ON IEC 61850 COMMUNICATIONS PERFORMANCE,” 2019.</w:t>
      </w:r>
    </w:p>
    <w:p w14:paraId="26FAC599" w14:textId="77777777" w:rsidR="00DC608F" w:rsidRDefault="00DC608F" w:rsidP="00DC608F">
      <w:pPr>
        <w:pStyle w:val="Bibliography"/>
      </w:pPr>
      <w:r>
        <w:t>[130]</w:t>
      </w:r>
      <w:r>
        <w:tab/>
        <w:t xml:space="preserve">A. J. Monticelli, A. Garcia, and O. R. Saavedra, “Fast decoupled load flow: hypothesis, derivations, and testing,” </w:t>
      </w:r>
      <w:r>
        <w:rPr>
          <w:i/>
          <w:iCs/>
        </w:rPr>
        <w:t>IEEE Trans. Power Syst.</w:t>
      </w:r>
      <w:r>
        <w:t>, vol. 5, no. 4, pp. 1425–1431, Nov. 1990, doi: 10.1109/59.99396.</w:t>
      </w:r>
    </w:p>
    <w:p w14:paraId="7D7B3786" w14:textId="77777777" w:rsidR="00DC608F" w:rsidRDefault="00DC608F" w:rsidP="00DC608F">
      <w:pPr>
        <w:pStyle w:val="Bibliography"/>
      </w:pPr>
      <w:r>
        <w:t>[131]</w:t>
      </w:r>
      <w:r>
        <w:tab/>
        <w:t xml:space="preserve">M. Huneault and F. D. Galiana, “A survey of the optimal power flow literature,” </w:t>
      </w:r>
      <w:r>
        <w:rPr>
          <w:i/>
          <w:iCs/>
        </w:rPr>
        <w:t>IEEE Trans. Power Syst.</w:t>
      </w:r>
      <w:r>
        <w:t>, vol. 6, no. 2, pp. 762–770, May 1991, doi: 10.1109/59.76723.</w:t>
      </w:r>
    </w:p>
    <w:p w14:paraId="7B0E11AD" w14:textId="77777777" w:rsidR="00DC608F" w:rsidRDefault="00DC608F" w:rsidP="00DC608F">
      <w:pPr>
        <w:pStyle w:val="Bibliography"/>
      </w:pPr>
      <w:r>
        <w:t>[132]</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65C91FBE" w14:textId="77777777" w:rsidR="00DC608F" w:rsidRDefault="00DC608F" w:rsidP="00DC608F">
      <w:pPr>
        <w:pStyle w:val="Bibliography"/>
      </w:pPr>
      <w:r>
        <w:t>[133]</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6FD3ACA3" w14:textId="77777777" w:rsidR="00DC608F" w:rsidRDefault="00DC608F" w:rsidP="00DC608F">
      <w:pPr>
        <w:pStyle w:val="Bibliography"/>
      </w:pPr>
      <w:r>
        <w:lastRenderedPageBreak/>
        <w:t>[134]</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2692E9A5" w14:textId="77777777" w:rsidR="00DC608F" w:rsidRDefault="00DC608F" w:rsidP="00DC608F">
      <w:pPr>
        <w:pStyle w:val="Bibliography"/>
      </w:pPr>
      <w:r>
        <w:t>[135]</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6D1A1F4D" w14:textId="77777777" w:rsidR="00DC608F" w:rsidRDefault="00DC608F" w:rsidP="00DC608F">
      <w:pPr>
        <w:pStyle w:val="Bibliography"/>
      </w:pPr>
      <w:r>
        <w:t>[136]</w:t>
      </w:r>
      <w:r>
        <w:tab/>
        <w:t>NERC, “Inverter-Based Resource Performance Issues.” [Online]. Available: https://www.nerc.com/globalassets/programs/bpsa/alerts/2023/nerc-alert-r-2023-03-14-01-level-2---inverter-based-resource-performance-issues.pdf</w:t>
      </w:r>
    </w:p>
    <w:p w14:paraId="1E2FCE4D" w14:textId="77777777" w:rsidR="00DC608F" w:rsidRDefault="00DC608F" w:rsidP="00DC608F">
      <w:pPr>
        <w:pStyle w:val="Bibliography"/>
      </w:pPr>
      <w:r>
        <w:t>[137]</w:t>
      </w:r>
      <w:r>
        <w:tab/>
        <w:t xml:space="preserve">M. S. Anindya, F. Zaro, and M. Popescu, “Power Quality Improvement Using Active Power Filters in Industrial Systems,” </w:t>
      </w:r>
      <w:r>
        <w:rPr>
          <w:i/>
          <w:iCs/>
        </w:rPr>
        <w:t>RESWARA J. Ris. Ilmu Tek.</w:t>
      </w:r>
      <w:r>
        <w:t>, vol. 3, no. 2, pp. 44–50, Apr. 2025, doi: 10.70716/reswara.v3i2.404.</w:t>
      </w:r>
    </w:p>
    <w:p w14:paraId="2B0A273B" w14:textId="77777777" w:rsidR="00DC608F" w:rsidRDefault="00DC608F" w:rsidP="00DC608F">
      <w:pPr>
        <w:pStyle w:val="Bibliography"/>
      </w:pPr>
      <w:r>
        <w:t>[138]</w:t>
      </w:r>
      <w:r>
        <w:tab/>
        <w:t>HOMER, “Microgrid and Hybrid Power Modeling.” [Online]. Available: https://homerenergy.com/</w:t>
      </w:r>
    </w:p>
    <w:p w14:paraId="3F8FD24F" w14:textId="77777777" w:rsidR="00DC608F" w:rsidRDefault="00DC608F" w:rsidP="00DC608F">
      <w:pPr>
        <w:pStyle w:val="Bibliography"/>
      </w:pPr>
      <w:r>
        <w:t>[139]</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0B83EC4E" w14:textId="77777777" w:rsidR="00DC608F" w:rsidRDefault="00DC608F" w:rsidP="00DC608F">
      <w:pPr>
        <w:pStyle w:val="Bibliography"/>
      </w:pPr>
      <w:r>
        <w:t>[140]</w:t>
      </w:r>
      <w:r>
        <w:tab/>
        <w:t xml:space="preserve">R. H. Inman, H. T. C. Pedro, and C. F. M. Coimbra, “Solar forecasting methods for renewable energy integration,” </w:t>
      </w:r>
      <w:r>
        <w:rPr>
          <w:i/>
          <w:iCs/>
        </w:rPr>
        <w:t>Prog. Energy Combust. Sci.</w:t>
      </w:r>
      <w:r>
        <w:t>, vol. 39, no. 6, pp. 535–576, Dec. 2013, doi: 10.1016/j.pecs.2013.06.002.</w:t>
      </w:r>
    </w:p>
    <w:p w14:paraId="5F0D2A60" w14:textId="77777777" w:rsidR="00DC608F" w:rsidRDefault="00DC608F" w:rsidP="00DC608F">
      <w:pPr>
        <w:pStyle w:val="Bibliography"/>
      </w:pPr>
      <w:r>
        <w:t>[141]</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171F8E01" w14:textId="77777777" w:rsidR="00DC608F" w:rsidRDefault="00DC608F" w:rsidP="00DC608F">
      <w:pPr>
        <w:pStyle w:val="Bibliography"/>
      </w:pPr>
      <w:r>
        <w:t>[142]</w:t>
      </w:r>
      <w:r>
        <w:tab/>
        <w:t xml:space="preserve">N. Subramanian and A. A. Stonier, “Digital twin applications and case studies in modern power grid management,” </w:t>
      </w:r>
      <w:r>
        <w:rPr>
          <w:i/>
          <w:iCs/>
        </w:rPr>
        <w:t>Energy Rep.</w:t>
      </w:r>
      <w:r>
        <w:t>, vol. 15, p. 109218, Jun. 2026, doi: 10.1016/j.egyr.2026.109218.</w:t>
      </w:r>
    </w:p>
    <w:p w14:paraId="309769C5" w14:textId="77777777" w:rsidR="00DC608F" w:rsidRDefault="00DC608F" w:rsidP="00DC608F">
      <w:pPr>
        <w:pStyle w:val="Bibliography"/>
      </w:pPr>
      <w:r>
        <w:t>[143]</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3BC18741" w14:textId="77777777" w:rsidR="00DC608F" w:rsidRDefault="00DC608F" w:rsidP="00DC608F">
      <w:pPr>
        <w:pStyle w:val="Bibliography"/>
      </w:pPr>
      <w:r>
        <w:t>[144]</w:t>
      </w:r>
      <w:r>
        <w:tab/>
        <w:t xml:space="preserve">S. Sarkar </w:t>
      </w:r>
      <w:r>
        <w:rPr>
          <w:i/>
          <w:iCs/>
        </w:rPr>
        <w:t>et al.</w:t>
      </w:r>
      <w:r>
        <w:t xml:space="preserve">, “Carbon Footprint Reduction for Sustainable Data Centers in Real-Time,” 2024, </w:t>
      </w:r>
      <w:r>
        <w:rPr>
          <w:i/>
          <w:iCs/>
        </w:rPr>
        <w:t>arXiv</w:t>
      </w:r>
      <w:r>
        <w:t>. doi: 10.48550/ARXIV.2403.14092.</w:t>
      </w:r>
    </w:p>
    <w:p w14:paraId="0A6E968B" w14:textId="77777777" w:rsidR="00DC608F" w:rsidRDefault="00DC608F" w:rsidP="00DC608F">
      <w:pPr>
        <w:pStyle w:val="Bibliography"/>
      </w:pPr>
      <w:r>
        <w:t>[145]</w:t>
      </w:r>
      <w:r>
        <w:tab/>
        <w:t>EPA, “Summary of Inflation Reduction Act provisions related to renewable energy.” [Online]. Available: https://www.epa.gov/green-power-markets/summary-inflation-reduction-act-provisions-related-renewable-energy</w:t>
      </w:r>
    </w:p>
    <w:p w14:paraId="4F920260" w14:textId="77777777" w:rsidR="00DC608F" w:rsidRDefault="00DC608F" w:rsidP="00DC608F">
      <w:pPr>
        <w:pStyle w:val="Bibliography"/>
      </w:pPr>
      <w:r>
        <w:t>[146]</w:t>
      </w:r>
      <w:r>
        <w:tab/>
        <w:t xml:space="preserve">M. S. Hoosain, B. S. Paul, S. Kass, and S. Ramakrishna, “Tools Towards the Sustainability and Circularity of Data Centers,” </w:t>
      </w:r>
      <w:r>
        <w:rPr>
          <w:i/>
          <w:iCs/>
        </w:rPr>
        <w:t>Circ. Econ. Sustain.</w:t>
      </w:r>
      <w:r>
        <w:t>, vol. 3, no. 1, pp. 173–197, Mar. 2023, doi: 10.1007/s43615-022-00191-9.</w:t>
      </w:r>
    </w:p>
    <w:p w14:paraId="2F71F956" w14:textId="77777777" w:rsidR="00DC608F" w:rsidRDefault="00DC608F" w:rsidP="00DC608F">
      <w:pPr>
        <w:pStyle w:val="Bibliography"/>
      </w:pPr>
      <w:r>
        <w:t>[147]</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427737A0" w14:textId="77777777" w:rsidR="00DC608F" w:rsidRDefault="00DC608F" w:rsidP="00DC608F">
      <w:pPr>
        <w:pStyle w:val="Bibliography"/>
      </w:pPr>
      <w:r>
        <w:lastRenderedPageBreak/>
        <w:t>[148]</w:t>
      </w:r>
      <w:r>
        <w:tab/>
        <w:t>Arthur D. Little, “U N L O C K I N G FUSION ENERGY.” [Online]. Available: https://www.adlittle.com/sites/default/files/reports/ADL_Unlocking_fusion_energy_2025%20%281%29.pdf</w:t>
      </w:r>
    </w:p>
    <w:p w14:paraId="729DD7BA" w14:textId="77777777" w:rsidR="00DC608F" w:rsidRDefault="00DC608F" w:rsidP="00DC608F">
      <w:pPr>
        <w:pStyle w:val="Bibliography"/>
      </w:pPr>
      <w:r>
        <w:t>[149]</w:t>
      </w:r>
      <w:r>
        <w:tab/>
        <w:t xml:space="preserve">F. M. A. Hadi, H. H. Aly, and T. Little, “Harmonics Forecasting of Wind and Solar Hybrid Model Based on Deep Machine Learning,” </w:t>
      </w:r>
      <w:r>
        <w:rPr>
          <w:i/>
          <w:iCs/>
        </w:rPr>
        <w:t>IEEE Access</w:t>
      </w:r>
      <w:r>
        <w:t>, vol. 11, pp. 100438–100457, 2023, doi: 10.1109/ACCESS.2023.3314742.</w:t>
      </w:r>
    </w:p>
    <w:p w14:paraId="2C69FC46" w14:textId="77777777" w:rsidR="00DC608F" w:rsidRDefault="00DC608F" w:rsidP="00DC608F">
      <w:pPr>
        <w:pStyle w:val="Bibliography"/>
      </w:pPr>
      <w:r>
        <w:t>[150]</w:t>
      </w:r>
      <w:r>
        <w:tab/>
        <w:t xml:space="preserve">G. Soyturk and O. Kizilkan, “Modeling and analysis of solid oxide fuel cell-based multigeneration system with supercritical and transcritical carbon dioxide power cycles, humidification-dehumidification system and hydrogen generation,” </w:t>
      </w:r>
      <w:r>
        <w:rPr>
          <w:i/>
          <w:iCs/>
        </w:rPr>
        <w:t>Energy Convers. Manag.</w:t>
      </w:r>
      <w:r>
        <w:t>, vol. 332, p. 119762, May 2025, doi: 10.1016/j.enconman.2025.119762.</w:t>
      </w:r>
    </w:p>
    <w:p w14:paraId="78FFCD16" w14:textId="77777777" w:rsidR="00DC608F" w:rsidRDefault="00DC608F" w:rsidP="00DC608F">
      <w:pPr>
        <w:pStyle w:val="Bibliography"/>
      </w:pPr>
      <w:r>
        <w:t>[151]</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086BC606" w14:textId="77777777" w:rsidR="00DC608F" w:rsidRDefault="00DC608F" w:rsidP="00DC608F">
      <w:pPr>
        <w:pStyle w:val="Bibliography"/>
      </w:pPr>
      <w:r>
        <w:t>[152]</w:t>
      </w:r>
      <w:r>
        <w:tab/>
        <w:t>N. Institute, “Beyond FERC Order 2023: Considerations on Deep Interconnection Reform”, [Online]. Available: https://www.researchgate.net/publication/382074664_Beyond_FERC_Order_2023_Considerations_on_Deep_Interconnection_Reform</w:t>
      </w:r>
    </w:p>
    <w:p w14:paraId="29987F91" w14:textId="77777777" w:rsidR="00DC608F" w:rsidRDefault="00DC608F" w:rsidP="00DC608F">
      <w:pPr>
        <w:pStyle w:val="Bibliography"/>
      </w:pPr>
      <w:r>
        <w:t>[153]</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5A6297AB" w14:textId="77777777" w:rsidR="00DC608F" w:rsidRDefault="00DC608F" w:rsidP="00DC608F">
      <w:pPr>
        <w:pStyle w:val="Bibliography"/>
      </w:pPr>
      <w:r>
        <w:t>[154]</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13616B97" w14:textId="77777777" w:rsidR="00DC608F" w:rsidRDefault="00DC608F" w:rsidP="00DC608F">
      <w:pPr>
        <w:pStyle w:val="Bibliography"/>
      </w:pPr>
      <w:r>
        <w:t>[155]</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1B694BFC" w14:textId="77777777" w:rsidR="00DC608F" w:rsidRDefault="00DC608F" w:rsidP="00DC608F">
      <w:pPr>
        <w:pStyle w:val="Bibliography"/>
      </w:pPr>
      <w:r>
        <w:t>[156]</w:t>
      </w:r>
      <w:r>
        <w:tab/>
        <w:t>S. Chatterjee, “Mitigating Supply Chain Malware Risks in Operational Technology: Challenges and Solutions for the Oil and Gas Industry”.</w:t>
      </w:r>
    </w:p>
    <w:p w14:paraId="3194CB01" w14:textId="77777777" w:rsidR="00DC608F" w:rsidRDefault="00DC608F" w:rsidP="00DC608F">
      <w:pPr>
        <w:pStyle w:val="Bibliography"/>
      </w:pPr>
      <w:r>
        <w:t>[157]</w:t>
      </w:r>
      <w:r>
        <w:tab/>
        <w:t xml:space="preserve">A. Dimakopoulou and K. Rantos, “Comprehensive Analysis of Maritime Cybersecurity Landscape Based on the NIST CSF v2.0,” </w:t>
      </w:r>
      <w:r>
        <w:rPr>
          <w:i/>
          <w:iCs/>
        </w:rPr>
        <w:t>J. Mar. Sci. Eng.</w:t>
      </w:r>
      <w:r>
        <w:t>, vol. 12, no. 6, p. 919, May 2024, doi: 10.3390/jmse12060919.</w:t>
      </w:r>
    </w:p>
    <w:p w14:paraId="343CB1A4" w14:textId="77777777" w:rsidR="00DC608F" w:rsidRDefault="00DC608F" w:rsidP="00DC608F">
      <w:pPr>
        <w:pStyle w:val="Bibliography"/>
      </w:pPr>
      <w:r>
        <w:t>[158]</w:t>
      </w:r>
      <w:r>
        <w:tab/>
        <w:t>LAZARD, “Lazard’s Levelized Cost of Energy.” [Online]. Available: https://www.lazard.com/research-insights/levelized-cost-of-energyplus-lcoeplus/</w:t>
      </w:r>
    </w:p>
    <w:p w14:paraId="1777B6F9" w14:textId="77777777" w:rsidR="00DC608F" w:rsidRDefault="00DC608F" w:rsidP="00DC608F">
      <w:pPr>
        <w:pStyle w:val="Bibliography"/>
      </w:pPr>
      <w:r>
        <w:t>[159]</w:t>
      </w:r>
      <w:r>
        <w:tab/>
        <w:t>Markets, “PJM Markets Support Efficiency and Resource Adequacy.” [Online]. Available: https://services.pjm.com/annualreport2025/markets/</w:t>
      </w:r>
    </w:p>
    <w:p w14:paraId="66B3327D" w14:textId="77777777" w:rsidR="00DC608F" w:rsidRDefault="00DC608F" w:rsidP="00DC608F">
      <w:pPr>
        <w:pStyle w:val="Bibliography"/>
      </w:pPr>
      <w:r>
        <w:t>[160]</w:t>
      </w:r>
      <w:r>
        <w:tab/>
        <w:t>PJM, “Markets Report.” [Online]. Available: https://www.pjm.com/-/media/DotCom/committees-groups/committees/mc/2025/20251120/20251120-item-04a---1-pjm-market-operations-report---presentation.pdf</w:t>
      </w:r>
    </w:p>
    <w:p w14:paraId="03A4E2EB" w14:textId="77777777" w:rsidR="00DC608F" w:rsidRDefault="00DC608F" w:rsidP="00DC608F">
      <w:pPr>
        <w:pStyle w:val="Bibliography"/>
      </w:pPr>
      <w:r>
        <w:t>[161]</w:t>
      </w:r>
      <w:r>
        <w:tab/>
        <w:t>KPMG, “What’s News in Tax Analysis that matters from Washington National Tax.” [Online]. Available: https://kpmg.com/kpmg-us/content/dam/kpmg/taxnewsflash/pdf/2026/01/tnf-wnit-energy-credits-jan-12-2026.pdf</w:t>
      </w:r>
    </w:p>
    <w:p w14:paraId="67A20E5C" w14:textId="77777777" w:rsidR="00DC608F" w:rsidRDefault="00DC608F" w:rsidP="00DC608F">
      <w:pPr>
        <w:pStyle w:val="Bibliography"/>
      </w:pPr>
      <w:r>
        <w:t>[162]</w:t>
      </w:r>
      <w:r>
        <w:tab/>
        <w:t xml:space="preserve">G. Duppati, “Carbon pricing and revenue growth valuation risk exposure,” </w:t>
      </w:r>
      <w:r>
        <w:rPr>
          <w:i/>
          <w:iCs/>
        </w:rPr>
        <w:t>Int. Rev. Econ. Finance</w:t>
      </w:r>
      <w:r>
        <w:t>, vol. 103, p. 104442, Oct. 2025, doi: 10.1016/j.iref.2025.104442.</w:t>
      </w:r>
    </w:p>
    <w:p w14:paraId="4F0DDA14" w14:textId="77777777" w:rsidR="00DC608F" w:rsidRDefault="00DC608F" w:rsidP="00DC608F">
      <w:pPr>
        <w:pStyle w:val="Bibliography"/>
      </w:pPr>
      <w:r>
        <w:lastRenderedPageBreak/>
        <w:t>[163]</w:t>
      </w:r>
      <w:r>
        <w:tab/>
        <w:t>Oxford, “Risk Structure and Financial Hedging in Nodal Electricity Markets.” [Online]. Available: https://www.oxfordenergy.org/wpcms/wp-content/uploads/2026/01/EL-61-Risk-Structure-and-Financial-Hedging.pdf</w:t>
      </w:r>
    </w:p>
    <w:p w14:paraId="6174185E" w14:textId="77777777" w:rsidR="00DC608F" w:rsidRDefault="00DC608F" w:rsidP="00DC608F">
      <w:pPr>
        <w:pStyle w:val="Bibliography"/>
      </w:pPr>
      <w:r>
        <w:t>[164]</w:t>
      </w:r>
      <w:r>
        <w:tab/>
        <w:t xml:space="preserve">J. Commins and K. Irion, “Towards Planet-Proof Computing:Ten Key Elements EU Data Centre Sustainability Policy Should Take Onboard,” </w:t>
      </w:r>
      <w:r>
        <w:rPr>
          <w:i/>
          <w:iCs/>
        </w:rPr>
        <w:t>Eur. Law Blog</w:t>
      </w:r>
      <w:r>
        <w:t>, Mar. 2025, doi: 10.21428/9885764c.f93298cf.</w:t>
      </w:r>
    </w:p>
    <w:p w14:paraId="3DD7A597" w14:textId="77777777" w:rsidR="00DC608F" w:rsidRDefault="00DC608F" w:rsidP="00DC608F">
      <w:pPr>
        <w:pStyle w:val="Bibliography"/>
      </w:pPr>
      <w:r>
        <w:t>[165]</w:t>
      </w:r>
      <w:r>
        <w:tab/>
        <w:t xml:space="preserve">R. Eriksson, N. Modig, and K. Elkington, “Synthetic inertia versus fast frequency response: a definition,” </w:t>
      </w:r>
      <w:r>
        <w:rPr>
          <w:i/>
          <w:iCs/>
        </w:rPr>
        <w:t>IET Renew. Power Gener.</w:t>
      </w:r>
      <w:r>
        <w:t>, vol. 12, no. 5, pp. 507–514, Apr. 2018, doi: 10.1049/iet-rpg.2017.0370.</w:t>
      </w:r>
    </w:p>
    <w:p w14:paraId="14F86AB9" w14:textId="77777777" w:rsidR="00DC608F" w:rsidRDefault="00DC608F" w:rsidP="00DC608F">
      <w:pPr>
        <w:pStyle w:val="Bibliography"/>
      </w:pPr>
      <w:r>
        <w:t>[166]</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1922FF05" w14:textId="77777777" w:rsidR="00DC608F" w:rsidRDefault="00DC608F" w:rsidP="00DC608F">
      <w:pPr>
        <w:pStyle w:val="Bibliography"/>
      </w:pPr>
      <w:r>
        <w:t>[167]</w:t>
      </w:r>
      <w:r>
        <w:tab/>
        <w:t xml:space="preserve">R. Abritta </w:t>
      </w:r>
      <w:r>
        <w:rPr>
          <w:i/>
          <w:iCs/>
        </w:rPr>
        <w:t>et al.</w:t>
      </w:r>
      <w:r>
        <w:t xml:space="preserve">, “Power Flow-Based Estimation of Short-Circuit Currents From Inverter-Based Resources,” </w:t>
      </w:r>
      <w:r>
        <w:rPr>
          <w:i/>
          <w:iCs/>
        </w:rPr>
        <w:t>IEEE Open Access J. Power Energy</w:t>
      </w:r>
      <w:r>
        <w:t>, vol. 13, pp. 229–239, 2026, doi: 10.1109/OAJPE.2026.3673646.</w:t>
      </w:r>
    </w:p>
    <w:p w14:paraId="6E9E250D" w14:textId="77777777" w:rsidR="00DC608F" w:rsidRDefault="00DC608F" w:rsidP="00DC608F">
      <w:pPr>
        <w:pStyle w:val="Bibliography"/>
      </w:pPr>
      <w:r>
        <w:t>[168]</w:t>
      </w:r>
      <w:r>
        <w:tab/>
        <w:t>i2X, “Transmission Interconnection Roadmap.” [Online]. Available: https://www.energy.gov/sites/default/files/2024-04/i2X%20Transmission%20Interconnection%20Roadmap.pdf</w:t>
      </w:r>
    </w:p>
    <w:p w14:paraId="44005371" w14:textId="77777777" w:rsidR="00DC608F" w:rsidRDefault="00DC608F" w:rsidP="00DC608F">
      <w:pPr>
        <w:pStyle w:val="Bibliography"/>
      </w:pPr>
      <w:r>
        <w:t>[169]</w:t>
      </w:r>
      <w:r>
        <w:tab/>
        <w:t xml:space="preserve">J. Rand </w:t>
      </w:r>
      <w:r>
        <w:rPr>
          <w:i/>
          <w:iCs/>
        </w:rPr>
        <w:t>et al.</w:t>
      </w:r>
      <w:r>
        <w:t>, “Up: 2025 Edition, Characteristics of Power Plants Seeking Transmission Interconnection As of the End of 2024,” 2025, doi: 10.13140/RG.2.2.12274.67520.</w:t>
      </w:r>
    </w:p>
    <w:p w14:paraId="5B8DE94B" w14:textId="77777777" w:rsidR="00DC608F" w:rsidRDefault="00DC608F" w:rsidP="00DC608F">
      <w:pPr>
        <w:pStyle w:val="Bibliography"/>
      </w:pPr>
      <w:r>
        <w:t>[170]</w:t>
      </w:r>
      <w:r>
        <w:tab/>
        <w:t xml:space="preserve">UN, “ENVIRONMENTAL COST OF AI’S ENERGY USE.” </w:t>
      </w:r>
    </w:p>
    <w:p w14:paraId="6E3BDAE1" w14:textId="77777777" w:rsidR="00DC608F" w:rsidRDefault="00DC608F" w:rsidP="00DC608F">
      <w:pPr>
        <w:pStyle w:val="Bibliography"/>
      </w:pPr>
      <w:r>
        <w:t>[171]</w:t>
      </w:r>
      <w:r>
        <w:tab/>
        <w:t>Alexander Heiss, Zacharias Sautner, and Zacharias Sautner, “Powering AI: How Do Data Centers Affect Renewable Energy Investment?” [Online]. Available: https://papers.ssrn.com/sol3/papers.cfm?abstract_id=6426079</w:t>
      </w:r>
    </w:p>
    <w:p w14:paraId="0948D484" w14:textId="77777777" w:rsidR="00DC608F" w:rsidRDefault="00DC608F" w:rsidP="00DC608F">
      <w:pPr>
        <w:pStyle w:val="Bibliography"/>
      </w:pPr>
      <w:r>
        <w:t>[172]</w:t>
      </w:r>
      <w:r>
        <w:tab/>
        <w:t>IESO, “2026 Annual Planning Outlook.” [Online]. Available: https://www.ieso.ca/-/media/Files/IESO/Document-Library/planning-forecasts/apo/2026/2026-APO-Demand-Forecast-Module.pdf</w:t>
      </w:r>
    </w:p>
    <w:p w14:paraId="4A0D7949" w14:textId="77777777" w:rsidR="00DC608F" w:rsidRDefault="00DC608F" w:rsidP="00DC608F">
      <w:pPr>
        <w:pStyle w:val="Bibliography"/>
      </w:pPr>
      <w:r>
        <w:t>[173]</w:t>
      </w:r>
      <w:r>
        <w:tab/>
        <w:t xml:space="preserve">P. A. Vilchez Olivares and B. J. Astorga De La Cruz, “AI and Data Analytics in Sustainable Financial Reporting and ESG Disclosure: A Systematic Literature Review,” </w:t>
      </w:r>
      <w:r>
        <w:rPr>
          <w:i/>
          <w:iCs/>
        </w:rPr>
        <w:t>Sustainability</w:t>
      </w:r>
      <w:r>
        <w:t>, vol. 18, no. 11, p. 5393, May 2026, doi: 10.3390/su18115393.</w:t>
      </w:r>
    </w:p>
    <w:p w14:paraId="01F2BB3E" w14:textId="77777777" w:rsidR="00DC608F" w:rsidRDefault="00DC608F" w:rsidP="00DC608F">
      <w:pPr>
        <w:pStyle w:val="Bibliography"/>
      </w:pPr>
      <w:r>
        <w:t>[174]</w:t>
      </w:r>
      <w:r>
        <w:tab/>
        <w:t xml:space="preserve">C. D. Schuman, S. R. Kulkarni, M. Parsa, J. P. Mitchell, P. Date, and B. Kay, “Opportunities for neuromorphic computing algorithms and applications,” </w:t>
      </w:r>
      <w:r>
        <w:rPr>
          <w:i/>
          <w:iCs/>
        </w:rPr>
        <w:t>Nat. Comput. Sci.</w:t>
      </w:r>
      <w:r>
        <w:t>, vol. 2, no. 1, pp. 10–19, Jan. 2022, doi: 10.1038/s43588-021-00184-y.</w:t>
      </w:r>
    </w:p>
    <w:p w14:paraId="5805E535" w14:textId="77777777" w:rsidR="00DC608F" w:rsidRDefault="00DC608F" w:rsidP="00DC608F">
      <w:pPr>
        <w:pStyle w:val="Bibliography"/>
      </w:pPr>
      <w:r>
        <w:t>[175]</w:t>
      </w:r>
      <w:r>
        <w:tab/>
        <w:t>T.-C. Hsueh, “Panel-Scale Reconfigurable Photonic Interconnects for Scalable AI Computation”.</w:t>
      </w:r>
    </w:p>
    <w:p w14:paraId="7536F81F" w14:textId="77777777" w:rsidR="00DC608F" w:rsidRDefault="00DC608F" w:rsidP="00DC608F">
      <w:pPr>
        <w:pStyle w:val="Bibliography"/>
      </w:pPr>
      <w:r>
        <w:t>[176]</w:t>
      </w:r>
      <w:r>
        <w:tab/>
        <w:t xml:space="preserve">Y. Ding, Z. P. Cano, A. Yu, J. Lu, and Z. Chen, “Automotive Li-Ion Batteries: Current Status and Future Perspectives,” </w:t>
      </w:r>
      <w:r>
        <w:rPr>
          <w:i/>
          <w:iCs/>
        </w:rPr>
        <w:t>Electrochem. Energy Rev.</w:t>
      </w:r>
      <w:r>
        <w:t>, vol. 2, no. 1, pp. 1–28, Mar. 2019, doi: 10.1007/s41918-018-0022-z.</w:t>
      </w:r>
    </w:p>
    <w:p w14:paraId="58D9B43F" w14:textId="77777777" w:rsidR="00DC608F" w:rsidRDefault="00DC608F" w:rsidP="00DC608F">
      <w:pPr>
        <w:pStyle w:val="Bibliography"/>
      </w:pPr>
      <w:r>
        <w:t>[177]</w:t>
      </w:r>
      <w:r>
        <w:tab/>
        <w:t xml:space="preserve">A. Kushwaha, K. Ravish, P. Lamba, and P. Kumar, “A Survey of Safe Reinforcement Learning and Constrained MDPs: A Technical Survey on Single-Agent and Multi-Agent Safety,” Apr. 29, 2026, </w:t>
      </w:r>
      <w:r>
        <w:rPr>
          <w:i/>
          <w:iCs/>
        </w:rPr>
        <w:t>arXiv</w:t>
      </w:r>
      <w:r>
        <w:t>: arXiv:2505.17342. doi: 10.48550/arXiv.2505.17342.</w:t>
      </w:r>
    </w:p>
    <w:p w14:paraId="32E4BFCF" w14:textId="77777777" w:rsidR="00DC608F" w:rsidRDefault="00DC608F" w:rsidP="00DC608F">
      <w:pPr>
        <w:pStyle w:val="Bibliography"/>
      </w:pPr>
      <w:r>
        <w:t>[178]</w:t>
      </w:r>
      <w:r>
        <w:tab/>
        <w:t xml:space="preserve">H. Nikafshan Rad, A. Ghasemi, and M. Marefati, “Cost and environmental analysis and optimization of a new and green three-level waste heat recovery-based cogeneration cycle: A </w:t>
      </w:r>
      <w:r>
        <w:lastRenderedPageBreak/>
        <w:t xml:space="preserve">comparative study,” </w:t>
      </w:r>
      <w:r>
        <w:rPr>
          <w:i/>
          <w:iCs/>
        </w:rPr>
        <w:t>Heliyon</w:t>
      </w:r>
      <w:r>
        <w:t>, vol. 10, no. 7, p. e29087, Apr. 2024, doi: 10.1016/j.heliyon.2024.e29087.</w:t>
      </w:r>
    </w:p>
    <w:p w14:paraId="2B2213DA" w14:textId="286B6377" w:rsidR="00FE013C" w:rsidRDefault="00BB50D5" w:rsidP="004C16FF">
      <w:pPr>
        <w:pStyle w:val="Bibliography"/>
        <w:rPr>
          <w:color w:val="auto"/>
        </w:rPr>
      </w:pPr>
      <w:r>
        <w:rPr>
          <w:color w:val="auto"/>
        </w:rPr>
        <w:fldChar w:fldCharType="end"/>
      </w:r>
    </w:p>
    <w:sectPr w:rsidR="00FE013C" w:rsidSect="005F08CE">
      <w:headerReference w:type="even" r:id="rId26"/>
      <w:headerReference w:type="default" r:id="rId27"/>
      <w:footerReference w:type="default" r:id="rId28"/>
      <w:pgSz w:w="11906" w:h="16838" w:code="9"/>
      <w:pgMar w:top="737" w:right="1077" w:bottom="1077" w:left="1077" w:header="1021" w:footer="851"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ahmoud Kiasari" w:date="2026-09-02T14:46:00Z" w:initials="MK">
    <w:p w14:paraId="7AC6AF20" w14:textId="77777777" w:rsidR="003B1F8C" w:rsidRDefault="003B1F8C" w:rsidP="003B1F8C">
      <w:pPr>
        <w:pStyle w:val="CommentText"/>
      </w:pPr>
      <w:r>
        <w:rPr>
          <w:rStyle w:val="CommentReference"/>
        </w:rPr>
        <w:annotationRef/>
      </w:r>
      <w:r>
        <w:t xml:space="preserve">Fix this </w:t>
      </w:r>
    </w:p>
  </w:comment>
  <w:comment w:id="21" w:author="Mahmoud Kiasari" w:date="2026-09-02T10:20:00Z" w:initials="MK">
    <w:p w14:paraId="2A44FF1E" w14:textId="77777777" w:rsidR="003F4BBF" w:rsidRDefault="003F4BBF" w:rsidP="00ED6944">
      <w:pPr>
        <w:pStyle w:val="CommentText"/>
      </w:pPr>
      <w:r>
        <w:rPr>
          <w:rStyle w:val="CommentReference"/>
        </w:rPr>
        <w:annotationRef/>
      </w:r>
      <w:r>
        <w:t>Fix the sourcing</w:t>
      </w:r>
    </w:p>
  </w:comment>
  <w:comment w:id="26" w:author="Mahmoud Kiasari" w:date="2026-09-02T10:25:00Z" w:initials="MK">
    <w:p w14:paraId="05A82F19" w14:textId="77777777" w:rsidR="002651BD" w:rsidRDefault="002651BD" w:rsidP="002651BD">
      <w:pPr>
        <w:pStyle w:val="CommentText"/>
      </w:pPr>
      <w:r>
        <w:rPr>
          <w:rStyle w:val="CommentReference"/>
        </w:rPr>
        <w:annotationRef/>
      </w:r>
      <w:r>
        <w:t>Work on sourcing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6AF20" w15:done="0"/>
  <w15:commentEx w15:paraId="2A44FF1E" w15:done="0"/>
  <w15:commentEx w15:paraId="05A82F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359CD9" w16cex:dateUtc="2026-09-02T17:46:00Z"/>
  <w16cex:commentExtensible w16cex:durableId="26904B41" w16cex:dateUtc="2026-09-02T13:20:00Z"/>
  <w16cex:commentExtensible w16cex:durableId="6E008B95" w16cex:dateUtc="2026-09-02T1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6AF20" w16cid:durableId="54359CD9"/>
  <w16cid:commentId w16cid:paraId="2A44FF1E" w16cid:durableId="26904B41"/>
  <w16cid:commentId w16cid:paraId="05A82F19" w16cid:durableId="6E008B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E2CF" w14:textId="77777777" w:rsidR="00741FD2" w:rsidRDefault="00741FD2">
      <w:r>
        <w:separator/>
      </w:r>
    </w:p>
  </w:endnote>
  <w:endnote w:type="continuationSeparator" w:id="0">
    <w:p w14:paraId="209EB7C4" w14:textId="77777777" w:rsidR="00741FD2" w:rsidRDefault="00741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A66B" w14:textId="77777777" w:rsidR="00741FD2" w:rsidRDefault="00741FD2">
      <w:r>
        <w:separator/>
      </w:r>
    </w:p>
  </w:footnote>
  <w:footnote w:type="continuationSeparator" w:id="0">
    <w:p w14:paraId="2F88FF34" w14:textId="77777777" w:rsidR="00741FD2" w:rsidRDefault="00741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5F97BB5F" w:rsidR="0062701F" w:rsidRDefault="009F7E9F" w:rsidP="009F7E9F">
    <w:pPr>
      <w:tabs>
        <w:tab w:val="left" w:pos="1618"/>
      </w:tabs>
      <w:adjustRightInd w:val="0"/>
      <w:snapToGrid w:val="0"/>
      <w:rPr>
        <w:rFonts w:ascii="Palatino Linotype" w:hAnsi="Palatino Linotype"/>
        <w:sz w:val="16"/>
      </w:rPr>
    </w:pPr>
    <w:r>
      <w:rPr>
        <w:rFonts w:ascii="Palatino Linotype" w:hAnsi="Palatino Linotype"/>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AB1C17"/>
    <w:multiLevelType w:val="multilevel"/>
    <w:tmpl w:val="9FB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4" w15:restartNumberingAfterBreak="0">
    <w:nsid w:val="081C3FA3"/>
    <w:multiLevelType w:val="multilevel"/>
    <w:tmpl w:val="254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AF9"/>
    <w:multiLevelType w:val="multilevel"/>
    <w:tmpl w:val="D0B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116A1"/>
    <w:multiLevelType w:val="hybridMultilevel"/>
    <w:tmpl w:val="CB78352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0F061AD4"/>
    <w:multiLevelType w:val="multilevel"/>
    <w:tmpl w:val="D7B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12D7"/>
    <w:multiLevelType w:val="hybridMultilevel"/>
    <w:tmpl w:val="B87ABE0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9" w15:restartNumberingAfterBreak="0">
    <w:nsid w:val="1A335F44"/>
    <w:multiLevelType w:val="hybridMultilevel"/>
    <w:tmpl w:val="EF9498B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0" w15:restartNumberingAfterBreak="0">
    <w:nsid w:val="1E0A2360"/>
    <w:multiLevelType w:val="hybridMultilevel"/>
    <w:tmpl w:val="855481C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11" w15:restartNumberingAfterBreak="0">
    <w:nsid w:val="2024308A"/>
    <w:multiLevelType w:val="hybridMultilevel"/>
    <w:tmpl w:val="99B89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1B691C"/>
    <w:multiLevelType w:val="multilevel"/>
    <w:tmpl w:val="452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4F39"/>
    <w:multiLevelType w:val="multilevel"/>
    <w:tmpl w:val="E2B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35B6B"/>
    <w:multiLevelType w:val="hybridMultilevel"/>
    <w:tmpl w:val="67848F10"/>
    <w:lvl w:ilvl="0" w:tplc="04090001">
      <w:start w:val="1"/>
      <w:numFmt w:val="bullet"/>
      <w:lvlText w:val=""/>
      <w:lvlJc w:val="left"/>
      <w:pPr>
        <w:ind w:left="840" w:hanging="360"/>
      </w:pPr>
      <w:rPr>
        <w:rFonts w:ascii="Symbol" w:hAnsi="Symbol"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5"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4C23A63"/>
    <w:multiLevelType w:val="hybridMultilevel"/>
    <w:tmpl w:val="436C0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0A7E18"/>
    <w:multiLevelType w:val="multilevel"/>
    <w:tmpl w:val="7D3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B66C4"/>
    <w:multiLevelType w:val="multilevel"/>
    <w:tmpl w:val="632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C6439"/>
    <w:multiLevelType w:val="multilevel"/>
    <w:tmpl w:val="68B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2A7972"/>
    <w:multiLevelType w:val="hybridMultilevel"/>
    <w:tmpl w:val="D53E4CE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22" w15:restartNumberingAfterBreak="0">
    <w:nsid w:val="4EA00B82"/>
    <w:multiLevelType w:val="multilevel"/>
    <w:tmpl w:val="F78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D3049"/>
    <w:multiLevelType w:val="multilevel"/>
    <w:tmpl w:val="266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C5ECC"/>
    <w:multiLevelType w:val="hybridMultilevel"/>
    <w:tmpl w:val="288CD06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5" w15:restartNumberingAfterBreak="0">
    <w:nsid w:val="5C6C750E"/>
    <w:multiLevelType w:val="multilevel"/>
    <w:tmpl w:val="E5F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E0C1D"/>
    <w:multiLevelType w:val="hybridMultilevel"/>
    <w:tmpl w:val="822688DE"/>
    <w:lvl w:ilvl="0" w:tplc="BE822BE0">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65623064"/>
    <w:multiLevelType w:val="hybridMultilevel"/>
    <w:tmpl w:val="45449C28"/>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28" w15:restartNumberingAfterBreak="0">
    <w:nsid w:val="68BE1E6A"/>
    <w:multiLevelType w:val="multilevel"/>
    <w:tmpl w:val="F63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665A2"/>
    <w:multiLevelType w:val="hybridMultilevel"/>
    <w:tmpl w:val="702CB71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0" w15:restartNumberingAfterBreak="0">
    <w:nsid w:val="762E1342"/>
    <w:multiLevelType w:val="hybridMultilevel"/>
    <w:tmpl w:val="04B02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97AE3"/>
    <w:multiLevelType w:val="hybridMultilevel"/>
    <w:tmpl w:val="458C8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A4130E"/>
    <w:multiLevelType w:val="hybridMultilevel"/>
    <w:tmpl w:val="877C33F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4"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929D2"/>
    <w:multiLevelType w:val="hybridMultilevel"/>
    <w:tmpl w:val="21286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6089424">
    <w:abstractNumId w:val="0"/>
  </w:num>
  <w:num w:numId="2" w16cid:durableId="1612470030">
    <w:abstractNumId w:val="1"/>
  </w:num>
  <w:num w:numId="3" w16cid:durableId="241839649">
    <w:abstractNumId w:val="32"/>
  </w:num>
  <w:num w:numId="4" w16cid:durableId="1280408060">
    <w:abstractNumId w:val="34"/>
  </w:num>
  <w:num w:numId="5" w16cid:durableId="451441336">
    <w:abstractNumId w:val="20"/>
  </w:num>
  <w:num w:numId="6" w16cid:durableId="2038002810">
    <w:abstractNumId w:val="15"/>
  </w:num>
  <w:num w:numId="7" w16cid:durableId="618532243">
    <w:abstractNumId w:val="3"/>
  </w:num>
  <w:num w:numId="8" w16cid:durableId="45876077">
    <w:abstractNumId w:val="19"/>
  </w:num>
  <w:num w:numId="9" w16cid:durableId="1102922736">
    <w:abstractNumId w:val="13"/>
  </w:num>
  <w:num w:numId="10" w16cid:durableId="473761911">
    <w:abstractNumId w:val="31"/>
  </w:num>
  <w:num w:numId="11" w16cid:durableId="661275805">
    <w:abstractNumId w:val="35"/>
  </w:num>
  <w:num w:numId="12" w16cid:durableId="1540119753">
    <w:abstractNumId w:val="17"/>
  </w:num>
  <w:num w:numId="13" w16cid:durableId="881593489">
    <w:abstractNumId w:val="5"/>
  </w:num>
  <w:num w:numId="14" w16cid:durableId="204802956">
    <w:abstractNumId w:val="11"/>
  </w:num>
  <w:num w:numId="15" w16cid:durableId="2062554760">
    <w:abstractNumId w:val="25"/>
  </w:num>
  <w:num w:numId="16" w16cid:durableId="1269310907">
    <w:abstractNumId w:val="7"/>
  </w:num>
  <w:num w:numId="17" w16cid:durableId="357046737">
    <w:abstractNumId w:val="18"/>
  </w:num>
  <w:num w:numId="18" w16cid:durableId="565454282">
    <w:abstractNumId w:val="12"/>
  </w:num>
  <w:num w:numId="19" w16cid:durableId="1621452831">
    <w:abstractNumId w:val="28"/>
  </w:num>
  <w:num w:numId="20" w16cid:durableId="1132864569">
    <w:abstractNumId w:val="24"/>
  </w:num>
  <w:num w:numId="21" w16cid:durableId="1252196837">
    <w:abstractNumId w:val="29"/>
  </w:num>
  <w:num w:numId="22" w16cid:durableId="1693648589">
    <w:abstractNumId w:val="9"/>
  </w:num>
  <w:num w:numId="23" w16cid:durableId="1266109321">
    <w:abstractNumId w:val="10"/>
  </w:num>
  <w:num w:numId="24" w16cid:durableId="595477789">
    <w:abstractNumId w:val="16"/>
  </w:num>
  <w:num w:numId="25" w16cid:durableId="1410956718">
    <w:abstractNumId w:val="23"/>
  </w:num>
  <w:num w:numId="26" w16cid:durableId="219481690">
    <w:abstractNumId w:val="21"/>
  </w:num>
  <w:num w:numId="27" w16cid:durableId="1250508567">
    <w:abstractNumId w:val="4"/>
  </w:num>
  <w:num w:numId="28" w16cid:durableId="542522718">
    <w:abstractNumId w:val="2"/>
  </w:num>
  <w:num w:numId="29" w16cid:durableId="1024863523">
    <w:abstractNumId w:val="22"/>
  </w:num>
  <w:num w:numId="30" w16cid:durableId="1975063929">
    <w:abstractNumId w:val="33"/>
  </w:num>
  <w:num w:numId="31" w16cid:durableId="1574699440">
    <w:abstractNumId w:val="30"/>
  </w:num>
  <w:num w:numId="32" w16cid:durableId="622614270">
    <w:abstractNumId w:val="8"/>
  </w:num>
  <w:num w:numId="33" w16cid:durableId="4670812">
    <w:abstractNumId w:val="6"/>
  </w:num>
  <w:num w:numId="34" w16cid:durableId="313948003">
    <w:abstractNumId w:val="26"/>
  </w:num>
  <w:num w:numId="35" w16cid:durableId="1625500555">
    <w:abstractNumId w:val="14"/>
  </w:num>
  <w:num w:numId="36" w16cid:durableId="34984201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moud Kiasari">
    <w15:presenceInfo w15:providerId="AD" w15:userId="S::mahmoud.kiasari@ieso-ns.ca::db4cb4bc-9b9c-4269-8a87-4d9048f5b8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154"/>
    <w:rsid w:val="00000784"/>
    <w:rsid w:val="00000CC0"/>
    <w:rsid w:val="000028D9"/>
    <w:rsid w:val="00004098"/>
    <w:rsid w:val="00004DA8"/>
    <w:rsid w:val="0000519F"/>
    <w:rsid w:val="00005C3A"/>
    <w:rsid w:val="000124EB"/>
    <w:rsid w:val="00013085"/>
    <w:rsid w:val="00017769"/>
    <w:rsid w:val="00017E3A"/>
    <w:rsid w:val="00020923"/>
    <w:rsid w:val="00021807"/>
    <w:rsid w:val="00021D4C"/>
    <w:rsid w:val="00022719"/>
    <w:rsid w:val="000228B1"/>
    <w:rsid w:val="00022D60"/>
    <w:rsid w:val="00022E66"/>
    <w:rsid w:val="00022EBA"/>
    <w:rsid w:val="0002304C"/>
    <w:rsid w:val="00023B78"/>
    <w:rsid w:val="000256A6"/>
    <w:rsid w:val="00030122"/>
    <w:rsid w:val="000321B5"/>
    <w:rsid w:val="000343F4"/>
    <w:rsid w:val="0003524E"/>
    <w:rsid w:val="00035D77"/>
    <w:rsid w:val="00037346"/>
    <w:rsid w:val="00040480"/>
    <w:rsid w:val="000408F5"/>
    <w:rsid w:val="00042B9F"/>
    <w:rsid w:val="00043AAC"/>
    <w:rsid w:val="00044955"/>
    <w:rsid w:val="00044C5D"/>
    <w:rsid w:val="00044E2C"/>
    <w:rsid w:val="00045CF2"/>
    <w:rsid w:val="000465AA"/>
    <w:rsid w:val="00050446"/>
    <w:rsid w:val="0005469C"/>
    <w:rsid w:val="0005521E"/>
    <w:rsid w:val="00055576"/>
    <w:rsid w:val="00057870"/>
    <w:rsid w:val="000604AD"/>
    <w:rsid w:val="000642A3"/>
    <w:rsid w:val="00064826"/>
    <w:rsid w:val="000658F5"/>
    <w:rsid w:val="000665E7"/>
    <w:rsid w:val="00070841"/>
    <w:rsid w:val="000717F7"/>
    <w:rsid w:val="000720CF"/>
    <w:rsid w:val="00072A8F"/>
    <w:rsid w:val="00073208"/>
    <w:rsid w:val="000743C5"/>
    <w:rsid w:val="000744B1"/>
    <w:rsid w:val="00074D1F"/>
    <w:rsid w:val="00074F2E"/>
    <w:rsid w:val="0007532D"/>
    <w:rsid w:val="00075A12"/>
    <w:rsid w:val="0007705D"/>
    <w:rsid w:val="00080FE2"/>
    <w:rsid w:val="000812E0"/>
    <w:rsid w:val="000817F5"/>
    <w:rsid w:val="00081E76"/>
    <w:rsid w:val="00083E64"/>
    <w:rsid w:val="00085109"/>
    <w:rsid w:val="0008622D"/>
    <w:rsid w:val="0008678B"/>
    <w:rsid w:val="00091FCA"/>
    <w:rsid w:val="00092C64"/>
    <w:rsid w:val="000954D9"/>
    <w:rsid w:val="00095528"/>
    <w:rsid w:val="00095712"/>
    <w:rsid w:val="00095C48"/>
    <w:rsid w:val="00095E8E"/>
    <w:rsid w:val="00095F7E"/>
    <w:rsid w:val="000973F7"/>
    <w:rsid w:val="000A2CD5"/>
    <w:rsid w:val="000A408E"/>
    <w:rsid w:val="000A5126"/>
    <w:rsid w:val="000B0F03"/>
    <w:rsid w:val="000B39AB"/>
    <w:rsid w:val="000B7B56"/>
    <w:rsid w:val="000B7BFE"/>
    <w:rsid w:val="000C0242"/>
    <w:rsid w:val="000C0A5A"/>
    <w:rsid w:val="000C1B14"/>
    <w:rsid w:val="000C26DB"/>
    <w:rsid w:val="000C2F0C"/>
    <w:rsid w:val="000C3519"/>
    <w:rsid w:val="000C3F0F"/>
    <w:rsid w:val="000C716D"/>
    <w:rsid w:val="000D010A"/>
    <w:rsid w:val="000D0D3F"/>
    <w:rsid w:val="000D12FF"/>
    <w:rsid w:val="000D3426"/>
    <w:rsid w:val="000D42C3"/>
    <w:rsid w:val="000D6850"/>
    <w:rsid w:val="000D7AD3"/>
    <w:rsid w:val="000E0127"/>
    <w:rsid w:val="000E3C80"/>
    <w:rsid w:val="000E4885"/>
    <w:rsid w:val="000E53CC"/>
    <w:rsid w:val="000E63BD"/>
    <w:rsid w:val="000E64DD"/>
    <w:rsid w:val="000E671A"/>
    <w:rsid w:val="000E77FA"/>
    <w:rsid w:val="000E7A56"/>
    <w:rsid w:val="000F03FB"/>
    <w:rsid w:val="000F2554"/>
    <w:rsid w:val="000F2608"/>
    <w:rsid w:val="000F2A4A"/>
    <w:rsid w:val="000F592A"/>
    <w:rsid w:val="000F6695"/>
    <w:rsid w:val="00100329"/>
    <w:rsid w:val="001020EF"/>
    <w:rsid w:val="0010384E"/>
    <w:rsid w:val="00103F18"/>
    <w:rsid w:val="00104D7D"/>
    <w:rsid w:val="00106427"/>
    <w:rsid w:val="001109A6"/>
    <w:rsid w:val="00110E0F"/>
    <w:rsid w:val="0011144A"/>
    <w:rsid w:val="0011396C"/>
    <w:rsid w:val="00114F15"/>
    <w:rsid w:val="001161F2"/>
    <w:rsid w:val="00116D36"/>
    <w:rsid w:val="001170F1"/>
    <w:rsid w:val="00120D26"/>
    <w:rsid w:val="00120E08"/>
    <w:rsid w:val="00122BE9"/>
    <w:rsid w:val="00123E82"/>
    <w:rsid w:val="00127B54"/>
    <w:rsid w:val="00130B0B"/>
    <w:rsid w:val="00131821"/>
    <w:rsid w:val="001329E8"/>
    <w:rsid w:val="00132B05"/>
    <w:rsid w:val="00134CA9"/>
    <w:rsid w:val="00137525"/>
    <w:rsid w:val="00137E95"/>
    <w:rsid w:val="00140F8D"/>
    <w:rsid w:val="0014128A"/>
    <w:rsid w:val="0014185D"/>
    <w:rsid w:val="00141971"/>
    <w:rsid w:val="00142460"/>
    <w:rsid w:val="0014319A"/>
    <w:rsid w:val="00143994"/>
    <w:rsid w:val="00145C6F"/>
    <w:rsid w:val="0014625D"/>
    <w:rsid w:val="00147ED5"/>
    <w:rsid w:val="00151B76"/>
    <w:rsid w:val="001530DD"/>
    <w:rsid w:val="00157584"/>
    <w:rsid w:val="00160396"/>
    <w:rsid w:val="0016087D"/>
    <w:rsid w:val="001617BE"/>
    <w:rsid w:val="00161993"/>
    <w:rsid w:val="001623F2"/>
    <w:rsid w:val="00163578"/>
    <w:rsid w:val="00166084"/>
    <w:rsid w:val="00166ED5"/>
    <w:rsid w:val="0017147F"/>
    <w:rsid w:val="001718D7"/>
    <w:rsid w:val="00171B72"/>
    <w:rsid w:val="00172115"/>
    <w:rsid w:val="001727AD"/>
    <w:rsid w:val="0017345A"/>
    <w:rsid w:val="00173D97"/>
    <w:rsid w:val="0017518F"/>
    <w:rsid w:val="001751D4"/>
    <w:rsid w:val="001752D4"/>
    <w:rsid w:val="0017635A"/>
    <w:rsid w:val="0017669A"/>
    <w:rsid w:val="001772C5"/>
    <w:rsid w:val="00177B3A"/>
    <w:rsid w:val="00180502"/>
    <w:rsid w:val="00180833"/>
    <w:rsid w:val="00180A7C"/>
    <w:rsid w:val="001810B6"/>
    <w:rsid w:val="0018348D"/>
    <w:rsid w:val="001850C1"/>
    <w:rsid w:val="00185466"/>
    <w:rsid w:val="00187143"/>
    <w:rsid w:val="0019198D"/>
    <w:rsid w:val="00191A56"/>
    <w:rsid w:val="00194936"/>
    <w:rsid w:val="0019592A"/>
    <w:rsid w:val="00195B91"/>
    <w:rsid w:val="00196D1B"/>
    <w:rsid w:val="001A3F06"/>
    <w:rsid w:val="001A427F"/>
    <w:rsid w:val="001A5343"/>
    <w:rsid w:val="001A6DB0"/>
    <w:rsid w:val="001A7127"/>
    <w:rsid w:val="001B2995"/>
    <w:rsid w:val="001B2A37"/>
    <w:rsid w:val="001B3304"/>
    <w:rsid w:val="001B3BFE"/>
    <w:rsid w:val="001B5CFD"/>
    <w:rsid w:val="001B63C3"/>
    <w:rsid w:val="001B70F9"/>
    <w:rsid w:val="001B74A6"/>
    <w:rsid w:val="001B7512"/>
    <w:rsid w:val="001B7822"/>
    <w:rsid w:val="001C0305"/>
    <w:rsid w:val="001C0F6D"/>
    <w:rsid w:val="001C11F5"/>
    <w:rsid w:val="001C1DB8"/>
    <w:rsid w:val="001C2AE0"/>
    <w:rsid w:val="001C2BF8"/>
    <w:rsid w:val="001C37FA"/>
    <w:rsid w:val="001C3837"/>
    <w:rsid w:val="001C5597"/>
    <w:rsid w:val="001D0BAC"/>
    <w:rsid w:val="001D1223"/>
    <w:rsid w:val="001D13F4"/>
    <w:rsid w:val="001D1403"/>
    <w:rsid w:val="001D5471"/>
    <w:rsid w:val="001D7431"/>
    <w:rsid w:val="001E0758"/>
    <w:rsid w:val="001E09C3"/>
    <w:rsid w:val="001E0AAE"/>
    <w:rsid w:val="001E162E"/>
    <w:rsid w:val="001E2527"/>
    <w:rsid w:val="001E32DD"/>
    <w:rsid w:val="001E6A52"/>
    <w:rsid w:val="001F01F2"/>
    <w:rsid w:val="001F0361"/>
    <w:rsid w:val="001F12EE"/>
    <w:rsid w:val="001F3982"/>
    <w:rsid w:val="001F4430"/>
    <w:rsid w:val="001F7D10"/>
    <w:rsid w:val="00202C37"/>
    <w:rsid w:val="002032C0"/>
    <w:rsid w:val="00203B6C"/>
    <w:rsid w:val="002053AC"/>
    <w:rsid w:val="002054B5"/>
    <w:rsid w:val="002068F4"/>
    <w:rsid w:val="0020794C"/>
    <w:rsid w:val="00210251"/>
    <w:rsid w:val="002108A4"/>
    <w:rsid w:val="002117F0"/>
    <w:rsid w:val="0021192F"/>
    <w:rsid w:val="00212283"/>
    <w:rsid w:val="0021274D"/>
    <w:rsid w:val="0021434E"/>
    <w:rsid w:val="002146FC"/>
    <w:rsid w:val="00215994"/>
    <w:rsid w:val="00217AE8"/>
    <w:rsid w:val="00217ECC"/>
    <w:rsid w:val="00220493"/>
    <w:rsid w:val="00220F0E"/>
    <w:rsid w:val="00225E6D"/>
    <w:rsid w:val="002261A6"/>
    <w:rsid w:val="002266D7"/>
    <w:rsid w:val="00227113"/>
    <w:rsid w:val="002272B2"/>
    <w:rsid w:val="002306B5"/>
    <w:rsid w:val="0023234E"/>
    <w:rsid w:val="00232432"/>
    <w:rsid w:val="0023297E"/>
    <w:rsid w:val="00232C57"/>
    <w:rsid w:val="00232D2E"/>
    <w:rsid w:val="00234316"/>
    <w:rsid w:val="00236625"/>
    <w:rsid w:val="0023740C"/>
    <w:rsid w:val="00240FF9"/>
    <w:rsid w:val="002415E7"/>
    <w:rsid w:val="002445F9"/>
    <w:rsid w:val="002458A7"/>
    <w:rsid w:val="00245AC4"/>
    <w:rsid w:val="00245F10"/>
    <w:rsid w:val="002462C2"/>
    <w:rsid w:val="00246420"/>
    <w:rsid w:val="00246B4C"/>
    <w:rsid w:val="002473F3"/>
    <w:rsid w:val="00251236"/>
    <w:rsid w:val="00253CAD"/>
    <w:rsid w:val="002641B9"/>
    <w:rsid w:val="00264448"/>
    <w:rsid w:val="002645AA"/>
    <w:rsid w:val="002651BD"/>
    <w:rsid w:val="00265205"/>
    <w:rsid w:val="00266077"/>
    <w:rsid w:val="00266ECA"/>
    <w:rsid w:val="0026701A"/>
    <w:rsid w:val="00267BAF"/>
    <w:rsid w:val="00272BD0"/>
    <w:rsid w:val="00272DC6"/>
    <w:rsid w:val="0027718E"/>
    <w:rsid w:val="002777A1"/>
    <w:rsid w:val="0028021C"/>
    <w:rsid w:val="002814C1"/>
    <w:rsid w:val="00282103"/>
    <w:rsid w:val="0028220C"/>
    <w:rsid w:val="00285B13"/>
    <w:rsid w:val="00286292"/>
    <w:rsid w:val="00286A5A"/>
    <w:rsid w:val="00286D4E"/>
    <w:rsid w:val="00287616"/>
    <w:rsid w:val="002910AD"/>
    <w:rsid w:val="00291195"/>
    <w:rsid w:val="00291800"/>
    <w:rsid w:val="00294363"/>
    <w:rsid w:val="00294D5E"/>
    <w:rsid w:val="002951E4"/>
    <w:rsid w:val="0029629A"/>
    <w:rsid w:val="00297AD0"/>
    <w:rsid w:val="002A05B5"/>
    <w:rsid w:val="002A0616"/>
    <w:rsid w:val="002A0D24"/>
    <w:rsid w:val="002A1323"/>
    <w:rsid w:val="002A1396"/>
    <w:rsid w:val="002A4526"/>
    <w:rsid w:val="002A6586"/>
    <w:rsid w:val="002A74E3"/>
    <w:rsid w:val="002B179F"/>
    <w:rsid w:val="002B35CB"/>
    <w:rsid w:val="002B39C3"/>
    <w:rsid w:val="002B3E4F"/>
    <w:rsid w:val="002B6DF6"/>
    <w:rsid w:val="002B7ACC"/>
    <w:rsid w:val="002C01F2"/>
    <w:rsid w:val="002C0348"/>
    <w:rsid w:val="002C06D9"/>
    <w:rsid w:val="002C0878"/>
    <w:rsid w:val="002C0C00"/>
    <w:rsid w:val="002C0CDD"/>
    <w:rsid w:val="002C1117"/>
    <w:rsid w:val="002C20E4"/>
    <w:rsid w:val="002C323F"/>
    <w:rsid w:val="002C35E0"/>
    <w:rsid w:val="002C38FF"/>
    <w:rsid w:val="002C3CD7"/>
    <w:rsid w:val="002C43F2"/>
    <w:rsid w:val="002C45A5"/>
    <w:rsid w:val="002C4691"/>
    <w:rsid w:val="002C5687"/>
    <w:rsid w:val="002C5CB3"/>
    <w:rsid w:val="002C69A9"/>
    <w:rsid w:val="002D05E1"/>
    <w:rsid w:val="002D56E0"/>
    <w:rsid w:val="002E0101"/>
    <w:rsid w:val="002E0505"/>
    <w:rsid w:val="002E1D6C"/>
    <w:rsid w:val="002E22F4"/>
    <w:rsid w:val="002E2886"/>
    <w:rsid w:val="002E442C"/>
    <w:rsid w:val="002E5A5D"/>
    <w:rsid w:val="002E772B"/>
    <w:rsid w:val="002E7C0B"/>
    <w:rsid w:val="002F1748"/>
    <w:rsid w:val="002F313A"/>
    <w:rsid w:val="002F33B1"/>
    <w:rsid w:val="002F47FC"/>
    <w:rsid w:val="002F4FBC"/>
    <w:rsid w:val="002F6018"/>
    <w:rsid w:val="00300D14"/>
    <w:rsid w:val="0030179F"/>
    <w:rsid w:val="00301AC3"/>
    <w:rsid w:val="00302B88"/>
    <w:rsid w:val="00303C4F"/>
    <w:rsid w:val="00303C61"/>
    <w:rsid w:val="00305DE9"/>
    <w:rsid w:val="003100BA"/>
    <w:rsid w:val="003104FC"/>
    <w:rsid w:val="00310653"/>
    <w:rsid w:val="003110B3"/>
    <w:rsid w:val="003114C1"/>
    <w:rsid w:val="003130C9"/>
    <w:rsid w:val="00313E38"/>
    <w:rsid w:val="00314B47"/>
    <w:rsid w:val="00316C84"/>
    <w:rsid w:val="003201D0"/>
    <w:rsid w:val="003218A2"/>
    <w:rsid w:val="00322C79"/>
    <w:rsid w:val="00323D3C"/>
    <w:rsid w:val="00323DD0"/>
    <w:rsid w:val="003257A5"/>
    <w:rsid w:val="003265AE"/>
    <w:rsid w:val="00330029"/>
    <w:rsid w:val="00332374"/>
    <w:rsid w:val="00332576"/>
    <w:rsid w:val="00332F17"/>
    <w:rsid w:val="003336B9"/>
    <w:rsid w:val="00333CD8"/>
    <w:rsid w:val="003340E7"/>
    <w:rsid w:val="003342AC"/>
    <w:rsid w:val="00336475"/>
    <w:rsid w:val="00337DE9"/>
    <w:rsid w:val="00341A95"/>
    <w:rsid w:val="00341E54"/>
    <w:rsid w:val="003425B9"/>
    <w:rsid w:val="00342674"/>
    <w:rsid w:val="00342ED7"/>
    <w:rsid w:val="003442B1"/>
    <w:rsid w:val="003469C6"/>
    <w:rsid w:val="00347DF2"/>
    <w:rsid w:val="0035074E"/>
    <w:rsid w:val="00350D1E"/>
    <w:rsid w:val="003511DA"/>
    <w:rsid w:val="00352CE2"/>
    <w:rsid w:val="0035312F"/>
    <w:rsid w:val="003546AC"/>
    <w:rsid w:val="00354B1B"/>
    <w:rsid w:val="0035502B"/>
    <w:rsid w:val="00355C72"/>
    <w:rsid w:val="00356E13"/>
    <w:rsid w:val="00357CF7"/>
    <w:rsid w:val="00357DE5"/>
    <w:rsid w:val="00361F8B"/>
    <w:rsid w:val="003625E3"/>
    <w:rsid w:val="00363763"/>
    <w:rsid w:val="00363AE3"/>
    <w:rsid w:val="00365172"/>
    <w:rsid w:val="00365B2C"/>
    <w:rsid w:val="00366373"/>
    <w:rsid w:val="00366C40"/>
    <w:rsid w:val="00367469"/>
    <w:rsid w:val="00367A03"/>
    <w:rsid w:val="00367B33"/>
    <w:rsid w:val="003725EC"/>
    <w:rsid w:val="003728B2"/>
    <w:rsid w:val="0037359C"/>
    <w:rsid w:val="00373AC1"/>
    <w:rsid w:val="00373B58"/>
    <w:rsid w:val="0037509E"/>
    <w:rsid w:val="003756CB"/>
    <w:rsid w:val="00375D05"/>
    <w:rsid w:val="003769FC"/>
    <w:rsid w:val="00380693"/>
    <w:rsid w:val="00380ED5"/>
    <w:rsid w:val="00381260"/>
    <w:rsid w:val="00381E72"/>
    <w:rsid w:val="00383E7D"/>
    <w:rsid w:val="00384D46"/>
    <w:rsid w:val="0038749B"/>
    <w:rsid w:val="0039203F"/>
    <w:rsid w:val="00392289"/>
    <w:rsid w:val="00392B15"/>
    <w:rsid w:val="00392C53"/>
    <w:rsid w:val="00392EA5"/>
    <w:rsid w:val="0039462A"/>
    <w:rsid w:val="00394AF8"/>
    <w:rsid w:val="00394BC1"/>
    <w:rsid w:val="00394F06"/>
    <w:rsid w:val="003A11C8"/>
    <w:rsid w:val="003A221C"/>
    <w:rsid w:val="003A3C82"/>
    <w:rsid w:val="003A45CA"/>
    <w:rsid w:val="003A4621"/>
    <w:rsid w:val="003A4B5D"/>
    <w:rsid w:val="003A534C"/>
    <w:rsid w:val="003A6352"/>
    <w:rsid w:val="003A6977"/>
    <w:rsid w:val="003B1317"/>
    <w:rsid w:val="003B1D88"/>
    <w:rsid w:val="003B1F8C"/>
    <w:rsid w:val="003B30CC"/>
    <w:rsid w:val="003B33E0"/>
    <w:rsid w:val="003B36C2"/>
    <w:rsid w:val="003B44B7"/>
    <w:rsid w:val="003B53B0"/>
    <w:rsid w:val="003B6288"/>
    <w:rsid w:val="003B7EEF"/>
    <w:rsid w:val="003B7F03"/>
    <w:rsid w:val="003C05F8"/>
    <w:rsid w:val="003C273D"/>
    <w:rsid w:val="003C4670"/>
    <w:rsid w:val="003C5CA7"/>
    <w:rsid w:val="003C6158"/>
    <w:rsid w:val="003D0802"/>
    <w:rsid w:val="003D3067"/>
    <w:rsid w:val="003D3FE4"/>
    <w:rsid w:val="003D5BC3"/>
    <w:rsid w:val="003D6BEB"/>
    <w:rsid w:val="003D7C63"/>
    <w:rsid w:val="003E1B02"/>
    <w:rsid w:val="003E25B7"/>
    <w:rsid w:val="003E3339"/>
    <w:rsid w:val="003E394F"/>
    <w:rsid w:val="003E3E28"/>
    <w:rsid w:val="003E44F5"/>
    <w:rsid w:val="003F2173"/>
    <w:rsid w:val="003F24D0"/>
    <w:rsid w:val="003F4876"/>
    <w:rsid w:val="003F4BBF"/>
    <w:rsid w:val="003F5F56"/>
    <w:rsid w:val="003F6037"/>
    <w:rsid w:val="003F6317"/>
    <w:rsid w:val="003F666C"/>
    <w:rsid w:val="003F7B2E"/>
    <w:rsid w:val="00403E67"/>
    <w:rsid w:val="00404815"/>
    <w:rsid w:val="00404B18"/>
    <w:rsid w:val="00405D55"/>
    <w:rsid w:val="00405F8F"/>
    <w:rsid w:val="0040687D"/>
    <w:rsid w:val="00407699"/>
    <w:rsid w:val="00407B1F"/>
    <w:rsid w:val="00412819"/>
    <w:rsid w:val="00413A52"/>
    <w:rsid w:val="0041400E"/>
    <w:rsid w:val="00414119"/>
    <w:rsid w:val="00414F89"/>
    <w:rsid w:val="0041565E"/>
    <w:rsid w:val="00416183"/>
    <w:rsid w:val="00416BEB"/>
    <w:rsid w:val="00416F11"/>
    <w:rsid w:val="004172B4"/>
    <w:rsid w:val="00417AAE"/>
    <w:rsid w:val="00420177"/>
    <w:rsid w:val="004211F1"/>
    <w:rsid w:val="00423213"/>
    <w:rsid w:val="00424065"/>
    <w:rsid w:val="00424328"/>
    <w:rsid w:val="004246FC"/>
    <w:rsid w:val="0042470B"/>
    <w:rsid w:val="004260E8"/>
    <w:rsid w:val="0042671C"/>
    <w:rsid w:val="00426773"/>
    <w:rsid w:val="00426A09"/>
    <w:rsid w:val="0043037D"/>
    <w:rsid w:val="00430A84"/>
    <w:rsid w:val="00432446"/>
    <w:rsid w:val="0043558A"/>
    <w:rsid w:val="00436A2E"/>
    <w:rsid w:val="00436DD1"/>
    <w:rsid w:val="0043771C"/>
    <w:rsid w:val="004426C6"/>
    <w:rsid w:val="00444FE2"/>
    <w:rsid w:val="004450CF"/>
    <w:rsid w:val="00447728"/>
    <w:rsid w:val="00447CC4"/>
    <w:rsid w:val="00450642"/>
    <w:rsid w:val="00452A11"/>
    <w:rsid w:val="00453135"/>
    <w:rsid w:val="00453FDB"/>
    <w:rsid w:val="00454173"/>
    <w:rsid w:val="00457133"/>
    <w:rsid w:val="00462752"/>
    <w:rsid w:val="00462E20"/>
    <w:rsid w:val="004644BD"/>
    <w:rsid w:val="00465E05"/>
    <w:rsid w:val="004663A0"/>
    <w:rsid w:val="00466451"/>
    <w:rsid w:val="00466FDC"/>
    <w:rsid w:val="00472E8E"/>
    <w:rsid w:val="0047714E"/>
    <w:rsid w:val="004775FE"/>
    <w:rsid w:val="00482AE3"/>
    <w:rsid w:val="00483956"/>
    <w:rsid w:val="00484A3A"/>
    <w:rsid w:val="004864DB"/>
    <w:rsid w:val="004867FE"/>
    <w:rsid w:val="00486BDC"/>
    <w:rsid w:val="00490AAB"/>
    <w:rsid w:val="00491658"/>
    <w:rsid w:val="00491686"/>
    <w:rsid w:val="00492874"/>
    <w:rsid w:val="0049309D"/>
    <w:rsid w:val="00493D72"/>
    <w:rsid w:val="00494A61"/>
    <w:rsid w:val="00495994"/>
    <w:rsid w:val="00495A80"/>
    <w:rsid w:val="00496175"/>
    <w:rsid w:val="004A0F17"/>
    <w:rsid w:val="004A135E"/>
    <w:rsid w:val="004A13AF"/>
    <w:rsid w:val="004A38EB"/>
    <w:rsid w:val="004A4722"/>
    <w:rsid w:val="004A6040"/>
    <w:rsid w:val="004A620F"/>
    <w:rsid w:val="004B1D9D"/>
    <w:rsid w:val="004B221A"/>
    <w:rsid w:val="004B2C96"/>
    <w:rsid w:val="004B2DB1"/>
    <w:rsid w:val="004B61AD"/>
    <w:rsid w:val="004C16FF"/>
    <w:rsid w:val="004C17D1"/>
    <w:rsid w:val="004C1E8D"/>
    <w:rsid w:val="004C2D51"/>
    <w:rsid w:val="004C48CC"/>
    <w:rsid w:val="004C5D3A"/>
    <w:rsid w:val="004C74D2"/>
    <w:rsid w:val="004D02F2"/>
    <w:rsid w:val="004D0D7D"/>
    <w:rsid w:val="004D1065"/>
    <w:rsid w:val="004D1970"/>
    <w:rsid w:val="004D4343"/>
    <w:rsid w:val="004D516A"/>
    <w:rsid w:val="004D54B2"/>
    <w:rsid w:val="004D6D73"/>
    <w:rsid w:val="004D7160"/>
    <w:rsid w:val="004D7467"/>
    <w:rsid w:val="004E0509"/>
    <w:rsid w:val="004E171F"/>
    <w:rsid w:val="004E2572"/>
    <w:rsid w:val="004E3526"/>
    <w:rsid w:val="004E5D29"/>
    <w:rsid w:val="004E72B6"/>
    <w:rsid w:val="004E7936"/>
    <w:rsid w:val="004E7A62"/>
    <w:rsid w:val="004F02EF"/>
    <w:rsid w:val="004F2081"/>
    <w:rsid w:val="004F362B"/>
    <w:rsid w:val="004F3F4A"/>
    <w:rsid w:val="004F5508"/>
    <w:rsid w:val="004F551C"/>
    <w:rsid w:val="004F5BDB"/>
    <w:rsid w:val="004F6FE0"/>
    <w:rsid w:val="004F700D"/>
    <w:rsid w:val="004F7EB4"/>
    <w:rsid w:val="00500091"/>
    <w:rsid w:val="00501F5F"/>
    <w:rsid w:val="005022CC"/>
    <w:rsid w:val="0050327C"/>
    <w:rsid w:val="00503D6B"/>
    <w:rsid w:val="00504D61"/>
    <w:rsid w:val="00510160"/>
    <w:rsid w:val="005108FD"/>
    <w:rsid w:val="00510910"/>
    <w:rsid w:val="005117D6"/>
    <w:rsid w:val="00512DDF"/>
    <w:rsid w:val="00514F59"/>
    <w:rsid w:val="005150B5"/>
    <w:rsid w:val="00515495"/>
    <w:rsid w:val="00516167"/>
    <w:rsid w:val="00516CD8"/>
    <w:rsid w:val="005175CC"/>
    <w:rsid w:val="005236B6"/>
    <w:rsid w:val="005256BA"/>
    <w:rsid w:val="00525D68"/>
    <w:rsid w:val="005269FF"/>
    <w:rsid w:val="00527524"/>
    <w:rsid w:val="00527876"/>
    <w:rsid w:val="00530654"/>
    <w:rsid w:val="00530F71"/>
    <w:rsid w:val="00531B55"/>
    <w:rsid w:val="005321C4"/>
    <w:rsid w:val="005324E9"/>
    <w:rsid w:val="00532C4C"/>
    <w:rsid w:val="00533059"/>
    <w:rsid w:val="005333C5"/>
    <w:rsid w:val="00540990"/>
    <w:rsid w:val="00540B71"/>
    <w:rsid w:val="00541971"/>
    <w:rsid w:val="00544775"/>
    <w:rsid w:val="00545ED6"/>
    <w:rsid w:val="005503C9"/>
    <w:rsid w:val="00551E5C"/>
    <w:rsid w:val="005536A1"/>
    <w:rsid w:val="00555CCB"/>
    <w:rsid w:val="0055676D"/>
    <w:rsid w:val="00556DEC"/>
    <w:rsid w:val="00556DF7"/>
    <w:rsid w:val="00560922"/>
    <w:rsid w:val="00560B9F"/>
    <w:rsid w:val="00561461"/>
    <w:rsid w:val="00561FEA"/>
    <w:rsid w:val="00563BD0"/>
    <w:rsid w:val="00564540"/>
    <w:rsid w:val="005650D4"/>
    <w:rsid w:val="00566296"/>
    <w:rsid w:val="005676C1"/>
    <w:rsid w:val="005701FE"/>
    <w:rsid w:val="005704B6"/>
    <w:rsid w:val="005705A5"/>
    <w:rsid w:val="00571D88"/>
    <w:rsid w:val="00571D9E"/>
    <w:rsid w:val="00572140"/>
    <w:rsid w:val="0057330A"/>
    <w:rsid w:val="0057418E"/>
    <w:rsid w:val="00580A13"/>
    <w:rsid w:val="00580BAE"/>
    <w:rsid w:val="005810CB"/>
    <w:rsid w:val="005810F9"/>
    <w:rsid w:val="00581E8E"/>
    <w:rsid w:val="00582570"/>
    <w:rsid w:val="0058473E"/>
    <w:rsid w:val="00584BC7"/>
    <w:rsid w:val="00584DF2"/>
    <w:rsid w:val="00586E14"/>
    <w:rsid w:val="00592215"/>
    <w:rsid w:val="0059318D"/>
    <w:rsid w:val="00593464"/>
    <w:rsid w:val="00593A3C"/>
    <w:rsid w:val="005957BD"/>
    <w:rsid w:val="005962B4"/>
    <w:rsid w:val="00596679"/>
    <w:rsid w:val="00597C0E"/>
    <w:rsid w:val="005A2E15"/>
    <w:rsid w:val="005A4C37"/>
    <w:rsid w:val="005A5B88"/>
    <w:rsid w:val="005A7A28"/>
    <w:rsid w:val="005B0229"/>
    <w:rsid w:val="005B1FF5"/>
    <w:rsid w:val="005B20EC"/>
    <w:rsid w:val="005B3228"/>
    <w:rsid w:val="005B3B34"/>
    <w:rsid w:val="005B3F9D"/>
    <w:rsid w:val="005B5BA4"/>
    <w:rsid w:val="005B6395"/>
    <w:rsid w:val="005B64CC"/>
    <w:rsid w:val="005B66D3"/>
    <w:rsid w:val="005C0DA5"/>
    <w:rsid w:val="005C1A2E"/>
    <w:rsid w:val="005C28D3"/>
    <w:rsid w:val="005C385F"/>
    <w:rsid w:val="005C44F5"/>
    <w:rsid w:val="005C58DC"/>
    <w:rsid w:val="005C62C3"/>
    <w:rsid w:val="005C62D0"/>
    <w:rsid w:val="005D0804"/>
    <w:rsid w:val="005D13FC"/>
    <w:rsid w:val="005D213B"/>
    <w:rsid w:val="005D3F4C"/>
    <w:rsid w:val="005D447E"/>
    <w:rsid w:val="005D66E7"/>
    <w:rsid w:val="005D72C0"/>
    <w:rsid w:val="005D792C"/>
    <w:rsid w:val="005E1042"/>
    <w:rsid w:val="005E2BBB"/>
    <w:rsid w:val="005E43E6"/>
    <w:rsid w:val="005E77E4"/>
    <w:rsid w:val="005F08CE"/>
    <w:rsid w:val="005F1307"/>
    <w:rsid w:val="005F1FA6"/>
    <w:rsid w:val="005F31AA"/>
    <w:rsid w:val="005F338F"/>
    <w:rsid w:val="005F4264"/>
    <w:rsid w:val="005F4387"/>
    <w:rsid w:val="005F5410"/>
    <w:rsid w:val="006010FC"/>
    <w:rsid w:val="00604139"/>
    <w:rsid w:val="00604B63"/>
    <w:rsid w:val="0060590B"/>
    <w:rsid w:val="00607AA0"/>
    <w:rsid w:val="00612AA0"/>
    <w:rsid w:val="00613288"/>
    <w:rsid w:val="00614050"/>
    <w:rsid w:val="00614114"/>
    <w:rsid w:val="006155BF"/>
    <w:rsid w:val="0061637B"/>
    <w:rsid w:val="00617F36"/>
    <w:rsid w:val="00617F77"/>
    <w:rsid w:val="0062025B"/>
    <w:rsid w:val="006216B7"/>
    <w:rsid w:val="00621DDC"/>
    <w:rsid w:val="006236BD"/>
    <w:rsid w:val="00624913"/>
    <w:rsid w:val="0062701F"/>
    <w:rsid w:val="00634212"/>
    <w:rsid w:val="00637A97"/>
    <w:rsid w:val="00637E25"/>
    <w:rsid w:val="00640B1F"/>
    <w:rsid w:val="00642719"/>
    <w:rsid w:val="00642763"/>
    <w:rsid w:val="00645165"/>
    <w:rsid w:val="006454AA"/>
    <w:rsid w:val="006456FF"/>
    <w:rsid w:val="00645FA3"/>
    <w:rsid w:val="00646205"/>
    <w:rsid w:val="006469A4"/>
    <w:rsid w:val="00646C76"/>
    <w:rsid w:val="00647293"/>
    <w:rsid w:val="006473A8"/>
    <w:rsid w:val="00647BBB"/>
    <w:rsid w:val="00650A30"/>
    <w:rsid w:val="006512AA"/>
    <w:rsid w:val="00651340"/>
    <w:rsid w:val="00653055"/>
    <w:rsid w:val="006538B7"/>
    <w:rsid w:val="00653A57"/>
    <w:rsid w:val="006541C1"/>
    <w:rsid w:val="00654C5B"/>
    <w:rsid w:val="00655A07"/>
    <w:rsid w:val="0065715D"/>
    <w:rsid w:val="00657402"/>
    <w:rsid w:val="00657990"/>
    <w:rsid w:val="00661EF0"/>
    <w:rsid w:val="00665B2E"/>
    <w:rsid w:val="00665F0B"/>
    <w:rsid w:val="00666832"/>
    <w:rsid w:val="00666BB6"/>
    <w:rsid w:val="0066721E"/>
    <w:rsid w:val="006701FD"/>
    <w:rsid w:val="00670E8A"/>
    <w:rsid w:val="006735BE"/>
    <w:rsid w:val="00674A3B"/>
    <w:rsid w:val="0067511B"/>
    <w:rsid w:val="006751FE"/>
    <w:rsid w:val="00677033"/>
    <w:rsid w:val="00677594"/>
    <w:rsid w:val="00680F50"/>
    <w:rsid w:val="006810FA"/>
    <w:rsid w:val="00682951"/>
    <w:rsid w:val="006829E8"/>
    <w:rsid w:val="006843AB"/>
    <w:rsid w:val="00684620"/>
    <w:rsid w:val="0068505A"/>
    <w:rsid w:val="00685D20"/>
    <w:rsid w:val="00694B1B"/>
    <w:rsid w:val="006953CF"/>
    <w:rsid w:val="0069673B"/>
    <w:rsid w:val="00697A34"/>
    <w:rsid w:val="006A0C2E"/>
    <w:rsid w:val="006A3C33"/>
    <w:rsid w:val="006A45AE"/>
    <w:rsid w:val="006A4FAE"/>
    <w:rsid w:val="006A50E6"/>
    <w:rsid w:val="006A52E7"/>
    <w:rsid w:val="006A5666"/>
    <w:rsid w:val="006A6177"/>
    <w:rsid w:val="006A6861"/>
    <w:rsid w:val="006B0924"/>
    <w:rsid w:val="006B3F86"/>
    <w:rsid w:val="006B6F7A"/>
    <w:rsid w:val="006B708C"/>
    <w:rsid w:val="006C04AA"/>
    <w:rsid w:val="006C168C"/>
    <w:rsid w:val="006C2AEA"/>
    <w:rsid w:val="006C2E44"/>
    <w:rsid w:val="006C5166"/>
    <w:rsid w:val="006C5214"/>
    <w:rsid w:val="006C5722"/>
    <w:rsid w:val="006C5E08"/>
    <w:rsid w:val="006D0E83"/>
    <w:rsid w:val="006D1510"/>
    <w:rsid w:val="006D1D14"/>
    <w:rsid w:val="006D1D9D"/>
    <w:rsid w:val="006D435C"/>
    <w:rsid w:val="006D572A"/>
    <w:rsid w:val="006E1A39"/>
    <w:rsid w:val="006E21DA"/>
    <w:rsid w:val="006E3CEE"/>
    <w:rsid w:val="006E41AA"/>
    <w:rsid w:val="006E439E"/>
    <w:rsid w:val="006E614B"/>
    <w:rsid w:val="006E6341"/>
    <w:rsid w:val="006E6D9E"/>
    <w:rsid w:val="006F0E97"/>
    <w:rsid w:val="006F2F82"/>
    <w:rsid w:val="006F30FD"/>
    <w:rsid w:val="006F51CB"/>
    <w:rsid w:val="006F5703"/>
    <w:rsid w:val="0070515F"/>
    <w:rsid w:val="0070582C"/>
    <w:rsid w:val="00705F15"/>
    <w:rsid w:val="00711AA9"/>
    <w:rsid w:val="00712131"/>
    <w:rsid w:val="0071235E"/>
    <w:rsid w:val="00713A76"/>
    <w:rsid w:val="0072074F"/>
    <w:rsid w:val="00721E74"/>
    <w:rsid w:val="00722717"/>
    <w:rsid w:val="0072287A"/>
    <w:rsid w:val="00725F05"/>
    <w:rsid w:val="0072648C"/>
    <w:rsid w:val="007275B1"/>
    <w:rsid w:val="00727E3B"/>
    <w:rsid w:val="0073022C"/>
    <w:rsid w:val="00730D0A"/>
    <w:rsid w:val="00733AAF"/>
    <w:rsid w:val="0073470D"/>
    <w:rsid w:val="00734D26"/>
    <w:rsid w:val="0073662B"/>
    <w:rsid w:val="0073713D"/>
    <w:rsid w:val="00737A13"/>
    <w:rsid w:val="00737C6E"/>
    <w:rsid w:val="00741FD2"/>
    <w:rsid w:val="00742B49"/>
    <w:rsid w:val="007446EE"/>
    <w:rsid w:val="007447D4"/>
    <w:rsid w:val="007502B3"/>
    <w:rsid w:val="007504E5"/>
    <w:rsid w:val="007515FF"/>
    <w:rsid w:val="00751BCD"/>
    <w:rsid w:val="007524E4"/>
    <w:rsid w:val="007528D6"/>
    <w:rsid w:val="00753C0C"/>
    <w:rsid w:val="00757408"/>
    <w:rsid w:val="00760EDA"/>
    <w:rsid w:val="007612D4"/>
    <w:rsid w:val="00762428"/>
    <w:rsid w:val="00762DCD"/>
    <w:rsid w:val="00763100"/>
    <w:rsid w:val="00770843"/>
    <w:rsid w:val="00770EE9"/>
    <w:rsid w:val="007711F0"/>
    <w:rsid w:val="007715C4"/>
    <w:rsid w:val="00771877"/>
    <w:rsid w:val="00772C6B"/>
    <w:rsid w:val="007732EC"/>
    <w:rsid w:val="00775467"/>
    <w:rsid w:val="007803A3"/>
    <w:rsid w:val="00783999"/>
    <w:rsid w:val="00784DD3"/>
    <w:rsid w:val="00786534"/>
    <w:rsid w:val="00787DBF"/>
    <w:rsid w:val="00790A57"/>
    <w:rsid w:val="0079480E"/>
    <w:rsid w:val="00794C46"/>
    <w:rsid w:val="007951AD"/>
    <w:rsid w:val="00797947"/>
    <w:rsid w:val="007A48E6"/>
    <w:rsid w:val="007A7079"/>
    <w:rsid w:val="007A78B3"/>
    <w:rsid w:val="007A7F13"/>
    <w:rsid w:val="007B470D"/>
    <w:rsid w:val="007B5EF9"/>
    <w:rsid w:val="007B720C"/>
    <w:rsid w:val="007B7606"/>
    <w:rsid w:val="007B76FF"/>
    <w:rsid w:val="007B7F82"/>
    <w:rsid w:val="007C1DA5"/>
    <w:rsid w:val="007C4483"/>
    <w:rsid w:val="007C4CD9"/>
    <w:rsid w:val="007D006A"/>
    <w:rsid w:val="007D00B9"/>
    <w:rsid w:val="007D0685"/>
    <w:rsid w:val="007D08C1"/>
    <w:rsid w:val="007D08DE"/>
    <w:rsid w:val="007D0E74"/>
    <w:rsid w:val="007D29E8"/>
    <w:rsid w:val="007D315D"/>
    <w:rsid w:val="007D4972"/>
    <w:rsid w:val="007D5C38"/>
    <w:rsid w:val="007D632C"/>
    <w:rsid w:val="007D6A70"/>
    <w:rsid w:val="007D7825"/>
    <w:rsid w:val="007E0119"/>
    <w:rsid w:val="007E1BC7"/>
    <w:rsid w:val="007E2AA2"/>
    <w:rsid w:val="007E3FC3"/>
    <w:rsid w:val="007E5970"/>
    <w:rsid w:val="007F0967"/>
    <w:rsid w:val="007F14EA"/>
    <w:rsid w:val="007F2B99"/>
    <w:rsid w:val="007F3389"/>
    <w:rsid w:val="007F3449"/>
    <w:rsid w:val="007F38FB"/>
    <w:rsid w:val="007F3A9E"/>
    <w:rsid w:val="007F408C"/>
    <w:rsid w:val="007F4093"/>
    <w:rsid w:val="007F614E"/>
    <w:rsid w:val="007F7AF6"/>
    <w:rsid w:val="007F7CDC"/>
    <w:rsid w:val="0080266D"/>
    <w:rsid w:val="00802FCA"/>
    <w:rsid w:val="00803B94"/>
    <w:rsid w:val="008051DD"/>
    <w:rsid w:val="00805509"/>
    <w:rsid w:val="00806528"/>
    <w:rsid w:val="00807110"/>
    <w:rsid w:val="00807371"/>
    <w:rsid w:val="008124C4"/>
    <w:rsid w:val="008130CA"/>
    <w:rsid w:val="008145E6"/>
    <w:rsid w:val="00815A16"/>
    <w:rsid w:val="00815CE7"/>
    <w:rsid w:val="00817CAF"/>
    <w:rsid w:val="00820347"/>
    <w:rsid w:val="00820A59"/>
    <w:rsid w:val="00822298"/>
    <w:rsid w:val="00824393"/>
    <w:rsid w:val="008254C7"/>
    <w:rsid w:val="008257C1"/>
    <w:rsid w:val="00827A89"/>
    <w:rsid w:val="00831628"/>
    <w:rsid w:val="00831A6A"/>
    <w:rsid w:val="00831EE0"/>
    <w:rsid w:val="00832063"/>
    <w:rsid w:val="0083233D"/>
    <w:rsid w:val="00832BD4"/>
    <w:rsid w:val="00833AA9"/>
    <w:rsid w:val="00833F3E"/>
    <w:rsid w:val="008344F0"/>
    <w:rsid w:val="00836B83"/>
    <w:rsid w:val="00837B84"/>
    <w:rsid w:val="00837E50"/>
    <w:rsid w:val="0084108D"/>
    <w:rsid w:val="008431D0"/>
    <w:rsid w:val="00843609"/>
    <w:rsid w:val="008447E1"/>
    <w:rsid w:val="00846FA8"/>
    <w:rsid w:val="00847F9F"/>
    <w:rsid w:val="0085025B"/>
    <w:rsid w:val="00850EA8"/>
    <w:rsid w:val="008513ED"/>
    <w:rsid w:val="00855D73"/>
    <w:rsid w:val="008561B9"/>
    <w:rsid w:val="00866BB5"/>
    <w:rsid w:val="0087193F"/>
    <w:rsid w:val="0087246D"/>
    <w:rsid w:val="008729A6"/>
    <w:rsid w:val="00874C62"/>
    <w:rsid w:val="00875489"/>
    <w:rsid w:val="00877478"/>
    <w:rsid w:val="00880E70"/>
    <w:rsid w:val="0088199A"/>
    <w:rsid w:val="0088346E"/>
    <w:rsid w:val="00884991"/>
    <w:rsid w:val="00884A62"/>
    <w:rsid w:val="00884D6E"/>
    <w:rsid w:val="008910E1"/>
    <w:rsid w:val="00891CE3"/>
    <w:rsid w:val="0089318C"/>
    <w:rsid w:val="008935DE"/>
    <w:rsid w:val="0089411A"/>
    <w:rsid w:val="00894838"/>
    <w:rsid w:val="00894AD4"/>
    <w:rsid w:val="0089615F"/>
    <w:rsid w:val="008A0073"/>
    <w:rsid w:val="008A1C61"/>
    <w:rsid w:val="008A22E4"/>
    <w:rsid w:val="008A2A37"/>
    <w:rsid w:val="008A2F4C"/>
    <w:rsid w:val="008A765B"/>
    <w:rsid w:val="008B1FE8"/>
    <w:rsid w:val="008B333D"/>
    <w:rsid w:val="008B3B48"/>
    <w:rsid w:val="008B5AA3"/>
    <w:rsid w:val="008B7997"/>
    <w:rsid w:val="008C1D8C"/>
    <w:rsid w:val="008C253E"/>
    <w:rsid w:val="008D1B07"/>
    <w:rsid w:val="008D2B0F"/>
    <w:rsid w:val="008D577B"/>
    <w:rsid w:val="008D67D3"/>
    <w:rsid w:val="008D6A66"/>
    <w:rsid w:val="008D6D76"/>
    <w:rsid w:val="008E07DE"/>
    <w:rsid w:val="008E212E"/>
    <w:rsid w:val="008E350C"/>
    <w:rsid w:val="008E505E"/>
    <w:rsid w:val="008E5B92"/>
    <w:rsid w:val="008E5F30"/>
    <w:rsid w:val="008E624B"/>
    <w:rsid w:val="008E68EC"/>
    <w:rsid w:val="008E6980"/>
    <w:rsid w:val="008E6F28"/>
    <w:rsid w:val="008E7521"/>
    <w:rsid w:val="008E7870"/>
    <w:rsid w:val="008E7E14"/>
    <w:rsid w:val="008F0689"/>
    <w:rsid w:val="008F2267"/>
    <w:rsid w:val="008F2B06"/>
    <w:rsid w:val="008F308F"/>
    <w:rsid w:val="008F410C"/>
    <w:rsid w:val="008F5078"/>
    <w:rsid w:val="008F5C4B"/>
    <w:rsid w:val="008F7456"/>
    <w:rsid w:val="00901B02"/>
    <w:rsid w:val="00901B3D"/>
    <w:rsid w:val="009035F8"/>
    <w:rsid w:val="00903693"/>
    <w:rsid w:val="00903822"/>
    <w:rsid w:val="009055C9"/>
    <w:rsid w:val="00905AA2"/>
    <w:rsid w:val="00905B51"/>
    <w:rsid w:val="009068CF"/>
    <w:rsid w:val="00915220"/>
    <w:rsid w:val="009153F7"/>
    <w:rsid w:val="009213EE"/>
    <w:rsid w:val="009216D3"/>
    <w:rsid w:val="009219B6"/>
    <w:rsid w:val="009238A0"/>
    <w:rsid w:val="00925EC6"/>
    <w:rsid w:val="00925F1B"/>
    <w:rsid w:val="00926B18"/>
    <w:rsid w:val="009301EE"/>
    <w:rsid w:val="00931E05"/>
    <w:rsid w:val="0093262F"/>
    <w:rsid w:val="00933B0C"/>
    <w:rsid w:val="009357C6"/>
    <w:rsid w:val="009370A7"/>
    <w:rsid w:val="00940A55"/>
    <w:rsid w:val="00941682"/>
    <w:rsid w:val="009429B7"/>
    <w:rsid w:val="009449FB"/>
    <w:rsid w:val="00946210"/>
    <w:rsid w:val="009473CB"/>
    <w:rsid w:val="009514C3"/>
    <w:rsid w:val="00952FD2"/>
    <w:rsid w:val="0095575B"/>
    <w:rsid w:val="0095647B"/>
    <w:rsid w:val="00956FA4"/>
    <w:rsid w:val="00957900"/>
    <w:rsid w:val="00957A14"/>
    <w:rsid w:val="00957B20"/>
    <w:rsid w:val="00961B9D"/>
    <w:rsid w:val="00961C8B"/>
    <w:rsid w:val="00962957"/>
    <w:rsid w:val="00962BDF"/>
    <w:rsid w:val="00963C91"/>
    <w:rsid w:val="00963ECF"/>
    <w:rsid w:val="00965B5C"/>
    <w:rsid w:val="009669E1"/>
    <w:rsid w:val="00966EE7"/>
    <w:rsid w:val="00966FBB"/>
    <w:rsid w:val="00967457"/>
    <w:rsid w:val="00970159"/>
    <w:rsid w:val="009711B5"/>
    <w:rsid w:val="0097265F"/>
    <w:rsid w:val="00974FF6"/>
    <w:rsid w:val="0097515A"/>
    <w:rsid w:val="00975475"/>
    <w:rsid w:val="009775DC"/>
    <w:rsid w:val="00977FE8"/>
    <w:rsid w:val="0098004E"/>
    <w:rsid w:val="00980B6E"/>
    <w:rsid w:val="00984C4F"/>
    <w:rsid w:val="00984CA9"/>
    <w:rsid w:val="0098546F"/>
    <w:rsid w:val="00987689"/>
    <w:rsid w:val="00991B18"/>
    <w:rsid w:val="00994384"/>
    <w:rsid w:val="0099465F"/>
    <w:rsid w:val="009948A0"/>
    <w:rsid w:val="00994C5A"/>
    <w:rsid w:val="00994E42"/>
    <w:rsid w:val="00996B6A"/>
    <w:rsid w:val="0099741A"/>
    <w:rsid w:val="00997AA6"/>
    <w:rsid w:val="009A2F97"/>
    <w:rsid w:val="009A3002"/>
    <w:rsid w:val="009A3F4E"/>
    <w:rsid w:val="009A54F9"/>
    <w:rsid w:val="009A5758"/>
    <w:rsid w:val="009A7346"/>
    <w:rsid w:val="009A7507"/>
    <w:rsid w:val="009A7CA8"/>
    <w:rsid w:val="009B136F"/>
    <w:rsid w:val="009B1B18"/>
    <w:rsid w:val="009B3274"/>
    <w:rsid w:val="009B372B"/>
    <w:rsid w:val="009B39BA"/>
    <w:rsid w:val="009B3EC2"/>
    <w:rsid w:val="009C0925"/>
    <w:rsid w:val="009C1130"/>
    <w:rsid w:val="009C113A"/>
    <w:rsid w:val="009C1F99"/>
    <w:rsid w:val="009C3032"/>
    <w:rsid w:val="009C3C8B"/>
    <w:rsid w:val="009C5A33"/>
    <w:rsid w:val="009C775C"/>
    <w:rsid w:val="009D0C8A"/>
    <w:rsid w:val="009D1777"/>
    <w:rsid w:val="009D1F5C"/>
    <w:rsid w:val="009D4BBD"/>
    <w:rsid w:val="009D6452"/>
    <w:rsid w:val="009D69B5"/>
    <w:rsid w:val="009D69C8"/>
    <w:rsid w:val="009D6F40"/>
    <w:rsid w:val="009E07E2"/>
    <w:rsid w:val="009E0A0D"/>
    <w:rsid w:val="009E0D53"/>
    <w:rsid w:val="009E3649"/>
    <w:rsid w:val="009E64DF"/>
    <w:rsid w:val="009F4B46"/>
    <w:rsid w:val="009F52EC"/>
    <w:rsid w:val="009F5B51"/>
    <w:rsid w:val="009F5D08"/>
    <w:rsid w:val="009F5E9B"/>
    <w:rsid w:val="009F7E9F"/>
    <w:rsid w:val="00A00EF9"/>
    <w:rsid w:val="00A01245"/>
    <w:rsid w:val="00A01798"/>
    <w:rsid w:val="00A01CCD"/>
    <w:rsid w:val="00A02978"/>
    <w:rsid w:val="00A0306E"/>
    <w:rsid w:val="00A033FB"/>
    <w:rsid w:val="00A0372B"/>
    <w:rsid w:val="00A04503"/>
    <w:rsid w:val="00A045CF"/>
    <w:rsid w:val="00A0692C"/>
    <w:rsid w:val="00A07C45"/>
    <w:rsid w:val="00A11E40"/>
    <w:rsid w:val="00A1253B"/>
    <w:rsid w:val="00A13CFF"/>
    <w:rsid w:val="00A155CD"/>
    <w:rsid w:val="00A15B71"/>
    <w:rsid w:val="00A16B49"/>
    <w:rsid w:val="00A20371"/>
    <w:rsid w:val="00A2273B"/>
    <w:rsid w:val="00A23247"/>
    <w:rsid w:val="00A232F6"/>
    <w:rsid w:val="00A24736"/>
    <w:rsid w:val="00A24EAF"/>
    <w:rsid w:val="00A25E8B"/>
    <w:rsid w:val="00A2637A"/>
    <w:rsid w:val="00A3022C"/>
    <w:rsid w:val="00A32DE7"/>
    <w:rsid w:val="00A32F7F"/>
    <w:rsid w:val="00A347FC"/>
    <w:rsid w:val="00A34E8F"/>
    <w:rsid w:val="00A35B41"/>
    <w:rsid w:val="00A377FE"/>
    <w:rsid w:val="00A42C11"/>
    <w:rsid w:val="00A42F34"/>
    <w:rsid w:val="00A44D61"/>
    <w:rsid w:val="00A4549A"/>
    <w:rsid w:val="00A45922"/>
    <w:rsid w:val="00A47543"/>
    <w:rsid w:val="00A47BFC"/>
    <w:rsid w:val="00A50C22"/>
    <w:rsid w:val="00A51060"/>
    <w:rsid w:val="00A518B2"/>
    <w:rsid w:val="00A52AC2"/>
    <w:rsid w:val="00A5344E"/>
    <w:rsid w:val="00A60C95"/>
    <w:rsid w:val="00A63ABE"/>
    <w:rsid w:val="00A6495D"/>
    <w:rsid w:val="00A66C43"/>
    <w:rsid w:val="00A66FA1"/>
    <w:rsid w:val="00A675D8"/>
    <w:rsid w:val="00A7052F"/>
    <w:rsid w:val="00A713CE"/>
    <w:rsid w:val="00A71ADA"/>
    <w:rsid w:val="00A721DF"/>
    <w:rsid w:val="00A72334"/>
    <w:rsid w:val="00A7261B"/>
    <w:rsid w:val="00A746D9"/>
    <w:rsid w:val="00A75D7F"/>
    <w:rsid w:val="00A75EF8"/>
    <w:rsid w:val="00A8352A"/>
    <w:rsid w:val="00A83F75"/>
    <w:rsid w:val="00A84736"/>
    <w:rsid w:val="00A84892"/>
    <w:rsid w:val="00A84FBF"/>
    <w:rsid w:val="00A85A64"/>
    <w:rsid w:val="00A85F9E"/>
    <w:rsid w:val="00A8646E"/>
    <w:rsid w:val="00A91417"/>
    <w:rsid w:val="00A91FD2"/>
    <w:rsid w:val="00A9262B"/>
    <w:rsid w:val="00A93423"/>
    <w:rsid w:val="00A9395C"/>
    <w:rsid w:val="00A95675"/>
    <w:rsid w:val="00A95E3D"/>
    <w:rsid w:val="00A96961"/>
    <w:rsid w:val="00A97101"/>
    <w:rsid w:val="00AA031A"/>
    <w:rsid w:val="00AA35E2"/>
    <w:rsid w:val="00AA4A79"/>
    <w:rsid w:val="00AA4B8F"/>
    <w:rsid w:val="00AA4E78"/>
    <w:rsid w:val="00AA52FF"/>
    <w:rsid w:val="00AA74AB"/>
    <w:rsid w:val="00AA7BA7"/>
    <w:rsid w:val="00AB00A3"/>
    <w:rsid w:val="00AB2163"/>
    <w:rsid w:val="00AB2F5A"/>
    <w:rsid w:val="00AB34BE"/>
    <w:rsid w:val="00AB503F"/>
    <w:rsid w:val="00AB5408"/>
    <w:rsid w:val="00AB544C"/>
    <w:rsid w:val="00AB673C"/>
    <w:rsid w:val="00AB6923"/>
    <w:rsid w:val="00AC2F22"/>
    <w:rsid w:val="00AC40BA"/>
    <w:rsid w:val="00AC4E47"/>
    <w:rsid w:val="00AC4F38"/>
    <w:rsid w:val="00AC525C"/>
    <w:rsid w:val="00AC5FC4"/>
    <w:rsid w:val="00AD1F07"/>
    <w:rsid w:val="00AD430B"/>
    <w:rsid w:val="00AD4713"/>
    <w:rsid w:val="00AD7656"/>
    <w:rsid w:val="00AD7884"/>
    <w:rsid w:val="00AD7BFD"/>
    <w:rsid w:val="00AE0C9B"/>
    <w:rsid w:val="00AE143F"/>
    <w:rsid w:val="00AE3245"/>
    <w:rsid w:val="00AE36CD"/>
    <w:rsid w:val="00AE55E1"/>
    <w:rsid w:val="00AE6106"/>
    <w:rsid w:val="00AE6A99"/>
    <w:rsid w:val="00AE74B4"/>
    <w:rsid w:val="00AF0CB4"/>
    <w:rsid w:val="00AF1505"/>
    <w:rsid w:val="00AF1560"/>
    <w:rsid w:val="00AF1EC2"/>
    <w:rsid w:val="00AF3016"/>
    <w:rsid w:val="00AF3830"/>
    <w:rsid w:val="00AF40CE"/>
    <w:rsid w:val="00AF4131"/>
    <w:rsid w:val="00AF443A"/>
    <w:rsid w:val="00AF6E46"/>
    <w:rsid w:val="00AF78BE"/>
    <w:rsid w:val="00AF7D9A"/>
    <w:rsid w:val="00B0261C"/>
    <w:rsid w:val="00B0479C"/>
    <w:rsid w:val="00B05FA0"/>
    <w:rsid w:val="00B062FB"/>
    <w:rsid w:val="00B076D9"/>
    <w:rsid w:val="00B07900"/>
    <w:rsid w:val="00B07A7D"/>
    <w:rsid w:val="00B11F1D"/>
    <w:rsid w:val="00B138D4"/>
    <w:rsid w:val="00B15959"/>
    <w:rsid w:val="00B17287"/>
    <w:rsid w:val="00B177C4"/>
    <w:rsid w:val="00B204E7"/>
    <w:rsid w:val="00B2096E"/>
    <w:rsid w:val="00B21029"/>
    <w:rsid w:val="00B22098"/>
    <w:rsid w:val="00B22A56"/>
    <w:rsid w:val="00B23B6D"/>
    <w:rsid w:val="00B2441A"/>
    <w:rsid w:val="00B25505"/>
    <w:rsid w:val="00B25B1E"/>
    <w:rsid w:val="00B26025"/>
    <w:rsid w:val="00B27568"/>
    <w:rsid w:val="00B27D63"/>
    <w:rsid w:val="00B30B7F"/>
    <w:rsid w:val="00B30EEE"/>
    <w:rsid w:val="00B34AEE"/>
    <w:rsid w:val="00B34E65"/>
    <w:rsid w:val="00B36D6A"/>
    <w:rsid w:val="00B37D51"/>
    <w:rsid w:val="00B40CF9"/>
    <w:rsid w:val="00B42475"/>
    <w:rsid w:val="00B42A22"/>
    <w:rsid w:val="00B42D4C"/>
    <w:rsid w:val="00B4497F"/>
    <w:rsid w:val="00B44A5B"/>
    <w:rsid w:val="00B50B4A"/>
    <w:rsid w:val="00B50FCB"/>
    <w:rsid w:val="00B54B37"/>
    <w:rsid w:val="00B55492"/>
    <w:rsid w:val="00B55BC9"/>
    <w:rsid w:val="00B56231"/>
    <w:rsid w:val="00B56A24"/>
    <w:rsid w:val="00B64FB3"/>
    <w:rsid w:val="00B653B1"/>
    <w:rsid w:val="00B66BB3"/>
    <w:rsid w:val="00B67DF0"/>
    <w:rsid w:val="00B67F8D"/>
    <w:rsid w:val="00B7026F"/>
    <w:rsid w:val="00B71BA8"/>
    <w:rsid w:val="00B72506"/>
    <w:rsid w:val="00B72AE7"/>
    <w:rsid w:val="00B73641"/>
    <w:rsid w:val="00B73851"/>
    <w:rsid w:val="00B73E41"/>
    <w:rsid w:val="00B74A74"/>
    <w:rsid w:val="00B765D6"/>
    <w:rsid w:val="00B768DA"/>
    <w:rsid w:val="00B8030A"/>
    <w:rsid w:val="00B80448"/>
    <w:rsid w:val="00B83856"/>
    <w:rsid w:val="00B854B4"/>
    <w:rsid w:val="00B856CD"/>
    <w:rsid w:val="00B85EB2"/>
    <w:rsid w:val="00B90EDF"/>
    <w:rsid w:val="00B91499"/>
    <w:rsid w:val="00B916A5"/>
    <w:rsid w:val="00B92CC3"/>
    <w:rsid w:val="00B9300E"/>
    <w:rsid w:val="00B93B28"/>
    <w:rsid w:val="00B94DC8"/>
    <w:rsid w:val="00B96668"/>
    <w:rsid w:val="00B97835"/>
    <w:rsid w:val="00B9789E"/>
    <w:rsid w:val="00BA07F6"/>
    <w:rsid w:val="00BA1E86"/>
    <w:rsid w:val="00BA2BA6"/>
    <w:rsid w:val="00BA3D74"/>
    <w:rsid w:val="00BA7584"/>
    <w:rsid w:val="00BB0095"/>
    <w:rsid w:val="00BB1439"/>
    <w:rsid w:val="00BB2420"/>
    <w:rsid w:val="00BB4243"/>
    <w:rsid w:val="00BB4F19"/>
    <w:rsid w:val="00BB50D5"/>
    <w:rsid w:val="00BB69C9"/>
    <w:rsid w:val="00BC0335"/>
    <w:rsid w:val="00BC04A7"/>
    <w:rsid w:val="00BC0E93"/>
    <w:rsid w:val="00BC16C4"/>
    <w:rsid w:val="00BC2199"/>
    <w:rsid w:val="00BC2ADC"/>
    <w:rsid w:val="00BC3628"/>
    <w:rsid w:val="00BC4945"/>
    <w:rsid w:val="00BC546B"/>
    <w:rsid w:val="00BC59F2"/>
    <w:rsid w:val="00BC5EE1"/>
    <w:rsid w:val="00BD018A"/>
    <w:rsid w:val="00BD2299"/>
    <w:rsid w:val="00BD2BF1"/>
    <w:rsid w:val="00BD4B33"/>
    <w:rsid w:val="00BD5E10"/>
    <w:rsid w:val="00BE00BB"/>
    <w:rsid w:val="00BE03AE"/>
    <w:rsid w:val="00BE0A51"/>
    <w:rsid w:val="00BE0A60"/>
    <w:rsid w:val="00BE113B"/>
    <w:rsid w:val="00BE3B0C"/>
    <w:rsid w:val="00BE4166"/>
    <w:rsid w:val="00BE4FC7"/>
    <w:rsid w:val="00BE55EA"/>
    <w:rsid w:val="00BE68C7"/>
    <w:rsid w:val="00BE6E41"/>
    <w:rsid w:val="00BE7CB0"/>
    <w:rsid w:val="00BF1056"/>
    <w:rsid w:val="00BF2423"/>
    <w:rsid w:val="00BF4946"/>
    <w:rsid w:val="00BF5C15"/>
    <w:rsid w:val="00BF65C5"/>
    <w:rsid w:val="00C00287"/>
    <w:rsid w:val="00C00C59"/>
    <w:rsid w:val="00C01144"/>
    <w:rsid w:val="00C03B2F"/>
    <w:rsid w:val="00C04593"/>
    <w:rsid w:val="00C04F7D"/>
    <w:rsid w:val="00C055D1"/>
    <w:rsid w:val="00C06E8B"/>
    <w:rsid w:val="00C071A1"/>
    <w:rsid w:val="00C127D3"/>
    <w:rsid w:val="00C12EE8"/>
    <w:rsid w:val="00C161EC"/>
    <w:rsid w:val="00C16C1F"/>
    <w:rsid w:val="00C16D07"/>
    <w:rsid w:val="00C2010E"/>
    <w:rsid w:val="00C20CFF"/>
    <w:rsid w:val="00C218A6"/>
    <w:rsid w:val="00C24C3D"/>
    <w:rsid w:val="00C24F3F"/>
    <w:rsid w:val="00C2502C"/>
    <w:rsid w:val="00C27947"/>
    <w:rsid w:val="00C31A10"/>
    <w:rsid w:val="00C33AC1"/>
    <w:rsid w:val="00C3415F"/>
    <w:rsid w:val="00C3424F"/>
    <w:rsid w:val="00C3472F"/>
    <w:rsid w:val="00C34C89"/>
    <w:rsid w:val="00C355CA"/>
    <w:rsid w:val="00C3721E"/>
    <w:rsid w:val="00C44206"/>
    <w:rsid w:val="00C44659"/>
    <w:rsid w:val="00C45362"/>
    <w:rsid w:val="00C45569"/>
    <w:rsid w:val="00C45F8A"/>
    <w:rsid w:val="00C469F6"/>
    <w:rsid w:val="00C46C72"/>
    <w:rsid w:val="00C52C71"/>
    <w:rsid w:val="00C53C94"/>
    <w:rsid w:val="00C54998"/>
    <w:rsid w:val="00C55716"/>
    <w:rsid w:val="00C57541"/>
    <w:rsid w:val="00C57C71"/>
    <w:rsid w:val="00C57FAE"/>
    <w:rsid w:val="00C60EFF"/>
    <w:rsid w:val="00C6437B"/>
    <w:rsid w:val="00C65E73"/>
    <w:rsid w:val="00C6766B"/>
    <w:rsid w:val="00C70768"/>
    <w:rsid w:val="00C71CA7"/>
    <w:rsid w:val="00C72DDD"/>
    <w:rsid w:val="00C74BA1"/>
    <w:rsid w:val="00C751CB"/>
    <w:rsid w:val="00C80B29"/>
    <w:rsid w:val="00C81C3C"/>
    <w:rsid w:val="00C82C94"/>
    <w:rsid w:val="00C8356E"/>
    <w:rsid w:val="00C849F6"/>
    <w:rsid w:val="00C84E30"/>
    <w:rsid w:val="00C8610B"/>
    <w:rsid w:val="00C86F0B"/>
    <w:rsid w:val="00C901E2"/>
    <w:rsid w:val="00C90ABC"/>
    <w:rsid w:val="00C912DC"/>
    <w:rsid w:val="00C915EC"/>
    <w:rsid w:val="00C92131"/>
    <w:rsid w:val="00C953EB"/>
    <w:rsid w:val="00C96AEE"/>
    <w:rsid w:val="00C9723D"/>
    <w:rsid w:val="00C9792E"/>
    <w:rsid w:val="00CA1249"/>
    <w:rsid w:val="00CA26B4"/>
    <w:rsid w:val="00CA3F3A"/>
    <w:rsid w:val="00CA49D7"/>
    <w:rsid w:val="00CA4C67"/>
    <w:rsid w:val="00CA624D"/>
    <w:rsid w:val="00CA73EB"/>
    <w:rsid w:val="00CA7AD5"/>
    <w:rsid w:val="00CB0ADE"/>
    <w:rsid w:val="00CB0BDB"/>
    <w:rsid w:val="00CB4F09"/>
    <w:rsid w:val="00CB6E54"/>
    <w:rsid w:val="00CB75CF"/>
    <w:rsid w:val="00CC3CCC"/>
    <w:rsid w:val="00CC570B"/>
    <w:rsid w:val="00CC5EED"/>
    <w:rsid w:val="00CC60C6"/>
    <w:rsid w:val="00CC7EAF"/>
    <w:rsid w:val="00CD0542"/>
    <w:rsid w:val="00CD098A"/>
    <w:rsid w:val="00CD1F98"/>
    <w:rsid w:val="00CD4BCB"/>
    <w:rsid w:val="00CD5477"/>
    <w:rsid w:val="00CD6F8E"/>
    <w:rsid w:val="00CD7233"/>
    <w:rsid w:val="00CE0EA3"/>
    <w:rsid w:val="00CE10B6"/>
    <w:rsid w:val="00CE1B1C"/>
    <w:rsid w:val="00CE402A"/>
    <w:rsid w:val="00CE59E2"/>
    <w:rsid w:val="00CE59F0"/>
    <w:rsid w:val="00CE5CEE"/>
    <w:rsid w:val="00CE602A"/>
    <w:rsid w:val="00CE69C6"/>
    <w:rsid w:val="00CF09BC"/>
    <w:rsid w:val="00CF245B"/>
    <w:rsid w:val="00CF3F57"/>
    <w:rsid w:val="00CF40DD"/>
    <w:rsid w:val="00CF499A"/>
    <w:rsid w:val="00CF6F72"/>
    <w:rsid w:val="00D0205A"/>
    <w:rsid w:val="00D02C10"/>
    <w:rsid w:val="00D04786"/>
    <w:rsid w:val="00D04B6A"/>
    <w:rsid w:val="00D06DCD"/>
    <w:rsid w:val="00D079A2"/>
    <w:rsid w:val="00D1053A"/>
    <w:rsid w:val="00D13309"/>
    <w:rsid w:val="00D143A6"/>
    <w:rsid w:val="00D14A4D"/>
    <w:rsid w:val="00D16A35"/>
    <w:rsid w:val="00D17DBD"/>
    <w:rsid w:val="00D200B1"/>
    <w:rsid w:val="00D21173"/>
    <w:rsid w:val="00D221DC"/>
    <w:rsid w:val="00D22200"/>
    <w:rsid w:val="00D22FD4"/>
    <w:rsid w:val="00D233EF"/>
    <w:rsid w:val="00D238CE"/>
    <w:rsid w:val="00D26ECD"/>
    <w:rsid w:val="00D271DF"/>
    <w:rsid w:val="00D27B11"/>
    <w:rsid w:val="00D31E21"/>
    <w:rsid w:val="00D34D14"/>
    <w:rsid w:val="00D40A09"/>
    <w:rsid w:val="00D41ABC"/>
    <w:rsid w:val="00D43001"/>
    <w:rsid w:val="00D454C8"/>
    <w:rsid w:val="00D478C8"/>
    <w:rsid w:val="00D47CF5"/>
    <w:rsid w:val="00D5023F"/>
    <w:rsid w:val="00D518D6"/>
    <w:rsid w:val="00D51B19"/>
    <w:rsid w:val="00D524ED"/>
    <w:rsid w:val="00D52CC4"/>
    <w:rsid w:val="00D546F1"/>
    <w:rsid w:val="00D5541A"/>
    <w:rsid w:val="00D56DCB"/>
    <w:rsid w:val="00D572C0"/>
    <w:rsid w:val="00D57603"/>
    <w:rsid w:val="00D600DA"/>
    <w:rsid w:val="00D6082B"/>
    <w:rsid w:val="00D6156F"/>
    <w:rsid w:val="00D61687"/>
    <w:rsid w:val="00D62888"/>
    <w:rsid w:val="00D6323E"/>
    <w:rsid w:val="00D642FE"/>
    <w:rsid w:val="00D64775"/>
    <w:rsid w:val="00D6518A"/>
    <w:rsid w:val="00D65E78"/>
    <w:rsid w:val="00D65F06"/>
    <w:rsid w:val="00D67F5B"/>
    <w:rsid w:val="00D707A7"/>
    <w:rsid w:val="00D70EF1"/>
    <w:rsid w:val="00D71FCA"/>
    <w:rsid w:val="00D72981"/>
    <w:rsid w:val="00D73303"/>
    <w:rsid w:val="00D734F8"/>
    <w:rsid w:val="00D73A93"/>
    <w:rsid w:val="00D746B6"/>
    <w:rsid w:val="00D75763"/>
    <w:rsid w:val="00D81182"/>
    <w:rsid w:val="00D81A5B"/>
    <w:rsid w:val="00D81E2E"/>
    <w:rsid w:val="00D822CD"/>
    <w:rsid w:val="00D82F45"/>
    <w:rsid w:val="00D85E14"/>
    <w:rsid w:val="00D8717C"/>
    <w:rsid w:val="00D874DC"/>
    <w:rsid w:val="00D87945"/>
    <w:rsid w:val="00D87DA4"/>
    <w:rsid w:val="00D904C4"/>
    <w:rsid w:val="00D910DC"/>
    <w:rsid w:val="00D931CE"/>
    <w:rsid w:val="00D9450C"/>
    <w:rsid w:val="00D968E8"/>
    <w:rsid w:val="00D979DB"/>
    <w:rsid w:val="00DA4899"/>
    <w:rsid w:val="00DA4C8D"/>
    <w:rsid w:val="00DA69C8"/>
    <w:rsid w:val="00DB0179"/>
    <w:rsid w:val="00DB02E1"/>
    <w:rsid w:val="00DB0B99"/>
    <w:rsid w:val="00DB0C37"/>
    <w:rsid w:val="00DB1FD5"/>
    <w:rsid w:val="00DB24DF"/>
    <w:rsid w:val="00DB6901"/>
    <w:rsid w:val="00DB7639"/>
    <w:rsid w:val="00DC09E9"/>
    <w:rsid w:val="00DC1A35"/>
    <w:rsid w:val="00DC3063"/>
    <w:rsid w:val="00DC3788"/>
    <w:rsid w:val="00DC4621"/>
    <w:rsid w:val="00DC4828"/>
    <w:rsid w:val="00DC608F"/>
    <w:rsid w:val="00DC6319"/>
    <w:rsid w:val="00DC72B4"/>
    <w:rsid w:val="00DD6FC7"/>
    <w:rsid w:val="00DE27F0"/>
    <w:rsid w:val="00DE2AF5"/>
    <w:rsid w:val="00DE3070"/>
    <w:rsid w:val="00DE525B"/>
    <w:rsid w:val="00DE5637"/>
    <w:rsid w:val="00DE6321"/>
    <w:rsid w:val="00DE6A2A"/>
    <w:rsid w:val="00DE7C2F"/>
    <w:rsid w:val="00DF0C2F"/>
    <w:rsid w:val="00DF1199"/>
    <w:rsid w:val="00DF2596"/>
    <w:rsid w:val="00DF4B39"/>
    <w:rsid w:val="00DF551E"/>
    <w:rsid w:val="00DF58DF"/>
    <w:rsid w:val="00DF6659"/>
    <w:rsid w:val="00DF6FAE"/>
    <w:rsid w:val="00DF7526"/>
    <w:rsid w:val="00E01813"/>
    <w:rsid w:val="00E01857"/>
    <w:rsid w:val="00E028BC"/>
    <w:rsid w:val="00E02F2D"/>
    <w:rsid w:val="00E07028"/>
    <w:rsid w:val="00E07E1A"/>
    <w:rsid w:val="00E07F2C"/>
    <w:rsid w:val="00E11FE4"/>
    <w:rsid w:val="00E14DE0"/>
    <w:rsid w:val="00E1627B"/>
    <w:rsid w:val="00E16731"/>
    <w:rsid w:val="00E17344"/>
    <w:rsid w:val="00E17E75"/>
    <w:rsid w:val="00E20CA4"/>
    <w:rsid w:val="00E21024"/>
    <w:rsid w:val="00E21CA8"/>
    <w:rsid w:val="00E2283A"/>
    <w:rsid w:val="00E2506A"/>
    <w:rsid w:val="00E26484"/>
    <w:rsid w:val="00E2702F"/>
    <w:rsid w:val="00E27421"/>
    <w:rsid w:val="00E30EE0"/>
    <w:rsid w:val="00E3235C"/>
    <w:rsid w:val="00E32DBE"/>
    <w:rsid w:val="00E342F7"/>
    <w:rsid w:val="00E34A9C"/>
    <w:rsid w:val="00E41B2F"/>
    <w:rsid w:val="00E42B7D"/>
    <w:rsid w:val="00E45AB1"/>
    <w:rsid w:val="00E46991"/>
    <w:rsid w:val="00E47D1C"/>
    <w:rsid w:val="00E56043"/>
    <w:rsid w:val="00E560E2"/>
    <w:rsid w:val="00E56DF3"/>
    <w:rsid w:val="00E57EAD"/>
    <w:rsid w:val="00E613FB"/>
    <w:rsid w:val="00E61DA3"/>
    <w:rsid w:val="00E61F85"/>
    <w:rsid w:val="00E621BF"/>
    <w:rsid w:val="00E66E1D"/>
    <w:rsid w:val="00E67DF5"/>
    <w:rsid w:val="00E72673"/>
    <w:rsid w:val="00E72ABB"/>
    <w:rsid w:val="00E74A80"/>
    <w:rsid w:val="00E74F3D"/>
    <w:rsid w:val="00E75DCC"/>
    <w:rsid w:val="00E75DEE"/>
    <w:rsid w:val="00E77803"/>
    <w:rsid w:val="00E842C0"/>
    <w:rsid w:val="00E86696"/>
    <w:rsid w:val="00E87A9C"/>
    <w:rsid w:val="00E912B6"/>
    <w:rsid w:val="00E91C06"/>
    <w:rsid w:val="00E91C54"/>
    <w:rsid w:val="00E92130"/>
    <w:rsid w:val="00E95F3C"/>
    <w:rsid w:val="00EA0A9E"/>
    <w:rsid w:val="00EA0CA0"/>
    <w:rsid w:val="00EA1707"/>
    <w:rsid w:val="00EA2F7B"/>
    <w:rsid w:val="00EA2FA4"/>
    <w:rsid w:val="00EA36D1"/>
    <w:rsid w:val="00EA3B7C"/>
    <w:rsid w:val="00EA6137"/>
    <w:rsid w:val="00EA67DF"/>
    <w:rsid w:val="00EA776E"/>
    <w:rsid w:val="00EB03E4"/>
    <w:rsid w:val="00EB1FF0"/>
    <w:rsid w:val="00EB2057"/>
    <w:rsid w:val="00EB3CAD"/>
    <w:rsid w:val="00EB4F97"/>
    <w:rsid w:val="00EB5E56"/>
    <w:rsid w:val="00EB7271"/>
    <w:rsid w:val="00EB77FB"/>
    <w:rsid w:val="00EB7AE1"/>
    <w:rsid w:val="00EB7BC6"/>
    <w:rsid w:val="00EC024C"/>
    <w:rsid w:val="00EC0439"/>
    <w:rsid w:val="00EC0EF8"/>
    <w:rsid w:val="00EC11D5"/>
    <w:rsid w:val="00EC46F4"/>
    <w:rsid w:val="00EC4C43"/>
    <w:rsid w:val="00EC74AE"/>
    <w:rsid w:val="00EC7AC0"/>
    <w:rsid w:val="00ED0153"/>
    <w:rsid w:val="00ED11B4"/>
    <w:rsid w:val="00ED214C"/>
    <w:rsid w:val="00ED2C1B"/>
    <w:rsid w:val="00ED2CB2"/>
    <w:rsid w:val="00ED54A3"/>
    <w:rsid w:val="00ED5900"/>
    <w:rsid w:val="00ED66F7"/>
    <w:rsid w:val="00ED6944"/>
    <w:rsid w:val="00ED7A60"/>
    <w:rsid w:val="00EE0471"/>
    <w:rsid w:val="00EE1463"/>
    <w:rsid w:val="00EE168C"/>
    <w:rsid w:val="00EE49A4"/>
    <w:rsid w:val="00EE4B51"/>
    <w:rsid w:val="00EE5514"/>
    <w:rsid w:val="00EE5A16"/>
    <w:rsid w:val="00EE6C9C"/>
    <w:rsid w:val="00EF0A8C"/>
    <w:rsid w:val="00EF17CB"/>
    <w:rsid w:val="00EF1B88"/>
    <w:rsid w:val="00EF244B"/>
    <w:rsid w:val="00EF54E4"/>
    <w:rsid w:val="00F02BE4"/>
    <w:rsid w:val="00F0303A"/>
    <w:rsid w:val="00F03B21"/>
    <w:rsid w:val="00F0450C"/>
    <w:rsid w:val="00F04882"/>
    <w:rsid w:val="00F04B91"/>
    <w:rsid w:val="00F04E69"/>
    <w:rsid w:val="00F056EB"/>
    <w:rsid w:val="00F06AD5"/>
    <w:rsid w:val="00F07242"/>
    <w:rsid w:val="00F0751E"/>
    <w:rsid w:val="00F07E08"/>
    <w:rsid w:val="00F07E5A"/>
    <w:rsid w:val="00F1013B"/>
    <w:rsid w:val="00F11272"/>
    <w:rsid w:val="00F12435"/>
    <w:rsid w:val="00F12DCF"/>
    <w:rsid w:val="00F14236"/>
    <w:rsid w:val="00F1462E"/>
    <w:rsid w:val="00F14637"/>
    <w:rsid w:val="00F149F2"/>
    <w:rsid w:val="00F14A82"/>
    <w:rsid w:val="00F14BD8"/>
    <w:rsid w:val="00F14FD4"/>
    <w:rsid w:val="00F166F8"/>
    <w:rsid w:val="00F179C7"/>
    <w:rsid w:val="00F17FC4"/>
    <w:rsid w:val="00F20B6D"/>
    <w:rsid w:val="00F20C3E"/>
    <w:rsid w:val="00F20E8C"/>
    <w:rsid w:val="00F23251"/>
    <w:rsid w:val="00F2517D"/>
    <w:rsid w:val="00F30983"/>
    <w:rsid w:val="00F30DD8"/>
    <w:rsid w:val="00F31A23"/>
    <w:rsid w:val="00F33804"/>
    <w:rsid w:val="00F3432F"/>
    <w:rsid w:val="00F357B2"/>
    <w:rsid w:val="00F36463"/>
    <w:rsid w:val="00F3733F"/>
    <w:rsid w:val="00F37B6C"/>
    <w:rsid w:val="00F37FE2"/>
    <w:rsid w:val="00F416AE"/>
    <w:rsid w:val="00F417EF"/>
    <w:rsid w:val="00F432AD"/>
    <w:rsid w:val="00F44B4B"/>
    <w:rsid w:val="00F46601"/>
    <w:rsid w:val="00F50509"/>
    <w:rsid w:val="00F516F4"/>
    <w:rsid w:val="00F51CFF"/>
    <w:rsid w:val="00F5293F"/>
    <w:rsid w:val="00F52BDA"/>
    <w:rsid w:val="00F5465D"/>
    <w:rsid w:val="00F56B71"/>
    <w:rsid w:val="00F56D3B"/>
    <w:rsid w:val="00F57184"/>
    <w:rsid w:val="00F57AF4"/>
    <w:rsid w:val="00F61006"/>
    <w:rsid w:val="00F628EC"/>
    <w:rsid w:val="00F65405"/>
    <w:rsid w:val="00F65F01"/>
    <w:rsid w:val="00F66394"/>
    <w:rsid w:val="00F66AD3"/>
    <w:rsid w:val="00F66B7F"/>
    <w:rsid w:val="00F66B81"/>
    <w:rsid w:val="00F67283"/>
    <w:rsid w:val="00F70DBD"/>
    <w:rsid w:val="00F71164"/>
    <w:rsid w:val="00F7126E"/>
    <w:rsid w:val="00F716C3"/>
    <w:rsid w:val="00F722B9"/>
    <w:rsid w:val="00F722BB"/>
    <w:rsid w:val="00F72348"/>
    <w:rsid w:val="00F72FC8"/>
    <w:rsid w:val="00F732F9"/>
    <w:rsid w:val="00F73394"/>
    <w:rsid w:val="00F73CD6"/>
    <w:rsid w:val="00F74580"/>
    <w:rsid w:val="00F7616C"/>
    <w:rsid w:val="00F76513"/>
    <w:rsid w:val="00F7716E"/>
    <w:rsid w:val="00F77E8E"/>
    <w:rsid w:val="00F81B79"/>
    <w:rsid w:val="00F85C33"/>
    <w:rsid w:val="00F9103B"/>
    <w:rsid w:val="00F914E9"/>
    <w:rsid w:val="00F917F3"/>
    <w:rsid w:val="00F91991"/>
    <w:rsid w:val="00F9303E"/>
    <w:rsid w:val="00F9340C"/>
    <w:rsid w:val="00F93504"/>
    <w:rsid w:val="00F93957"/>
    <w:rsid w:val="00F93C13"/>
    <w:rsid w:val="00F95641"/>
    <w:rsid w:val="00F97477"/>
    <w:rsid w:val="00FA09B8"/>
    <w:rsid w:val="00FA22E6"/>
    <w:rsid w:val="00FA2913"/>
    <w:rsid w:val="00FA3946"/>
    <w:rsid w:val="00FA40BC"/>
    <w:rsid w:val="00FA4329"/>
    <w:rsid w:val="00FA4627"/>
    <w:rsid w:val="00FA4A1B"/>
    <w:rsid w:val="00FA53F1"/>
    <w:rsid w:val="00FA5849"/>
    <w:rsid w:val="00FA7850"/>
    <w:rsid w:val="00FA7E58"/>
    <w:rsid w:val="00FB1BE5"/>
    <w:rsid w:val="00FB2184"/>
    <w:rsid w:val="00FB44CF"/>
    <w:rsid w:val="00FB48A0"/>
    <w:rsid w:val="00FB48E7"/>
    <w:rsid w:val="00FB62CE"/>
    <w:rsid w:val="00FB732E"/>
    <w:rsid w:val="00FB75C9"/>
    <w:rsid w:val="00FC0221"/>
    <w:rsid w:val="00FC0D30"/>
    <w:rsid w:val="00FC26B6"/>
    <w:rsid w:val="00FC2C48"/>
    <w:rsid w:val="00FC3188"/>
    <w:rsid w:val="00FC4265"/>
    <w:rsid w:val="00FC528D"/>
    <w:rsid w:val="00FC5E40"/>
    <w:rsid w:val="00FC638D"/>
    <w:rsid w:val="00FC694E"/>
    <w:rsid w:val="00FD154D"/>
    <w:rsid w:val="00FD5AD2"/>
    <w:rsid w:val="00FD5E90"/>
    <w:rsid w:val="00FD5F6B"/>
    <w:rsid w:val="00FD64CA"/>
    <w:rsid w:val="00FD69BE"/>
    <w:rsid w:val="00FD76F5"/>
    <w:rsid w:val="00FE013C"/>
    <w:rsid w:val="00FE141F"/>
    <w:rsid w:val="00FE2248"/>
    <w:rsid w:val="00FE61B7"/>
    <w:rsid w:val="00FE6ADF"/>
    <w:rsid w:val="00FE7720"/>
    <w:rsid w:val="00FE7955"/>
    <w:rsid w:val="00FE7DCC"/>
    <w:rsid w:val="00FF0674"/>
    <w:rsid w:val="00FF0DBE"/>
    <w:rsid w:val="00FF26BE"/>
    <w:rsid w:val="00FF34AA"/>
    <w:rsid w:val="00FF5DCC"/>
    <w:rsid w:val="00FF620A"/>
    <w:rsid w:val="00FF659B"/>
    <w:rsid w:val="00FF669C"/>
    <w:rsid w:val="00FF79A5"/>
    <w:rsid w:val="00FF7DB3"/>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674"/>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362B"/>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4F36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0">
    <w:name w:val="Heading3"/>
    <w:link w:val="Heading31"/>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basedOn w:val="DefaultParagraphFont"/>
    <w:link w:val="Heading30"/>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 w:type="character" w:customStyle="1" w:styleId="Heading3Char">
    <w:name w:val="Heading 3 Char"/>
    <w:basedOn w:val="DefaultParagraphFont"/>
    <w:link w:val="Heading3"/>
    <w:uiPriority w:val="9"/>
    <w:semiHidden/>
    <w:rsid w:val="004F362B"/>
    <w:rPr>
      <w:rFonts w:asciiTheme="majorHAnsi" w:eastAsiaTheme="majorEastAsia" w:hAnsiTheme="majorHAnsi"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semiHidden/>
    <w:rsid w:val="004F362B"/>
    <w:rPr>
      <w:rFonts w:asciiTheme="majorHAnsi" w:eastAsiaTheme="majorEastAsia" w:hAnsiTheme="majorHAnsi" w:cstheme="majorBidi"/>
      <w:i/>
      <w:iCs/>
      <w:color w:val="365F91" w:themeColor="accent1" w:themeShade="BF"/>
      <w:sz w:val="24"/>
      <w:lang w:eastAsia="de-DE"/>
    </w:rPr>
  </w:style>
  <w:style w:type="character" w:styleId="PlaceholderText">
    <w:name w:val="Placeholder Text"/>
    <w:basedOn w:val="DefaultParagraphFont"/>
    <w:uiPriority w:val="99"/>
    <w:semiHidden/>
    <w:rsid w:val="002C4691"/>
    <w:rPr>
      <w:color w:val="666666"/>
    </w:rPr>
  </w:style>
  <w:style w:type="character" w:styleId="UnresolvedMention">
    <w:name w:val="Unresolved Mention"/>
    <w:basedOn w:val="DefaultParagraphFont"/>
    <w:uiPriority w:val="99"/>
    <w:semiHidden/>
    <w:unhideWhenUsed/>
    <w:rsid w:val="009216D3"/>
    <w:rPr>
      <w:color w:val="605E5C"/>
      <w:shd w:val="clear" w:color="auto" w:fill="E1DFDD"/>
    </w:rPr>
  </w:style>
  <w:style w:type="character" w:customStyle="1" w:styleId="xxxjie0">
    <w:name w:val="___xxxjie0"/>
    <w:basedOn w:val="DefaultParagraphFont"/>
    <w:rsid w:val="00CE0EA3"/>
  </w:style>
  <w:style w:type="character" w:styleId="Strong">
    <w:name w:val="Strong"/>
    <w:basedOn w:val="DefaultParagraphFont"/>
    <w:uiPriority w:val="22"/>
    <w:qFormat/>
    <w:rsid w:val="00CE0EA3"/>
    <w:rPr>
      <w:b/>
      <w:bCs/>
    </w:rPr>
  </w:style>
  <w:style w:type="paragraph" w:styleId="NormalWeb">
    <w:name w:val="Normal (Web)"/>
    <w:basedOn w:val="Normal"/>
    <w:uiPriority w:val="99"/>
    <w:semiHidden/>
    <w:unhideWhenUsed/>
    <w:rsid w:val="00DC4621"/>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comments" Target="comments.xml"/><Relationship Id="rId7" Type="http://schemas.openxmlformats.org/officeDocument/2006/relationships/footnotes" Target="footnotes.xml"/><Relationship Id="rId12" Type="http://schemas.openxmlformats.org/officeDocument/2006/relationships/hyperlink" Target="https://www.caiso.com/" TargetMode="External"/><Relationship Id="rId17" Type="http://schemas.openxmlformats.org/officeDocument/2006/relationships/image" Target="media/image6.png"/><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image" Target="media/image4.png"/><Relationship Id="rId23" Type="http://schemas.microsoft.com/office/2016/09/relationships/commentsIds" Target="commentsIds.xml"/><Relationship Id="rId28" Type="http://schemas.openxmlformats.org/officeDocument/2006/relationships/footer" Target="footer1.xml"/><Relationship Id="rId10" Type="http://schemas.openxmlformats.org/officeDocument/2006/relationships/hyperlink" Target="mailto:Hamed.Aly@dal.ca"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hmoud.Kiasari@dal.ca" TargetMode="External"/><Relationship Id="rId14" Type="http://schemas.openxmlformats.org/officeDocument/2006/relationships/image" Target="media/image3.jpeg"/><Relationship Id="rId22" Type="http://schemas.microsoft.com/office/2011/relationships/commentsExtended" Target="commentsExtended.xml"/><Relationship Id="rId27" Type="http://schemas.openxmlformats.org/officeDocument/2006/relationships/header" Target="header2.xm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001A68-CF98-4476-89EE-A3822C23B2F6}">
  <we:reference id="WA200001361" version="2.129.3.0" store="Omex" storeType="OMEX"/>
  <we:alternateReferences>
    <we:reference id="WA200001361" version="2.129.3.0" store="WA200001361" storeType="OMEX"/>
  </we:alternateReferences>
  <we:properties>
    <we:property name="paperpal-document-id" value="&quot;a185e4ea-5022-43a5-9b0f-6c0f83c35f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10218</TotalTime>
  <Pages>83</Pages>
  <Words>105975</Words>
  <Characters>604059</Characters>
  <Application>Microsoft Office Word</Application>
  <DocSecurity>0</DocSecurity>
  <Lines>5033</Lines>
  <Paragraphs>1417</Paragraphs>
  <ScaleCrop>false</ScaleCrop>
  <Company/>
  <LinksUpToDate>false</LinksUpToDate>
  <CharactersWithSpaces>708617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cp:lastModifiedBy>Mahmoud Kiasari</cp:lastModifiedBy>
  <cp:revision>850</cp:revision>
  <cp:lastPrinted>2026-06-17T16:15:00Z</cp:lastPrinted>
  <dcterms:created xsi:type="dcterms:W3CDTF">2026-06-17T16:15:00Z</dcterms:created>
  <dcterms:modified xsi:type="dcterms:W3CDTF">2026-09-06T22:01:00Z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zotero-version="9.0.6"&gt;&lt;session id="yOsC0jWT"/&gt;&lt;style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y fmtid="{D5CDD505-2E9C-101B-9397-08002B2CF9AE}" pid="77" name="MSIP_Label_7bda8df4-51d0-4f38-b084-f675c868fb89_Enabled">
    <vt:lpwstr>true</vt:lpwstr>
  </property>
  <property fmtid="{D5CDD505-2E9C-101B-9397-08002B2CF9AE}" pid="78" name="MSIP_Label_7bda8df4-51d0-4f38-b084-f675c868fb89_SetDate">
    <vt:lpwstr>2026-09-02T10:43:53Z</vt:lpwstr>
  </property>
  <property fmtid="{D5CDD505-2E9C-101B-9397-08002B2CF9AE}" pid="79" name="MSIP_Label_7bda8df4-51d0-4f38-b084-f675c868fb89_Method">
    <vt:lpwstr>Standard</vt:lpwstr>
  </property>
  <property fmtid="{D5CDD505-2E9C-101B-9397-08002B2CF9AE}" pid="80" name="MSIP_Label_7bda8df4-51d0-4f38-b084-f675c868fb89_Name">
    <vt:lpwstr>IPP - Internal Use Only</vt:lpwstr>
  </property>
  <property fmtid="{D5CDD505-2E9C-101B-9397-08002B2CF9AE}" pid="81" name="MSIP_Label_7bda8df4-51d0-4f38-b084-f675c868fb89_SiteId">
    <vt:lpwstr>e10aa4b9-b4bd-43c3-a9d6-29280fe1d5f9</vt:lpwstr>
  </property>
  <property fmtid="{D5CDD505-2E9C-101B-9397-08002B2CF9AE}" pid="82" name="MSIP_Label_7bda8df4-51d0-4f38-b084-f675c868fb89_ActionId">
    <vt:lpwstr>35d19138-c927-498d-b337-4450e2fb528e</vt:lpwstr>
  </property>
  <property fmtid="{D5CDD505-2E9C-101B-9397-08002B2CF9AE}" pid="83" name="MSIP_Label_7bda8df4-51d0-4f38-b084-f675c868fb89_ContentBits">
    <vt:lpwstr>0</vt:lpwstr>
  </property>
  <property fmtid="{D5CDD505-2E9C-101B-9397-08002B2CF9AE}" pid="84" name="MSIP_Label_7bda8df4-51d0-4f38-b084-f675c868fb89_Tag">
    <vt:lpwstr>10, 3, 0, 1</vt:lpwstr>
  </property>
</Properties>
</file>