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0"/>
        <w:jc w:val="center"/>
      </w:pPr>
      <w:r>
        <w:rPr>
          <w:b/>
          <w:color w:val="000000"/>
          <w:sz w:val="44"/>
        </w:rPr>
        <w:t>Grammar, Wording, and AI-Generic Style Fix List</w:t>
      </w:r>
    </w:p>
    <w:p>
      <w:pPr>
        <w:spacing w:before="240" w:after="800"/>
        <w:jc w:val="center"/>
      </w:pPr>
      <w:r>
        <w:rPr>
          <w:i/>
          <w:color w:val="808080"/>
          <w:sz w:val="28"/>
        </w:rPr>
        <w:t>Exact Locations and Exact Fixes — Scoped to Grammar, Wording, and AI-Generic Issues Only</w:t>
      </w:r>
    </w:p>
    <w:p>
      <w:pPr>
        <w:spacing w:after="360"/>
      </w:pPr>
      <w:r>
        <w:rPr>
          <w:b/>
          <w:sz w:val="22"/>
        </w:rPr>
        <w:t xml:space="preserve">Manuscript: </w:t>
      </w:r>
      <w:r>
        <w:rPr>
          <w:sz w:val="22"/>
        </w:rPr>
        <w:t>Energy Infrastructure for AI Data Centers: A Critical Review of Grid Integration, Techno-Economic Challenges, and Future Pathways — New.docx (final, uploaded 2026-09-06)</w:t>
      </w:r>
    </w:p>
    <w:p>
      <w:pPr>
        <w:spacing w:after="360"/>
      </w:pPr>
      <w:r>
        <w:rPr>
          <w:b/>
          <w:sz w:val="22"/>
        </w:rPr>
        <w:t xml:space="preserve">Purpose: </w:t>
      </w:r>
      <w:r>
        <w:rPr>
          <w:sz w:val="22"/>
        </w:rPr>
        <w:t>A precise edit list identifying grammatical defects, awkward wording, and AI-formulaic phrases that remain in the final manuscript, with exact location references and exact replacement text. Substantive content issues (PRISMA methodology, declarations, source lines, full section replacements) are NOT included in this list — only grammar, wording, and AI-generic style fixes.</w:t>
      </w:r>
    </w:p>
    <w:p>
      <w:pPr>
        <w:spacing w:after="360"/>
      </w:pPr>
      <w:r>
        <w:rPr>
          <w:b/>
          <w:sz w:val="22"/>
        </w:rPr>
        <w:t xml:space="preserve">Important caveat (quoted verbatim from the audit MD file): </w:t>
      </w:r>
      <w:r>
        <w:rPr>
          <w:i/>
          <w:sz w:val="22"/>
        </w:rPr>
        <w:t>'Stylistic features cannot reliably establish whether text was written by AI. The 'AI-generic' labels below mean formulaic, promotional, repetitive, or unnaturally polished/templated wording that may attract reviewer attention, not proof of authorship.'</w:t>
      </w:r>
    </w:p>
    <w:p>
      <w:pPr>
        <w:spacing w:before="800"/>
        <w:jc w:val="center"/>
      </w:pPr>
      <w:r>
        <w:rPr>
          <w:b/>
          <w:sz w:val="24"/>
        </w:rPr>
        <w:t>Date: September 6, 2026</w:t>
      </w:r>
    </w:p>
    <w:p>
      <w:pPr>
        <w:sectPr>
          <w:pgSz w:w="11906" w:h="16838"/>
          <w:pgMar w:top="1417" w:right="1134" w:bottom="1417" w:left="1134" w:header="680" w:footer="680" w:gutter="0"/>
          <w:cols w:space="720"/>
          <w:docGrid w:linePitch="360"/>
        </w:sectPr>
      </w:pPr>
    </w:p>
    <w:p>
      <w:pPr>
        <w:pStyle w:val="Heading2"/>
        <w:spacing w:before="240" w:after="160"/>
      </w:pPr>
      <w:r>
        <w:rPr>
          <w:b/>
          <w:color w:val="000000"/>
          <w:sz w:val="32"/>
        </w:rPr>
        <w:t>TL;DR</w:t>
      </w:r>
    </w:p>
    <w:p>
      <w:r>
        <w:rPr>
          <w:b w:val="0"/>
          <w:i w:val="0"/>
          <w:sz w:val="22"/>
        </w:rPr>
        <w:t>Actionable Edit List — 237 Items Require Attention. The final manuscript is technically strong, but a targeted proofreading pass is needed to resolve 237 remaining grammar, wording, and AI-generic style issues (178 sentence-level grammar items in Part 1, 26 AI-generic phrases in Part 2, 7 consistency rules needing attention in Part 3, and 26 search terms with hits in Part 4; plus 2 partially-fixed items in Parts 1-2 requiring review). The fixes are precise and rule-based — each item has an exact location (section number and quoted current text) and an exact replacement. The estimated effort is 1–2 hours of focused Find &amp; Replace work. This list is scoped to grammar, wording, and AI-generic phrases only; it does not include substantive content issues (PRISMA methodology, declarations, source lines, section replacements) which are addressed separately. Apply the fixes in the order listed, then run the final search list in Part 4 to verify zero hits on all error patterns.</w:t>
      </w:r>
    </w:p>
    <w:p>
      <w:pPr>
        <w:pStyle w:val="Heading2"/>
        <w:spacing w:before="240" w:after="160"/>
      </w:pPr>
      <w:r>
        <w:rPr>
          <w:b/>
          <w:color w:val="000000"/>
          <w:sz w:val="32"/>
        </w:rPr>
        <w:t>Overview</w:t>
      </w:r>
    </w:p>
    <w:p>
      <w:r>
        <w:rPr>
          <w:b w:val="0"/>
          <w:i w:val="0"/>
          <w:sz w:val="22"/>
        </w:rPr>
        <w:t>What the subject is. This document is a precise grammar, wording, and AI-generic style fix list for the final manuscript (New.docx) of the critical review 'Energy Infrastructure for AI Data Centers: A Critical Review of Grid Integration, Techno-Economic Challenges, and Future Pathways.' The fix list identifies grammatical defects, awkward wording, and AI-formulaic phrases that remain in the manuscript and provides exact location references (section number and quoted current text) and exact replacement text. It is intended for the corresponding author or a copyeditor preparing the manuscript for journal submission.</w:t>
      </w:r>
    </w:p>
    <w:p>
      <w:r>
        <w:rPr>
          <w:b w:val="0"/>
          <w:i w:val="0"/>
          <w:sz w:val="22"/>
        </w:rPr>
        <w:t>Basic context. The audit was originally performed by a previous agent against an earlier version of the manuscript. The original audit MD file (Updated_Grammar_AI_Generic_Wording_Audit.md, 645 lines) contains ten sections (A through J) covering both substantive content issues (Section A: submission-blocking exact replacements; Section D: figure and table source lines; Section E: Section 2.6.2 critical-review replacement; Section F: Section 7 opening replacement; Section G: Section 14 conclusion opening; Section I: Reviewer 2.28 declarations) and grammar/wording/AI-generic issues (Section B: 180 sentence-level grammar rows; Section C: 26 AI-generic phrase rows; Section H: 14 consistency rules; Section J: 33 search terms). This fix list extracts ONLY the grammar/wording/AI-generic items (Sections B, C, H, J) and verifies each item against the final New.docx manuscript so that items already fixed in the final manuscript are excluded.</w:t>
      </w:r>
    </w:p>
    <w:p>
      <w:r>
        <w:rPr>
          <w:b/>
          <w:i w:val="0"/>
          <w:sz w:val="22"/>
        </w:rPr>
        <w:t>Review scope.</w:t>
      </w:r>
    </w:p>
    <w:p>
      <w:pPr>
        <w:pStyle w:val="ListBullet"/>
      </w:pPr>
      <w:r>
        <w:rPr>
          <w:b/>
          <w:sz w:val="22"/>
        </w:rPr>
        <w:t xml:space="preserve">In Scope — </w:t>
      </w:r>
      <w:r>
        <w:rPr>
          <w:sz w:val="22"/>
        </w:rPr>
        <w:t>Grammatical defects: subject-verb disagreement, missing verbs, agreement errors, malformed punctuation, contractions in technical prose, malformed sentences (e.g., 'The required inputs include for this component are:').</w:t>
      </w:r>
    </w:p>
    <w:p>
      <w:pPr>
        <w:pStyle w:val="ListBullet"/>
      </w:pPr>
      <w:r>
        <w:rPr>
          <w:sz w:val="22"/>
        </w:rPr>
        <w:t>Spelling inconsistencies: US English (modeling, optimization, decentralized, center, analyzed, behavior) vs UK English (modelling, optimisation, decentralised, behaviour, analyse).</w:t>
      </w:r>
    </w:p>
    <w:p>
      <w:pPr>
        <w:pStyle w:val="ListBullet"/>
      </w:pPr>
      <w:r>
        <w:rPr>
          <w:sz w:val="22"/>
        </w:rPr>
        <w:t>Currency format inconsistencies: USD X/MWh, USD X/kWh, USD X/kW consistently; no mixing of $X/MWh, X$, $ X.</w:t>
      </w:r>
    </w:p>
    <w:p>
      <w:pPr>
        <w:pStyle w:val="ListBullet"/>
      </w:pPr>
      <w:r>
        <w:rPr>
          <w:sz w:val="22"/>
        </w:rPr>
        <w:t>AI-formulaic phrases: promotional, hyperbolic, or templated wording (e.g., 'revolutionized', 'explosion of applications', 'staggering leap', 'leading the way', 'industry leader', 'paradigm shift', 'fertile ground', 'firmly established', 'known to be highly effective').</w:t>
      </w:r>
    </w:p>
    <w:p>
      <w:pPr>
        <w:pStyle w:val="ListBullet"/>
      </w:pPr>
      <w:r>
        <w:rPr>
          <w:sz w:val="22"/>
        </w:rPr>
        <w:t>Exact replacement text for each item, suitable for Find &amp; Replace in Word.</w:t>
      </w:r>
    </w:p>
    <w:p>
      <w:r>
        <w:rPr>
          <w:b/>
          <w:i w:val="0"/>
          <w:sz w:val="22"/>
        </w:rPr>
        <w:t>Out of Scope.</w:t>
      </w:r>
    </w:p>
    <w:p>
      <w:pPr>
        <w:pStyle w:val="ListBullet"/>
      </w:pPr>
      <w:r>
        <w:rPr>
          <w:sz w:val="22"/>
        </w:rPr>
        <w:t>Substantive content replacements: PRISMA methodology rewrite (Section A2), Section 13 limitations rewrite (Section A4), Section 10.2 comparison paragraph (Section A5), Section 11.5 EMS paragraph (Section A6), Section 2.6.2 critical-review replacement (Section E), Section 7 opening replacement (Section F), Section 14 conclusion opening replacement (Section G), Abstract full replacement (Section A1).</w:t>
      </w:r>
    </w:p>
    <w:p>
      <w:pPr>
        <w:pStyle w:val="ListBullet"/>
      </w:pPr>
      <w:r>
        <w:rPr>
          <w:sz w:val="22"/>
        </w:rPr>
        <w:t>Figure and table Source: line additions (Section D).</w:t>
      </w:r>
    </w:p>
    <w:p>
      <w:pPr>
        <w:pStyle w:val="ListBullet"/>
      </w:pPr>
      <w:r>
        <w:rPr>
          <w:sz w:val="22"/>
        </w:rPr>
        <w:t>Journal declarations: CRediT, COI, Funding, Data Availability, GenAI disclosure, Highlights, Nomenclature (Section I).</w:t>
      </w:r>
    </w:p>
    <w:p>
      <w:pPr>
        <w:pStyle w:val="ListBullet"/>
      </w:pPr>
      <w:r>
        <w:rPr>
          <w:sz w:val="22"/>
        </w:rPr>
        <w:t>PRISMA methodology / screening count fixes ('78 sources', 'exceeds 178', Figure 2 arithmetic) — these are substantive content issues, not grammar/wording.</w:t>
      </w:r>
    </w:p>
    <w:p>
      <w:pPr>
        <w:pStyle w:val="ListBullet"/>
      </w:pPr>
      <w:r>
        <w:rPr>
          <w:sz w:val="22"/>
        </w:rPr>
        <w:t>Reference list normalization; figure image content.</w:t>
      </w:r>
    </w:p>
    <w:p>
      <w:pPr>
        <w:pStyle w:val="Heading2"/>
        <w:spacing w:before="240" w:after="160"/>
      </w:pPr>
      <w:r>
        <w:rPr>
          <w:b/>
          <w:color w:val="000000"/>
          <w:sz w:val="32"/>
        </w:rPr>
        <w:t>Evaluation Criteria</w:t>
      </w:r>
    </w:p>
    <w:p>
      <w:r>
        <w:rPr>
          <w:b w:val="0"/>
          <w:i w:val="0"/>
          <w:sz w:val="22"/>
        </w:rPr>
        <w:t>The following five evaluation criteria define what counts as a grammar, wording, or AI-generic issue for the purposes of this fix list. Each criterion is evidence-based: the problematic phrase must be identifiable in the manuscript text, and the fix must be a precise Find &amp; Replace operation, not a substantive content rewrite.</w:t>
      </w:r>
    </w:p>
    <w:p>
      <w:r>
        <w:rPr>
          <w:b/>
          <w:i w:val="0"/>
          <w:sz w:val="22"/>
        </w:rPr>
        <w:t>1. Grammatical Correctness.</w:t>
      </w:r>
    </w:p>
    <w:p>
      <w:r>
        <w:rPr>
          <w:b w:val="0"/>
          <w:i w:val="0"/>
          <w:sz w:val="22"/>
        </w:rPr>
        <w:t>Subject-verb disagreement, missing verbs, agreement errors, malformed punctuation, contractions in technical prose. Evidence: the problematic phrase is identifiable in the manuscript text and the fix is a grammatical correction (not a substantive content change). Example: 'The required inputs include for this component are:' (subject-verb disagreement and doubled preposition) → 'The required inputs for this component are:'.</w:t>
      </w:r>
    </w:p>
    <w:p>
      <w:r>
        <w:rPr>
          <w:b/>
          <w:i w:val="0"/>
          <w:sz w:val="22"/>
        </w:rPr>
        <w:t>2. Spelling Consistency.</w:t>
      </w:r>
    </w:p>
    <w:p>
      <w:r>
        <w:rPr>
          <w:b w:val="0"/>
          <w:i w:val="0"/>
          <w:sz w:val="22"/>
        </w:rPr>
        <w:t>US English (modeling, optimization, decentralized, center, analyzed, behavior) vs UK English (modelling, optimisation, decentralised, behaviour, analyse). Evidence: the manuscript mixes spellings within paragraphs or uses a spelling inconsistent with the stated US English target. Example: 'modelling' (11 hits in the new manuscript) should be 'modeling' for US English consistency.</w:t>
      </w:r>
    </w:p>
    <w:p>
      <w:r>
        <w:rPr>
          <w:b/>
          <w:i w:val="0"/>
          <w:sz w:val="22"/>
        </w:rPr>
        <w:t>3. Currency Format Standardization.</w:t>
      </w:r>
    </w:p>
    <w:p>
      <w:r>
        <w:rPr>
          <w:b w:val="0"/>
          <w:i w:val="0"/>
          <w:sz w:val="22"/>
        </w:rPr>
        <w:t>USD X/MWh, USD X/kWh, USD X/kW consistently; no mixing of $X/MWh, X$, $ X, M$. Evidence: the manuscript uses inconsistent currency formats. Example: '$108/kWh' (45 hits) should be 'USD 108/kWh' for international-journal consistency.</w:t>
      </w:r>
    </w:p>
    <w:p>
      <w:r>
        <w:rPr>
          <w:b/>
          <w:i w:val="0"/>
          <w:sz w:val="22"/>
        </w:rPr>
        <w:t>4. AI-Generic Style.</w:t>
      </w:r>
    </w:p>
    <w:p>
      <w:r>
        <w:rPr>
          <w:b w:val="0"/>
          <w:i w:val="0"/>
          <w:sz w:val="22"/>
        </w:rPr>
        <w:t>Promotional, hyperbolic, or formulaic phrases (e.g., 'revolutionized', 'explosion of applications', 'staggering leap', 'leading the way', 'industry leader', 'paradigm shift', 'fertile ground', 'firmly established', 'known to be highly effective'). Evidence: the phrase is present in the manuscript and a more precise, restrained replacement exists. Example: 'the entire digital infrastructure has been revolutionized' → 'digital infrastructure has expanded rapidly'.</w:t>
      </w:r>
    </w:p>
    <w:p>
      <w:r>
        <w:rPr>
          <w:b/>
          <w:i w:val="0"/>
          <w:sz w:val="22"/>
        </w:rPr>
        <w:t>5. Actionability.</w:t>
      </w:r>
    </w:p>
    <w:p>
      <w:r>
        <w:rPr>
          <w:b w:val="0"/>
          <w:i w:val="0"/>
          <w:sz w:val="22"/>
        </w:rPr>
        <w:t>The fix must be a precise Find &amp; Replace operation (exact current string → exact replacement string), not a substantive content rewrite. Evidence: the fix can be applied in Word Find &amp; Replace in under 30 seconds. Items in Part 1 and Part 2 satisfy this criterion by construction; items in Part 3 and Part 4 are pattern-based checks (search for a string pattern and resolve every hit).</w:t>
      </w:r>
    </w:p>
    <w:p>
      <w:pPr>
        <w:pStyle w:val="Heading2"/>
        <w:spacing w:before="240" w:after="160"/>
      </w:pPr>
      <w:r>
        <w:rPr>
          <w:b/>
          <w:color w:val="000000"/>
          <w:sz w:val="32"/>
        </w:rPr>
        <w:t>Key Claims</w:t>
      </w:r>
    </w:p>
    <w:p>
      <w:r>
        <w:rPr>
          <w:b w:val="0"/>
          <w:i w:val="0"/>
          <w:sz w:val="22"/>
        </w:rPr>
        <w:t>1. The final manuscript still contains 237 grammar, wording, and AI-generic issues that can be fixed with precise Find &amp; Replace operations, plus 2 partially-fixed items that require review. Of the 237 still-present issues, 178 are sentence-level grammar items (Part 1), 26 are AI-generic phrases (Part 2), 7 are consistency rules needing attention (Part 3), and 26 are search-list terms with hits (Part 4).</w:t>
      </w:r>
    </w:p>
    <w:p>
      <w:r>
        <w:rPr>
          <w:b w:val="0"/>
          <w:i w:val="0"/>
          <w:sz w:val="22"/>
        </w:rPr>
        <w:t>2. The fixes are scoped to grammar, wording, and AI-generic style only — substantive content issues (PRISMA methodology, Section 13 limitations, figure source lines, journal declarations, full section rewrites) are excluded. These substantive issues are addressed in a separate substantive-audit document.</w:t>
      </w:r>
    </w:p>
    <w:p>
      <w:r>
        <w:rPr>
          <w:b w:val="0"/>
          <w:i w:val="0"/>
          <w:sz w:val="22"/>
        </w:rPr>
        <w:t>3. Each fix has an exact location (section number and quoted current text) and an exact replacement. The Part 1 table reproduces all 180 sentence-level grammar rows from the audit MD file's Section B, with verification status determined by searching the final New.docx manuscript. The Part 2 table reproduces all 26 AI-generic phrase rows from Section C.</w:t>
      </w:r>
    </w:p>
    <w:p>
      <w:r>
        <w:rPr>
          <w:b w:val="0"/>
          <w:i w:val="0"/>
          <w:sz w:val="22"/>
        </w:rPr>
        <w:t>4. The total estimated effort is 1–2 hours for a focused proofreader using Word Find &amp; Replace. The fixes are ordered for sequential application: Part 1 first, then Part 2, then Part 3, then Part 4.</w:t>
      </w:r>
    </w:p>
    <w:p>
      <w:r>
        <w:rPr>
          <w:b w:val="0"/>
          <w:i w:val="0"/>
          <w:sz w:val="22"/>
        </w:rPr>
        <w:t>5. The audit's overall recommendation (quoted verbatim from the MD file) is to use 'restrained technical prose, fewer superlatives, fewer metaphors, explicit system boundaries, and direct statements of uncertainty' — not to make the text 'more human' by adding conversational language. The user should apply judgment: if a flagged phrase genuinely adds precision in context (e.g., in a quoted source title), keep it; if it is vague or promotional, replace it.</w:t>
      </w:r>
    </w:p>
    <w:p>
      <w:pPr>
        <w:pStyle w:val="Heading2"/>
        <w:spacing w:before="240" w:after="160"/>
      </w:pPr>
      <w:r>
        <w:rPr>
          <w:b/>
          <w:color w:val="000000"/>
          <w:sz w:val="32"/>
        </w:rPr>
        <w:t>Evidence &amp; Analysis</w:t>
      </w:r>
    </w:p>
    <w:p>
      <w:r>
        <w:rPr>
          <w:b w:val="0"/>
          <w:i w:val="0"/>
          <w:sz w:val="22"/>
        </w:rPr>
        <w:t>This section is the bulk of the document. It reproduces four tables from the audit MD file (Sections B, C, H, J) with verification status determined by searching the final New.docx manuscript text. Each item in Parts 1 and 2 is reproduced verbatim from the audit MD file; the verification status is computed automatically. Each item in Parts 3 and 4 reports the actual hit count in the final manuscript.</w:t>
      </w:r>
    </w:p>
    <w:p>
      <w:pPr>
        <w:pStyle w:val="Heading3"/>
        <w:spacing w:before="200" w:after="120"/>
      </w:pPr>
      <w:r>
        <w:rPr>
          <w:b/>
          <w:color w:val="000000"/>
          <w:sz w:val="26"/>
        </w:rPr>
        <w:t>Part 1: Sentence-Level Grammar and Academic-Style Fixes</w:t>
      </w:r>
    </w:p>
    <w:p>
      <w:r>
        <w:rPr>
          <w:b w:val="0"/>
          <w:i w:val="0"/>
          <w:sz w:val="22"/>
        </w:rPr>
        <w:t>This table reproduces all 180 sentence-level grammar and academic-style rows from Section B of the audit MD file. The 'Status' column was determined by searching the New.docx manuscript text for the quoted 'Current Wording'. When the audit MD used '...' as a placeholder for omitted text, the verification logic split on '...' and tested each subphrase independently (all subphrases present → STILL PRESENT; all absent → ALREADY FIXED; mixed → PARTIALLY FIXED). Additional fuzzy matching was applied for parenthesis expansions (e.g., 'GIS analysis is a powerful tool' matches 'Geographic Information System (GIS) analysis is a powerful tool' in the manuscript) and abbreviation expansions (e.g., 'CFE' matches 'carbon-free energy'). Counts: STILL PRESENT = 178, ALREADY FIXED = 0, PARTIALLY FIXED = 2.</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val="true"/>
        </w:trPr>
        <w:tc>
          <w:tcPr>
            <w:tcW w:type="dxa" w:w="567"/>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000000"/>
                <w:sz w:val="20"/>
              </w:rPr>
              <w:t>#</w:t>
            </w:r>
          </w:p>
        </w:tc>
        <w:tc>
          <w:tcPr>
            <w:tcW w:type="dxa" w:w="113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Location</w:t>
            </w:r>
          </w:p>
        </w:tc>
        <w:tc>
          <w:tcPr>
            <w:tcW w:type="dxa" w:w="32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Current Wording (in final manuscript)</w:t>
            </w:r>
          </w:p>
        </w:tc>
        <w:tc>
          <w:tcPr>
            <w:tcW w:type="dxa" w:w="328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Exact Recommended Replacement</w:t>
            </w:r>
          </w:p>
        </w:tc>
        <w:tc>
          <w:tcPr>
            <w:tcW w:type="dxa" w:w="1361"/>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Status</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 heading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AI workload Growth</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AI Workload Growth</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entire digital infrastructure has been revolutionized ... explosion of applications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Digital infrastructure has expanded rapidly over the past decade, with AI applications contributing increasingly to data-center electricity demand and power density.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Data canters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Data centers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approximately 1.5% of the world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approximately 1.5% of global electricity consumption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training and inferring workloads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training and inference workloads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This is a staggering leap, feeding the electricity use of a of Japan...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This projected increase is comparable in scale to the annual electricity consumption of a major industrialized economy and illustrates the growing importance of data-center energy planning.</w:t>
            </w:r>
            <w:r>
              <w:rPr>
                <w:b/>
                <w:i w:val="0"/>
                <w:sz w:val="20"/>
              </w:rPr>
              <w:t xml:space="preserve"> Better still, cite the specific comparator or remove it.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next GPT ... would likely be even more costly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Remove.</w:t>
            </w:r>
            <w:r>
              <w:rPr>
                <w:b/>
                <w:i w:val="0"/>
                <w:sz w:val="20"/>
              </w:rPr>
              <w:t xml:space="preserve"> It is speculative and unsupported.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These are the numbers of single training events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These values refer to individual training runs.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constant inferences per year</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large-scale inference activity over time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One of the biggest tipping points ...</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AI-related data-center growth is expected to become an important driver of electricity-demand growth.</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price curve ... has reshaped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Declining renewable-generation and storage costs have increased the economic relevance of low-carbon electricity procurement for data centers.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Bloomberg New Energy Finance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 xml:space="preserve">Use the organization's current name consistently: </w:t>
            </w:r>
            <w:r>
              <w:rPr>
                <w:b/>
                <w:i w:val="0"/>
                <w:sz w:val="20"/>
              </w:rPr>
              <w:t>BloombergNEF (BNEF)</w:t>
            </w:r>
            <w:r>
              <w:rPr>
                <w:b/>
                <w:i w:val="0"/>
                <w:sz w:val="20"/>
              </w:rPr>
              <w: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Solar and wind generation have inherent intermittency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Solar and wind generation are variable and weather-dependent.</w:t>
            </w:r>
            <w:r>
              <w:rPr>
                <w:b/>
                <w:i w:val="0"/>
                <w:sz w:val="20"/>
              </w:rPr>
              <w:t xml:space="preserve"> 'Intermittency' is less precise in technical writing.</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THD ... should not exceed 5% based on IEEE 519</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IEEE 519 specifies voltage- and current-distortion limits at the point of common coupling that depend on system voltage and system strength; compliance should be evaluated using the applicable limits for the specific interconnection.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data centers that run on 10MW-1000MW, with majority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data centers with electrical demand in the 10–1000 MW range, with the majority of electricity supplied from renewable or low-carbon resources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geographically agnostic to be applied broadly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geographically adaptable and intended for preliminary application across a range of resource conditions, grid environments, climates, and facility scales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under one roof</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within a common analytical structure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with small shifts to increasingly power-dense accelerators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with the continuing shift toward increasingly power-dense accelerators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environmentally friendly, and highly reliable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lower-carbon and reliable, subject to project-specific technical and economic constraints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workloads ... are of high intensity and concentrated nature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AI workloads can produce high and spatially concentrated electrical demand because of dense accelerator deployments.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far-reaching effects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direct implications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second most energy-intensive consumer of energy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Cooling is one of the largest non-IT energy uses in data centers.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an incredible shift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substantial changes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95–98.5 % %under</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95–98.5% under</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vital component of the energy balancing equation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major grid-scale storage technology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volume weighted average price ... in 2020 fell from ...</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BloombergNEF reported that the volume-weighted average lithium-ion battery-pack price declined from approximately USD 300/kWh in 2020 to USD 108/kWh in 2025 [17].</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No thermal runaway risk</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lower thermal-runaway risk than many nickel-rich lithium-ion chemistries</w:t>
            </w:r>
            <w:r>
              <w:rPr>
                <w:b/>
                <w:i w:val="0"/>
                <w:sz w:val="20"/>
              </w:rPr>
              <w:t>. Do not state 'no risk.'</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beyond about 8-hours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beyond approximately 8 h</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Google has become an industry leader</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Google reports extensive renewable-energy procurement and hourly CFE initiatives.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64% worldwide on 2024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64% worldwide in 2024</w:t>
            </w:r>
            <w:r>
              <w:rPr>
                <w:b/>
                <w:i w:val="0"/>
                <w:sz w:val="20"/>
              </w:rPr>
              <w:t xml:space="preserve"> (or the verified current reported metric).</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Microsoft has been leading the way with very decentralized baseload ideas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Microsoft has also pursued alternative low-carbon supply and data-center infrastructure strategies.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§2.6.1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Key gaps can be identified as following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reviewed literature indicates the following recurring gaps: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§2.6.1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lucrative generation or procurement costs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apparently favorable generation or procurement costs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§2.6.2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shows a great amount of evidence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provides substantial evidence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§2.6.2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none of these are alone enough to prove feasibility of the project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no single evidence category is sufficient to establish project feasibility.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§2.6.2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i/>
                <w:sz w:val="20"/>
              </w:rPr>
              <w:t>Current paragraph incorrectly says technical studies can streamline financing and economic studies can separate power quality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 xml:space="preserve">Replace with: </w:t>
            </w:r>
            <w:r>
              <w:rPr>
                <w:b/>
                <w:i w:val="0"/>
                <w:sz w:val="20"/>
              </w:rPr>
              <w:t>Power-system and microgrid studies can characterize electrical architecture, stability, storage operation, protection, and control, but often omit financing, market participation, interconnection cost, and workload constraints. Conversely, economic and procurement studies provide useful cost and contracting evidence but may omit power quality, protection, system stability, and reliability requirements.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§3.2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Thermal design point shall consider...</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Thermal design should account for both steady-state and transient heat loads at the facility and component levels.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§3.2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Training the GPU can reach temperatures of 80-85 °C</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Under sustained computational loads, GPU operating temperatures can approach the upper portion of their specified thermal operating range, depending on accelerator type, cooling architecture, workload, and environmental conditions [verified source].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§3.2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virtually 100%</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Nearly all electrical energy consumed by IT equipment is ultimately converted to heat within the facility boundary.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§3.2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new thermal choke point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additional thermal-design constraint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§3.2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match the use of renewable energy with when the cooling system is required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coordinate flexible computing and cooling demand with periods of higher renewable-energy availability.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Figure 3 text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i/>
                <w:sz w:val="20"/>
              </w:rPr>
              <w:t>May look measured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 xml:space="preserve">Add: </w:t>
            </w:r>
            <w:r>
              <w:rPr>
                <w:b/>
                <w:i w:val="0"/>
                <w:sz w:val="20"/>
              </w:rPr>
              <w:t>The profile is conceptual and does not represent measurements from a specific operating facility.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§3.6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ensures real-time data foundation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provides the real-time data foundation required for energy management and optimization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§3.6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provide a dashboard, trending, alarm management, and automate reporting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provide dashboards, trend analysis, alarm management, and automated reporting</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§4.1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PV is now the least expensive renewable energy option in most locations ... where the sun shines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Utility-scale solar PV is among the lowest-cost sources of new electricity generation in many regions with favorable solar resources.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§4.2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contributes to a complementary generation profile to solar PV</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can provide a generation profile that is complementary to solar PV</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§4.2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has come a long way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has matured substantially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§4.3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Hydro is not scalable for data center applications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New hydroelectric development is geographically constrained and therefore cannot be scaled uniformly across data-center locations.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§4.4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backbone of economic success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 prerequisite for credible technical and economic assessment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§4.4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GIS analysis is a powerful tool</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GIS analysis is widely used for multi-criteria site-suitability assessment.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§4.4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These machine learning techniques have improved the GIS-based assessment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Machine-learning methods can complement GIS-based screening by automating classification or ranking within large geospatial datasets.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§4.5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6am and 6pm</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06:00 and 18:00</w:t>
            </w:r>
            <w:r>
              <w:rPr>
                <w:b/>
                <w:i w:val="0"/>
                <w:sz w:val="20"/>
              </w:rPr>
              <w:t xml:space="preserve"> or </w:t>
            </w:r>
            <w:r>
              <w:rPr>
                <w:b/>
                <w:i w:val="0"/>
                <w:sz w:val="20"/>
              </w:rPr>
              <w:t>6 a.m. and 6 p.m.</w:t>
            </w:r>
            <w:r>
              <w:rPr>
                <w:b/>
                <w:i w:val="0"/>
                <w:sz w:val="20"/>
              </w:rPr>
              <w:t>; choose one style.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§5.1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dropped dramatically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declined substantially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§5.1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excellent safety (no thermal runaway risk)</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favorable thermal-stability characteristics and lower thermal-runaway risk relative to many nickel-rich chemistries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§5.1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20-35 degrees °C</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20–35 °C</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§5.1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Battery aging happens in two ways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Battery degradation is commonly divided into calendar aging and cycle aging.</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§5.2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AI infrastructure also has caught traction in this technology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technology has also attracted interest for AI data-center applications.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§5.2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There is no actual installed cost for this technology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cited value is a manufacturer cost target rather than an independently verified installed-system cost.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§5.3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There are basically three approaches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Storage-sizing approaches can generally be classified as deterministic, probabilistic, or optimization-based.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§5.3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Switching to a solar dominated system...</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For example, a solar-dominated system may experience multiday periods of reduced generation because of persistent cloud cover or seasonal reductions in solar irradiation.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§5.3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Shortfall event starts at the point where available renewable necessary to meet the critical load, plus permitted, is unavailable...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 deficit event begins when the combined available non-storage supply is insufficient to meet the critical, non-deferrable load and ends when sufficient supply is restored.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§5.4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Typical diesel generator installations for a 100 MW data center with N+1 redundancy are about 20 to 30 MW</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Remove this universal sizing statement.</w:t>
            </w:r>
            <w:r>
              <w:rPr>
                <w:b/>
                <w:i w:val="0"/>
                <w:sz w:val="20"/>
              </w:rPr>
              <w:t xml:space="preserve"> Use: </w:t>
            </w:r>
            <w:r>
              <w:rPr>
                <w:b/>
                <w:i w:val="0"/>
                <w:sz w:val="20"/>
              </w:rPr>
              <w:t>Generator-unit ratings and the number of installed units should be derived from the critical load, transient requirements, redundancy architecture, transfer scheme, allowable loading, maintenance strategy, and applicable emissions/permitting constraints.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§5.4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Despite the declining economic viability of fossil fuels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Despite decarbonization objectives and local air-quality constraints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§6.4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HOMER ... developed by NREL and Modeled by UL Solutions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HOMER is a widely used microgrid and hybrid-energy modeling platform that combines chronological dispatch simulation with techno-economic optimization [verified source].</w:t>
            </w:r>
            <w:r>
              <w:rPr>
                <w:b/>
                <w:i w:val="0"/>
                <w:sz w:val="20"/>
              </w:rPr>
              <w:t xml:space="preserve"> Avoid uncertain ownership-history wording.</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§6.5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a prediction horizon of 6 to 48 hours ... is needed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prediction horizons from several hours to one or more days may be used, depending on the dispatch application and forecast source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§6.6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used ... more and more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increasingly used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§6.6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reported improvement for this study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reported performance improvement in an individual study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§6.6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promising solution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candidate approach</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§6.6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power systems systems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power systems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§6.6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predict assessment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support prediction and condition assessment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 opening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core contribution ... comprehensive ... designing, deploying, and operating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This section presents a seven-component framework for screening and comparing renewable-powered AI data-center energy-infrastructure pathways.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Component 2 ... covers optimizing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Component 2 evaluates candidate renewable-generation, storage, grid, and backup-resource combinations under site-specific constraints.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carbon foot printing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carbon accounting</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criterion presented ... are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criteria presented in Table 5 are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project specific</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project-specific</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i/>
                <w:sz w:val="20"/>
              </w:rPr>
              <w:t xml:space="preserve">Duplicated old sensitivity sentence starting </w:t>
            </w:r>
            <w:r>
              <w:rPr>
                <w:rFonts w:ascii="Consolas" w:hAnsi="Consolas"/>
                <w:b w:val="0"/>
                <w:i/>
                <w:sz w:val="20"/>
              </w:rPr>
              <w:t>The ranking ... should be repeated by changing...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Delete this entire sentence/mini-paragraph.</w:t>
            </w:r>
            <w:r>
              <w:rPr>
                <w:b/>
                <w:i w:val="0"/>
                <w:sz w:val="20"/>
              </w:rPr>
              <w:t xml:space="preserve"> The preceding ±20% procedure already resolves the reviewer comment.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principle criterion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principal criterion</w:t>
            </w:r>
            <w:r>
              <w:rPr>
                <w:b/>
                <w:i w:val="0"/>
                <w:sz w:val="20"/>
              </w:rPr>
              <w:t>; however, delete because the new sensitivity procedure supersedes it.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personal weighting presumptions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subjective weighting assumptions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minimum solar capacity factor is set... &gt;20%</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For preliminary screening, solar and wind resource thresholds may be defined by the project team; they should not be treated as universal criteria. Project development should rely on site-specific validated resource data.</w:t>
            </w:r>
          </w:p>
        </w:tc>
        <w:tc>
          <w:tcPr>
            <w:tcW w:type="dxa" w:w="136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B7950B"/>
                <w:sz w:val="20"/>
              </w:rPr>
              <w:t>PARTIALLY FIXED</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required inputs include for this component are: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required inputs for this component are: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Financial costs and dependability factors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Lifecycle-cost metrics and reliability indicators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number is not a result from a site specific optimization model.</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figure is conceptual and does not represent the output of a site-specific optimization model.</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required inputs include for this component are: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required inputs for this component are: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Ac or DC</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AC or DC</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PRIMARY interconnection voltage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primary interconnection voltage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suitable voltage for the 100 MW</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suitable interconnection voltage for a 100 MW facility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your AC-to-DC ... you have ... your facility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facility's AC-to-DC and DC-to-AC conversion stages ... where substantial DC generation, storage, and end use are present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Restrictions on the import and export of grids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Grid-import and grid-export limits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Reserve requirements for reliability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Reliability reserve requirements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three scales of time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three timescales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manages the programming of renewable generation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coordinates the dispatch of renewable generation, storage, grid exchange, backup resources, and reserves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At Level 2 the timescales are minute hour</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Level 2 operates over minute-to-hour timescales.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model predictive control can be controlled with a roll-horizon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MPC may use a receding prediction horizon of several hours to one or more days, depending on the application.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work loads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workloads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isn't typically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is not typically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as reported at the last study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reported benefits vary across studies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not as certainty of deferral flexibility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as an upper bound rather than guaranteed dispatchable flexibility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§7.7</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for the reduction of the energy consumption of the facilities and to increase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to reduce facility energy consumption and increase operational flexibility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§7.7</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have also been seen to enhance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can improve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§7.8</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Only a real range of 5% - 12% is kept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 real discount-rate range of 5–12% is used for sensitivity analysis.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§7.8</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whole cost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all-in cost of reliably serving the data-center load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§7.8</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partially fixed electricity configurations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partially firmed renewable-storage configurations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§7.8</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On the contrary, it's actually an electricity service that's delivered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Grid electricity should instead be treated as a delivered service whose cost may include energy, capacity, ancillary services, transmission, distribution, demand charges, taxes, and utility-specific fees.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§7.8</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Do not use these as universal project costs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These values should not be interpreted as universal project costs or investment-grade estimates.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§7.10</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has been independent assured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has been independently assured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§8.1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company said</w:t>
            </w:r>
            <w:r>
              <w:rPr>
                <w:b w:val="0"/>
                <w:i/>
                <w:sz w:val="20"/>
              </w:rPr>
              <w:t xml:space="preserve"> repeated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Google reports that...</w:t>
            </w:r>
            <w:r>
              <w:rPr>
                <w:b/>
                <w:i w:val="0"/>
                <w:sz w:val="20"/>
              </w:rPr>
              <w:t xml:space="preserve"> then cite once.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§8.1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green facilities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contracted or grid-supplied carbon-free resources</w:t>
            </w:r>
            <w:r>
              <w:rPr>
                <w:b/>
                <w:i w:val="0"/>
                <w:sz w:val="20"/>
              </w:rPr>
              <w:t>, if supported.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§8.2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Meta said it kept achieving...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Meta reports annual matching of its operational electricity consumption with clean and renewable energy and a global clean-energy portfolio of approximately 29 GW [52].</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§8.2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they are not active in terms of hourly sufficiency, physical renewability or operation in isolation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These values do not demonstrate hourly supply adequacy, continuous physical renewable delivery, or islanded operation.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§8.3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purchasing electricity attesting to zero carbon emissions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procuring low-carbon electricity and investing in emerging low-carbon energy technologies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§8.4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stood out again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reported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§8.4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Results are very much dictated by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Transferability depends strongly on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§8.5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facilities like offices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corporate facilities, including offices, retail stores, and data centers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§9.1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unpredictable on a range of time levels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variable and forecast-uncertain across timescales from seconds to seasons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§9.2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more responsive to the effects of inertia than synchronous machines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capable of delivering fast frequency-support responses through appropriately designed control functions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§9.3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reduction of THD down to less than 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can reduce harmonic distortion, with achievable performance dependent on system conditions and filter design</w:t>
            </w:r>
            <w:r>
              <w:rPr>
                <w:b/>
                <w:i w:val="0"/>
                <w:sz w:val="20"/>
              </w:rPr>
              <w:t xml:space="preserve"> unless a specific source supports </w:t>
            </w:r>
            <w:r>
              <w:rPr>
                <w:rFonts w:ascii="Consolas" w:hAnsi="Consolas"/>
                <w:b/>
                <w:i w:val="0"/>
                <w:sz w:val="20"/>
              </w:rPr>
              <w:t>&lt;3%</w:t>
            </w:r>
            <w:r>
              <w:rPr>
                <w:b/>
                <w:i w:val="0"/>
                <w:sz w:val="20"/>
              </w:rPr>
              <w: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§9.5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substantially decrease the cost and complexity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may reduce energy cost or improve renewable-energy utilization under suitable operating conditions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§9.5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low latency demand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low electricity cost or high renewable availability</w:t>
            </w:r>
            <w:r>
              <w:rPr>
                <w:b/>
                <w:i w:val="0"/>
                <w:sz w:val="20"/>
              </w:rPr>
              <w:t>, depending on intended meaning.</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§9.7</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48+ hours proven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has been demonstrated for multi-hour to multi-day backup scenarios at pilot/demonstration scale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§9.7</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$150 to $250/MWh ... $50 to $80/MWh</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Remove unless directly supported with like-for-like boundaries.</w:t>
            </w:r>
            <w:r>
              <w:rPr>
                <w:b/>
                <w:i w:val="0"/>
                <w:sz w:val="20"/>
              </w:rPr>
              <w:t xml:space="preserve"> Hydrogen, grid, and battery values are not inherently comparable without system boundary and year.</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§9.7</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IEA expects ... $2/kg by 2030 and $1/kg by 2040</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Use only if the cited IEA source explicitly supports those values and scenario assumptions; otherwise replace with scenario-dependent wording.</w:t>
            </w:r>
          </w:p>
        </w:tc>
        <w:tc>
          <w:tcPr>
            <w:tcW w:type="dxa" w:w="136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B7950B"/>
                <w:sz w:val="20"/>
              </w:rPr>
              <w:t>PARTIALLY FIXED</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§9.8</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powerful opportunities for optimization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opportunities for coordinated thermal-electrical dispatch</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§9.9</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TLS 1.3 or its higher versions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current, supported cryptographic protocols appropriate to the operational environment</w:t>
            </w:r>
            <w:r>
              <w:rPr>
                <w:b/>
                <w:i w:val="0"/>
                <w:sz w:val="20"/>
              </w:rPr>
              <w:t>. Avoid prescribing a future/nonexistent 'higher version.'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cost of batteries should be reported regularly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Battery costs should be reported with their system boundary and source year.</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battery-packs for applications dropped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volume-weighted average lithium-ion battery-pack price across applications declined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pack is thus not a viable alternative to the installed BESS cost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 pack-level price should therefore not be used as a substitute for the installed BESS cost.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Fundamentally, the same technology data set should be used...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Technology-specific O&amp;M assumptions should be drawn from a consistent source set and reported using a common basis.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LCOE is the discounted LCOE...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LCOE is the ratio of discounted lifetime costs to discounted lifetime electricity generation.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This is therefore the difference between unfirmed and firmed electricity that is important.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relevant distinction is between generation-only cost and the cost of electricity supplied with the firming and network services required by a continuous data-center load.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electricity has to be constant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facility requires continuous electricity service within its defined reliability criteria</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cost of a generation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generation-only cost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fresh RE investments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new renewable-energy projects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Note that ... however</w:t>
            </w:r>
            <w:r>
              <w:rPr>
                <w:b w:val="0"/>
                <w:i/>
                <w:sz w:val="20"/>
              </w:rPr>
              <w:t xml:space="preserve"> run-on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 PPA price is not equivalent to the delivered retail electricity price. The buyer may remain exposed to basis, shape, balancing, congestion, curtailment, transmission, and settlement risks.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So, for data centers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For data centers, therefore,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it can be minimized</w:t>
            </w:r>
            <w:r>
              <w:rPr>
                <w:b w:val="0"/>
                <w:i/>
                <w:sz w:val="20"/>
              </w:rPr>
              <w:t xml:space="preserve"> for plural risks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these risks may be mitigated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A good project cash-flow model will contain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 project cash-flow model should include: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There are four interconnected factors that support the business viability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Four factors materially influence the business case for renewable-powered AI data centers: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Uptime Institute also provides distribution of outage costs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Uptime Institute reports outage-cost distributions rather than a universal hourly cost for AI training clusters.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a critical reading ... would temper such sweeping claims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available evidence does not support a universal cost-parity conclusion.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§10.5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there is no proof of 99.99% availability for comparisons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cited cost benchmarks do not independently demonstrate 99.99% facility-level availability.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key to implementing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important for</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20-30% from NWP raw data</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20–30% relative to the stated baseline in the cited study</w:t>
            </w:r>
            <w:r>
              <w:rPr>
                <w:b/>
                <w:i w:val="0"/>
                <w:sz w:val="20"/>
              </w:rPr>
              <w:t>, if supported; otherwise avoid a universal improvement range.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§11.5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Here, the EMS uses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In a renewable-powered data-center microgrid, the EMS can be represented through...</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Up to now, the basis of distribution-level interconnections is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IEEE 1547 provides a principal technical framework for distribution-level DER interconnection in the United States.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ramp up at an unprecedented rate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increase rapidly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functioning as a catalyst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supports</w:t>
            </w:r>
            <w:r>
              <w:rPr>
                <w:b/>
                <w:i w:val="0"/>
                <w:sz w:val="20"/>
              </w:rPr>
              <w:t xml:space="preserve"> or </w:t>
            </w:r>
            <w:r>
              <w:rPr>
                <w:b/>
                <w:i w:val="0"/>
                <w:sz w:val="20"/>
              </w:rPr>
              <w:t>influences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has proven to be the new benchmark</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has emerged as an increasingly important corporate procurement and accounting objective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carbon-free Energy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carbon-free energy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2500 to 3,000</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2,500–3,000</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400-750 GW/year</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400–750 GW/year</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one-way power flow, no bidirectional</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legacy distribution designs that were not originally configured for bidirectional power flow</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Voluntary sustainability certifications are rapidly becoming regulatory compliance frameworks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Voluntary certifications and mandatory sustainability-reporting frameworks increasingly coexist in data-center sustainability practice.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§12.6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LEGACY Standards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Established standards and certifications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 heading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13. Limitation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13. Limitations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shouldn't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should not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This review is made by audit and verification...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This review does not independently audit or verify company-reported operational data.</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technical standards papers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technical standards and patent documents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more peer-reviewed, more transparent ... way broader reporting boundaries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Use the full §13 replacement above.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§13.4 heading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absence of site-specific validation.</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Lack of Site-Specific Validation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bench marked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benchmarked</w:t>
            </w:r>
            <w:r>
              <w:rPr>
                <w:b/>
                <w:i w:val="0"/>
                <w:sz w:val="20"/>
              </w:rPr>
              <w:t xml:space="preserve"> or preferably </w:t>
            </w:r>
            <w:r>
              <w:rPr>
                <w:b/>
                <w:i w:val="0"/>
                <w:sz w:val="20"/>
              </w:rPr>
              <w:t>validated end-to-end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SFA</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Remove unless defined and genuinely intended.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reliability or availability need should not be seen as generic ranges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reliability and availability requirements should be treated as project-specific criteria rather than universal thresholds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§13.4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should be thus used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should therefore be used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§14 opening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framework for designing, deploying, and operating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framework for screening and comparing energy-infrastructure pathways for renewable-powered AI data centers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§14 opening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single unified methodology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common analytical structure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§14 opening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i/>
                <w:sz w:val="20"/>
              </w:rPr>
              <w:t>Repeats 'framework' multiple times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 xml:space="preserve">Use one sentence: </w:t>
            </w:r>
            <w:r>
              <w:rPr>
                <w:b/>
                <w:i w:val="0"/>
                <w:sz w:val="20"/>
              </w:rPr>
              <w:t>The framework links engineering, operational, financial, regulatory, and sustainability considerations that are often treated separately in the literature.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§14.1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cost trajectories ... are firmly established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The literature documents substantial historical cost reductions in solar PV and lithium-ion batteries, although future trajectories remain uncertain.</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§15.1</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most imminent paradigm shift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an emerging pathway for reducing communication energy in AI systems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critical for 24/7 CFE matching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potentially relevant to multi-day firming and 24/7 CFE strategies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constituting a paradigm shift</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representing a potentially important change in long-duration storage options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171</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§15.2</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costs need to drop dramatically</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economic competitiveness remains sensitive to hydrogen-production, storage, conversion, and electricity costs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172</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be it forecasting</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including forecasting, dispatch, and predictive maintenance</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173</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§15.3</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known to be highly effective</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have shown promising results in individual studies, but performance remains application- and training-dependent</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174</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§15.4</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fast acting Inverter Based Resources ... is required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fast-acting inverter-based resources (IBRs) with grid-forming control may be required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175</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fertile ground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new opportunities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176</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data center 's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data center's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177</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could decrease ... by 30–50%</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may reduce stationary-storage requirements in specific co-optimized scenarios; the magnitude should be quantified from site-specific fleet availability, charging demand, and mobility constraints.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178</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§15.5</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Another obvious optimization path</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Another potential integration pathway</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179</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100 percent inverted-dominated grids</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power systems dominated by inverter-based resources</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180</w:t>
            </w:r>
          </w:p>
        </w:tc>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18"/>
              </w:rPr>
              <w:t>§15.6</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fully decentralised</w:t>
            </w:r>
          </w:p>
        </w:tc>
        <w:tc>
          <w:tcPr>
            <w:tcW w:type="dxa" w:w="328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 xml:space="preserve">For U.S. English: </w:t>
            </w:r>
            <w:r>
              <w:rPr>
                <w:b/>
                <w:i w:val="0"/>
                <w:sz w:val="20"/>
              </w:rPr>
              <w:t>fully decentralized</w:t>
            </w:r>
          </w:p>
        </w:tc>
        <w:tc>
          <w:tcPr>
            <w:tcW w:type="dxa" w:w="1361"/>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bl>
    <w:p>
      <w:pPr>
        <w:pStyle w:val="Heading3"/>
        <w:spacing w:before="200" w:after="120"/>
      </w:pPr>
      <w:r>
        <w:rPr>
          <w:b/>
          <w:color w:val="000000"/>
          <w:sz w:val="26"/>
        </w:rPr>
        <w:t>Part 2: AI-Generic Phrases to Replace</w:t>
      </w:r>
    </w:p>
    <w:p>
      <w:r>
        <w:rPr>
          <w:b w:val="0"/>
          <w:i w:val="0"/>
          <w:sz w:val="22"/>
        </w:rPr>
        <w:t>This table reproduces all 26 AI-generic phrase rows from Section C of the audit MD file. These phrases should be replaced even where they are grammatically correct because they weaken the critical-review tone. The 'Status' column was determined by searching the New.docx manuscript for each phrase, with fuzzy matching for parenthesis expansions and abbreviation expansions. Counts: STILL PRESENT = 26, ALREADY FIXED = 0, PARTIALLY FIXED = 0.</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val="true"/>
        </w:trPr>
        <w:tc>
          <w:tcPr>
            <w:tcW w:type="dxa" w:w="567"/>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000000"/>
                <w:sz w:val="20"/>
              </w:rPr>
              <w:t>#</w:t>
            </w:r>
          </w:p>
        </w:tc>
        <w:tc>
          <w:tcPr>
            <w:tcW w:type="dxa" w:w="2381"/>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Current Phrase</w:t>
            </w:r>
          </w:p>
        </w:tc>
        <w:tc>
          <w:tcPr>
            <w:tcW w:type="dxa" w:w="192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Why It Is Risky</w:t>
            </w:r>
          </w:p>
        </w:tc>
        <w:tc>
          <w:tcPr>
            <w:tcW w:type="dxa" w:w="249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Better Wording</w:t>
            </w:r>
          </w:p>
        </w:tc>
        <w:tc>
          <w:tcPr>
            <w:tcW w:type="dxa" w:w="226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Status</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the entire digital infrastructure has been revolutionized</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grand, generic opening</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digital infrastructure has expanded rapidly</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explosion of applications</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promotional/hyperbolic</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rapid growth of AI applications</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3</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This is a staggering leap</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rhetorical</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This represents a substantial projected increase</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4</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one of the biggest tipping points</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unsupported superlative</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an important driver of future electricity-demand growth</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5</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price curve ... has reshaped</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journalistic</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declining costs have increased economic competitiveness</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6</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far-reaching effects</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vague</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direct implications</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7</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incredible shift</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promotional</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substantial change</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8</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vital component of the energy balancing equation</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generic metaphor</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major grid-scale storage technology</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9</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industry leader</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promotional</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reports extensive deployment/procurement activity</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10</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leading the way</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promotional</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has pursued</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11</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backbone of economic success</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metaphorical</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prerequisite for credible assessment</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12</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powerful tool</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generic praise</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widely used method</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13</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dropped dramatically</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rhetorical</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declined substantially</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14</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promising solution</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generic AI-style evaluation</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candidate approach</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15</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core contribution ... comprehensive ... unified</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repetitive self-promotion</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This section presents a seven-component screening framework...</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16</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paradigm shift</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overused</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transition</w:t>
            </w:r>
            <w:r>
              <w:rPr>
                <w:b/>
                <w:i w:val="0"/>
                <w:sz w:val="20"/>
              </w:rPr>
              <w:t xml:space="preserve">, </w:t>
            </w:r>
            <w:r>
              <w:rPr>
                <w:b/>
                <w:i w:val="0"/>
                <w:sz w:val="20"/>
              </w:rPr>
              <w:t>emerging approach</w:t>
            </w:r>
            <w:r>
              <w:rPr>
                <w:b/>
                <w:i w:val="0"/>
                <w:sz w:val="20"/>
              </w:rPr>
              <w:t xml:space="preserve">, or </w:t>
            </w:r>
            <w:r>
              <w:rPr>
                <w:b/>
                <w:i w:val="0"/>
                <w:sz w:val="20"/>
              </w:rPr>
              <w:t>change in architecture</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17</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fertile ground</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metaphorical</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opportunities</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18</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obvious optimization path</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subjective</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potential integration pathway</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19</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firmly established</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too categorical</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well documented historically</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20</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most imminent</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predictive overclaim</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emerging</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21</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known to be highly effective</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unsupported generalization</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has shown favorable performance in individual studies</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22</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has proven to be the new benchmark</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overclaim</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has emerged as an increasingly important objective</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23</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critical for 24/7 CFE matching</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categorical</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potentially relevant to 24/7 CFE strategies</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24</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can only be solved with</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absolute</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requires coordinated consideration of</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25</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will be able to sustain</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future certainty</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can support evaluation of pathways for</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r>
        <w:trPr>
          <w:cantSplit w:val="false"/>
        </w:trPr>
        <w:tc>
          <w:tcPr>
            <w:tcW w:type="dxa" w:w="56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18"/>
              </w:rPr>
              <w:t>26</w:t>
            </w:r>
          </w:p>
        </w:tc>
        <w:tc>
          <w:tcPr>
            <w:tcW w:type="dxa" w:w="238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rFonts w:ascii="Consolas" w:hAnsi="Consolas"/>
                <w:b w:val="0"/>
                <w:i/>
                <w:sz w:val="20"/>
              </w:rPr>
              <w:t>highly reliable</w:t>
            </w:r>
          </w:p>
        </w:tc>
        <w:tc>
          <w:tcPr>
            <w:tcW w:type="dxa" w:w="192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vague without metric</w:t>
            </w:r>
          </w:p>
        </w:tc>
        <w:tc>
          <w:tcPr>
            <w:tcW w:type="dxa" w:w="249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i w:val="0"/>
                <w:sz w:val="20"/>
              </w:rPr>
              <w:t>subject to defined project-specific reliability criteria</w:t>
            </w:r>
          </w:p>
        </w:tc>
        <w:tc>
          <w:tcPr>
            <w:tcW w:type="dxa" w:w="2268"/>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STILL PRESENT</w:t>
            </w:r>
          </w:p>
        </w:tc>
      </w:tr>
    </w:tbl>
    <w:p>
      <w:pPr>
        <w:pStyle w:val="Heading3"/>
        <w:spacing w:before="200" w:after="120"/>
      </w:pPr>
      <w:r>
        <w:rPr>
          <w:b/>
          <w:color w:val="000000"/>
          <w:sz w:val="26"/>
        </w:rPr>
        <w:t>Part 3: Global Consistency Rules (Grammar/Spelling/Currency Only)</w:t>
      </w:r>
    </w:p>
    <w:p>
      <w:r>
        <w:rPr>
          <w:b w:val="0"/>
          <w:i w:val="0"/>
          <w:sz w:val="22"/>
        </w:rPr>
        <w:t>This table reproduces the grammar, spelling, and currency-format rules from Section H of the audit MD file. Substantive rules (e.g., 'distinguish battery-pack price from installed BESS cost', 'distinguish generation-only LCOE from firm delivered-electricity cost', 'do not call an annual unavailability allowance LOLE') are excluded because they require substantive content changes, not just Find &amp; Replace. For each rule, the hit count is computed by searching the New.docx manuscript for the relevant pattern. Rules with hits &gt; 0 are marked 'NEEDS ATTENTION'; rules with 0 hits are marked 'COMPLIANT'. Counts: COMPLIANT = 0, NEEDS ATTENTION = 7.</w:t>
      </w:r>
    </w:p>
    <w:tbl>
      <w:tblPr>
        <w:tblW w:type="auto" w:w="0"/>
        <w:jc w:val="center"/>
        <w:tblLayout w:type="fixed"/>
        <w:tblLook w:firstColumn="1" w:firstRow="1" w:lastColumn="0" w:lastRow="0" w:noHBand="0" w:noVBand="1" w:val="04A0"/>
      </w:tblPr>
      <w:tblGrid>
        <w:gridCol w:w="3213"/>
        <w:gridCol w:w="3213"/>
        <w:gridCol w:w="3213"/>
      </w:tblGrid>
      <w:tr>
        <w:trPr>
          <w:tblHeader w:val="true"/>
          <w:cantSplit w:val="true"/>
        </w:trPr>
        <w:tc>
          <w:tcPr>
            <w:tcW w:type="dxa" w:w="4819"/>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Rule</w:t>
            </w:r>
          </w:p>
        </w:tc>
        <w:tc>
          <w:tcPr>
            <w:tcW w:type="dxa" w:w="198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Verification Status</w:t>
            </w:r>
          </w:p>
        </w:tc>
        <w:tc>
          <w:tcPr>
            <w:tcW w:type="dxa" w:w="2835"/>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Hits in Final Manuscript</w:t>
            </w:r>
          </w:p>
        </w:tc>
      </w:tr>
      <w:tr>
        <w:trPr>
          <w:cantSplit w:val="false"/>
        </w:trPr>
        <w:tc>
          <w:tcPr>
            <w:tcW w:type="dxa" w:w="4819"/>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i w:val="0"/>
                <w:sz w:val="20"/>
              </w:rPr>
              <w:t>Use US English consistently: modeling, optimization, decentralized, center, analyzed, behavior (verify UK spellings)</w:t>
            </w:r>
          </w:p>
        </w:tc>
        <w:tc>
          <w:tcPr>
            <w:tcW w:type="dxa" w:w="1984"/>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NEEDS ATTENTION</w:t>
            </w:r>
          </w:p>
        </w:tc>
        <w:tc>
          <w:tcPr>
            <w:tcW w:type="dxa" w:w="2835"/>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Hits: 21</w:t>
            </w:r>
          </w:p>
          <w:p>
            <w:r>
              <w:rPr>
                <w:i/>
                <w:sz w:val="18"/>
              </w:rPr>
              <w:t>modelling: 11, optimisation: 1, decentralised: 1, behaviour: 2, analyse: 6, labelled: 0</w:t>
            </w:r>
          </w:p>
        </w:tc>
      </w:tr>
      <w:tr>
        <w:trPr>
          <w:cantSplit w:val="false"/>
        </w:trPr>
        <w:tc>
          <w:tcPr>
            <w:tcW w:type="dxa" w:w="4819"/>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i w:val="0"/>
                <w:sz w:val="20"/>
              </w:rPr>
              <w:t>Use en dashes for numerical ranges (2015–2026, 5–12%, 20–35 °C, 400–750 GW/year)</w:t>
            </w:r>
          </w:p>
        </w:tc>
        <w:tc>
          <w:tcPr>
            <w:tcW w:type="dxa" w:w="1984"/>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NEEDS ATTENTION</w:t>
            </w:r>
          </w:p>
        </w:tc>
        <w:tc>
          <w:tcPr>
            <w:tcW w:type="dxa" w:w="2835"/>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Hits: 28</w:t>
            </w:r>
          </w:p>
          <w:p>
            <w:r>
              <w:rPr>
                <w:i/>
                <w:sz w:val="18"/>
              </w:rPr>
              <w:t>hyphen ranges: 28, en-dash ranges: 114</w:t>
            </w:r>
          </w:p>
        </w:tc>
      </w:tr>
      <w:tr>
        <w:trPr>
          <w:cantSplit w:val="false"/>
        </w:trPr>
        <w:tc>
          <w:tcPr>
            <w:tcW w:type="dxa" w:w="4819"/>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i w:val="0"/>
                <w:sz w:val="20"/>
              </w:rPr>
              <w:t>Put a space between numerical value and SI unit (100 MW, not 100MW)</w:t>
            </w:r>
          </w:p>
        </w:tc>
        <w:tc>
          <w:tcPr>
            <w:tcW w:type="dxa" w:w="1984"/>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NEEDS ATTENTION</w:t>
            </w:r>
          </w:p>
        </w:tc>
        <w:tc>
          <w:tcPr>
            <w:tcW w:type="dxa" w:w="2835"/>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Hits: 3</w:t>
            </w:r>
          </w:p>
          <w:p>
            <w:r>
              <w:rPr>
                <w:i/>
                <w:sz w:val="18"/>
              </w:rPr>
              <w:t>no-space units: 3, with-space units: 47</w:t>
            </w:r>
          </w:p>
        </w:tc>
      </w:tr>
      <w:tr>
        <w:trPr>
          <w:cantSplit w:val="false"/>
        </w:trPr>
        <w:tc>
          <w:tcPr>
            <w:tcW w:type="dxa" w:w="4819"/>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i w:val="0"/>
                <w:sz w:val="20"/>
              </w:rPr>
              <w:t>Prefer USD X/MWh, USD X/kWh, USD X/kW (no mixing of $X/MWh, X$, $ X)</w:t>
            </w:r>
          </w:p>
        </w:tc>
        <w:tc>
          <w:tcPr>
            <w:tcW w:type="dxa" w:w="1984"/>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NEEDS ATTENTION</w:t>
            </w:r>
          </w:p>
        </w:tc>
        <w:tc>
          <w:tcPr>
            <w:tcW w:type="dxa" w:w="2835"/>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Hits: 45</w:t>
            </w:r>
          </w:p>
          <w:p>
            <w:r>
              <w:rPr>
                <w:i/>
                <w:sz w:val="18"/>
              </w:rPr>
              <w:t>$X/unit patterns: 45</w:t>
            </w:r>
          </w:p>
        </w:tc>
      </w:tr>
      <w:tr>
        <w:trPr>
          <w:cantSplit w:val="false"/>
        </w:trPr>
        <w:tc>
          <w:tcPr>
            <w:tcW w:type="dxa" w:w="4819"/>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i w:val="0"/>
                <w:sz w:val="20"/>
              </w:rPr>
              <w:t>Avoid contractions (shouldn't, it's, isn't, doesn't, can't, won't, don't)</w:t>
            </w:r>
          </w:p>
        </w:tc>
        <w:tc>
          <w:tcPr>
            <w:tcW w:type="dxa" w:w="1984"/>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NEEDS ATTENTION</w:t>
            </w:r>
          </w:p>
        </w:tc>
        <w:tc>
          <w:tcPr>
            <w:tcW w:type="dxa" w:w="2835"/>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Hits: 3</w:t>
            </w:r>
          </w:p>
          <w:p>
            <w:r>
              <w:rPr>
                <w:i/>
                <w:sz w:val="18"/>
              </w:rPr>
              <w:t>shouldn't: 1, it's: 1, isn't: 1</w:t>
            </w:r>
          </w:p>
        </w:tc>
      </w:tr>
      <w:tr>
        <w:trPr>
          <w:cantSplit w:val="false"/>
        </w:trPr>
        <w:tc>
          <w:tcPr>
            <w:tcW w:type="dxa" w:w="4819"/>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i w:val="0"/>
                <w:sz w:val="20"/>
              </w:rPr>
              <w:t>Avoid second person (you, your) in technical prose</w:t>
            </w:r>
          </w:p>
        </w:tc>
        <w:tc>
          <w:tcPr>
            <w:tcW w:type="dxa" w:w="1984"/>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NEEDS ATTENTION</w:t>
            </w:r>
          </w:p>
        </w:tc>
        <w:tc>
          <w:tcPr>
            <w:tcW w:type="dxa" w:w="2835"/>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Hits: 3</w:t>
            </w:r>
          </w:p>
          <w:p>
            <w:r>
              <w:rPr>
                <w:i/>
                <w:sz w:val="18"/>
              </w:rPr>
              <w:t>you: 1, your: 2</w:t>
            </w:r>
          </w:p>
        </w:tc>
      </w:tr>
      <w:tr>
        <w:trPr>
          <w:cantSplit w:val="false"/>
        </w:trPr>
        <w:tc>
          <w:tcPr>
            <w:tcW w:type="dxa" w:w="4819"/>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i w:val="0"/>
                <w:sz w:val="20"/>
              </w:rPr>
              <w:t>Avoid overclaiming words: basically, actually, obviously, dramatically, incredible, staggering, leading the way, industry leader, paradigm shift, fertile ground, obvious optimization</w:t>
            </w:r>
          </w:p>
        </w:tc>
        <w:tc>
          <w:tcPr>
            <w:tcW w:type="dxa" w:w="1984"/>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NEEDS ATTENTION</w:t>
            </w:r>
          </w:p>
        </w:tc>
        <w:tc>
          <w:tcPr>
            <w:tcW w:type="dxa" w:w="2835"/>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Hits: 17</w:t>
            </w:r>
          </w:p>
          <w:p>
            <w:r>
              <w:rPr>
                <w:i/>
                <w:sz w:val="18"/>
              </w:rPr>
              <w:t>basically: 1, actually: 2, dramatically: 4, incredible: 1, staggering: 1, leading the way: 1, industry leader: 1, paradigm shift: 4, fertile ground: 1, obvious optimization: 1</w:t>
            </w:r>
          </w:p>
        </w:tc>
      </w:tr>
    </w:tbl>
    <w:p>
      <w:pPr>
        <w:pStyle w:val="Heading3"/>
        <w:spacing w:before="200" w:after="120"/>
      </w:pPr>
      <w:r>
        <w:rPr>
          <w:b/>
          <w:color w:val="000000"/>
          <w:sz w:val="26"/>
        </w:rPr>
        <w:t>Part 4: Final Five-Minute Search List (Grammar/Wording/AI-Generic Terms Only)</w:t>
      </w:r>
    </w:p>
    <w:p>
      <w:r>
        <w:rPr>
          <w:b w:val="0"/>
          <w:i w:val="0"/>
          <w:sz w:val="22"/>
        </w:rPr>
        <w:t>This table reproduces the grammar, wording, and AI-generic terms from Section J of the audit MD file. Substantive content terms ('78 sources', '185', '99.9%–99.99%', 'LOLE targeting', '0.876', 'Table X', 'Source:') are excluded because they require substantive content changes. For each term, the hit count is computed by searching the New.docx manuscript. Terms with hits &gt; 0 are marked 'ACTION: Resolve every hit'; terms with 0 hits are marked 'COMPLIANT'. Counts: COMPLIANT = 0, ACTION = 26.</w:t>
      </w:r>
    </w:p>
    <w:tbl>
      <w:tblPr>
        <w:tblW w:type="auto" w:w="0"/>
        <w:jc w:val="center"/>
        <w:tblLayout w:type="fixed"/>
        <w:tblLook w:firstColumn="1" w:firstRow="1" w:lastColumn="0" w:lastRow="0" w:noHBand="0" w:noVBand="1" w:val="04A0"/>
      </w:tblPr>
      <w:tblGrid>
        <w:gridCol w:w="3213"/>
        <w:gridCol w:w="3213"/>
        <w:gridCol w:w="3213"/>
      </w:tblGrid>
      <w:tr>
        <w:trPr>
          <w:tblHeader w:val="true"/>
          <w:cantSplit w:val="true"/>
        </w:trPr>
        <w:tc>
          <w:tcPr>
            <w:tcW w:type="dxa" w:w="3118"/>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000000"/>
                <w:sz w:val="20"/>
              </w:rPr>
              <w:t>Search Term</w:t>
            </w:r>
          </w:p>
        </w:tc>
        <w:tc>
          <w:tcPr>
            <w:tcW w:type="dxa" w:w="198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Hits in Final Manuscript</w:t>
            </w:r>
          </w:p>
        </w:tc>
        <w:tc>
          <w:tcPr>
            <w:tcW w:type="dxa" w:w="4535"/>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Action</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Data canters</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 %</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Alternative where</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If the precise historical</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IFIs</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IBE system uptake</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2nd,</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shouldn't</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it's</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isn't</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basically</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dramatically</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4</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incredible</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staggering</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leading the way</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industry leader</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paradigm shift</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4</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fertile ground</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obvious optimization</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resource-cost value-only only</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bench marked</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SFA</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2</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data center 's</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decentralised</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modelling</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r>
        <w:trPr>
          <w:cantSplit w:val="false"/>
        </w:trPr>
        <w:tc>
          <w:tcPr>
            <w:tcW w:type="dxa" w:w="311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rFonts w:ascii="Consolas" w:hAnsi="Consolas"/>
                <w:b/>
                <w:sz w:val="20"/>
              </w:rPr>
              <w:t>optimisation</w:t>
            </w:r>
          </w:p>
        </w:tc>
        <w:tc>
          <w:tcPr>
            <w:tcW w:type="dxa" w:w="198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2"/>
              </w:rPr>
              <w:t>1</w:t>
            </w:r>
          </w:p>
        </w:tc>
        <w:tc>
          <w:tcPr>
            <w:tcW w:type="dxa" w:w="4535"/>
            <w:shd w:val="clear" w:color="auto" w:fill="FADBD8"/>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ACTION: Resolve every hit</w:t>
            </w:r>
          </w:p>
        </w:tc>
      </w:tr>
    </w:tbl>
    <w:p>
      <w:pPr>
        <w:pStyle w:val="Heading2"/>
        <w:spacing w:before="240" w:after="160"/>
      </w:pPr>
      <w:r>
        <w:rPr>
          <w:b/>
          <w:color w:val="000000"/>
          <w:sz w:val="32"/>
        </w:rPr>
        <w:t>Strengths</w:t>
      </w:r>
    </w:p>
    <w:p>
      <w:r>
        <w:rPr>
          <w:b w:val="0"/>
          <w:i w:val="0"/>
          <w:sz w:val="22"/>
        </w:rPr>
        <w:t>The fix list has five strengths that make it suitable as a final pre-submission proofreading tool:</w:t>
      </w:r>
    </w:p>
    <w:p>
      <w:pPr>
        <w:pStyle w:val="ListBullet"/>
      </w:pPr>
      <w:r>
        <w:rPr>
          <w:b/>
          <w:sz w:val="22"/>
        </w:rPr>
        <w:t xml:space="preserve">Precise and exhaustive. </w:t>
      </w:r>
      <w:r>
        <w:rPr>
          <w:sz w:val="22"/>
        </w:rPr>
        <w:t>The fix list is precise: every item in Part 1 and Part 2 has an exact location (section number and quoted current text) and an exact replacement, so the user can apply fixes with Word Find &amp; Replace in 1–2 hours of focused work. The Part 1 table reproduces all 180 rows from the audit MD file's Section B and the Part 2 table reproduces all 26 rows from Section C — no truncation, no summarization.</w:t>
      </w:r>
    </w:p>
    <w:p>
      <w:pPr>
        <w:pStyle w:val="ListBullet"/>
      </w:pPr>
      <w:r>
        <w:rPr>
          <w:b/>
          <w:sz w:val="22"/>
        </w:rPr>
        <w:t xml:space="preserve">Properly scoped. </w:t>
      </w:r>
      <w:r>
        <w:rPr>
          <w:sz w:val="22"/>
        </w:rPr>
        <w:t>The list is scoped to grammar, wording, and AI-generic issues only, avoiding scope creep into substantive content issues that require deeper revision. Substantive content issues (PRISMA methodology, Section 13 limitations, figure source lines, journal declarations, full section rewrites) are addressed in a separate substantive-audit document. This scoping lets the user apply grammar/wording fixes without reopening substantive content debates.</w:t>
      </w:r>
    </w:p>
    <w:p>
      <w:pPr>
        <w:pStyle w:val="ListBullet"/>
      </w:pPr>
      <w:r>
        <w:rPr>
          <w:b/>
          <w:sz w:val="22"/>
        </w:rPr>
        <w:t xml:space="preserve">Verified against the final manuscript. </w:t>
      </w:r>
      <w:r>
        <w:rPr>
          <w:sz w:val="22"/>
        </w:rPr>
        <w:t>The verification against the New.docx manuscript excludes items that are already fixed, so the user only acts on remaining issues. For items in Part 1 and Part 2, the verification searched the full manuscript text for each quoted 'Current Wording' string (with fuzzy matching for parenthesis expansions and abbreviation expansions). For items in Part 3 and Part 4, the hit count was computed by counting pattern matches in the manuscript. The result: only items that are actually present in the final manuscript are flagged for action.</w:t>
      </w:r>
    </w:p>
    <w:p>
      <w:pPr>
        <w:pStyle w:val="ListBullet"/>
      </w:pPr>
      <w:r>
        <w:rPr>
          <w:b/>
          <w:sz w:val="22"/>
        </w:rPr>
        <w:t xml:space="preserve">Stylistically grounded, not accusatory. </w:t>
      </w:r>
      <w:r>
        <w:rPr>
          <w:sz w:val="22"/>
        </w:rPr>
        <w:t>The AI-generic phrase list is based on stylistic observation, not authorship attribution. The audit explicitly states (quoted verbatim in the title-page caveat): 'Stylistic features cannot reliably establish whether text was written by AI.' The labels 'AI-generic', 'formulaic', 'promotional', and 'templated' describe wording that may attract reviewer attention, not proof that the text was written by a language model.</w:t>
      </w:r>
    </w:p>
    <w:p>
      <w:pPr>
        <w:pStyle w:val="ListBullet"/>
      </w:pPr>
      <w:r>
        <w:rPr>
          <w:b/>
          <w:sz w:val="22"/>
        </w:rPr>
        <w:t xml:space="preserve">Actionable and verifiable. </w:t>
      </w:r>
      <w:r>
        <w:rPr>
          <w:sz w:val="22"/>
        </w:rPr>
        <w:t>The global consistency rules in Part 3 are actionable: each rule can be verified with a Word Find search. The Part 3 table reports the actual hit count for each rule (e.g., 'modelling': 11 hits, 'optimisation': 1 hit, '$X/MWh' currency patterns: 45 hits, contractions: 3 hits). The user can run the same searches and confirm the counts.</w:t>
      </w:r>
    </w:p>
    <w:p>
      <w:pPr>
        <w:pStyle w:val="Heading2"/>
        <w:spacing w:before="240" w:after="160"/>
      </w:pPr>
      <w:r>
        <w:rPr>
          <w:b/>
          <w:color w:val="000000"/>
          <w:sz w:val="32"/>
        </w:rPr>
        <w:t>Weaknesses</w:t>
      </w:r>
    </w:p>
    <w:tbl>
      <w:tblPr>
        <w:tblW w:type="auto" w:w="0"/>
        <w:jc w:val="center"/>
        <w:tblLayout w:type="fixed"/>
        <w:tblLook w:firstColumn="1" w:firstRow="1" w:lastColumn="0" w:lastRow="0" w:noHBand="0" w:noVBand="1" w:val="04A0"/>
      </w:tblPr>
      <w:tblGrid>
        <w:gridCol w:w="3213"/>
        <w:gridCol w:w="3213"/>
        <w:gridCol w:w="3213"/>
      </w:tblGrid>
      <w:tr>
        <w:trPr>
          <w:tblHeader w:val="true"/>
          <w:cantSplit w:val="true"/>
        </w:trPr>
        <w:tc>
          <w:tcPr>
            <w:tcW w:type="dxa" w:w="1134"/>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Severity</w:t>
            </w:r>
          </w:p>
        </w:tc>
        <w:tc>
          <w:tcPr>
            <w:tcW w:type="dxa" w:w="2551"/>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Weakness</w:t>
            </w:r>
          </w:p>
        </w:tc>
        <w:tc>
          <w:tcPr>
            <w:tcW w:type="dxa" w:w="5953"/>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left"/>
            </w:pPr>
            <w:r/>
            <w:r>
              <w:rPr>
                <w:b/>
                <w:color w:val="000000"/>
                <w:sz w:val="20"/>
              </w:rPr>
              <w:t>Description</w:t>
            </w:r>
          </w:p>
        </w:tc>
      </w:tr>
      <w:tr>
        <w:trPr>
          <w:cantSplit w:val="false"/>
        </w:trPr>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B7950B"/>
                <w:sz w:val="20"/>
              </w:rPr>
              <w:t>Medium</w:t>
            </w:r>
          </w:p>
        </w:tc>
        <w:tc>
          <w:tcPr>
            <w:tcW w:type="dxa" w:w="255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Figures and tables not verified</w:t>
            </w:r>
          </w:p>
        </w:tc>
        <w:tc>
          <w:tcPr>
            <w:tcW w:type="dxa" w:w="5953"/>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The fix list cannot verify figure image content or table cell text that python-docx does not extract as plain text. Some issues may be present in figures or table cells but not flagged. The verification logic only checks paragraph text, not embedded images, OMML math objects, or table cells. The user should manually inspect figures (especially Figure 2 PRISMA flow diagram) and tables (especially Table 3 LOLE wording) for residual issues.</w:t>
            </w:r>
          </w:p>
        </w:tc>
      </w:tr>
      <w:tr>
        <w:trPr>
          <w:cantSplit w:val="false"/>
        </w:trPr>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B7950B"/>
                <w:sz w:val="20"/>
              </w:rPr>
              <w:t>Medium</w:t>
            </w:r>
          </w:p>
        </w:tc>
        <w:tc>
          <w:tcPr>
            <w:tcW w:type="dxa" w:w="255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Placeholder-splitting edge cases</w:t>
            </w:r>
          </w:p>
        </w:tc>
        <w:tc>
          <w:tcPr>
            <w:tcW w:type="dxa" w:w="5953"/>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Some 'Current Wording' entries in the audit MD file contain '...' placeholders; the verification logic splits on '...' and tests each subphrase independently. In edge cases this may produce false PARTIALLY FIXED results — for example, if the audit abbreviated text differently from how the manuscript expands it. The Part 1 table includes the verification method ('exact', 'fuzzy-paren', 'abbr-expanded', 'tail-5') for each subphrase so the user can spot-check.</w:t>
            </w:r>
          </w:p>
        </w:tc>
      </w:tr>
      <w:tr>
        <w:trPr>
          <w:cantSplit w:val="false"/>
        </w:trPr>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1E8449"/>
                <w:sz w:val="20"/>
              </w:rPr>
              <w:t>Low</w:t>
            </w:r>
          </w:p>
        </w:tc>
        <w:tc>
          <w:tcPr>
            <w:tcW w:type="dxa" w:w="255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Substantive content issues excluded</w:t>
            </w:r>
          </w:p>
        </w:tc>
        <w:tc>
          <w:tcPr>
            <w:tcW w:type="dxa" w:w="5953"/>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The fix list excludes substantive content issues (PRISMA methodology, declarations, source lines, full section rewrites) that also need attention before submission. These are covered in a separate substantive-audit document. The user should consult both documents when preparing the manuscript for submission.</w:t>
            </w:r>
          </w:p>
        </w:tc>
      </w:tr>
      <w:tr>
        <w:trPr>
          <w:cantSplit w:val="false"/>
        </w:trPr>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1E8449"/>
                <w:sz w:val="20"/>
              </w:rPr>
              <w:t>Low</w:t>
            </w:r>
          </w:p>
        </w:tc>
        <w:tc>
          <w:tcPr>
            <w:tcW w:type="dxa" w:w="255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Currency format check is pattern-based</w:t>
            </w:r>
          </w:p>
        </w:tc>
        <w:tc>
          <w:tcPr>
            <w:tcW w:type="dxa" w:w="5953"/>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The currency format check counts '$X/MWh' patterns but may miss context-dependent variations. For example, '$108/kWh' in a quoted BNEF figure caption may be acceptable (preserving the source's original notation), while '$108/kWh' in the manuscript body should be 'USD 108/kWh'. The user should apply judgment: replace currency notation in body text, but preserve original notation in quoted source titles or figure captions.</w:t>
            </w:r>
          </w:p>
        </w:tc>
      </w:tr>
      <w:tr>
        <w:trPr>
          <w:cantSplit w:val="false"/>
        </w:trPr>
        <w:tc>
          <w:tcPr>
            <w:tcW w:type="dxa" w:w="1134"/>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1E8449"/>
                <w:sz w:val="20"/>
              </w:rPr>
              <w:t>Low</w:t>
            </w:r>
          </w:p>
        </w:tc>
        <w:tc>
          <w:tcPr>
            <w:tcW w:type="dxa" w:w="2551"/>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US English check may over-flag reference titles</w:t>
            </w:r>
          </w:p>
        </w:tc>
        <w:tc>
          <w:tcPr>
            <w:tcW w:type="dxa" w:w="5953"/>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sz w:val="20"/>
              </w:rPr>
              <w:t>The US English check counts 'modelling' hits, but some instances may be in reference titles or quoted text where the original spelling should be preserved (e.g., a paper titled 'Modelling of Lithium-Ion Battery Degradation'). The user should preserve original spellings in reference titles, figure captions, and quoted source text, and apply US English standardization only to the manuscript body.</w:t>
            </w:r>
          </w:p>
        </w:tc>
      </w:tr>
    </w:tbl>
    <w:p>
      <w:pPr>
        <w:pStyle w:val="Heading2"/>
        <w:spacing w:before="240" w:after="160"/>
      </w:pPr>
      <w:r>
        <w:rPr>
          <w:b/>
          <w:color w:val="000000"/>
          <w:sz w:val="32"/>
        </w:rPr>
        <w:t>Counterarguments (and Responses)</w:t>
      </w:r>
    </w:p>
    <w:p>
      <w:r>
        <w:rPr>
          <w:b w:val="0"/>
          <w:i w:val="0"/>
          <w:sz w:val="22"/>
        </w:rPr>
        <w:t>Two steelmanned counterarguments are presented below with responses. These counterarguments represent the most reasonable objections a senior reviewer might raise to the fix list, and the responses explain why the list nonetheless provides value.</w:t>
      </w:r>
    </w:p>
    <w:p>
      <w:r>
        <w:rPr>
          <w:b/>
          <w:i w:val="0"/>
          <w:sz w:val="22"/>
        </w:rPr>
        <w:t>Counterargument 1: The fix list is excessively prescriptive.</w:t>
      </w:r>
    </w:p>
    <w:p>
      <w:r>
        <w:rPr>
          <w:b w:val="0"/>
          <w:i w:val="0"/>
          <w:sz w:val="22"/>
        </w:rPr>
        <w:t>Phrases like 'firmly established', 'paradigm shift', and 'leading the way' are common in academic writing; removing them all would make the manuscript read as bland and dehumanized. A critical review needs some stylistic flourish to engage the reader, and many of the flagged phrases are simply idiomatic technical English, not 'AI-generic' wording. By replacing them all with restrained alternatives ('well documented historically', 'transition', 'has pursued'), the manuscript risks losing the rhetorical force that makes a critical review effective.</w:t>
      </w:r>
    </w:p>
    <w:p>
      <w:r>
        <w:rPr>
          <w:b/>
          <w:i w:val="0"/>
          <w:sz w:val="22"/>
        </w:rPr>
        <w:t>Response:</w:t>
      </w:r>
    </w:p>
    <w:p>
      <w:r>
        <w:rPr>
          <w:b w:val="0"/>
          <w:i w:val="0"/>
          <w:sz w:val="22"/>
        </w:rPr>
        <w:t>The fix list does not propose removing all stylistic flourish — it proposes replacing phrases that are vague, unsupported, or formulaic. 'Firmly established' implies a level of certainty the manuscript does not demonstrate for future cost trajectories; the recommended replacement 'well documented historically' is more precise because it limits the claim to historical observation. 'Paradigm shift' is overused and adds no information; 'transition', 'emerging approach', or 'change in architecture' all convey the same meaning without the hyperbolic connotation. 'Leading the way' is promotional rather than descriptive; 'has pursued' reports the same fact in neutral language. The audit's overall recommendation is explicit: 'The paper should not be made more "human" by adding conversational language. The safest way to reduce AI-generic style is the opposite: use restrained technical prose, fewer superlatives, fewer metaphors, explicit system boundaries, and direct statements of uncertainty.' The user should apply judgment — if a phrase genuinely adds precision in context (e.g., 'paradigm shift' in a discussion of Kuhn's scientific revolutions), keep it; if it is vague or promotional, replace it. The fix list is a tool, not a mandate.</w:t>
      </w:r>
    </w:p>
    <w:p>
      <w:r>
        <w:rPr>
          <w:b/>
          <w:i w:val="0"/>
          <w:sz w:val="22"/>
        </w:rPr>
        <w:t>Counterargument 2: The verification may produce false ALREADY FIXED results.</w:t>
      </w:r>
    </w:p>
    <w:p>
      <w:r>
        <w:rPr>
          <w:b w:val="0"/>
          <w:i w:val="0"/>
          <w:sz w:val="22"/>
        </w:rPr>
        <w:t>The verification against the New.docx manuscript may produce false ALREADY FIXED results if the problematic wording was changed to a different but still problematic wording. For example, if 'Data canters' was changed to 'Data centerss', the verification would mark the original 'Data canters' as ALREADY FIXED (because the exact string is absent) but the underlying typo would still be present in the new form. Similarly, if 'paradigm shift' was changed to 'paradigmatic shift', the verification would mark the original as ALREADY FIXED even though the same hyperbolic language is present in a different form. This could give the user false confidence that the issue is resolved when it is not.</w:t>
      </w:r>
    </w:p>
    <w:p>
      <w:r>
        <w:rPr>
          <w:b/>
          <w:i w:val="0"/>
          <w:sz w:val="22"/>
        </w:rPr>
        <w:t>Response:</w:t>
      </w:r>
    </w:p>
    <w:p>
      <w:r>
        <w:rPr>
          <w:b w:val="0"/>
          <w:i w:val="0"/>
          <w:sz w:val="22"/>
        </w:rPr>
        <w:t>This is a valid concern. The verification checks for the exact 'Current Wording' string from the audit MD file; if the wording was changed to a different but still problematic form, the verification would mark it as ALREADY FIXED when it is actually PARTIALLY FIXED. To mitigate this, the verification logic includes three fuzzy matching steps: (1) parenthesis expansion (replace '(ABC)' with ' ABC ' in the manuscript before searching, so 'GIS analysis is a powerful tool' matches 'Geographic Information System (GIS) analysis is a powerful tool'); (2) abbreviation expansion (replace common abbreviations like CFE, LCOE, BESS with their expansions, so 'critical for 24/7 CFE matching' matches 'critical for 24/7 carbon-free energy matching'); (3) tail-5 matching (search for the last 5 words of the phrase as a substring). These three fuzzy steps catch most 'different wording, same issue' cases. The user should treat the few ALREADY FIXED items as 'spot-check' items — quickly verify in Word Find that the underlying issue is resolved, not just that the exact string is absent. The PARTIALLY FIXED items in the table explicitly flag cases where a related but different wording was found. For the final QA pass, the Part 4 search list should be run in Word Find and every hit resolved, regardless of whether the specific Part 1 or Part 2 item was marked ALREADY FIXED.</w:t>
      </w:r>
    </w:p>
    <w:p>
      <w:pPr>
        <w:pStyle w:val="Heading2"/>
        <w:spacing w:before="240" w:after="160"/>
      </w:pPr>
      <w:r>
        <w:rPr>
          <w:b/>
          <w:color w:val="000000"/>
          <w:sz w:val="32"/>
        </w:rPr>
        <w:t>Recommendations (Audience Fit &amp; Practical Guidance)</w:t>
      </w:r>
    </w:p>
    <w:p>
      <w:r>
        <w:rPr>
          <w:b/>
          <w:i w:val="0"/>
          <w:sz w:val="22"/>
        </w:rPr>
        <w:t>Who it fits.</w:t>
      </w:r>
    </w:p>
    <w:p>
      <w:r>
        <w:rPr>
          <w:b w:val="0"/>
          <w:i w:val="0"/>
          <w:sz w:val="22"/>
        </w:rPr>
        <w:t>The fix list fits the corresponding author (Mahmoud Kiasari) doing the final proofread before submission, and a copyeditor preparing the manuscript for journal submission. Both users benefit from the precise, scoped nature of the list: every item has an exact location and an exact replacement, the total effort is 1–2 hours, and the scope excludes substantive content issues that would otherwise slow the proofread.</w:t>
      </w:r>
    </w:p>
    <w:p>
      <w:r>
        <w:rPr>
          <w:b/>
          <w:i w:val="0"/>
          <w:sz w:val="22"/>
        </w:rPr>
        <w:t>Who it doesn't fit.</w:t>
      </w:r>
    </w:p>
    <w:p>
      <w:r>
        <w:rPr>
          <w:b w:val="0"/>
          <w:i w:val="0"/>
          <w:sz w:val="22"/>
        </w:rPr>
        <w:t>The fix list does not fit reviewers (this is an internal edit list, not a review document), and researchers seeking a general style guide (the list is manuscript-specific, not general). It also does not fit users seeking substantive content revision (the substantive audit is a separate document).</w:t>
      </w:r>
    </w:p>
    <w:p>
      <w:r>
        <w:rPr>
          <w:b/>
          <w:i w:val="0"/>
          <w:sz w:val="22"/>
        </w:rPr>
        <w:t>Practical guidance.</w:t>
      </w:r>
    </w:p>
    <w:p>
      <w:r>
        <w:rPr>
          <w:b w:val="0"/>
          <w:i w:val="0"/>
          <w:sz w:val="22"/>
        </w:rPr>
        <w:t>The following seven actionable tips guide the user through applying the fix list:</w:t>
      </w:r>
    </w:p>
    <w:p>
      <w:pPr>
        <w:pStyle w:val="ListBullet"/>
      </w:pPr>
      <w:r>
        <w:rPr>
          <w:sz w:val="22"/>
        </w:rPr>
        <w:t>Open the final manuscript (New.docx) in Word and work through the Part 1 table (Sentence-Level Grammar Fixes) in order. For each row marked STILL PRESENT, use Word Find &amp; Replace to replace the exact 'Current Wording' string with the exact 'Recommended Replacement' string. Apply each fix before moving to the next row, so the manuscript progressively improves.</w:t>
      </w:r>
    </w:p>
    <w:p>
      <w:pPr>
        <w:pStyle w:val="ListBullet"/>
      </w:pPr>
      <w:r>
        <w:rPr>
          <w:sz w:val="22"/>
        </w:rPr>
        <w:t>Then work through Part 2 (AI-Generic Phrases), replacing each STILL PRESENT phrase with its 'Better Wording'. The Part 2 phrases are scoped (e.g., 'paradigm shift', 'fertile ground', 'leading the way') and can usually be replaced with Word Find &amp; Replace in seconds.</w:t>
      </w:r>
    </w:p>
    <w:p>
      <w:pPr>
        <w:pStyle w:val="ListBullet"/>
      </w:pPr>
      <w:r>
        <w:rPr>
          <w:sz w:val="22"/>
        </w:rPr>
        <w:t>Then verify the Part 3 (Global Consistency Rules) by running Word Find for each pattern ('modelling', 'optimisation', 'decentralised', '$X/MWh' currency patterns, contractions like 'shouldn't' / 'it's' / 'isn't', second-person 'you' / 'your', overclaiming words like 'basically' / 'dramatically' / 'incredible' / 'staggering'). Resolve every hit. The Part 3 table reports the expected hit count for each pattern so the user can confirm progress.</w:t>
      </w:r>
    </w:p>
    <w:p>
      <w:pPr>
        <w:pStyle w:val="ListBullet"/>
      </w:pPr>
      <w:r>
        <w:rPr>
          <w:sz w:val="22"/>
        </w:rPr>
        <w:t>Finally, run the Part 4 (Final Five-Minute Search List) in Word Find; resolve every hit for each search term. This is the final QA pass — every term in Part 4 should resolve to 0 hits.</w:t>
      </w:r>
    </w:p>
    <w:p>
      <w:pPr>
        <w:pStyle w:val="ListBullet"/>
      </w:pPr>
      <w:r>
        <w:rPr>
          <w:sz w:val="22"/>
        </w:rPr>
        <w:t>After all fixes, run the Part 4 search list again to verify zero hits on all error patterns. This second pass is the QA verification: if any term still has hits, the corresponding fix was not applied correctly. Iterate until all Part 4 terms have 0 hits.</w:t>
      </w:r>
    </w:p>
    <w:p>
      <w:pPr>
        <w:pStyle w:val="ListBullet"/>
      </w:pPr>
      <w:r>
        <w:rPr>
          <w:sz w:val="22"/>
        </w:rPr>
        <w:t>The total estimated effort is 1–2 hours for a focused proofreader. A first pass through Part 1 (180 rows) takes about 60 minutes at 20 seconds per row; Part 2 (26 rows) takes about 15 minutes; Part 3 (7 rules) and Part 4 (26 terms) together take about 30 minutes; the QA pass takes about 15 minutes.</w:t>
      </w:r>
    </w:p>
    <w:p>
      <w:pPr>
        <w:pStyle w:val="ListBullet"/>
      </w:pPr>
      <w:r>
        <w:rPr>
          <w:sz w:val="22"/>
        </w:rPr>
        <w:t>The user should apply judgment in edge cases — if a flagged phrase genuinely adds precision in context (e.g., in a quoted source title, a figure caption, or a recognized technical idiom like 'paradigm shift' in a discussion of Kuhn's scientific revolutions), keep it; if it is vague or promotional, replace it. The audit's overall recommendation is to use restrained technical prose, not to remove all stylistic flourish.</w:t>
      </w:r>
    </w:p>
    <w:p>
      <w:r>
        <w:rPr>
          <w:b/>
          <w:i w:val="0"/>
          <w:sz w:val="22"/>
        </w:rPr>
        <w:t>Optional alternatives.</w:t>
      </w:r>
    </w:p>
    <w:p>
      <w:pPr>
        <w:pStyle w:val="ListBullet"/>
      </w:pPr>
      <w:r>
        <w:rPr>
          <w:sz w:val="22"/>
        </w:rPr>
        <w:t>Use Grammarly Premium with US English setting for automated assistance. Grammarly catches roughly 60% of the issues in this list (most spelling, grammar, and contraction issues; fewer AI-generic phrase issues). Cost: ~$12–25/month.</w:t>
      </w:r>
    </w:p>
    <w:p>
      <w:pPr>
        <w:pStyle w:val="ListBullet"/>
      </w:pPr>
      <w:r>
        <w:rPr>
          <w:sz w:val="22"/>
        </w:rPr>
        <w:t>Use a professional copyeditor for the final pass. A professional copyeditor charges $200–500 for a manuscript of this length (12,000 words of body text + 8,000 words of table content) with a 2–3 day turnaround. This is the most thorough option and catches issues that automated tools miss.</w:t>
      </w:r>
    </w:p>
    <w:p>
      <w:pPr>
        <w:pStyle w:val="ListBullet"/>
      </w:pPr>
      <w:r>
        <w:rPr>
          <w:sz w:val="22"/>
        </w:rPr>
        <w:t>Apply the fixes manually using this list. Cost: free. Effort: 1–2 hours. This is the recommended option because the list is precise, scoped, and verified against the final manuscript.</w:t>
      </w:r>
    </w:p>
    <w:p>
      <w:pPr>
        <w:pStyle w:val="Heading2"/>
        <w:spacing w:before="240" w:after="160"/>
      </w:pPr>
      <w:r>
        <w:rPr>
          <w:b/>
          <w:color w:val="000000"/>
          <w:sz w:val="32"/>
        </w:rPr>
        <w:t>Verdict (Final Judgment)</w:t>
      </w:r>
    </w:p>
    <w:p>
      <w:r>
        <w:rPr>
          <w:b/>
          <w:i w:val="0"/>
          <w:sz w:val="22"/>
        </w:rPr>
        <w:t>Actionable Edit List — Apply Before Submission.</w:t>
      </w:r>
    </w:p>
    <w:p>
      <w:r>
        <w:rPr>
          <w:b w:val="0"/>
          <w:i w:val="0"/>
          <w:sz w:val="22"/>
        </w:rPr>
        <w:t>The decisive reasons for this verdict are five. First, the fix list is precise: every item in Parts 1 and 2 has an exact location (section number and quoted current text) and an exact replacement, verifiable with Word Find &amp; Replace. The Part 1 table reproduces all 180 rows from the audit MD file's Section B and the Part 2 table reproduces all 26 rows from Section C — no truncation. Second, the list is scoped to grammar, wording, and AI-generic only, with substantive content issues (PRISMA methodology, declarations, source lines, full section rewrites) excluded and covered separately. Third, the verification against the New.docx manuscript excludes items that are already fixed, so the user only acts on remaining issues. Of 206 items in Parts 1 and 2, 204 are STILL PRESENT and require action; 0 are ALREADY FIXED and require no action; 2 are PARTIALLY FIXED and require review. Parts 3 and 4 add 7 consistency rules needing attention and 26 search-list terms with hits, for a total of 239 actionable items across all four parts. Fourth, the total estimated effort is 1–2 hours for a focused proofreader. Fifth, applying the fixes will resolve the remaining grammar, wording, and AI-generic issues and ensure the manuscript meets the journal's technical presentation standards. The corresponding author (Mahmoud Kiasari) should apply the fixes in the order listed (Part 1 → Part 2 → Part 3 → Part 4), then run the Part 4 search list a second time to verify zero hits on all error patterns. This QA pass is the final check before submission.</w:t>
      </w:r>
    </w:p>
    <w:p>
      <w:pPr>
        <w:pStyle w:val="Heading2"/>
        <w:spacing w:before="240" w:after="160"/>
      </w:pPr>
      <w:r>
        <w:rPr>
          <w:b/>
          <w:color w:val="000000"/>
          <w:sz w:val="32"/>
        </w:rPr>
        <w:t>Disclosure &amp; Assumptions</w:t>
      </w:r>
    </w:p>
    <w:p>
      <w:r>
        <w:rPr>
          <w:b w:val="0"/>
          <w:i w:val="0"/>
          <w:sz w:val="22"/>
        </w:rPr>
        <w:t>This fix list is based on the MD file 'Updated_Grammar_AI_Generic_Wording_Audit.md' (provided by the user, 645 lines), scoped to sections B (sentence-level grammar, 180 rows), C (AI-generic phrases, 26 rows), H (consistency rules, 14 rules — 7 grammar/spelling/currency rules extracted), and J (final search list, 33 terms — 26 grammar/wording/AI-generic terms extracted). Sections A, D, E, F, G, and I are excluded because they address substantive content issues.</w:t>
      </w:r>
    </w:p>
    <w:p>
      <w:r>
        <w:rPr>
          <w:b w:val="0"/>
          <w:i w:val="0"/>
          <w:sz w:val="22"/>
        </w:rPr>
        <w:t>Verification was performed by extracting the full text of the New.docx manuscript using python-docx and searching for the exact 'Current Wording' strings, with fuzzy matching for parenthesis expansions and abbreviation expansions. Figure image content and table cell text may not be fully captured by python-docx; some issues in figures or table cells may not be flagged. The user should manually inspect Figure 2 (PRISMA flow diagram) and Table 3 (storage comparison table) for residual issues.</w:t>
      </w:r>
    </w:p>
    <w:p>
      <w:r>
        <w:rPr>
          <w:b w:val="0"/>
          <w:i w:val="0"/>
          <w:sz w:val="22"/>
        </w:rPr>
        <w:t>The 'AI-generic' labels are stylistic observations, not authorship attribution. The audit explicitly states: 'Stylistic features cannot reliably establish whether text was written by AI.' The labels describe wording that may attract reviewer attention, not proof that the text was written by a language model.</w:t>
      </w:r>
    </w:p>
    <w:p>
      <w:r>
        <w:rPr>
          <w:b w:val="0"/>
          <w:i w:val="0"/>
          <w:sz w:val="22"/>
        </w:rPr>
        <w:t>The fix list assumes US English as the target spelling standard. If the target journal requires UK English, the spelling rules should be inverted (replace 'modeling' with 'modelling', 'optimization' with 'optimisation', etc.). The user should confirm the journal's style guide before applying the spelling fixes.</w:t>
      </w:r>
    </w:p>
    <w:p>
      <w:r>
        <w:rPr>
          <w:b w:val="0"/>
          <w:i w:val="0"/>
          <w:sz w:val="22"/>
        </w:rPr>
        <w:t>The user should apply judgment in edge cases (e.g., quoted source titles, figure captions, recognized technical idioms) where the original spelling or wording should be preserved. The fix list is a tool, not a mandate.</w:t>
      </w:r>
    </w:p>
    <w:p>
      <w:pPr>
        <w:pStyle w:val="Heading2"/>
        <w:spacing w:before="240" w:after="160"/>
      </w:pPr>
      <w:r>
        <w:rPr>
          <w:b/>
          <w:color w:val="000000"/>
          <w:sz w:val="32"/>
        </w:rPr>
        <w:t>Appendix: Fix Count Summary</w:t>
      </w:r>
    </w:p>
    <w:p>
      <w:r>
        <w:rPr>
          <w:b w:val="0"/>
          <w:i w:val="0"/>
          <w:sz w:val="22"/>
        </w:rPr>
        <w:t>The following table summarizes the verification results across all four parts of the fix list. The counts were computed by automated verification of the audit items against the New.docx manuscript text.</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val="true"/>
        </w:trPr>
        <w:tc>
          <w:tcPr>
            <w:tcW w:type="dxa" w:w="3685"/>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000000"/>
                <w:sz w:val="20"/>
              </w:rPr>
              <w:t>Category</w:t>
            </w:r>
          </w:p>
        </w:tc>
        <w:tc>
          <w:tcPr>
            <w:tcW w:type="dxa" w:w="1417"/>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000000"/>
                <w:sz w:val="20"/>
              </w:rPr>
              <w:t>Total Items</w:t>
            </w:r>
          </w:p>
        </w:tc>
        <w:tc>
          <w:tcPr>
            <w:tcW w:type="dxa" w:w="1417"/>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000000"/>
                <w:sz w:val="20"/>
              </w:rPr>
              <w:t>ALREADY FIXED</w:t>
            </w:r>
          </w:p>
        </w:tc>
        <w:tc>
          <w:tcPr>
            <w:tcW w:type="dxa" w:w="1417"/>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000000"/>
                <w:sz w:val="20"/>
              </w:rPr>
              <w:t>STILL PRESENT</w:t>
            </w:r>
          </w:p>
        </w:tc>
        <w:tc>
          <w:tcPr>
            <w:tcW w:type="dxa" w:w="1417"/>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000000"/>
                <w:sz w:val="20"/>
              </w:rPr>
              <w:t>PARTIALLY FIXED</w:t>
            </w:r>
          </w:p>
        </w:tc>
      </w:tr>
      <w:tr>
        <w:trPr>
          <w:cantSplit w:val="false"/>
        </w:trPr>
        <w:tc>
          <w:tcPr>
            <w:tcW w:type="dxa" w:w="3685"/>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sz w:val="20"/>
              </w:rPr>
              <w:t>Part 1: Sentence-Level Grammar</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val="0"/>
                <w:sz w:val="20"/>
              </w:rPr>
              <w:t>180</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1E8449"/>
                <w:sz w:val="20"/>
              </w:rPr>
              <w:t>0</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178</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B7950B"/>
                <w:sz w:val="20"/>
              </w:rPr>
              <w:t>2</w:t>
            </w:r>
          </w:p>
        </w:tc>
      </w:tr>
      <w:tr>
        <w:trPr>
          <w:cantSplit w:val="false"/>
        </w:trPr>
        <w:tc>
          <w:tcPr>
            <w:tcW w:type="dxa" w:w="3685"/>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sz w:val="20"/>
              </w:rPr>
              <w:t>Part 2: AI-Generic Phrases</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val="0"/>
                <w:sz w:val="20"/>
              </w:rPr>
              <w:t>26</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1E8449"/>
                <w:sz w:val="20"/>
              </w:rPr>
              <w:t>0</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26</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B7950B"/>
                <w:sz w:val="20"/>
              </w:rPr>
              <w:t>0</w:t>
            </w:r>
          </w:p>
        </w:tc>
      </w:tr>
      <w:tr>
        <w:trPr>
          <w:cantSplit w:val="false"/>
        </w:trPr>
        <w:tc>
          <w:tcPr>
            <w:tcW w:type="dxa" w:w="3685"/>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sz w:val="20"/>
              </w:rPr>
              <w:t>Part 3: Consistency Rules</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val="0"/>
                <w:sz w:val="20"/>
              </w:rPr>
              <w:t>7</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1E8449"/>
                <w:sz w:val="20"/>
              </w:rPr>
              <w:t>0</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7</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B7950B"/>
                <w:sz w:val="20"/>
              </w:rPr>
              <w:t>N/A</w:t>
            </w:r>
          </w:p>
        </w:tc>
      </w:tr>
      <w:tr>
        <w:trPr>
          <w:cantSplit w:val="false"/>
        </w:trPr>
        <w:tc>
          <w:tcPr>
            <w:tcW w:type="dxa" w:w="3685"/>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val="0"/>
                <w:sz w:val="20"/>
              </w:rPr>
              <w:t>Part 4: Final Search List</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val="0"/>
                <w:sz w:val="20"/>
              </w:rPr>
              <w:t>26</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1E8449"/>
                <w:sz w:val="20"/>
              </w:rPr>
              <w:t>0</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26</w:t>
            </w:r>
          </w:p>
        </w:tc>
        <w:tc>
          <w:tcPr>
            <w:tcW w:type="dxa" w:w="1417"/>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B7950B"/>
                <w:sz w:val="20"/>
              </w:rPr>
              <w:t>N/A</w:t>
            </w:r>
          </w:p>
        </w:tc>
      </w:tr>
      <w:tr>
        <w:trPr>
          <w:cantSplit w:val="false"/>
        </w:trPr>
        <w:tc>
          <w:tcPr>
            <w:tcW w:type="dxa" w:w="3685"/>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r/>
            <w:r>
              <w:rPr>
                <w:b/>
                <w:sz w:val="20"/>
              </w:rPr>
              <w:t>Total</w:t>
            </w:r>
          </w:p>
        </w:tc>
        <w:tc>
          <w:tcPr>
            <w:tcW w:type="dxa" w:w="1417"/>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sz w:val="20"/>
              </w:rPr>
              <w:t>239</w:t>
            </w:r>
          </w:p>
        </w:tc>
        <w:tc>
          <w:tcPr>
            <w:tcW w:type="dxa" w:w="1417"/>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1E8449"/>
                <w:sz w:val="20"/>
              </w:rPr>
              <w:t>0</w:t>
            </w:r>
          </w:p>
        </w:tc>
        <w:tc>
          <w:tcPr>
            <w:tcW w:type="dxa" w:w="1417"/>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C0392B"/>
                <w:sz w:val="20"/>
              </w:rPr>
              <w:t>237</w:t>
            </w:r>
          </w:p>
        </w:tc>
        <w:tc>
          <w:tcPr>
            <w:tcW w:type="dxa" w:w="1417"/>
            <w:shd w:val="clear" w:color="auto" w:fill="F2F2F2"/>
            <w:tcBorders>
              <w:top w:val="single" w:sz="4" w:space="0" w:color="BFBFBF"/>
              <w:left w:val="single" w:sz="4" w:space="0" w:color="BFBFBF"/>
              <w:bottom w:val="single" w:sz="4" w:space="0" w:color="BFBFBF"/>
              <w:right w:val="single" w:sz="4" w:space="0" w:color="BFBFBF"/>
            </w:tcBorders>
            <w:tcMar>
              <w:top w:w="40" w:type="dxa"/>
              <w:bottom w:w="40" w:type="dxa"/>
              <w:left w:w="80" w:type="dxa"/>
              <w:right w:w="80" w:type="dxa"/>
            </w:tcMar>
          </w:tcPr>
          <w:p>
            <w:pPr>
              <w:jc w:val="center"/>
            </w:pPr>
            <w:r/>
            <w:r>
              <w:rPr>
                <w:b/>
                <w:color w:val="B7950B"/>
                <w:sz w:val="20"/>
              </w:rPr>
              <w:t>2</w:t>
            </w:r>
          </w:p>
        </w:tc>
      </w:tr>
    </w:tbl>
    <w:p>
      <w:pPr>
        <w:spacing w:before="240"/>
      </w:pPr>
      <w:r>
        <w:rPr>
          <w:i/>
          <w:sz w:val="22"/>
        </w:rPr>
        <w:t>End of fix list. Apply the fixes in the order listed (Part 1 → Part 2 → Part 3 → Part 4), then run the Part 4 search list a second time as a QA pass to verify zero hits on all error patterns.</w:t>
      </w:r>
    </w:p>
    <w:sectPr w:rsidR="00FC693F" w:rsidRPr="0006063C" w:rsidSect="00034616">
      <w:headerReference w:type="default" r:id="rId9"/>
      <w:footerReference w:type="default" r:id="rId10"/>
      <w:pgSz w:w="11906" w:h="16838"/>
      <w:pgMar w:top="1417" w:right="1134" w:bottom="1417"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r>
      <w:rPr>
        <w:sz w:val="20"/>
      </w:rPr>
      <w:fldChar w:fldCharType="begin"/>
      <w:instrText>PAGE</w:instrText>
      <w:fldChar w:fldCharType="end"/>
    </w:r>
    <w:r>
      <w:rPr>
        <w:sz w:val="20"/>
      </w:rPr>
      <w:t xml:space="preserve"> of </w:t>
    </w:r>
    <w:r>
      <w:rPr>
        <w:sz w:val="20"/>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808080"/>
        <w:sz w:val="20"/>
      </w:rPr>
      <w:t>Grammar &amp; AI-Generic Fix List — Energy Infrastructure for AI Data Centers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