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49D8" w14:textId="19AB9274" w:rsidR="00C4550C" w:rsidRDefault="00000000" w:rsidP="00EC5535">
      <w:pPr>
        <w:jc w:val="center"/>
      </w:pPr>
      <w:r>
        <w:rPr>
          <w:b/>
          <w:color w:val="1F4E79"/>
          <w:sz w:val="36"/>
        </w:rPr>
        <w:t xml:space="preserve">Response to Reviewer </w:t>
      </w:r>
    </w:p>
    <w:p w14:paraId="63B9A973" w14:textId="77777777" w:rsidR="00C4550C" w:rsidRDefault="00000000" w:rsidP="00EC5535">
      <w:pPr>
        <w:jc w:val="center"/>
      </w:pPr>
      <w:r>
        <w:rPr>
          <w:i/>
          <w:sz w:val="23"/>
        </w:rPr>
        <w:t>Energy Infrastructure for AI Data Centers: A Critical Review of Grid Integration, Techno-Economic Challenges, and Future Pathways</w:t>
      </w:r>
    </w:p>
    <w:p w14:paraId="64A693A4" w14:textId="77777777" w:rsidR="00C4550C" w:rsidRDefault="00000000" w:rsidP="00EC5535">
      <w:pPr>
        <w:jc w:val="center"/>
      </w:pPr>
      <w:r>
        <w:rPr>
          <w:b/>
        </w:rPr>
        <w:t>Mahmoud Kiasari and Hamed Aly</w:t>
      </w:r>
    </w:p>
    <w:p w14:paraId="657AE5E0" w14:textId="77777777" w:rsidR="00C4550C" w:rsidRDefault="00000000" w:rsidP="00EC5535">
      <w:pPr>
        <w:jc w:val="both"/>
      </w:pPr>
      <w:r>
        <w:rPr>
          <w:b/>
          <w:color w:val="1F4E79"/>
          <w:sz w:val="26"/>
        </w:rPr>
        <w:t>General Response</w:t>
      </w:r>
    </w:p>
    <w:p w14:paraId="36D1A069" w14:textId="77777777" w:rsidR="00C4550C" w:rsidRDefault="00000000" w:rsidP="00EC5535">
      <w:pPr>
        <w:pStyle w:val="ResponseText"/>
        <w:jc w:val="both"/>
      </w:pPr>
      <w:r>
        <w:t>We thank Reviewer #2 for the careful and technically detailed assessment of the manuscript. The comments identified several places where the earlier version needed clearer methodological reporting, more disciplined use of engineering and economic metrics, and a stronger distinction between literature synthesis and project-specific modeling. We have revised the manuscript accordingly.</w:t>
      </w:r>
    </w:p>
    <w:p w14:paraId="3856CC08" w14:textId="77777777" w:rsidR="00C4550C" w:rsidRDefault="00000000" w:rsidP="00EC5535">
      <w:pPr>
        <w:spacing w:before="120"/>
        <w:jc w:val="both"/>
      </w:pPr>
      <w:r>
        <w:rPr>
          <w:b/>
          <w:color w:val="1F4E79"/>
          <w:sz w:val="26"/>
        </w:rPr>
        <w:t>Point-by-Point Responses</w:t>
      </w:r>
    </w:p>
    <w:p w14:paraId="74DE1543" w14:textId="77777777" w:rsidR="00C4550C" w:rsidRDefault="00000000" w:rsidP="00EC5535">
      <w:pPr>
        <w:keepNext/>
        <w:spacing w:before="200" w:after="80"/>
        <w:jc w:val="both"/>
      </w:pPr>
      <w:r>
        <w:rPr>
          <w:b/>
          <w:color w:val="1F4E79"/>
          <w:sz w:val="23"/>
        </w:rPr>
        <w:t>Comment 2.1 — Review methodology and PRISMA reporting</w:t>
      </w:r>
    </w:p>
    <w:p w14:paraId="06E29AB0" w14:textId="77777777" w:rsidR="00C4550C" w:rsidRDefault="00000000" w:rsidP="00EC5535">
      <w:pPr>
        <w:keepNext/>
        <w:spacing w:after="40"/>
        <w:jc w:val="both"/>
      </w:pPr>
      <w:r>
        <w:rPr>
          <w:b/>
          <w:color w:val="5A5A5A"/>
          <w:sz w:val="19"/>
        </w:rPr>
        <w:t>Reviewer comment</w:t>
      </w:r>
    </w:p>
    <w:p w14:paraId="3E55026B" w14:textId="77777777" w:rsidR="00C4550C" w:rsidRDefault="00000000" w:rsidP="00EC5535">
      <w:pPr>
        <w:pStyle w:val="ReviewerComment"/>
        <w:pBdr>
          <w:left w:val="single" w:sz="10" w:space="5" w:color="A6A6A6"/>
        </w:pBdr>
        <w:shd w:val="clear" w:color="auto" w:fill="F2F2F2"/>
        <w:jc w:val="both"/>
      </w:pPr>
      <w:r>
        <w:t>No review methodology is reported. Please add a PRISMA-style methodology with the databases searched, the search strings used, the date window, the inclusion and exclusion criteria, the screening counts (n identified, n screened, n excluded with reasons, n included), and a PRISMA flow diagram.</w:t>
      </w:r>
    </w:p>
    <w:p w14:paraId="5E4A8A5A" w14:textId="77777777" w:rsidR="00C4550C" w:rsidRDefault="00000000" w:rsidP="00EC5535">
      <w:pPr>
        <w:keepNext/>
        <w:spacing w:after="40"/>
        <w:jc w:val="both"/>
      </w:pPr>
      <w:r>
        <w:rPr>
          <w:b/>
          <w:color w:val="1F4E79"/>
          <w:sz w:val="19"/>
        </w:rPr>
        <w:t>Response</w:t>
      </w:r>
    </w:p>
    <w:p w14:paraId="6CAA8379" w14:textId="77777777" w:rsidR="00C4550C" w:rsidRDefault="00000000" w:rsidP="00EC5535">
      <w:pPr>
        <w:pStyle w:val="ResponseText"/>
        <w:jc w:val="both"/>
      </w:pPr>
      <w:r>
        <w:t>Thank you for raising this point. We agreed that the earlier version did not make the review process sufficiently transparent. A dedicated Review Methodology section has therefore been added as Section 1.6, with separate subsections covering the search strategy and evidence identification, eligibility criteria, and screening and selection process.</w:t>
      </w:r>
    </w:p>
    <w:p w14:paraId="64829E8F" w14:textId="77777777" w:rsidR="00C4550C" w:rsidRDefault="00000000" w:rsidP="00EC5535">
      <w:pPr>
        <w:pStyle w:val="ResponseText"/>
        <w:jc w:val="both"/>
      </w:pPr>
      <w:r>
        <w:t>The revised methodology identifies Scopus, Web of Science Core Collection, and IEEE Xplore as the principal bibliographic databases. ScienceDirect and Google Scholar were used as supplementary discovery and citation-tracing resources. The main publication window was 2015–2026, while earlier sources were retained selectively when they provided foundational standards, methods, or engineering concepts that remain relevant to current data-center and power-system applications. The search was organized around seven concept groups covering AI/data-center infrastructure, electricity demand and power quality, renewable generation, storage, grid integration and reliability, energy management and workload flexibility, and techno-economic/sustainability assessment.</w:t>
      </w:r>
    </w:p>
    <w:p w14:paraId="0209B97B" w14:textId="77777777" w:rsidR="00C4550C" w:rsidRDefault="00000000" w:rsidP="00EC5535">
      <w:pPr>
        <w:pStyle w:val="ResponseText"/>
        <w:jc w:val="both"/>
      </w:pPr>
      <w:r>
        <w:t>Because indexing fields, syntax rules, and query-length limits differ across databases, the exact Boolean syntax was adapted to each platform while preserving the same underlying concept groups. Verbatim historical search logs were not retained for every individual search. Rather than reconstructing strings retrospectively and presenting them as original records, the manuscript now states this limitation explicitly. The review is therefore described as PRISMA 2020-informed rather than claiming a level of reproducibility that the retained search records cannot support.</w:t>
      </w:r>
    </w:p>
    <w:p w14:paraId="4A1D5BE1" w14:textId="77777777" w:rsidR="00C4550C" w:rsidRDefault="00000000" w:rsidP="00EC5535">
      <w:pPr>
        <w:pStyle w:val="ResponseText"/>
        <w:jc w:val="both"/>
      </w:pPr>
      <w:r>
        <w:t>Section 1.6.2 now states the inclusion and exclusion criteria, and Section 1.6.3 describes the screening process and qualitative synthesis. Figure 2 presents the identification, deduplication, screening, full-text assessment, exclusion, and final-inclusion stages leading to the final evidence base of 178 sources.</w:t>
      </w:r>
    </w:p>
    <w:p w14:paraId="635AA96B" w14:textId="77777777" w:rsidR="00C4550C" w:rsidRDefault="00000000" w:rsidP="00EC5535">
      <w:pPr>
        <w:pStyle w:val="Location"/>
        <w:jc w:val="both"/>
      </w:pPr>
      <w:r>
        <w:rPr>
          <w:b/>
        </w:rPr>
        <w:t xml:space="preserve">Location in revised manuscript: </w:t>
      </w:r>
      <w:r>
        <w:t>Section 1.6; Sections 1.6.1–1.6.3; Figure 2.</w:t>
      </w:r>
    </w:p>
    <w:p w14:paraId="2822672F" w14:textId="77777777" w:rsidR="00C4550C" w:rsidRDefault="00000000" w:rsidP="00EC5535">
      <w:pPr>
        <w:keepNext/>
        <w:spacing w:before="200" w:after="80"/>
        <w:jc w:val="both"/>
      </w:pPr>
      <w:r>
        <w:rPr>
          <w:b/>
          <w:color w:val="1F4E79"/>
          <w:sz w:val="23"/>
        </w:rPr>
        <w:t>Comment 2.2 — Source-count consistency and source-type breakdown</w:t>
      </w:r>
    </w:p>
    <w:p w14:paraId="4ADD2C79" w14:textId="77777777" w:rsidR="00C4550C" w:rsidRDefault="00000000" w:rsidP="00EC5535">
      <w:pPr>
        <w:keepNext/>
        <w:spacing w:after="40"/>
        <w:jc w:val="both"/>
      </w:pPr>
      <w:r>
        <w:rPr>
          <w:b/>
          <w:color w:val="5A5A5A"/>
          <w:sz w:val="19"/>
        </w:rPr>
        <w:t>Reviewer comment</w:t>
      </w:r>
    </w:p>
    <w:p w14:paraId="21FFF2DA" w14:textId="77777777" w:rsidR="00C4550C" w:rsidRDefault="00000000" w:rsidP="00EC5535">
      <w:pPr>
        <w:pStyle w:val="ReviewerComment"/>
        <w:pBdr>
          <w:left w:val="single" w:sz="10" w:space="5" w:color="A6A6A6"/>
        </w:pBdr>
        <w:shd w:val="clear" w:color="auto" w:fill="F2F2F2"/>
        <w:jc w:val="both"/>
      </w:pPr>
      <w:r>
        <w:t>The source count is inconsistent: the abstract reports 185 sources, Section 2 reports 160, and the reference list contains 185 entries of mixed type. Please give the true breakdown by source type and make the counts consistent throughout the manuscript.</w:t>
      </w:r>
    </w:p>
    <w:p w14:paraId="73146750" w14:textId="77777777" w:rsidR="00C4550C" w:rsidRDefault="00000000" w:rsidP="00EC5535">
      <w:pPr>
        <w:keepNext/>
        <w:spacing w:after="40"/>
        <w:jc w:val="both"/>
      </w:pPr>
      <w:r>
        <w:rPr>
          <w:b/>
          <w:color w:val="1F4E79"/>
          <w:sz w:val="19"/>
        </w:rPr>
        <w:lastRenderedPageBreak/>
        <w:t>Response</w:t>
      </w:r>
    </w:p>
    <w:p w14:paraId="70CC6B42" w14:textId="77777777" w:rsidR="00C4550C" w:rsidRDefault="00000000" w:rsidP="00EC5535">
      <w:pPr>
        <w:pStyle w:val="ResponseText"/>
        <w:jc w:val="both"/>
      </w:pPr>
      <w:r>
        <w:t>The source count has been reconciled throughout the revised manuscript. The final evidence base is reported consistently as 178 sources in the abstract, the review-methodology section, Figure 2, and the discussion of the evidence base.</w:t>
      </w:r>
    </w:p>
    <w:p w14:paraId="6D3BC546" w14:textId="77777777" w:rsidR="00C4550C" w:rsidRDefault="00000000" w:rsidP="00EC5535">
      <w:pPr>
        <w:pStyle w:val="ResponseText"/>
        <w:jc w:val="both"/>
      </w:pPr>
      <w:r>
        <w:t>The source-type distribution reported in Figure 2 is 90 peer-reviewed journal articles, 19 conference papers, 13 standards and patent documents, 36 government/agency/institutional reports, and 20 corporate or other grey-literature sources, for a total of 178. The earlier references to “over 160” and 185 sources have been removed so that the manuscript no longer uses different totals in different sections.</w:t>
      </w:r>
    </w:p>
    <w:p w14:paraId="290C09D7" w14:textId="77777777" w:rsidR="00C4550C" w:rsidRDefault="00000000" w:rsidP="00EC5535">
      <w:pPr>
        <w:pStyle w:val="ResponseText"/>
        <w:jc w:val="both"/>
      </w:pPr>
      <w:r>
        <w:t>We also revised the methodology text to make clear why the evidence base includes more than conventional journal literature. The topic spans power engineering, technical standards, market data, regulatory requirements, and rapidly changing industry practice; consequently, selected institutional and commercial sources were retained when they supplied information that was not adequately represented in the peer-reviewed literature. These source types are now identified explicitly rather than being combined under a single undifferentiated reference count.</w:t>
      </w:r>
    </w:p>
    <w:p w14:paraId="4DE236E0" w14:textId="77777777" w:rsidR="00C4550C" w:rsidRDefault="00000000" w:rsidP="00EC5535">
      <w:pPr>
        <w:pStyle w:val="Location"/>
        <w:jc w:val="both"/>
      </w:pPr>
      <w:r>
        <w:rPr>
          <w:b/>
        </w:rPr>
        <w:t xml:space="preserve">Location in revised manuscript: </w:t>
      </w:r>
      <w:r>
        <w:t>Abstract; Section 1.6.3; Figure 2; reference list.</w:t>
      </w:r>
    </w:p>
    <w:p w14:paraId="7A600AEF" w14:textId="77777777" w:rsidR="00C4550C" w:rsidRDefault="00000000" w:rsidP="00EC5535">
      <w:pPr>
        <w:keepNext/>
        <w:spacing w:before="200" w:after="80"/>
        <w:jc w:val="both"/>
      </w:pPr>
      <w:r>
        <w:rPr>
          <w:b/>
          <w:color w:val="1F4E79"/>
          <w:sz w:val="23"/>
        </w:rPr>
        <w:t>Comment 2.3 — Undocumented original modeling outputs</w:t>
      </w:r>
    </w:p>
    <w:p w14:paraId="519071AD" w14:textId="77777777" w:rsidR="00C4550C" w:rsidRDefault="00000000" w:rsidP="00EC5535">
      <w:pPr>
        <w:keepNext/>
        <w:spacing w:after="40"/>
        <w:jc w:val="both"/>
      </w:pPr>
      <w:r>
        <w:rPr>
          <w:b/>
          <w:color w:val="5A5A5A"/>
          <w:sz w:val="19"/>
        </w:rPr>
        <w:t>Reviewer comment</w:t>
      </w:r>
    </w:p>
    <w:p w14:paraId="2D65E79E" w14:textId="77777777" w:rsidR="00C4550C" w:rsidRDefault="00000000" w:rsidP="00EC5535">
      <w:pPr>
        <w:pStyle w:val="ReviewerComment"/>
        <w:pBdr>
          <w:left w:val="single" w:sz="10" w:space="5" w:color="A6A6A6"/>
        </w:pBdr>
        <w:shd w:val="clear" w:color="auto" w:fill="F2F2F2"/>
        <w:jc w:val="both"/>
      </w:pPr>
      <w:r>
        <w:t>Sections 5.3, 7.3, 10.1, 10.2, and 10.4 present original modelling results (e.g., the 720 MWh deterministic baseline, the &gt;90% storage-reduction claim, the Pareto-frontier figure, the payback ranges) but no model is documented. Please either document the model in an appendix with a data availability statement, or replace these outputs with sourced published values.</w:t>
      </w:r>
    </w:p>
    <w:p w14:paraId="39737636" w14:textId="77777777" w:rsidR="00C4550C" w:rsidRDefault="00000000" w:rsidP="00EC5535">
      <w:pPr>
        <w:keepNext/>
        <w:spacing w:after="40"/>
        <w:jc w:val="both"/>
      </w:pPr>
      <w:r>
        <w:rPr>
          <w:b/>
          <w:color w:val="1F4E79"/>
          <w:sz w:val="19"/>
        </w:rPr>
        <w:t>Response</w:t>
      </w:r>
    </w:p>
    <w:p w14:paraId="1D8AB8FB" w14:textId="77777777" w:rsidR="00C4550C" w:rsidRDefault="00000000" w:rsidP="00EC5535">
      <w:pPr>
        <w:pStyle w:val="ResponseText"/>
        <w:jc w:val="both"/>
      </w:pPr>
      <w:r>
        <w:t>We resolved this concern by removing the unsupported site-specific numerical outputs rather than attempting to defend them without a reproducible model. The revised manuscript no longer presents the 720 MWh baseline, a universal storage-reduction percentage, a site-specific Pareto frontier, or generalized project payback ranges as findings of this review.</w:t>
      </w:r>
    </w:p>
    <w:p w14:paraId="6DE733F9" w14:textId="77777777" w:rsidR="00C4550C" w:rsidRDefault="00000000" w:rsidP="00EC5535">
      <w:pPr>
        <w:pStyle w:val="ResponseText"/>
        <w:jc w:val="both"/>
      </w:pPr>
      <w:r>
        <w:t>Section 5.3 now retains only a generic mathematical formulation for deterministic, probabilistic, and optimization-based sizing. The text makes clear that these equations are included to organize methods reported in the literature and were not executed in this review to generate site-specific numerical results. Where numerical technology or cost values are discussed, they are now tied to published sources and identified by geography, year, metric, and system boundary.</w:t>
      </w:r>
    </w:p>
    <w:p w14:paraId="59C1B989" w14:textId="77777777" w:rsidR="00C4550C" w:rsidRDefault="00000000" w:rsidP="00EC5535">
      <w:pPr>
        <w:pStyle w:val="ResponseText"/>
        <w:jc w:val="both"/>
      </w:pPr>
      <w:r>
        <w:t>Section 7.3 also states what would be required if the framework were applied in a future project-specific optimization study: the input data, model formulation, solver, temporal resolution, assumptions, constraints, and outputs would need to be documented and validated. This separates the review contribution from a site-specific engineering optimization exercise.</w:t>
      </w:r>
    </w:p>
    <w:p w14:paraId="77F7B421" w14:textId="77777777" w:rsidR="00C4550C" w:rsidRDefault="00000000" w:rsidP="00EC5535">
      <w:pPr>
        <w:pStyle w:val="Location"/>
        <w:jc w:val="both"/>
      </w:pPr>
      <w:r>
        <w:rPr>
          <w:b/>
        </w:rPr>
        <w:t xml:space="preserve">Location in revised manuscript: </w:t>
      </w:r>
      <w:r>
        <w:t>Section 5.3; Section 7.3; Sections 10.1–10.4; revised framework figures and cost tables.</w:t>
      </w:r>
    </w:p>
    <w:p w14:paraId="74C63D63" w14:textId="77777777" w:rsidR="00C4550C" w:rsidRDefault="00000000" w:rsidP="00EC5535">
      <w:pPr>
        <w:keepNext/>
        <w:spacing w:before="200" w:after="80"/>
        <w:jc w:val="both"/>
      </w:pPr>
      <w:r>
        <w:rPr>
          <w:b/>
          <w:color w:val="1F4E79"/>
          <w:sz w:val="23"/>
        </w:rPr>
        <w:t>Comment 2.4 — LOLE equation dimensionality</w:t>
      </w:r>
    </w:p>
    <w:p w14:paraId="742DF247" w14:textId="77777777" w:rsidR="00C4550C" w:rsidRDefault="00000000" w:rsidP="00EC5535">
      <w:pPr>
        <w:keepNext/>
        <w:spacing w:after="40"/>
        <w:jc w:val="both"/>
      </w:pPr>
      <w:r>
        <w:rPr>
          <w:b/>
          <w:color w:val="5A5A5A"/>
          <w:sz w:val="19"/>
        </w:rPr>
        <w:t>Reviewer comment</w:t>
      </w:r>
    </w:p>
    <w:p w14:paraId="21B47C9D" w14:textId="77777777" w:rsidR="00C4550C" w:rsidRDefault="00000000" w:rsidP="00EC5535">
      <w:pPr>
        <w:pStyle w:val="ReviewerComment"/>
        <w:pBdr>
          <w:left w:val="single" w:sz="10" w:space="5" w:color="A6A6A6"/>
        </w:pBdr>
        <w:shd w:val="clear" w:color="auto" w:fill="F2F2F2"/>
        <w:jc w:val="both"/>
      </w:pPr>
      <w:r>
        <w:t>LOLE is defined as hours per year, but the equation divides the indicator sum by 8760, returning a probability rather than an expectation in hours. Please either remove the factor of 8760 or relabel the metric as LOLP (loss-of-load probability).</w:t>
      </w:r>
    </w:p>
    <w:p w14:paraId="241D5F64" w14:textId="77777777" w:rsidR="00C4550C" w:rsidRDefault="00000000" w:rsidP="00EC5535">
      <w:pPr>
        <w:keepNext/>
        <w:spacing w:after="40"/>
        <w:jc w:val="both"/>
      </w:pPr>
      <w:r>
        <w:rPr>
          <w:b/>
          <w:color w:val="1F4E79"/>
          <w:sz w:val="19"/>
        </w:rPr>
        <w:t>Response</w:t>
      </w:r>
    </w:p>
    <w:p w14:paraId="15E13654" w14:textId="77777777" w:rsidR="00C4550C" w:rsidRDefault="00000000" w:rsidP="00EC5535">
      <w:pPr>
        <w:pStyle w:val="ResponseText"/>
        <w:jc w:val="both"/>
      </w:pPr>
      <w:r>
        <w:t>The equation has been corrected. The normalization by 8,760 has been removed, so the adequacy metric is no longer expressed as a dimensionless probability.</w:t>
      </w:r>
    </w:p>
    <w:p w14:paraId="01FFA59C" w14:textId="77777777" w:rsidR="00FB14D2" w:rsidRDefault="00000000" w:rsidP="00EC5535">
      <w:pPr>
        <w:pStyle w:val="ResponseText"/>
        <w:jc w:val="both"/>
      </w:pPr>
      <w:r>
        <w:lastRenderedPageBreak/>
        <w:t>In the revised formulation, LOLE is obtained by summing the durations of the chronological intervals in which available supply is below the defined critical load. In compact form, the expression is</w:t>
      </w:r>
      <w:r w:rsidR="00FB14D2">
        <w:t>:</w:t>
      </w:r>
    </w:p>
    <w:p w14:paraId="5EB0E2EB" w14:textId="42FE272A" w:rsidR="000012C6" w:rsidRDefault="00FB14D2" w:rsidP="000012C6">
      <w:pPr>
        <w:pStyle w:val="ResponseText"/>
        <w:jc w:val="center"/>
      </w:pPr>
      <m:oMathPara>
        <m:oMath>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T</m:t>
              </m:r>
            </m:sup>
            <m:e>
              <m:r>
                <m:rPr>
                  <m:sty m:val="b"/>
                </m:rPr>
                <w:rPr>
                  <w:rFonts w:ascii="Cambria Math" w:hAnsi="Cambria Math" w:cstheme="majorBidi"/>
                </w:rPr>
                <m:t>1</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avail,t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crit,t</m:t>
                  </m:r>
                </m:sub>
              </m:sSub>
            </m:e>
          </m:d>
          <m:r>
            <m:rPr>
              <m:sty m:val="p"/>
            </m:rPr>
            <w:rPr>
              <w:rFonts w:ascii="Cambria Math" w:hAnsi="Cambria Math" w:cstheme="majorBidi"/>
            </w:rPr>
            <m:t>Δ</m:t>
          </m:r>
          <m:r>
            <w:rPr>
              <w:rFonts w:ascii="Cambria Math" w:hAnsi="Cambria Math" w:cstheme="majorBidi"/>
            </w:rPr>
            <m:t>t</m:t>
          </m:r>
        </m:oMath>
      </m:oMathPara>
    </w:p>
    <w:p w14:paraId="7BEDF46D" w14:textId="5C69B77B" w:rsidR="00C4550C" w:rsidRDefault="00000000" w:rsidP="00EC5535">
      <w:pPr>
        <w:pStyle w:val="ResponseText"/>
        <w:jc w:val="both"/>
      </w:pPr>
      <w:r>
        <w:t xml:space="preserve">When </w:t>
      </w:r>
      <w:proofErr w:type="spellStart"/>
      <w:r>
        <w:t>Δt</w:t>
      </w:r>
      <w:proofErr w:type="spellEnd"/>
      <w:r>
        <w:t xml:space="preserve"> is expressed in hours, the result is expressed in hours over the assessment period. This is consistent with the use of LOLE as an expected duration metric rather than LOLP.</w:t>
      </w:r>
    </w:p>
    <w:p w14:paraId="72C6F779" w14:textId="77777777" w:rsidR="00C4550C" w:rsidRDefault="00000000" w:rsidP="00EC5535">
      <w:pPr>
        <w:pStyle w:val="Location"/>
        <w:jc w:val="both"/>
      </w:pPr>
      <w:r>
        <w:rPr>
          <w:b/>
        </w:rPr>
        <w:t xml:space="preserve">Location in revised manuscript: </w:t>
      </w:r>
      <w:r>
        <w:t>Section 5.3, Equation (2) and accompanying variable definitions.</w:t>
      </w:r>
    </w:p>
    <w:p w14:paraId="5610E327" w14:textId="77777777" w:rsidR="00C4550C" w:rsidRDefault="00000000" w:rsidP="00EC5535">
      <w:pPr>
        <w:keepNext/>
        <w:spacing w:before="200" w:after="80"/>
        <w:jc w:val="both"/>
      </w:pPr>
      <w:r>
        <w:rPr>
          <w:b/>
          <w:color w:val="1F4E79"/>
          <w:sz w:val="23"/>
        </w:rPr>
        <w:t>Comment 2.5 — Equation (1) indexing and critical-load definition</w:t>
      </w:r>
    </w:p>
    <w:p w14:paraId="60E7354B" w14:textId="77777777" w:rsidR="00C4550C" w:rsidRDefault="00000000" w:rsidP="00EC5535">
      <w:pPr>
        <w:keepNext/>
        <w:spacing w:after="40"/>
        <w:jc w:val="both"/>
      </w:pPr>
      <w:r>
        <w:rPr>
          <w:b/>
          <w:color w:val="5A5A5A"/>
          <w:sz w:val="19"/>
        </w:rPr>
        <w:t>Reviewer comment</w:t>
      </w:r>
    </w:p>
    <w:p w14:paraId="20F46E31" w14:textId="77777777" w:rsidR="00C4550C" w:rsidRDefault="00000000" w:rsidP="00EC5535">
      <w:pPr>
        <w:pStyle w:val="ReviewerComment"/>
        <w:pBdr>
          <w:left w:val="single" w:sz="10" w:space="5" w:color="A6A6A6"/>
        </w:pBdr>
        <w:shd w:val="clear" w:color="auto" w:fill="F2F2F2"/>
        <w:jc w:val="both"/>
      </w:pPr>
      <w:r>
        <w:t>Equation (1) uses τ as the duration but the maximum runs over 1 to n, where n is the count of drought events — i.e., the max is over events, while the index inside the sum is a duration index. Please rewrite as a maximum over events, and state whether P_load is the full facility load or only the critical non-deferrable load.</w:t>
      </w:r>
    </w:p>
    <w:p w14:paraId="5C340F83" w14:textId="77777777" w:rsidR="00C4550C" w:rsidRDefault="00000000" w:rsidP="00EC5535">
      <w:pPr>
        <w:keepNext/>
        <w:spacing w:after="40"/>
        <w:jc w:val="both"/>
      </w:pPr>
      <w:r>
        <w:rPr>
          <w:b/>
          <w:color w:val="1F4E79"/>
          <w:sz w:val="19"/>
        </w:rPr>
        <w:t>Response</w:t>
      </w:r>
    </w:p>
    <w:p w14:paraId="5443F9E4" w14:textId="77777777" w:rsidR="00C4550C" w:rsidRDefault="00000000" w:rsidP="00EC5535">
      <w:pPr>
        <w:pStyle w:val="ResponseText"/>
        <w:jc w:val="both"/>
      </w:pPr>
      <w:r>
        <w:t>Equation (1) has been rewritten so that the event index and the time index are no longer mixed. The revised deterministic formulation takes the maximum over identified deficit events and sums the positive energy shortfall over the chronological time intervals belonging to each event.</w:t>
      </w:r>
    </w:p>
    <w:p w14:paraId="4ED68FD8" w14:textId="77777777" w:rsidR="00C4550C" w:rsidRDefault="00000000" w:rsidP="00EC5535">
      <w:pPr>
        <w:pStyle w:val="ResponseText"/>
        <w:jc w:val="both"/>
      </w:pPr>
      <w:r>
        <w:t>The demand term is now defined explicitly as the critical, non-deferrable facility load. This distinction is important for AI data centers because not all computing demand has the same reliability requirement. Real-time inference, critical networking, safety systems, cooling controls, and essential facility controls may belong to the critical-load definition, whereas selected training, analytics, or batch-processing loads may be treated as deferrable only when their delay is technically feasible and permitted by service-level and operational constraints.</w:t>
      </w:r>
    </w:p>
    <w:p w14:paraId="18594084" w14:textId="77777777" w:rsidR="00C4550C" w:rsidRDefault="00000000" w:rsidP="00EC5535">
      <w:pPr>
        <w:pStyle w:val="ResponseText"/>
        <w:jc w:val="both"/>
      </w:pPr>
      <w:r>
        <w:t>The revised formulation also makes clear that renewable generation, permitted grid imports, and available backup generation are treated as non-storage supply when the energy deficit is calculated.</w:t>
      </w:r>
    </w:p>
    <w:p w14:paraId="330CC2C6" w14:textId="77777777" w:rsidR="00C4550C" w:rsidRDefault="00000000" w:rsidP="00EC5535">
      <w:pPr>
        <w:pStyle w:val="Location"/>
        <w:jc w:val="both"/>
      </w:pPr>
      <w:r>
        <w:rPr>
          <w:b/>
        </w:rPr>
        <w:t xml:space="preserve">Location in revised manuscript: </w:t>
      </w:r>
      <w:r>
        <w:t>Section 5.3, Equation (1); critical-load discussion in the reliability sections.</w:t>
      </w:r>
    </w:p>
    <w:p w14:paraId="0B98EFF6" w14:textId="77777777" w:rsidR="00C4550C" w:rsidRDefault="00000000" w:rsidP="00EC5535">
      <w:pPr>
        <w:keepNext/>
        <w:spacing w:before="200" w:after="80"/>
        <w:jc w:val="both"/>
      </w:pPr>
      <w:r>
        <w:rPr>
          <w:b/>
          <w:color w:val="1F4E79"/>
          <w:sz w:val="23"/>
        </w:rPr>
        <w:t>Comment 2.6 — Conflicting storage-reduction claims</w:t>
      </w:r>
    </w:p>
    <w:p w14:paraId="053A7588" w14:textId="77777777" w:rsidR="00C4550C" w:rsidRDefault="00000000" w:rsidP="00EC5535">
      <w:pPr>
        <w:keepNext/>
        <w:spacing w:after="40"/>
        <w:jc w:val="both"/>
      </w:pPr>
      <w:r>
        <w:rPr>
          <w:b/>
          <w:color w:val="5A5A5A"/>
          <w:sz w:val="19"/>
        </w:rPr>
        <w:t>Reviewer comment</w:t>
      </w:r>
    </w:p>
    <w:p w14:paraId="2EBB889F" w14:textId="77777777" w:rsidR="00C4550C" w:rsidRDefault="00000000" w:rsidP="00EC5535">
      <w:pPr>
        <w:pStyle w:val="ReviewerComment"/>
        <w:pBdr>
          <w:left w:val="single" w:sz="10" w:space="5" w:color="A6A6A6"/>
        </w:pBdr>
        <w:shd w:val="clear" w:color="auto" w:fill="F2F2F2"/>
        <w:jc w:val="both"/>
      </w:pPr>
      <w:r>
        <w:t>Section 5.3 claims that LOLE-based sizing cuts storage by more than 90% against a 720 MWh baseline, but the baseline is never derived and the facility size is never stated. Section 13.3 separately gives 30–60% for the same comparison. Please reconcile.</w:t>
      </w:r>
    </w:p>
    <w:p w14:paraId="6B7507A9" w14:textId="77777777" w:rsidR="00C4550C" w:rsidRDefault="00000000" w:rsidP="00EC5535">
      <w:pPr>
        <w:keepNext/>
        <w:spacing w:after="40"/>
        <w:jc w:val="both"/>
      </w:pPr>
      <w:r>
        <w:rPr>
          <w:b/>
          <w:color w:val="1F4E79"/>
          <w:sz w:val="19"/>
        </w:rPr>
        <w:t>Response</w:t>
      </w:r>
    </w:p>
    <w:p w14:paraId="03B3DEAD" w14:textId="77777777" w:rsidR="00C4550C" w:rsidRDefault="00000000" w:rsidP="00EC5535">
      <w:pPr>
        <w:pStyle w:val="ResponseText"/>
        <w:jc w:val="both"/>
      </w:pPr>
      <w:r>
        <w:t>The conflicting storage-reduction percentages and the 720 MWh baseline have been removed. We do not believe that a single percentage reduction can be generalized across data-center projects because the result depends on the load profile, renewable-resource chronology, grid availability, backup resources, dispatch assumptions, storage technology, and adequacy criterion.</w:t>
      </w:r>
    </w:p>
    <w:p w14:paraId="26724520" w14:textId="77777777" w:rsidR="00C4550C" w:rsidRDefault="00000000" w:rsidP="00EC5535">
      <w:pPr>
        <w:pStyle w:val="ResponseText"/>
        <w:jc w:val="both"/>
      </w:pPr>
      <w:r>
        <w:t>The revised Section 5.3 therefore presents deterministic and probabilistic sizing as alternative planning approaches rather than as methods with a universal reduction factor. Storage capacity is described as a project-specific result that must be obtained from chronological analysis using clearly defined inputs and reliability assumptions. Section 13 no longer presents a separate generalized percentage range for the same comparison.</w:t>
      </w:r>
    </w:p>
    <w:p w14:paraId="08D2B1E6" w14:textId="77777777" w:rsidR="00C4550C" w:rsidRDefault="00000000" w:rsidP="00EC5535">
      <w:pPr>
        <w:pStyle w:val="Location"/>
        <w:jc w:val="both"/>
      </w:pPr>
      <w:r>
        <w:rPr>
          <w:b/>
        </w:rPr>
        <w:t xml:space="preserve">Location in revised manuscript: </w:t>
      </w:r>
      <w:r>
        <w:t>Section 5.3; Section 13.</w:t>
      </w:r>
    </w:p>
    <w:p w14:paraId="15FF6CCB" w14:textId="77777777" w:rsidR="00C4550C" w:rsidRDefault="00000000" w:rsidP="00EC5535">
      <w:pPr>
        <w:keepNext/>
        <w:spacing w:before="200" w:after="80"/>
        <w:jc w:val="both"/>
      </w:pPr>
      <w:r>
        <w:rPr>
          <w:b/>
          <w:color w:val="1F4E79"/>
          <w:sz w:val="23"/>
        </w:rPr>
        <w:lastRenderedPageBreak/>
        <w:t>Comment 2.7 — Battery capital-cost units and system boundary</w:t>
      </w:r>
    </w:p>
    <w:p w14:paraId="02FD6FFB" w14:textId="77777777" w:rsidR="00C4550C" w:rsidRDefault="00000000" w:rsidP="00EC5535">
      <w:pPr>
        <w:keepNext/>
        <w:spacing w:after="40"/>
        <w:jc w:val="both"/>
      </w:pPr>
      <w:r>
        <w:rPr>
          <w:b/>
          <w:color w:val="5A5A5A"/>
          <w:sz w:val="19"/>
        </w:rPr>
        <w:t>Reviewer comment</w:t>
      </w:r>
    </w:p>
    <w:p w14:paraId="4FBDA78E" w14:textId="77777777" w:rsidR="00C4550C" w:rsidRDefault="00000000" w:rsidP="00EC5535">
      <w:pPr>
        <w:pStyle w:val="ReviewerComment"/>
        <w:pBdr>
          <w:left w:val="single" w:sz="10" w:space="5" w:color="A6A6A6"/>
        </w:pBdr>
        <w:shd w:val="clear" w:color="auto" w:fill="F2F2F2"/>
        <w:jc w:val="both"/>
      </w:pPr>
      <w:r>
        <w:t>Section 7.3 expresses battery-cost sensitivity in $/MWh. Battery capital cost is a $/kWh quantity. Please correct the unit and state whether the price refers to the cell, the pack, or the installed system.</w:t>
      </w:r>
    </w:p>
    <w:p w14:paraId="39D1D558" w14:textId="77777777" w:rsidR="00C4550C" w:rsidRDefault="00000000" w:rsidP="00EC5535">
      <w:pPr>
        <w:keepNext/>
        <w:spacing w:after="40"/>
        <w:jc w:val="both"/>
      </w:pPr>
      <w:r>
        <w:rPr>
          <w:b/>
          <w:color w:val="1F4E79"/>
          <w:sz w:val="19"/>
        </w:rPr>
        <w:t>Response</w:t>
      </w:r>
    </w:p>
    <w:p w14:paraId="41F26AE2" w14:textId="77777777" w:rsidR="00C4550C" w:rsidRDefault="00000000" w:rsidP="00EC5535">
      <w:pPr>
        <w:pStyle w:val="ResponseText"/>
        <w:jc w:val="both"/>
      </w:pPr>
      <w:r>
        <w:t>The battery-cost terminology has been corrected so that capital cost is reported in USD/kWh, while storage-service metrics such as LCOS are reported separately in USD/MWh.</w:t>
      </w:r>
    </w:p>
    <w:p w14:paraId="0BFB38BF" w14:textId="77777777" w:rsidR="00C4550C" w:rsidRDefault="00000000" w:rsidP="00EC5535">
      <w:pPr>
        <w:pStyle w:val="ResponseText"/>
        <w:jc w:val="both"/>
      </w:pPr>
      <w:r>
        <w:t>The revised manuscript also distinguishes the physical boundary of each battery-cost figure. Cell-level prices, battery-pack prices, and fully installed BESS costs are not treated as interchangeable. In particular, the BloombergNEF value of approximately USD 108/kWh is identified as a 2025 volume-weighted battery-pack price. It does not include the full set of costs required for an operating BESS, such as the power-conversion system, thermal management, controls, enclosures, fire protection, engineering/procurement/construction, balance of system, site development, and interconnection.</w:t>
      </w:r>
    </w:p>
    <w:p w14:paraId="3FBCA64B" w14:textId="77777777" w:rsidR="00C4550C" w:rsidRDefault="00000000" w:rsidP="00EC5535">
      <w:pPr>
        <w:pStyle w:val="ResponseText"/>
        <w:jc w:val="both"/>
      </w:pPr>
      <w:r>
        <w:t>This distinction is now carried through the storage and economic sections and is made explicit in the cost tables rather than leaving the reader to infer what is included in a quoted USD/kWh value.</w:t>
      </w:r>
    </w:p>
    <w:p w14:paraId="434459D9" w14:textId="77777777" w:rsidR="00C4550C" w:rsidRDefault="00000000" w:rsidP="00EC5535">
      <w:pPr>
        <w:pStyle w:val="Location"/>
        <w:jc w:val="both"/>
      </w:pPr>
      <w:r>
        <w:rPr>
          <w:b/>
        </w:rPr>
        <w:t xml:space="preserve">Location in revised manuscript: </w:t>
      </w:r>
      <w:r>
        <w:t>Sections 1.2, 2.3, 5.3, 7.3, and 10.1; Table 3 and related cost tables.</w:t>
      </w:r>
    </w:p>
    <w:p w14:paraId="3037A210" w14:textId="77777777" w:rsidR="00C4550C" w:rsidRDefault="00000000" w:rsidP="00EC5535">
      <w:pPr>
        <w:keepNext/>
        <w:spacing w:before="200" w:after="80"/>
        <w:jc w:val="both"/>
      </w:pPr>
      <w:r>
        <w:rPr>
          <w:b/>
          <w:color w:val="1F4E79"/>
          <w:sz w:val="23"/>
        </w:rPr>
        <w:t>Comment 2.8 — Availability and LOLE arithmetic</w:t>
      </w:r>
    </w:p>
    <w:p w14:paraId="61511D8C" w14:textId="77777777" w:rsidR="00C4550C" w:rsidRDefault="00000000" w:rsidP="00EC5535">
      <w:pPr>
        <w:keepNext/>
        <w:spacing w:after="40"/>
        <w:jc w:val="both"/>
      </w:pPr>
      <w:r>
        <w:rPr>
          <w:b/>
          <w:color w:val="5A5A5A"/>
          <w:sz w:val="19"/>
        </w:rPr>
        <w:t>Reviewer comment</w:t>
      </w:r>
    </w:p>
    <w:p w14:paraId="7FE7669C" w14:textId="77777777" w:rsidR="00C4550C" w:rsidRDefault="00000000" w:rsidP="00EC5535">
      <w:pPr>
        <w:pStyle w:val="ReviewerComment"/>
        <w:pBdr>
          <w:left w:val="single" w:sz="10" w:space="5" w:color="A6A6A6"/>
        </w:pBdr>
        <w:shd w:val="clear" w:color="auto" w:fill="F2F2F2"/>
        <w:jc w:val="both"/>
      </w:pPr>
      <w:r>
        <w:t>LOLE of 0.1 h/yr corresponds to 99.9989% availability, not 99.99% as stated. The reliability target also switches between 99.9% and 99.99%. Please fix the arithmetic and settle on a single reliability target.</w:t>
      </w:r>
    </w:p>
    <w:p w14:paraId="6B587E4F" w14:textId="77777777" w:rsidR="00C4550C" w:rsidRDefault="00000000" w:rsidP="00EC5535">
      <w:pPr>
        <w:keepNext/>
        <w:spacing w:after="40"/>
        <w:jc w:val="both"/>
      </w:pPr>
      <w:r>
        <w:rPr>
          <w:b/>
          <w:color w:val="1F4E79"/>
          <w:sz w:val="19"/>
        </w:rPr>
        <w:t>Response</w:t>
      </w:r>
    </w:p>
    <w:p w14:paraId="3CF27E7B" w14:textId="77777777" w:rsidR="00C4550C" w:rsidRDefault="00000000" w:rsidP="00EC5535">
      <w:pPr>
        <w:pStyle w:val="ResponseText"/>
        <w:jc w:val="both"/>
      </w:pPr>
      <w:r>
        <w:t>The reliability discussion has been revised to separate annual availability from LOLE rather than converting one directly into the other. The reviewer is correct that 0.1 h/year of simple annual unavailability corresponds to approximately 99.9989% availability. Conversely, 99.99% annual availability corresponds to 0.876 h/year, or approximately 52.6 min/year, of unavailability under a simple duration-based calculation.</w:t>
      </w:r>
    </w:p>
    <w:p w14:paraId="3DEB102C" w14:textId="77777777" w:rsidR="00C4550C" w:rsidRDefault="00000000" w:rsidP="00EC5535">
      <w:pPr>
        <w:pStyle w:val="ResponseText"/>
        <w:jc w:val="both"/>
      </w:pPr>
      <w:r>
        <w:t>The revised manuscript uses 99.99% only as an illustrative annual availability assumption. The associated 0.876 h/year value is explicitly described as an annual unavailability allowance, not as LOLE and not as a universal LOLE threshold. LOLE is calculated independently from chronological supply-shortfall conditions using Equation (2), and any numerical LOLE criterion must be specified separately for the project or planning study.</w:t>
      </w:r>
    </w:p>
    <w:p w14:paraId="7DD83981" w14:textId="77777777" w:rsidR="00C4550C" w:rsidRDefault="00000000" w:rsidP="00EC5535">
      <w:pPr>
        <w:pStyle w:val="ResponseText"/>
        <w:jc w:val="both"/>
      </w:pPr>
      <w:r>
        <w:t>The earlier wording that linked a 99.9–99.99% range directly to LOLE-based storage sizing has been removed/replaced with a project-specific adequacy criterion so that availability and adequacy are no longer conflated.</w:t>
      </w:r>
    </w:p>
    <w:p w14:paraId="6B22FBAD" w14:textId="77777777" w:rsidR="00C4550C" w:rsidRDefault="00000000" w:rsidP="00EC5535">
      <w:pPr>
        <w:pStyle w:val="Location"/>
        <w:jc w:val="both"/>
      </w:pPr>
      <w:r>
        <w:rPr>
          <w:b/>
        </w:rPr>
        <w:t xml:space="preserve">Location in revised manuscript: </w:t>
      </w:r>
      <w:r>
        <w:t>Section 5.3; Equation (2); Table 3; reliability discussion in Section 7.</w:t>
      </w:r>
    </w:p>
    <w:p w14:paraId="381E18C1" w14:textId="77777777" w:rsidR="00C4550C" w:rsidRDefault="00000000" w:rsidP="00EC5535">
      <w:pPr>
        <w:keepNext/>
        <w:spacing w:before="200" w:after="80"/>
        <w:jc w:val="both"/>
      </w:pPr>
      <w:r>
        <w:rPr>
          <w:b/>
          <w:color w:val="1F4E79"/>
          <w:sz w:val="23"/>
        </w:rPr>
        <w:t>Comment 2.9 — Capacity price versus energy cost and LCOE</w:t>
      </w:r>
    </w:p>
    <w:p w14:paraId="75A87628" w14:textId="77777777" w:rsidR="00C4550C" w:rsidRDefault="00000000" w:rsidP="00EC5535">
      <w:pPr>
        <w:keepNext/>
        <w:spacing w:after="40"/>
        <w:jc w:val="both"/>
      </w:pPr>
      <w:r>
        <w:rPr>
          <w:b/>
          <w:color w:val="5A5A5A"/>
          <w:sz w:val="19"/>
        </w:rPr>
        <w:t>Reviewer comment</w:t>
      </w:r>
    </w:p>
    <w:p w14:paraId="5AC9D8C3" w14:textId="77777777" w:rsidR="00C4550C" w:rsidRDefault="00000000" w:rsidP="00EC5535">
      <w:pPr>
        <w:pStyle w:val="ReviewerComment"/>
        <w:pBdr>
          <w:left w:val="single" w:sz="10" w:space="5" w:color="A6A6A6"/>
        </w:pBdr>
        <w:shd w:val="clear" w:color="auto" w:fill="F2F2F2"/>
        <w:jc w:val="both"/>
      </w:pPr>
      <w:r>
        <w:t>Table 7 justifies the grid-only LCOE using PJM/CAISO/ERCOT capacity prices. Capacity prices clear in $/MW-day, not $/MWh, and a capacity price is not an LCOE. Please separate the energy, capacity, ancillary, and delivery components and cite a tariff or market report for each.</w:t>
      </w:r>
    </w:p>
    <w:p w14:paraId="0C8D90FA" w14:textId="77777777" w:rsidR="00C4550C" w:rsidRDefault="00000000" w:rsidP="00EC5535">
      <w:pPr>
        <w:keepNext/>
        <w:spacing w:after="40"/>
        <w:jc w:val="both"/>
      </w:pPr>
      <w:r>
        <w:rPr>
          <w:b/>
          <w:color w:val="1F4E79"/>
          <w:sz w:val="19"/>
        </w:rPr>
        <w:t>Response</w:t>
      </w:r>
    </w:p>
    <w:p w14:paraId="2DFF7C05" w14:textId="77777777" w:rsidR="00C4550C" w:rsidRDefault="00000000" w:rsidP="00EC5535">
      <w:pPr>
        <w:pStyle w:val="ResponseText"/>
        <w:jc w:val="both"/>
      </w:pPr>
      <w:r>
        <w:t>The grid-cost treatment has been reworked. A capacity-market clearing price is no longer presented as a grid LCOE. Capacity, energy, ancillary services, transmission, distribution, demand charges, taxes, and tariff-specific fees are now treated as separate components of delivered electricity cost.</w:t>
      </w:r>
    </w:p>
    <w:p w14:paraId="3D45A44F" w14:textId="77777777" w:rsidR="00C4550C" w:rsidRDefault="00000000" w:rsidP="00EC5535">
      <w:pPr>
        <w:pStyle w:val="ResponseText"/>
        <w:jc w:val="both"/>
      </w:pPr>
      <w:r>
        <w:lastRenderedPageBreak/>
        <w:t>Capacity prices remain in their native USD/MW-day units. Where an energy-equivalent value is shown for illustration, the conversion assumptions are stated explicitly and the result is identified only as a dimensional demonstration, not as a tariff and not as an LCOE. This is important because a capacity payment compensates availability of capacity rather than metered energy production.</w:t>
      </w:r>
    </w:p>
    <w:p w14:paraId="33BD3208" w14:textId="77777777" w:rsidR="00C4550C" w:rsidRDefault="00000000" w:rsidP="00EC5535">
      <w:pPr>
        <w:pStyle w:val="ResponseText"/>
        <w:jc w:val="both"/>
      </w:pPr>
      <w:r>
        <w:t>The comparative economic discussion therefore treats grid electricity as location- and tariff-specific firm delivered service. It does not assign a universal USD/MWh “grid LCOE” based on capacity-market data.</w:t>
      </w:r>
    </w:p>
    <w:p w14:paraId="7C3533BF" w14:textId="77777777" w:rsidR="00C4550C" w:rsidRDefault="00000000" w:rsidP="00EC5535">
      <w:pPr>
        <w:pStyle w:val="Location"/>
        <w:jc w:val="both"/>
      </w:pPr>
      <w:r>
        <w:rPr>
          <w:b/>
        </w:rPr>
        <w:t xml:space="preserve">Location in revised manuscript: </w:t>
      </w:r>
      <w:r>
        <w:t>Section 10.2; economic comparison tables, including Tables 7 and 9.</w:t>
      </w:r>
    </w:p>
    <w:p w14:paraId="200F143C" w14:textId="77777777" w:rsidR="00C4550C" w:rsidRDefault="00000000" w:rsidP="00EC5535">
      <w:pPr>
        <w:keepNext/>
        <w:spacing w:before="200" w:after="80"/>
        <w:jc w:val="both"/>
      </w:pPr>
      <w:r>
        <w:rPr>
          <w:b/>
          <w:color w:val="1F4E79"/>
          <w:sz w:val="23"/>
        </w:rPr>
        <w:t>Comment 2.10 — Unfirmed renewable LCOE versus firm grid supply</w:t>
      </w:r>
    </w:p>
    <w:p w14:paraId="7D88005C" w14:textId="77777777" w:rsidR="00C4550C" w:rsidRDefault="00000000" w:rsidP="00EC5535">
      <w:pPr>
        <w:keepNext/>
        <w:spacing w:after="40"/>
        <w:jc w:val="both"/>
      </w:pPr>
      <w:r>
        <w:rPr>
          <w:b/>
          <w:color w:val="5A5A5A"/>
          <w:sz w:val="19"/>
        </w:rPr>
        <w:t>Reviewer comment</w:t>
      </w:r>
    </w:p>
    <w:p w14:paraId="6582BCF6" w14:textId="77777777" w:rsidR="00C4550C" w:rsidRDefault="00000000" w:rsidP="00EC5535">
      <w:pPr>
        <w:pStyle w:val="ReviewerComment"/>
        <w:pBdr>
          <w:left w:val="single" w:sz="10" w:space="5" w:color="A6A6A6"/>
        </w:pBdr>
        <w:shd w:val="clear" w:color="auto" w:fill="F2F2F2"/>
        <w:jc w:val="both"/>
      </w:pPr>
      <w:r>
        <w:t>Table 7 places unfirmed solar/wind LCOE alongside firm grid supply; the headline conclusion rests on that comparison. Please either add firming cost and curtailment to the renewable rows, or limit the comparison to firmed hybrid rows.</w:t>
      </w:r>
    </w:p>
    <w:p w14:paraId="639806CD" w14:textId="77777777" w:rsidR="00C4550C" w:rsidRDefault="00000000" w:rsidP="00EC5535">
      <w:pPr>
        <w:keepNext/>
        <w:spacing w:after="40"/>
        <w:jc w:val="both"/>
      </w:pPr>
      <w:r>
        <w:rPr>
          <w:b/>
          <w:color w:val="1F4E79"/>
          <w:sz w:val="19"/>
        </w:rPr>
        <w:t>Response</w:t>
      </w:r>
    </w:p>
    <w:p w14:paraId="5A49D3B8" w14:textId="77777777" w:rsidR="00C4550C" w:rsidRDefault="00000000" w:rsidP="00EC5535">
      <w:pPr>
        <w:pStyle w:val="ResponseText"/>
        <w:jc w:val="both"/>
      </w:pPr>
      <w:r>
        <w:t>We agree that generation-only LCOE and firm delivered electricity are not equivalent products. The revised tables and discussion now make the system boundary explicit before any cost comparison is made.</w:t>
      </w:r>
    </w:p>
    <w:p w14:paraId="5D4C0D3D" w14:textId="77777777" w:rsidR="00C4550C" w:rsidRDefault="00000000" w:rsidP="00EC5535">
      <w:pPr>
        <w:pStyle w:val="ResponseText"/>
        <w:jc w:val="both"/>
      </w:pPr>
      <w:r>
        <w:t>Standalone solar PV and onshore wind are retained only as unfirmed, generation-only benchmarks. Those values do not include the additional resources that may be needed to serve a continuous AI data-center load, including storage, backup generation, grid imports, curtailment management, transmission, interconnection, reserves, and demand flexibility. Renewable-plus-storage values are presented separately as partially firmed hybrid benchmarks and are not described as fully firm unless a chronological reliability analysis demonstrates that the required adequacy criterion is met.</w:t>
      </w:r>
    </w:p>
    <w:p w14:paraId="49A4BD5E" w14:textId="77777777" w:rsidR="00C4550C" w:rsidRDefault="00000000" w:rsidP="00EC5535">
      <w:pPr>
        <w:pStyle w:val="ResponseText"/>
        <w:jc w:val="both"/>
      </w:pPr>
      <w:r>
        <w:t>As a result, the manuscript no longer bases its economic conclusion on a direct comparison between unfirmed renewable LCOE and firm grid service.</w:t>
      </w:r>
    </w:p>
    <w:p w14:paraId="5001A1AE" w14:textId="77777777" w:rsidR="00C4550C" w:rsidRDefault="00000000" w:rsidP="00EC5535">
      <w:pPr>
        <w:pStyle w:val="Location"/>
        <w:jc w:val="both"/>
      </w:pPr>
      <w:r>
        <w:rPr>
          <w:b/>
        </w:rPr>
        <w:t xml:space="preserve">Location in revised manuscript: </w:t>
      </w:r>
      <w:r>
        <w:t>Sections 10.1–10.2; Tables 7 and 9; Figure 10.</w:t>
      </w:r>
    </w:p>
    <w:p w14:paraId="69A46494" w14:textId="77777777" w:rsidR="00C4550C" w:rsidRDefault="00000000" w:rsidP="00EC5535">
      <w:pPr>
        <w:keepNext/>
        <w:spacing w:before="200" w:after="80"/>
        <w:jc w:val="both"/>
      </w:pPr>
      <w:r>
        <w:rPr>
          <w:b/>
          <w:color w:val="1F4E79"/>
          <w:sz w:val="23"/>
        </w:rPr>
        <w:t>Comment 2.11 — WACC and discount-rate consistency</w:t>
      </w:r>
    </w:p>
    <w:p w14:paraId="62B36FD5" w14:textId="77777777" w:rsidR="00C4550C" w:rsidRDefault="00000000" w:rsidP="00EC5535">
      <w:pPr>
        <w:keepNext/>
        <w:spacing w:after="40"/>
        <w:jc w:val="both"/>
      </w:pPr>
      <w:r>
        <w:rPr>
          <w:b/>
          <w:color w:val="5A5A5A"/>
          <w:sz w:val="19"/>
        </w:rPr>
        <w:t>Reviewer comment</w:t>
      </w:r>
    </w:p>
    <w:p w14:paraId="18D63811" w14:textId="77777777" w:rsidR="00C4550C" w:rsidRDefault="00000000" w:rsidP="00EC5535">
      <w:pPr>
        <w:pStyle w:val="ReviewerComment"/>
        <w:pBdr>
          <w:left w:val="single" w:sz="10" w:space="5" w:color="A6A6A6"/>
        </w:pBdr>
        <w:shd w:val="clear" w:color="auto" w:fill="F2F2F2"/>
        <w:jc w:val="both"/>
      </w:pPr>
      <w:r>
        <w:t>Table 7 assumes a 5–7% real discount rate, Section 7.8 applies 7.5%, and Section 10.4 uses 7–12%. Please state a single WACC, indicate whether it is real or nominal, and apply it to every LCOE, NPV, IRR, and payback calculation.</w:t>
      </w:r>
    </w:p>
    <w:p w14:paraId="6D31970D" w14:textId="77777777" w:rsidR="00C4550C" w:rsidRDefault="00000000" w:rsidP="00EC5535">
      <w:pPr>
        <w:keepNext/>
        <w:spacing w:after="40"/>
        <w:jc w:val="both"/>
      </w:pPr>
      <w:r>
        <w:rPr>
          <w:b/>
          <w:color w:val="1F4E79"/>
          <w:sz w:val="19"/>
        </w:rPr>
        <w:t>Response</w:t>
      </w:r>
    </w:p>
    <w:p w14:paraId="227CB460" w14:textId="77777777" w:rsidR="00C4550C" w:rsidRDefault="00000000" w:rsidP="00EC5535">
      <w:pPr>
        <w:pStyle w:val="ResponseText"/>
        <w:jc w:val="both"/>
      </w:pPr>
      <w:r>
        <w:t>The financing assumptions have been standardized. A 7.5% real WACC is now used as the central illustrative screening assumption for financial examples developed within the review, while 5–12% real is used only as a sensitivity range around that central value.</w:t>
      </w:r>
    </w:p>
    <w:p w14:paraId="25209B05" w14:textId="77777777" w:rsidR="00C4550C" w:rsidRDefault="00000000" w:rsidP="00EC5535">
      <w:pPr>
        <w:pStyle w:val="ResponseText"/>
        <w:jc w:val="both"/>
      </w:pPr>
      <w:r>
        <w:t>The manuscript also distinguishes real and nominal treatment: real cash flows are to be discounted with a real rate, whereas nominal cash flows require a nominal discount rate and consistent treatment of inflation. Project-specific NPV, IRR, and payback calculations are therefore required to use one internally consistent cash-flow basis.</w:t>
      </w:r>
    </w:p>
    <w:p w14:paraId="6EE7E7FB" w14:textId="77777777" w:rsidR="00C4550C" w:rsidRDefault="00000000" w:rsidP="00EC5535">
      <w:pPr>
        <w:pStyle w:val="ResponseText"/>
        <w:jc w:val="both"/>
      </w:pPr>
      <w:r>
        <w:t>Published LCOE values from IRENA, Lazard, NREL, and other sources are retained as source-reported literature benchmarks. We do not claim to have recalculated those published values at 7.5% when the underlying source-level cash flows are not available. The revision therefore establishes one assumption for the review’s own screening calculations without artificially rewriting the financing assumptions embedded in external studies.</w:t>
      </w:r>
    </w:p>
    <w:p w14:paraId="51BB67DE" w14:textId="77777777" w:rsidR="00C4550C" w:rsidRDefault="00000000" w:rsidP="00EC5535">
      <w:pPr>
        <w:pStyle w:val="Location"/>
        <w:jc w:val="both"/>
      </w:pPr>
      <w:r>
        <w:rPr>
          <w:b/>
        </w:rPr>
        <w:t xml:space="preserve">Location in revised manuscript: </w:t>
      </w:r>
      <w:r>
        <w:t>Section 7 economic evaluation; Sections 10.1–10.4; cost comparison tables.</w:t>
      </w:r>
    </w:p>
    <w:p w14:paraId="1D8C87D7" w14:textId="77777777" w:rsidR="00C4550C" w:rsidRDefault="00000000" w:rsidP="00EC5535">
      <w:pPr>
        <w:keepNext/>
        <w:spacing w:before="200" w:after="80"/>
        <w:jc w:val="both"/>
      </w:pPr>
      <w:r>
        <w:rPr>
          <w:b/>
          <w:color w:val="1F4E79"/>
          <w:sz w:val="23"/>
        </w:rPr>
        <w:lastRenderedPageBreak/>
        <w:t>Comment 2.12 — Conflicting headline numerical ranges</w:t>
      </w:r>
    </w:p>
    <w:p w14:paraId="334414EE" w14:textId="77777777" w:rsidR="00C4550C" w:rsidRDefault="00000000" w:rsidP="00EC5535">
      <w:pPr>
        <w:keepNext/>
        <w:spacing w:after="40"/>
        <w:jc w:val="both"/>
      </w:pPr>
      <w:r>
        <w:rPr>
          <w:b/>
          <w:color w:val="5A5A5A"/>
          <w:sz w:val="19"/>
        </w:rPr>
        <w:t>Reviewer comment</w:t>
      </w:r>
    </w:p>
    <w:p w14:paraId="55E3AF6C" w14:textId="77777777" w:rsidR="00C4550C" w:rsidRDefault="00000000" w:rsidP="00EC5535">
      <w:pPr>
        <w:pStyle w:val="ReviewerComment"/>
        <w:pBdr>
          <w:left w:val="single" w:sz="10" w:space="5" w:color="A6A6A6"/>
        </w:pBdr>
        <w:shd w:val="clear" w:color="auto" w:fill="F2F2F2"/>
        <w:jc w:val="both"/>
      </w:pPr>
      <w:r>
        <w:t>Payback is variously reported as 5–12 yr, then 6–11 yr, then 4–8 yr; LCOE as 35–100 and then 35–80 $/MWh; storage reduction as 40–60% and then 50–70%; interconnection cost as USD 50k–500k plus USD 10M (Section 1.3) vs USD 500k–2M or USD 5–10M (Section 7.2). Please build a single results table and reconcile all headline numbers.</w:t>
      </w:r>
    </w:p>
    <w:p w14:paraId="1ACDAE95" w14:textId="77777777" w:rsidR="00C4550C" w:rsidRDefault="00000000" w:rsidP="00EC5535">
      <w:pPr>
        <w:keepNext/>
        <w:spacing w:after="40"/>
        <w:jc w:val="both"/>
      </w:pPr>
      <w:r>
        <w:rPr>
          <w:b/>
          <w:color w:val="1F4E79"/>
          <w:sz w:val="19"/>
        </w:rPr>
        <w:t>Response</w:t>
      </w:r>
    </w:p>
    <w:p w14:paraId="5FAF56A1" w14:textId="77777777" w:rsidR="00C4550C" w:rsidRDefault="00000000" w:rsidP="00EC5535">
      <w:pPr>
        <w:pStyle w:val="ResponseText"/>
        <w:jc w:val="both"/>
      </w:pPr>
      <w:r>
        <w:t>We reconciled this issue by removing ranges that were being presented too broadly rather than averaging incompatible numbers into a new range. The generalized payback ranges and universal storage-reduction percentages have been deleted. Interconnection cost is now treated as project- and network-specific rather than as a transferable planning constant.</w:t>
      </w:r>
    </w:p>
    <w:p w14:paraId="649B49C9" w14:textId="77777777" w:rsidR="00C4550C" w:rsidRDefault="00000000" w:rsidP="00EC5535">
      <w:pPr>
        <w:pStyle w:val="ResponseText"/>
        <w:jc w:val="both"/>
      </w:pPr>
      <w:r>
        <w:t>The remaining economic values are organized in the revised cost tables with the source, year or technology vintage, geography, metric, and system boundary stated wherever the source permits. This is important because a global generation-only LCOE, a project PPA offer, an installed BESS cost, a battery-pack price, and a delivered retail electricity charge describe different quantities and should not be compressed into a single headline range.</w:t>
      </w:r>
    </w:p>
    <w:p w14:paraId="346A820E" w14:textId="77777777" w:rsidR="00C4550C" w:rsidRDefault="00000000" w:rsidP="00EC5535">
      <w:pPr>
        <w:pStyle w:val="ResponseText"/>
        <w:jc w:val="both"/>
      </w:pPr>
      <w:r>
        <w:t>The revised discussion therefore uses the tables as the central location for literature-based benchmarks and avoids repeating free-standing numerical ranges elsewhere in the manuscript unless their context and boundary are clear.</w:t>
      </w:r>
    </w:p>
    <w:p w14:paraId="750C2B59" w14:textId="77777777" w:rsidR="00C4550C" w:rsidRDefault="00000000" w:rsidP="00EC5535">
      <w:pPr>
        <w:pStyle w:val="Location"/>
        <w:jc w:val="both"/>
      </w:pPr>
      <w:r>
        <w:rPr>
          <w:b/>
        </w:rPr>
        <w:t xml:space="preserve">Location in revised manuscript: </w:t>
      </w:r>
      <w:r>
        <w:t>Sections 7 and 10; Tables 7 and 9; Section 13 limitations.</w:t>
      </w:r>
    </w:p>
    <w:p w14:paraId="6EE7F47C" w14:textId="77777777" w:rsidR="00C4550C" w:rsidRDefault="00000000" w:rsidP="00EC5535">
      <w:pPr>
        <w:keepNext/>
        <w:spacing w:before="200" w:after="80"/>
        <w:jc w:val="both"/>
      </w:pPr>
      <w:r>
        <w:rPr>
          <w:b/>
          <w:color w:val="1F4E79"/>
          <w:sz w:val="23"/>
        </w:rPr>
        <w:t>Comment 2.13 — BNEF USD 108/kWh figure</w:t>
      </w:r>
    </w:p>
    <w:p w14:paraId="539B1C53" w14:textId="77777777" w:rsidR="00C4550C" w:rsidRDefault="00000000" w:rsidP="00EC5535">
      <w:pPr>
        <w:keepNext/>
        <w:spacing w:after="40"/>
        <w:jc w:val="both"/>
      </w:pPr>
      <w:r>
        <w:rPr>
          <w:b/>
          <w:color w:val="5A5A5A"/>
          <w:sz w:val="19"/>
        </w:rPr>
        <w:t>Reviewer comment</w:t>
      </w:r>
    </w:p>
    <w:p w14:paraId="009A8FEC" w14:textId="77777777" w:rsidR="00C4550C" w:rsidRDefault="00000000" w:rsidP="00EC5535">
      <w:pPr>
        <w:pStyle w:val="ReviewerComment"/>
        <w:pBdr>
          <w:left w:val="single" w:sz="10" w:space="5" w:color="A6A6A6"/>
        </w:pBdr>
        <w:shd w:val="clear" w:color="auto" w:fill="F2F2F2"/>
        <w:jc w:val="both"/>
      </w:pPr>
      <w:r>
        <w:t>The abstract calls USD 108/kWh a 2026 projection, while Sections 1.2 and 2.3 correctly report it as an observed 2025 BNEF figure. The volume-weighted pack price is also never reconciled with the USD 75–160/kWh installed-system costs quoted later.</w:t>
      </w:r>
    </w:p>
    <w:p w14:paraId="448FF633" w14:textId="77777777" w:rsidR="00C4550C" w:rsidRDefault="00000000" w:rsidP="00EC5535">
      <w:pPr>
        <w:keepNext/>
        <w:spacing w:after="40"/>
        <w:jc w:val="both"/>
      </w:pPr>
      <w:r>
        <w:rPr>
          <w:b/>
          <w:color w:val="1F4E79"/>
          <w:sz w:val="19"/>
        </w:rPr>
        <w:t>Response</w:t>
      </w:r>
    </w:p>
    <w:p w14:paraId="61E4D579" w14:textId="77777777" w:rsidR="00C4550C" w:rsidRDefault="00000000" w:rsidP="00EC5535">
      <w:pPr>
        <w:pStyle w:val="ResponseText"/>
        <w:jc w:val="both"/>
      </w:pPr>
      <w:r>
        <w:t>The USD 108/kWh value is now described consistently as the 2025 volume-weighted average lithium-ion battery-pack price reported by BloombergNEF. It is no longer described as a 2026 projection.</w:t>
      </w:r>
    </w:p>
    <w:p w14:paraId="22DE6B2F" w14:textId="77777777" w:rsidR="00C4550C" w:rsidRDefault="00000000" w:rsidP="00EC5535">
      <w:pPr>
        <w:pStyle w:val="ResponseText"/>
        <w:jc w:val="both"/>
      </w:pPr>
      <w:r>
        <w:t>We also revised the cost discussion so that the BNEF pack-price benchmark is not compared directly with installed-system values. A pack-price figure covers the battery pack, whereas a fully installed BESS includes additional equipment and project costs such as power conversion, thermal management, controls, fire protection, balance of system, EPC, site development, and interconnection. The manuscript now states this distinction directly in the narrative and in the cost tables.</w:t>
      </w:r>
    </w:p>
    <w:p w14:paraId="49C2B6F3" w14:textId="77777777" w:rsidR="00C4550C" w:rsidRDefault="00000000" w:rsidP="00EC5535">
      <w:pPr>
        <w:pStyle w:val="ResponseText"/>
        <w:jc w:val="both"/>
      </w:pPr>
      <w:r>
        <w:t>This change removes the apparent contradiction between the lower pack-level benchmark and higher installed-system values: they refer to different system boundaries rather than competing estimates of the same quantity.</w:t>
      </w:r>
    </w:p>
    <w:p w14:paraId="4DF1700D" w14:textId="77777777" w:rsidR="00C4550C" w:rsidRDefault="00000000" w:rsidP="00EC5535">
      <w:pPr>
        <w:pStyle w:val="Location"/>
        <w:jc w:val="both"/>
      </w:pPr>
      <w:r>
        <w:rPr>
          <w:b/>
        </w:rPr>
        <w:t xml:space="preserve">Location in revised manuscript: </w:t>
      </w:r>
      <w:r>
        <w:t>Abstract; Sections 1.2, 2.3, 10.1; Table 3.</w:t>
      </w:r>
    </w:p>
    <w:p w14:paraId="42649284" w14:textId="77777777" w:rsidR="00C4550C" w:rsidRDefault="00000000" w:rsidP="00EC5535">
      <w:pPr>
        <w:keepNext/>
        <w:spacing w:before="200" w:after="80"/>
        <w:jc w:val="both"/>
      </w:pPr>
      <w:r>
        <w:rPr>
          <w:b/>
          <w:color w:val="1F4E79"/>
          <w:sz w:val="23"/>
        </w:rPr>
        <w:t>Comment 2.14 — Incorrect or overextended reference attribution</w:t>
      </w:r>
    </w:p>
    <w:p w14:paraId="2755AC18" w14:textId="77777777" w:rsidR="00C4550C" w:rsidRDefault="00000000" w:rsidP="00EC5535">
      <w:pPr>
        <w:keepNext/>
        <w:spacing w:after="40"/>
        <w:jc w:val="both"/>
      </w:pPr>
      <w:r>
        <w:rPr>
          <w:b/>
          <w:color w:val="5A5A5A"/>
          <w:sz w:val="19"/>
        </w:rPr>
        <w:t>Reviewer comment</w:t>
      </w:r>
    </w:p>
    <w:p w14:paraId="1CB7DBE7" w14:textId="77777777" w:rsidR="00C4550C" w:rsidRDefault="00000000" w:rsidP="00EC5535">
      <w:pPr>
        <w:pStyle w:val="ReviewerComment"/>
        <w:pBdr>
          <w:left w:val="single" w:sz="10" w:space="5" w:color="A6A6A6"/>
        </w:pBdr>
        <w:shd w:val="clear" w:color="auto" w:fill="F2F2F2"/>
        <w:jc w:val="both"/>
      </w:pPr>
      <w:r>
        <w:t>(a) Section 1.1 attributes '2.9 Wh per GPT-3 query' to 'research by Li', but reference [7] is Shi/Yang/Lo and no Li source appears. (b) Reference [58] is BloombergNEF 'Corporate Clean Energy Buying Fell in 2025', cited in Section 10.2 and Table 3 for BNEF battery pack prices. (c) Reference [150] is Lazard June 2025, but Table 7 states that values reflect 2026 market conditions validated against NREL/BNEF/IRENA, citing [150] for all of it.</w:t>
      </w:r>
    </w:p>
    <w:p w14:paraId="547BF5D3" w14:textId="77777777" w:rsidR="00C4550C" w:rsidRDefault="00000000" w:rsidP="00EC5535">
      <w:pPr>
        <w:keepNext/>
        <w:spacing w:after="40"/>
        <w:jc w:val="both"/>
      </w:pPr>
      <w:r>
        <w:rPr>
          <w:b/>
          <w:color w:val="1F4E79"/>
          <w:sz w:val="19"/>
        </w:rPr>
        <w:lastRenderedPageBreak/>
        <w:t>Response</w:t>
      </w:r>
    </w:p>
    <w:p w14:paraId="32926F61" w14:textId="77777777" w:rsidR="00C4550C" w:rsidRDefault="00000000" w:rsidP="00EC5535">
      <w:pPr>
        <w:pStyle w:val="ResponseText"/>
        <w:jc w:val="both"/>
      </w:pPr>
      <w:r>
        <w:t>The citation problems identified in this comment have been corrected individually.</w:t>
      </w:r>
    </w:p>
    <w:p w14:paraId="36C799E8" w14:textId="77777777" w:rsidR="00C4550C" w:rsidRDefault="00000000" w:rsidP="00EC5535">
      <w:pPr>
        <w:pStyle w:val="ResponseText"/>
        <w:jc w:val="both"/>
      </w:pPr>
      <w:r>
        <w:t>First, the specific “2.9 Wh per GPT-3 query” statement and the incorrect attribution to “Li” have been removed. The revised Section 1.1 makes only the broader, supportable point that per-query inference energy becomes material at large scale.</w:t>
      </w:r>
    </w:p>
    <w:p w14:paraId="22681F91" w14:textId="77777777" w:rsidR="00C4550C" w:rsidRDefault="00000000" w:rsidP="00EC5535">
      <w:pPr>
        <w:pStyle w:val="ResponseText"/>
        <w:jc w:val="both"/>
      </w:pPr>
      <w:r>
        <w:t>Second, the battery-pack price is now cited to the appropriate BloombergNEF battery-price source rather than to an unrelated corporate clean-energy procurement article.</w:t>
      </w:r>
    </w:p>
    <w:p w14:paraId="0F8FBFB1" w14:textId="77777777" w:rsidR="00C4550C" w:rsidRDefault="00000000" w:rsidP="00EC5535">
      <w:pPr>
        <w:pStyle w:val="ResponseText"/>
        <w:jc w:val="both"/>
      </w:pPr>
      <w:r>
        <w:t>Third, the economic tables no longer use a single Lazard citation as a proxy for values attributed to several organizations. Each technology or cost statement is tied to the source that actually reports it. Where values from IRENA, Lazard, NREL, BloombergNEF, or other organizations are compared, the source and boundary are identified separately.</w:t>
      </w:r>
    </w:p>
    <w:p w14:paraId="18B99DC1" w14:textId="77777777" w:rsidR="00C4550C" w:rsidRDefault="00000000" w:rsidP="00EC5535">
      <w:pPr>
        <w:pStyle w:val="ResponseText"/>
        <w:jc w:val="both"/>
      </w:pPr>
      <w:r>
        <w:t>The in-text numbering and reference list were also rechecked after these changes so that revisions to one citation did not create new mismatches elsewhere.</w:t>
      </w:r>
    </w:p>
    <w:p w14:paraId="23E5AE49" w14:textId="77777777" w:rsidR="00C4550C" w:rsidRDefault="00000000" w:rsidP="00EC5535">
      <w:pPr>
        <w:pStyle w:val="Location"/>
        <w:jc w:val="both"/>
      </w:pPr>
      <w:r>
        <w:rPr>
          <w:b/>
        </w:rPr>
        <w:t xml:space="preserve">Location in revised manuscript: </w:t>
      </w:r>
      <w:r>
        <w:t>Section 1.1; battery-cost sections and tables; Sections 10.1–10.2; reference list.</w:t>
      </w:r>
    </w:p>
    <w:p w14:paraId="3D5BF0B3" w14:textId="77777777" w:rsidR="00C4550C" w:rsidRDefault="00000000" w:rsidP="00EC5535">
      <w:pPr>
        <w:keepNext/>
        <w:spacing w:before="200" w:after="80"/>
        <w:jc w:val="both"/>
      </w:pPr>
      <w:r>
        <w:rPr>
          <w:b/>
          <w:color w:val="1F4E79"/>
          <w:sz w:val="23"/>
        </w:rPr>
        <w:t>Comment 2.15 — Unsupported numerical claims and missing reporting context</w:t>
      </w:r>
    </w:p>
    <w:p w14:paraId="0B2DD620" w14:textId="77777777" w:rsidR="00C4550C" w:rsidRDefault="00000000" w:rsidP="00EC5535">
      <w:pPr>
        <w:keepNext/>
        <w:spacing w:after="40"/>
        <w:jc w:val="both"/>
      </w:pPr>
      <w:r>
        <w:rPr>
          <w:b/>
          <w:color w:val="5A5A5A"/>
          <w:sz w:val="19"/>
        </w:rPr>
        <w:t>Reviewer comment</w:t>
      </w:r>
    </w:p>
    <w:p w14:paraId="787C4DF5" w14:textId="77777777" w:rsidR="00C4550C" w:rsidRDefault="00000000" w:rsidP="00EC5535">
      <w:pPr>
        <w:pStyle w:val="ReviewerComment"/>
        <w:pBdr>
          <w:left w:val="single" w:sz="10" w:space="5" w:color="A6A6A6"/>
        </w:pBdr>
        <w:shd w:val="clear" w:color="auto" w:fill="F2F2F2"/>
        <w:jc w:val="both"/>
      </w:pPr>
      <w:r>
        <w:t>(a) Section 10.5 attributes downtime &gt;USD 500,000/h to ref [9] (Uptime Institute survey), which reports outage-cost distributions rather than a per-hour figure for training clusters. (b) Section 10.3 quotes a PPA price of USD 64.49/MWh to two decimals with no citation. (c) Section 1.1 gives 165% demand growth by 2030 with no baseline year. (d) Section 8.1 gives Google figures with no reporting year.</w:t>
      </w:r>
    </w:p>
    <w:p w14:paraId="53C7A305" w14:textId="77777777" w:rsidR="00C4550C" w:rsidRDefault="00000000" w:rsidP="00EC5535">
      <w:pPr>
        <w:keepNext/>
        <w:spacing w:after="40"/>
        <w:jc w:val="both"/>
      </w:pPr>
      <w:r>
        <w:rPr>
          <w:b/>
          <w:color w:val="1F4E79"/>
          <w:sz w:val="19"/>
        </w:rPr>
        <w:t>Response</w:t>
      </w:r>
    </w:p>
    <w:p w14:paraId="2CC5C9C3" w14:textId="77777777" w:rsidR="00C4550C" w:rsidRDefault="00000000" w:rsidP="00EC5535">
      <w:pPr>
        <w:pStyle w:val="ResponseText"/>
        <w:jc w:val="both"/>
      </w:pPr>
      <w:r>
        <w:t>Each of the four items has been revised.</w:t>
      </w:r>
    </w:p>
    <w:p w14:paraId="3ADA1A9A" w14:textId="77777777" w:rsidR="00C4550C" w:rsidRDefault="00000000" w:rsidP="00EC5535">
      <w:pPr>
        <w:pStyle w:val="ResponseText"/>
        <w:jc w:val="both"/>
      </w:pPr>
      <w:r>
        <w:t>The former universal downtime value of more than USD 500,000/h has been removed. The Uptime Institute evidence is now described in terms of reported outage-cost distributions, and the manuscript states that project-specific downtime cost depends on the affected IT capacity, workload value, recovery time, contractual penalties, and lost utilization.</w:t>
      </w:r>
    </w:p>
    <w:p w14:paraId="5C3B5AD6" w14:textId="77777777" w:rsidR="00C4550C" w:rsidRDefault="00000000" w:rsidP="00EC5535">
      <w:pPr>
        <w:pStyle w:val="ResponseText"/>
        <w:jc w:val="both"/>
      </w:pPr>
      <w:r>
        <w:t>The PPA values in Section 10.3 are now tied to the relevant LevelTen Energy market index rather than appearing as uncited point estimates. The data-center electricity-demand growth statement now identifies the comparison period as 2024–2030. The Google case-study discussion also identifies the reporting year and makes clear when a figure is a company-reported accounting metric rather than an independently measured engineering performance value.</w:t>
      </w:r>
    </w:p>
    <w:p w14:paraId="6C18BC39" w14:textId="77777777" w:rsidR="00C4550C" w:rsidRDefault="00000000" w:rsidP="00EC5535">
      <w:pPr>
        <w:pStyle w:val="ResponseText"/>
        <w:jc w:val="both"/>
      </w:pPr>
      <w:r>
        <w:t>These changes were made to ensure that precise numerical values are accompanied by the minimum context needed to interpret them correctly.</w:t>
      </w:r>
    </w:p>
    <w:p w14:paraId="0BF9D9E9" w14:textId="77777777" w:rsidR="00C4550C" w:rsidRDefault="00000000" w:rsidP="00EC5535">
      <w:pPr>
        <w:pStyle w:val="Location"/>
        <w:jc w:val="both"/>
      </w:pPr>
      <w:r>
        <w:rPr>
          <w:b/>
        </w:rPr>
        <w:t xml:space="preserve">Location in revised manuscript: </w:t>
      </w:r>
      <w:r>
        <w:t>Sections 1.1, 8.1, 10.3, and 10.5.</w:t>
      </w:r>
    </w:p>
    <w:p w14:paraId="0B297539" w14:textId="77777777" w:rsidR="00C4550C" w:rsidRDefault="00000000" w:rsidP="00EC5535">
      <w:pPr>
        <w:keepNext/>
        <w:spacing w:before="200" w:after="80"/>
        <w:jc w:val="both"/>
      </w:pPr>
      <w:r>
        <w:rPr>
          <w:b/>
          <w:color w:val="1F4E79"/>
          <w:sz w:val="23"/>
        </w:rPr>
        <w:t>Comment 2.16 — Representative references in Table 1</w:t>
      </w:r>
    </w:p>
    <w:p w14:paraId="5082BA50" w14:textId="77777777" w:rsidR="00C4550C" w:rsidRDefault="00000000" w:rsidP="00EC5535">
      <w:pPr>
        <w:keepNext/>
        <w:spacing w:after="40"/>
        <w:jc w:val="both"/>
      </w:pPr>
      <w:r>
        <w:rPr>
          <w:b/>
          <w:color w:val="5A5A5A"/>
          <w:sz w:val="19"/>
        </w:rPr>
        <w:t>Reviewer comment</w:t>
      </w:r>
    </w:p>
    <w:p w14:paraId="42326827" w14:textId="77777777" w:rsidR="00C4550C" w:rsidRDefault="00000000" w:rsidP="00EC5535">
      <w:pPr>
        <w:pStyle w:val="ReviewerComment"/>
        <w:pBdr>
          <w:left w:val="single" w:sz="10" w:space="5" w:color="A6A6A6"/>
        </w:pBdr>
        <w:shd w:val="clear" w:color="auto" w:fill="F2F2F2"/>
        <w:jc w:val="both"/>
      </w:pPr>
      <w:r>
        <w:t>Table 1 asserts gaps in four families of prior work but contains no citations in any cell. Please add representative references.</w:t>
      </w:r>
    </w:p>
    <w:p w14:paraId="22D278E3" w14:textId="77777777" w:rsidR="00C4550C" w:rsidRDefault="00000000" w:rsidP="00EC5535">
      <w:pPr>
        <w:keepNext/>
        <w:spacing w:after="40"/>
        <w:jc w:val="both"/>
      </w:pPr>
      <w:r>
        <w:rPr>
          <w:b/>
          <w:color w:val="1F4E79"/>
          <w:sz w:val="19"/>
        </w:rPr>
        <w:t>Response</w:t>
      </w:r>
    </w:p>
    <w:p w14:paraId="7F745256" w14:textId="77777777" w:rsidR="00C4550C" w:rsidRDefault="00000000" w:rsidP="00EC5535">
      <w:pPr>
        <w:pStyle w:val="ResponseText"/>
        <w:jc w:val="both"/>
      </w:pPr>
      <w:r>
        <w:t>Representative citations have been added directly to Table 1. The purpose of the table is to synthesize recurring strengths, blind spots, implementation barriers, and transferability issues across four broad literature families; those judgments should therefore be traceable to the literature rather than appearing as author assertions.</w:t>
      </w:r>
    </w:p>
    <w:p w14:paraId="2C879E16" w14:textId="77777777" w:rsidR="00C4550C" w:rsidRDefault="00000000" w:rsidP="00EC5535">
      <w:pPr>
        <w:pStyle w:val="ResponseText"/>
        <w:jc w:val="both"/>
      </w:pPr>
      <w:r>
        <w:lastRenderedPageBreak/>
        <w:t>The revised table now includes supporting references for the technical/grid studies, economic and procurement studies, corporate case studies, and equipment-centric literature. The surrounding text also explains that the table is a comparative synthesis of representative evidence, not a claim that every paper within a category has the same limitation.</w:t>
      </w:r>
    </w:p>
    <w:p w14:paraId="69C87ABF" w14:textId="77777777" w:rsidR="00C4550C" w:rsidRDefault="00000000" w:rsidP="00EC5535">
      <w:pPr>
        <w:pStyle w:val="Location"/>
        <w:jc w:val="both"/>
      </w:pPr>
      <w:r>
        <w:rPr>
          <w:b/>
        </w:rPr>
        <w:t xml:space="preserve">Location in revised manuscript: </w:t>
      </w:r>
      <w:r>
        <w:t>Section 2.6; Table 1.</w:t>
      </w:r>
    </w:p>
    <w:p w14:paraId="4B19D989" w14:textId="77777777" w:rsidR="00C4550C" w:rsidRDefault="00000000" w:rsidP="00EC5535">
      <w:pPr>
        <w:keepNext/>
        <w:spacing w:before="200" w:after="80"/>
        <w:jc w:val="both"/>
      </w:pPr>
      <w:r>
        <w:rPr>
          <w:b/>
          <w:color w:val="1F4E79"/>
          <w:sz w:val="23"/>
        </w:rPr>
        <w:t>Comment 2.17 — Decision rules, inputs, and outputs for framework Components 2–4</w:t>
      </w:r>
    </w:p>
    <w:p w14:paraId="39BB490B" w14:textId="77777777" w:rsidR="00C4550C" w:rsidRDefault="00000000" w:rsidP="00EC5535">
      <w:pPr>
        <w:keepNext/>
        <w:spacing w:after="40"/>
        <w:jc w:val="both"/>
      </w:pPr>
      <w:r>
        <w:rPr>
          <w:b/>
          <w:color w:val="5A5A5A"/>
          <w:sz w:val="19"/>
        </w:rPr>
        <w:t>Reviewer comment</w:t>
      </w:r>
    </w:p>
    <w:p w14:paraId="60EDF087" w14:textId="77777777" w:rsidR="00C4550C" w:rsidRDefault="00000000" w:rsidP="00EC5535">
      <w:pPr>
        <w:pStyle w:val="ReviewerComment"/>
        <w:pBdr>
          <w:left w:val="single" w:sz="10" w:space="5" w:color="A6A6A6"/>
        </w:pBdr>
        <w:shd w:val="clear" w:color="auto" w:fill="F2F2F2"/>
        <w:jc w:val="both"/>
      </w:pPr>
      <w:r>
        <w:t>Components 2, 3, and 4 of the framework are described only in general terms. Please state the decision rules, the inputs each component requires, and the output it produces.</w:t>
      </w:r>
    </w:p>
    <w:p w14:paraId="23315A77" w14:textId="77777777" w:rsidR="00C4550C" w:rsidRDefault="00000000" w:rsidP="00EC5535">
      <w:pPr>
        <w:keepNext/>
        <w:spacing w:after="40"/>
        <w:jc w:val="both"/>
      </w:pPr>
      <w:r>
        <w:rPr>
          <w:b/>
          <w:color w:val="1F4E79"/>
          <w:sz w:val="19"/>
        </w:rPr>
        <w:t>Response</w:t>
      </w:r>
    </w:p>
    <w:p w14:paraId="37683E87" w14:textId="77777777" w:rsidR="00C4550C" w:rsidRDefault="00000000" w:rsidP="00EC5535">
      <w:pPr>
        <w:pStyle w:val="ResponseText"/>
        <w:jc w:val="both"/>
      </w:pPr>
      <w:r>
        <w:t>Components 2–4 have been expanded from descriptive labels into explicit screening and decision steps.</w:t>
      </w:r>
    </w:p>
    <w:p w14:paraId="35339CD5" w14:textId="77777777" w:rsidR="00C4550C" w:rsidRDefault="00000000" w:rsidP="00EC5535">
      <w:pPr>
        <w:pStyle w:val="ResponseText"/>
        <w:jc w:val="both"/>
      </w:pPr>
      <w:r>
        <w:t>For Component 2, technology selection, the revised text identifies the principal inputs: chronological load and renewable-resource data, storage characteristics, grid and backup availability, tariffs, interconnection constraints, reliability requirements, carbon objectives, and relevant regulatory conditions. The decision logic combines chronological energy-balance screening with lifecycle-cost and technical-constraint checks. The output is a technically feasible shortlist of generation, storage, grid, and backup configurations for further study.</w:t>
      </w:r>
    </w:p>
    <w:p w14:paraId="18145E6A" w14:textId="77777777" w:rsidR="00C4550C" w:rsidRDefault="00000000" w:rsidP="00EC5535">
      <w:pPr>
        <w:pStyle w:val="ResponseText"/>
        <w:jc w:val="both"/>
      </w:pPr>
      <w:r>
        <w:t>For Component 3, electrical architecture, the inputs include facility load, interconnection voltage, short-circuit strength, equipment ratings, redundancy requirements, grounding configuration, harmonic characteristics, and applicable grid-code/protection requirements. The decision checks include power flow, short circuit, protection coordination, grounding, reliability, and harmonic compliance. The output is a preliminary electrical architecture and a list of studies or upgrades required before detailed design.</w:t>
      </w:r>
    </w:p>
    <w:p w14:paraId="6076C37A" w14:textId="77777777" w:rsidR="00C4550C" w:rsidRDefault="00000000" w:rsidP="00EC5535">
      <w:pPr>
        <w:pStyle w:val="ResponseText"/>
        <w:jc w:val="both"/>
      </w:pPr>
      <w:r>
        <w:t>For Component 4, control and dispatch, the inputs include forecasts, system states, storage state of charge, renewable output, grid limits, prices, reserve needs, and workload-flexibility constraints. The control logic applies operating constraints and an explicit dispatch objective to produce schedules or set points for storage, generation, grid exchange, backup resources, and eligible flexible loads.</w:t>
      </w:r>
    </w:p>
    <w:p w14:paraId="4735F749" w14:textId="77777777" w:rsidR="00C4550C" w:rsidRDefault="00000000" w:rsidP="00EC5535">
      <w:pPr>
        <w:pStyle w:val="ResponseText"/>
        <w:jc w:val="both"/>
      </w:pPr>
      <w:r>
        <w:t>These additions make the framework reproducible as a screening structure without implying that the review itself performs a complete site-specific design.</w:t>
      </w:r>
    </w:p>
    <w:p w14:paraId="7C5C8ECC" w14:textId="77777777" w:rsidR="00C4550C" w:rsidRDefault="00000000" w:rsidP="00EC5535">
      <w:pPr>
        <w:pStyle w:val="Location"/>
        <w:jc w:val="both"/>
      </w:pPr>
      <w:r>
        <w:rPr>
          <w:b/>
        </w:rPr>
        <w:t xml:space="preserve">Location in revised manuscript: </w:t>
      </w:r>
      <w:r>
        <w:t>Sections 7.3–7.5.</w:t>
      </w:r>
    </w:p>
    <w:p w14:paraId="05DF1BCD" w14:textId="77777777" w:rsidR="00C4550C" w:rsidRDefault="00000000" w:rsidP="00EC5535">
      <w:pPr>
        <w:keepNext/>
        <w:spacing w:before="200" w:after="80"/>
        <w:jc w:val="both"/>
      </w:pPr>
      <w:r>
        <w:rPr>
          <w:b/>
          <w:color w:val="1F4E79"/>
          <w:sz w:val="23"/>
        </w:rPr>
        <w:t>Comment 2.18 — MCDA criteria, weighting method, and sensitivity analysis</w:t>
      </w:r>
    </w:p>
    <w:p w14:paraId="5B3A4C55" w14:textId="77777777" w:rsidR="00C4550C" w:rsidRDefault="00000000" w:rsidP="00EC5535">
      <w:pPr>
        <w:keepNext/>
        <w:spacing w:after="40"/>
        <w:jc w:val="both"/>
      </w:pPr>
      <w:r>
        <w:rPr>
          <w:b/>
          <w:color w:val="5A5A5A"/>
          <w:sz w:val="19"/>
        </w:rPr>
        <w:t>Reviewer comment</w:t>
      </w:r>
    </w:p>
    <w:p w14:paraId="668F2FF2" w14:textId="77777777" w:rsidR="00C4550C" w:rsidRDefault="00000000" w:rsidP="00EC5535">
      <w:pPr>
        <w:pStyle w:val="ReviewerComment"/>
        <w:pBdr>
          <w:left w:val="single" w:sz="10" w:space="5" w:color="A6A6A6"/>
        </w:pBdr>
        <w:shd w:val="clear" w:color="auto" w:fill="F2F2F2"/>
        <w:jc w:val="both"/>
      </w:pPr>
      <w:r>
        <w:t>Section 7.2 recommends MCDA but gives no criteria, no weights, no weighting method (AHP or entropy), and no sensitivity check. As written, it is a label rather than a method.</w:t>
      </w:r>
    </w:p>
    <w:p w14:paraId="1E2F334E" w14:textId="77777777" w:rsidR="00C4550C" w:rsidRDefault="00000000" w:rsidP="00EC5535">
      <w:pPr>
        <w:keepNext/>
        <w:spacing w:after="40"/>
        <w:jc w:val="both"/>
      </w:pPr>
      <w:r>
        <w:rPr>
          <w:b/>
          <w:color w:val="1F4E79"/>
          <w:sz w:val="19"/>
        </w:rPr>
        <w:t>Response</w:t>
      </w:r>
    </w:p>
    <w:p w14:paraId="13CFE964" w14:textId="77777777" w:rsidR="00C4550C" w:rsidRDefault="00000000" w:rsidP="00EC5535">
      <w:pPr>
        <w:pStyle w:val="ResponseText"/>
        <w:jc w:val="both"/>
      </w:pPr>
      <w:r>
        <w:t>Section 7.2 has been expanded into a defined AHP-based multi-criteria decision analysis procedure. Five screening criteria are used: renewable-resource quality, infrastructure access, economic conditions, environmental and climate exposure, and regulatory feasibility. The illustrative baseline weights are 0.30, 0.25, 0.20, 0.15, and 0.10, respectively.</w:t>
      </w:r>
    </w:p>
    <w:p w14:paraId="2A3961B1" w14:textId="77777777" w:rsidR="00C4550C" w:rsidRDefault="00000000" w:rsidP="00EC5535">
      <w:pPr>
        <w:pStyle w:val="ResponseText"/>
        <w:jc w:val="both"/>
      </w:pPr>
      <w:r>
        <w:t>The Analytic Hierarchy Process is used to structure pairwise comparisons when project-specific weights are developed, and the consistency ratio is checked using CR &lt; 0.10 as the conventional acceptability criterion. Candidate sites are scored on normalized criterion values.</w:t>
      </w:r>
    </w:p>
    <w:p w14:paraId="76659E43" w14:textId="77777777" w:rsidR="00C4550C" w:rsidRDefault="00000000" w:rsidP="00EC5535">
      <w:pPr>
        <w:pStyle w:val="ResponseText"/>
        <w:jc w:val="both"/>
      </w:pPr>
      <w:r>
        <w:t>A one-at-a-time sensitivity check is also specified. Each baseline weight is increased and decreased by 20%, the remaining weights are proportionally renormalized so that the total remains 1.0, and the candidate-site scores and rankings are recalculated. The purpose is to identify whether the ranking is robust or is being driven by a narrow weighting assumption.</w:t>
      </w:r>
    </w:p>
    <w:p w14:paraId="33755DD0" w14:textId="77777777" w:rsidR="00C4550C" w:rsidRDefault="00000000" w:rsidP="00EC5535">
      <w:pPr>
        <w:pStyle w:val="ResponseText"/>
        <w:jc w:val="both"/>
      </w:pPr>
      <w:r>
        <w:lastRenderedPageBreak/>
        <w:t>The manuscript explicitly describes the listed weights as illustrative screening values, not universal priorities for all data-center projects.</w:t>
      </w:r>
    </w:p>
    <w:p w14:paraId="389CB693" w14:textId="77777777" w:rsidR="00C4550C" w:rsidRDefault="00000000" w:rsidP="00EC5535">
      <w:pPr>
        <w:pStyle w:val="Location"/>
        <w:jc w:val="both"/>
      </w:pPr>
      <w:r>
        <w:rPr>
          <w:b/>
        </w:rPr>
        <w:t xml:space="preserve">Location in revised manuscript: </w:t>
      </w:r>
      <w:r>
        <w:t>Section 7.2; Table 5.</w:t>
      </w:r>
    </w:p>
    <w:p w14:paraId="6F150036" w14:textId="77777777" w:rsidR="00C4550C" w:rsidRDefault="00000000" w:rsidP="00EC5535">
      <w:pPr>
        <w:keepNext/>
        <w:spacing w:before="200" w:after="80"/>
        <w:jc w:val="both"/>
      </w:pPr>
      <w:r>
        <w:rPr>
          <w:b/>
          <w:color w:val="1F4E79"/>
          <w:sz w:val="23"/>
        </w:rPr>
        <w:t>Comment 2.19 — Modeling-method selection criteria</w:t>
      </w:r>
    </w:p>
    <w:p w14:paraId="13B61D84" w14:textId="77777777" w:rsidR="00C4550C" w:rsidRDefault="00000000" w:rsidP="00EC5535">
      <w:pPr>
        <w:keepNext/>
        <w:spacing w:after="40"/>
        <w:jc w:val="both"/>
      </w:pPr>
      <w:r>
        <w:rPr>
          <w:b/>
          <w:color w:val="5A5A5A"/>
          <w:sz w:val="19"/>
        </w:rPr>
        <w:t>Reviewer comment</w:t>
      </w:r>
    </w:p>
    <w:p w14:paraId="4C971B35" w14:textId="77777777" w:rsidR="00C4550C" w:rsidRDefault="00000000" w:rsidP="00EC5535">
      <w:pPr>
        <w:pStyle w:val="ReviewerComment"/>
        <w:pBdr>
          <w:left w:val="single" w:sz="10" w:space="5" w:color="A6A6A6"/>
        </w:pBdr>
        <w:shd w:val="clear" w:color="auto" w:fill="F2F2F2"/>
        <w:jc w:val="both"/>
      </w:pPr>
      <w:r>
        <w:t>Section 6 is a catalogue of tool categories. Please state which modelling approach suits which question, at what time resolution, with what data requirements, and where each approach breaks down.</w:t>
      </w:r>
    </w:p>
    <w:p w14:paraId="5BFB9A51" w14:textId="77777777" w:rsidR="00C4550C" w:rsidRDefault="00000000" w:rsidP="00EC5535">
      <w:pPr>
        <w:keepNext/>
        <w:spacing w:after="40"/>
        <w:jc w:val="both"/>
      </w:pPr>
      <w:r>
        <w:rPr>
          <w:b/>
          <w:color w:val="1F4E79"/>
          <w:sz w:val="19"/>
        </w:rPr>
        <w:t>Response</w:t>
      </w:r>
    </w:p>
    <w:p w14:paraId="5E5BFC00" w14:textId="77777777" w:rsidR="00C4550C" w:rsidRDefault="00000000" w:rsidP="00EC5535">
      <w:pPr>
        <w:pStyle w:val="ResponseText"/>
        <w:jc w:val="both"/>
      </w:pPr>
      <w:r>
        <w:t>Section 6 has been reorganized around the engineering question being asked rather than around software or model names alone. Table 4 now links each question to an appropriate analysis method, characteristic time scale or resolution, required input data, and the principal limitations of the method.</w:t>
      </w:r>
    </w:p>
    <w:p w14:paraId="09DF7F65" w14:textId="77777777" w:rsidR="00C4550C" w:rsidRDefault="00000000" w:rsidP="00EC5535">
      <w:pPr>
        <w:pStyle w:val="ResponseText"/>
        <w:jc w:val="both"/>
      </w:pPr>
      <w:r>
        <w:t>The revised discussion distinguishes steady-state AC power flow from DC approximations, harmonic and frequency-domain analysis, electromagnetic-transient simulation, chronological load/renewable/storage simulation, lifecycle and MILP-based optimization, model-predictive control, and workload-scheduling models. The manuscript also explains that these methods are complementary rather than interchangeable.</w:t>
      </w:r>
    </w:p>
    <w:p w14:paraId="5E26EEAD" w14:textId="77777777" w:rsidR="00C4550C" w:rsidRDefault="00000000" w:rsidP="00EC5535">
      <w:pPr>
        <w:pStyle w:val="ResponseText"/>
        <w:jc w:val="both"/>
      </w:pPr>
      <w:r>
        <w:t>For example, steady-state studies are suitable for voltage, loading, and power-flow screening but do not capture fast converter dynamics; harmonic studies require source spectra and impedance information but do not replace transient stability analysis; EMT models can represent fast switching and control interactions but are data- and computation-intensive; and chronological optimization is useful for storage and dispatch questions but is highly sensitive to the quality, duration, and representativeness of the time-series inputs.</w:t>
      </w:r>
    </w:p>
    <w:p w14:paraId="169F4A67" w14:textId="77777777" w:rsidR="00C4550C" w:rsidRDefault="00000000" w:rsidP="00EC5535">
      <w:pPr>
        <w:pStyle w:val="ResponseText"/>
        <w:jc w:val="both"/>
      </w:pPr>
      <w:r>
        <w:t>This change turns Section 6 from a catalogue into a method-selection guide with explicit boundaries.</w:t>
      </w:r>
    </w:p>
    <w:p w14:paraId="77F605F1" w14:textId="77777777" w:rsidR="00C4550C" w:rsidRDefault="00000000" w:rsidP="00EC5535">
      <w:pPr>
        <w:pStyle w:val="Location"/>
        <w:jc w:val="both"/>
      </w:pPr>
      <w:r>
        <w:rPr>
          <w:b/>
        </w:rPr>
        <w:t xml:space="preserve">Location in revised manuscript: </w:t>
      </w:r>
      <w:r>
        <w:t>Section 6; Table 4.</w:t>
      </w:r>
    </w:p>
    <w:p w14:paraId="344ED50E" w14:textId="77777777" w:rsidR="00C4550C" w:rsidRDefault="00000000" w:rsidP="00EC5535">
      <w:pPr>
        <w:keepNext/>
        <w:spacing w:before="200" w:after="80"/>
        <w:jc w:val="both"/>
      </w:pPr>
      <w:r>
        <w:rPr>
          <w:b/>
          <w:color w:val="1F4E79"/>
          <w:sz w:val="23"/>
        </w:rPr>
        <w:t>Comment 2.20 — Water-use effectiveness and cooling water–energy tradeoff</w:t>
      </w:r>
    </w:p>
    <w:p w14:paraId="4F504025" w14:textId="77777777" w:rsidR="00C4550C" w:rsidRDefault="00000000" w:rsidP="00EC5535">
      <w:pPr>
        <w:keepNext/>
        <w:spacing w:after="40"/>
        <w:jc w:val="both"/>
      </w:pPr>
      <w:r>
        <w:rPr>
          <w:b/>
          <w:color w:val="5A5A5A"/>
          <w:sz w:val="19"/>
        </w:rPr>
        <w:t>Reviewer comment</w:t>
      </w:r>
    </w:p>
    <w:p w14:paraId="54B99EE9" w14:textId="77777777" w:rsidR="00C4550C" w:rsidRDefault="00000000" w:rsidP="00EC5535">
      <w:pPr>
        <w:pStyle w:val="ReviewerComment"/>
        <w:pBdr>
          <w:left w:val="single" w:sz="10" w:space="5" w:color="A6A6A6"/>
        </w:pBdr>
        <w:shd w:val="clear" w:color="auto" w:fill="F2F2F2"/>
        <w:jc w:val="both"/>
      </w:pPr>
      <w:r>
        <w:t>Water use effectiveness and the water-vs-energy tradeoff in cooling selection are treated only as a siting input, despite the sustainability framing. Please add a dedicated discussion.</w:t>
      </w:r>
    </w:p>
    <w:p w14:paraId="701237D1" w14:textId="77777777" w:rsidR="00C4550C" w:rsidRDefault="00000000" w:rsidP="00EC5535">
      <w:pPr>
        <w:keepNext/>
        <w:spacing w:after="40"/>
        <w:jc w:val="both"/>
      </w:pPr>
      <w:r>
        <w:rPr>
          <w:b/>
          <w:color w:val="1F4E79"/>
          <w:sz w:val="19"/>
        </w:rPr>
        <w:t>Response</w:t>
      </w:r>
    </w:p>
    <w:p w14:paraId="05F451B4" w14:textId="77777777" w:rsidR="00C4550C" w:rsidRDefault="00000000" w:rsidP="00EC5535">
      <w:pPr>
        <w:pStyle w:val="ResponseText"/>
        <w:jc w:val="both"/>
      </w:pPr>
      <w:r>
        <w:t>A dedicated water–energy discussion has been added. The revised cooling and sustainability sections define Water Usage Effectiveness (WUE) and distinguish direct on-site water consumption from indirect water associated with electricity generation and broader lifecycle water impacts.</w:t>
      </w:r>
    </w:p>
    <w:p w14:paraId="08EF14C6" w14:textId="77777777" w:rsidR="00C4550C" w:rsidRDefault="00000000" w:rsidP="00EC5535">
      <w:pPr>
        <w:pStyle w:val="ResponseText"/>
        <w:jc w:val="both"/>
      </w:pPr>
      <w:r>
        <w:t>The manuscript now discusses why cooling alternatives cannot be ranked on PUE alone. Air-cooled systems may reduce direct water consumption but require more electrical energy under some climatic conditions. Evaporative cooling can reduce electrical cooling demand while increasing direct water use. Liquid-cooling architectures can improve heat removal at high rack densities, but their water and energy implications depend on the heat-rejection system, local climate, water source, and facility boundary.</w:t>
      </w:r>
    </w:p>
    <w:p w14:paraId="56FCB41D" w14:textId="77777777" w:rsidR="00C4550C" w:rsidRDefault="00000000" w:rsidP="00EC5535">
      <w:pPr>
        <w:pStyle w:val="ResponseText"/>
        <w:jc w:val="both"/>
      </w:pPr>
      <w:r>
        <w:t>Accordingly, cooling selection is presented as a location-dependent tradeoff among energy use, direct water consumption, indirect water exposure, reliability, climate, and operational constraints. WUE is therefore evaluated together with PUE and the project’s broader sustainability boundary rather than as an isolated siting variable.</w:t>
      </w:r>
    </w:p>
    <w:p w14:paraId="3796A19D" w14:textId="77777777" w:rsidR="00C4550C" w:rsidRDefault="00000000" w:rsidP="00EC5535">
      <w:pPr>
        <w:pStyle w:val="Location"/>
        <w:jc w:val="both"/>
      </w:pPr>
      <w:r>
        <w:rPr>
          <w:b/>
        </w:rPr>
        <w:t xml:space="preserve">Location in revised manuscript: </w:t>
      </w:r>
      <w:r>
        <w:t>Section 7.7; Section 12.4.</w:t>
      </w:r>
    </w:p>
    <w:p w14:paraId="28C2DF26" w14:textId="77777777" w:rsidR="00C4550C" w:rsidRDefault="00000000" w:rsidP="00EC5535">
      <w:pPr>
        <w:keepNext/>
        <w:spacing w:before="200" w:after="80"/>
        <w:jc w:val="both"/>
      </w:pPr>
      <w:r>
        <w:rPr>
          <w:b/>
          <w:color w:val="1F4E79"/>
          <w:sz w:val="23"/>
        </w:rPr>
        <w:lastRenderedPageBreak/>
        <w:t>Comment 2.21 — Commercial limits on workload deferral</w:t>
      </w:r>
    </w:p>
    <w:p w14:paraId="56F789D9" w14:textId="77777777" w:rsidR="00C4550C" w:rsidRDefault="00000000" w:rsidP="00EC5535">
      <w:pPr>
        <w:keepNext/>
        <w:spacing w:after="40"/>
        <w:jc w:val="both"/>
      </w:pPr>
      <w:r>
        <w:rPr>
          <w:b/>
          <w:color w:val="5A5A5A"/>
          <w:sz w:val="19"/>
        </w:rPr>
        <w:t>Reviewer comment</w:t>
      </w:r>
    </w:p>
    <w:p w14:paraId="717029E3" w14:textId="77777777" w:rsidR="00C4550C" w:rsidRDefault="00000000" w:rsidP="00EC5535">
      <w:pPr>
        <w:pStyle w:val="ReviewerComment"/>
        <w:pBdr>
          <w:left w:val="single" w:sz="10" w:space="5" w:color="A6A6A6"/>
        </w:pBdr>
        <w:shd w:val="clear" w:color="auto" w:fill="F2F2F2"/>
        <w:jc w:val="both"/>
      </w:pPr>
      <w:r>
        <w:t>Section 11 presents workload deferral as a purely technical option, without acknowledging commercial reluctance to curtail training jobs on assets of this capital cost.</w:t>
      </w:r>
    </w:p>
    <w:p w14:paraId="7703E46B" w14:textId="77777777" w:rsidR="00C4550C" w:rsidRDefault="00000000" w:rsidP="00EC5535">
      <w:pPr>
        <w:keepNext/>
        <w:spacing w:after="40"/>
        <w:jc w:val="both"/>
      </w:pPr>
      <w:r>
        <w:rPr>
          <w:b/>
          <w:color w:val="1F4E79"/>
          <w:sz w:val="19"/>
        </w:rPr>
        <w:t>Response</w:t>
      </w:r>
    </w:p>
    <w:p w14:paraId="6B5EDFEB" w14:textId="77777777" w:rsidR="00C4550C" w:rsidRDefault="00000000" w:rsidP="00EC5535">
      <w:pPr>
        <w:pStyle w:val="ResponseText"/>
        <w:jc w:val="both"/>
      </w:pPr>
      <w:r>
        <w:t>The workload-flexibility discussion now treats deferral as a commercial decision as well as a technical one. The revised manuscript recognizes that AI training runs on high-value computing assets and that delaying a job can reduce GPU utilization, affect model-development schedules, or create contractual and revenue consequences.</w:t>
      </w:r>
    </w:p>
    <w:p w14:paraId="31C12EBC" w14:textId="77777777" w:rsidR="00C4550C" w:rsidRDefault="00000000" w:rsidP="00EC5535">
      <w:pPr>
        <w:pStyle w:val="ResponseText"/>
        <w:jc w:val="both"/>
      </w:pPr>
      <w:r>
        <w:t>The analysis therefore constrains deferrable workload by service-level agreements, training deadlines, checkpointing capability, data-residency requirements, cybersecurity, network latency, project schedules, and business objectives. Technical flexibility is described as an upper bound on what may be shiftable, not as guaranteed dispatchable demand response.</w:t>
      </w:r>
    </w:p>
    <w:p w14:paraId="5B2ABF95" w14:textId="77777777" w:rsidR="00C4550C" w:rsidRDefault="00000000" w:rsidP="00EC5535">
      <w:pPr>
        <w:pStyle w:val="ResponseText"/>
        <w:jc w:val="both"/>
      </w:pPr>
      <w:r>
        <w:t>Table 6 has been revised accordingly so that the workload categories represent potential operational flexibility. Any project-level estimate would still require validation against the operator’s commercial and service constraints.</w:t>
      </w:r>
    </w:p>
    <w:p w14:paraId="12049671" w14:textId="77777777" w:rsidR="00C4550C" w:rsidRDefault="00000000" w:rsidP="00EC5535">
      <w:pPr>
        <w:pStyle w:val="Location"/>
        <w:jc w:val="both"/>
      </w:pPr>
      <w:r>
        <w:rPr>
          <w:b/>
        </w:rPr>
        <w:t xml:space="preserve">Location in revised manuscript: </w:t>
      </w:r>
      <w:r>
        <w:t>Sections 7.6 and 11; Table 6.</w:t>
      </w:r>
    </w:p>
    <w:p w14:paraId="550C2253" w14:textId="77777777" w:rsidR="00C4550C" w:rsidRDefault="00000000" w:rsidP="00EC5535">
      <w:pPr>
        <w:keepNext/>
        <w:spacing w:before="200" w:after="80"/>
        <w:jc w:val="both"/>
      </w:pPr>
      <w:r>
        <w:rPr>
          <w:b/>
          <w:color w:val="1F4E79"/>
          <w:sz w:val="23"/>
        </w:rPr>
        <w:t>Comment 2.22 — Boundaries and limitations of the review</w:t>
      </w:r>
    </w:p>
    <w:p w14:paraId="4D8DA99C" w14:textId="77777777" w:rsidR="00C4550C" w:rsidRDefault="00000000" w:rsidP="00EC5535">
      <w:pPr>
        <w:keepNext/>
        <w:spacing w:after="40"/>
        <w:jc w:val="both"/>
      </w:pPr>
      <w:r>
        <w:rPr>
          <w:b/>
          <w:color w:val="5A5A5A"/>
          <w:sz w:val="19"/>
        </w:rPr>
        <w:t>Reviewer comment</w:t>
      </w:r>
    </w:p>
    <w:p w14:paraId="4EB0AF3F" w14:textId="77777777" w:rsidR="00C4550C" w:rsidRDefault="00000000" w:rsidP="00EC5535">
      <w:pPr>
        <w:pStyle w:val="ReviewerComment"/>
        <w:pBdr>
          <w:left w:val="single" w:sz="10" w:space="5" w:color="A6A6A6"/>
        </w:pBdr>
        <w:shd w:val="clear" w:color="auto" w:fill="F2F2F2"/>
        <w:jc w:val="both"/>
      </w:pPr>
      <w:r>
        <w:t>Please state the boundaries of the review: U.S. bias of case studies, reliance on self-reported corporate sustainability disclosures, and small number of commercial sources behind cost data.</w:t>
      </w:r>
    </w:p>
    <w:p w14:paraId="6B3FDB1A" w14:textId="77777777" w:rsidR="00C4550C" w:rsidRDefault="00000000" w:rsidP="00EC5535">
      <w:pPr>
        <w:keepNext/>
        <w:spacing w:after="40"/>
        <w:jc w:val="both"/>
      </w:pPr>
      <w:r>
        <w:rPr>
          <w:b/>
          <w:color w:val="1F4E79"/>
          <w:sz w:val="19"/>
        </w:rPr>
        <w:t>Response</w:t>
      </w:r>
    </w:p>
    <w:p w14:paraId="0BC55EC6" w14:textId="77777777" w:rsidR="00C4550C" w:rsidRDefault="00000000" w:rsidP="00EC5535">
      <w:pPr>
        <w:pStyle w:val="ResponseText"/>
        <w:jc w:val="both"/>
      </w:pPr>
      <w:r>
        <w:t>The limitations of the evidence base are now stated explicitly in Section 13.</w:t>
      </w:r>
    </w:p>
    <w:p w14:paraId="2DD17BD1" w14:textId="77777777" w:rsidR="00C4550C" w:rsidRDefault="00000000" w:rsidP="00EC5535">
      <w:pPr>
        <w:pStyle w:val="ResponseText"/>
        <w:jc w:val="both"/>
      </w:pPr>
      <w:r>
        <w:t>First, the manuscript notes that a substantial share of the corporate case studies, market examples, regulatory references, and cost observations come from North America, particularly the United States. Their transferability to other jurisdictions is limited by differences in market structure, grid conditions, permitting, interconnection procedures, resource quality, labor and equipment costs, and financing.</w:t>
      </w:r>
    </w:p>
    <w:p w14:paraId="5887C901" w14:textId="77777777" w:rsidR="00C4550C" w:rsidRDefault="00000000" w:rsidP="00EC5535">
      <w:pPr>
        <w:pStyle w:val="ResponseText"/>
        <w:jc w:val="both"/>
      </w:pPr>
      <w:r>
        <w:t>Second, company sustainability and operational metrics are treated as self-reported unless independent assurance is specifically identified. We do not treat corporate disclosures as equivalent to independently measured engineering data, and the manuscript notes that reporting boundaries, accounting methods, time periods, and assurance practices differ across companies.</w:t>
      </w:r>
    </w:p>
    <w:p w14:paraId="6C372186" w14:textId="77777777" w:rsidR="00C4550C" w:rsidRDefault="00000000" w:rsidP="00EC5535">
      <w:pPr>
        <w:pStyle w:val="ResponseText"/>
        <w:jc w:val="both"/>
      </w:pPr>
      <w:r>
        <w:t>Third, some current technology and cost information is concentrated in a relatively small number of commercial or institutional reporting organizations. This limits independent triangulation and is one reason the review treats numerical cost values as literature-based screening benchmarks rather than directly transferable project estimates.</w:t>
      </w:r>
    </w:p>
    <w:p w14:paraId="1A0DFCAE" w14:textId="77777777" w:rsidR="00C4550C" w:rsidRDefault="00000000" w:rsidP="00EC5535">
      <w:pPr>
        <w:pStyle w:val="ResponseText"/>
        <w:jc w:val="both"/>
      </w:pPr>
      <w:r>
        <w:t>Section 13 also makes clear that the proposed framework has not been validated as a site-specific design tool and that project decisions still require local engineering studies, chronological data, interconnection analysis, and investment-grade financial assessment.</w:t>
      </w:r>
    </w:p>
    <w:p w14:paraId="25A36160" w14:textId="77777777" w:rsidR="00C4550C" w:rsidRDefault="00000000" w:rsidP="00EC5535">
      <w:pPr>
        <w:pStyle w:val="Location"/>
        <w:jc w:val="both"/>
      </w:pPr>
      <w:r>
        <w:rPr>
          <w:b/>
        </w:rPr>
        <w:t xml:space="preserve">Location in revised manuscript: </w:t>
      </w:r>
      <w:r>
        <w:t>Section 13, including the subsections on geographic scope, corporate reporting/source quality, methodological limitations, and site-specific validation.</w:t>
      </w:r>
    </w:p>
    <w:p w14:paraId="07DB6244" w14:textId="77777777" w:rsidR="00C4550C" w:rsidRDefault="00000000" w:rsidP="00EC5535">
      <w:pPr>
        <w:keepNext/>
        <w:spacing w:before="200" w:after="80"/>
        <w:jc w:val="both"/>
      </w:pPr>
      <w:r>
        <w:rPr>
          <w:b/>
          <w:color w:val="1F4E79"/>
          <w:sz w:val="23"/>
        </w:rPr>
        <w:lastRenderedPageBreak/>
        <w:t>Comment 2.23 — Source attribution for figures and tables</w:t>
      </w:r>
    </w:p>
    <w:p w14:paraId="06557BA3" w14:textId="77777777" w:rsidR="00C4550C" w:rsidRDefault="00000000" w:rsidP="00EC5535">
      <w:pPr>
        <w:keepNext/>
        <w:spacing w:after="40"/>
        <w:jc w:val="both"/>
      </w:pPr>
      <w:r>
        <w:rPr>
          <w:b/>
          <w:color w:val="5A5A5A"/>
          <w:sz w:val="19"/>
        </w:rPr>
        <w:t>Reviewer comment</w:t>
      </w:r>
    </w:p>
    <w:p w14:paraId="1874C0C8" w14:textId="77777777" w:rsidR="00C4550C" w:rsidRDefault="00000000" w:rsidP="00EC5535">
      <w:pPr>
        <w:pStyle w:val="ReviewerComment"/>
        <w:pBdr>
          <w:left w:val="single" w:sz="10" w:space="5" w:color="A6A6A6"/>
        </w:pBdr>
        <w:shd w:val="clear" w:color="auto" w:fill="F2F2F2"/>
        <w:jc w:val="both"/>
      </w:pPr>
      <w:r>
        <w:t>Of nine figures, only Figure 1 carries a source line. Every caption needs one. Figure 7 is a modelling output and needs its formulation, decision variables, and solver stated. Figure 4 needs site, data source, and years averaged.</w:t>
      </w:r>
    </w:p>
    <w:p w14:paraId="521484B5" w14:textId="77777777" w:rsidR="00C4550C" w:rsidRDefault="00000000" w:rsidP="00EC5535">
      <w:pPr>
        <w:keepNext/>
        <w:spacing w:after="40"/>
        <w:jc w:val="both"/>
      </w:pPr>
      <w:r>
        <w:rPr>
          <w:b/>
          <w:color w:val="1F4E79"/>
          <w:sz w:val="19"/>
        </w:rPr>
        <w:t>Response</w:t>
      </w:r>
    </w:p>
    <w:p w14:paraId="7833FB9A" w14:textId="77777777" w:rsidR="00C4550C" w:rsidRDefault="00000000" w:rsidP="00EC5535">
      <w:pPr>
        <w:pStyle w:val="ResponseText"/>
        <w:jc w:val="both"/>
      </w:pPr>
      <w:r>
        <w:t>Source attribution has been standardized at the caption level in the final revised submission. Each figure and table now carries an explicit source statement so that the reader can distinguish between literature-derived data, authors’ synthesis, and conceptual illustrations.</w:t>
      </w:r>
    </w:p>
    <w:p w14:paraId="7D4839B4" w14:textId="77777777" w:rsidR="00C4550C" w:rsidRDefault="00000000" w:rsidP="00EC5535">
      <w:pPr>
        <w:pStyle w:val="ResponseText"/>
        <w:jc w:val="both"/>
      </w:pPr>
      <w:r>
        <w:t>Conceptual diagrams are labeled as “Authors’ synthesis” or “Authors’ illustrative synthesis.” Figures that summarize external data identify the underlying source and the relevant period or geographic basis. The PRISMA flow diagram is identified as an authors’ synthesis using the PRISMA 2020-informed reporting structure. Figure 4 is identified as a cost-trend visualization rather than a site-specific renewable-resource result, and its caption specifies the source and the time period represented.</w:t>
      </w:r>
    </w:p>
    <w:p w14:paraId="56DAAAD8" w14:textId="77777777" w:rsidR="00C4550C" w:rsidRDefault="00000000" w:rsidP="00EC5535">
      <w:pPr>
        <w:pStyle w:val="ResponseText"/>
        <w:jc w:val="both"/>
      </w:pPr>
      <w:r>
        <w:t>The former Pareto-frontier/model-output figure has been removed. The framework figures that replaced it are conceptual diagrams and are explicitly identified as such; they are not presented as outputs of an executed optimization model. Consequently, there is no longer an undocumented solver-generated Figure 7 that requires decision variables or solver settings.</w:t>
      </w:r>
    </w:p>
    <w:p w14:paraId="1DD9156F" w14:textId="77777777" w:rsidR="00C4550C" w:rsidRDefault="00000000" w:rsidP="00EC5535">
      <w:pPr>
        <w:pStyle w:val="ResponseText"/>
        <w:jc w:val="both"/>
      </w:pPr>
      <w:r>
        <w:t>The table captions have been treated in the same way. Tables synthesized by the authors state that status and identify the representative literature used to construct them, while data-derived tables cite the relevant primary sources.</w:t>
      </w:r>
    </w:p>
    <w:p w14:paraId="2C180B8E" w14:textId="77777777" w:rsidR="00C4550C" w:rsidRDefault="00000000" w:rsidP="00EC5535">
      <w:pPr>
        <w:pStyle w:val="Location"/>
        <w:jc w:val="both"/>
      </w:pPr>
      <w:r>
        <w:rPr>
          <w:b/>
        </w:rPr>
        <w:t xml:space="preserve">Location in revised manuscript: </w:t>
      </w:r>
      <w:r>
        <w:t>Figures 1–10 and Tables 1–10 captions; Section 1.6 for Figure 2.</w:t>
      </w:r>
    </w:p>
    <w:p w14:paraId="31802453" w14:textId="77777777" w:rsidR="00C4550C" w:rsidRDefault="00000000" w:rsidP="00EC5535">
      <w:pPr>
        <w:keepNext/>
        <w:spacing w:before="200" w:after="80"/>
        <w:jc w:val="both"/>
      </w:pPr>
      <w:r>
        <w:rPr>
          <w:b/>
          <w:color w:val="1F4E79"/>
          <w:sz w:val="23"/>
        </w:rPr>
        <w:t>Comment 2.24 — Conflicting capital-cost and LCOE values</w:t>
      </w:r>
    </w:p>
    <w:p w14:paraId="1BFE408C" w14:textId="77777777" w:rsidR="00C4550C" w:rsidRDefault="00000000" w:rsidP="00EC5535">
      <w:pPr>
        <w:keepNext/>
        <w:spacing w:after="40"/>
        <w:jc w:val="both"/>
      </w:pPr>
      <w:r>
        <w:rPr>
          <w:b/>
          <w:color w:val="5A5A5A"/>
          <w:sz w:val="19"/>
        </w:rPr>
        <w:t>Reviewer comment</w:t>
      </w:r>
    </w:p>
    <w:p w14:paraId="03FEFDC6" w14:textId="77777777" w:rsidR="00C4550C" w:rsidRDefault="00000000" w:rsidP="00EC5535">
      <w:pPr>
        <w:pStyle w:val="ReviewerComment"/>
        <w:pBdr>
          <w:left w:val="single" w:sz="10" w:space="5" w:color="A6A6A6"/>
        </w:pBdr>
        <w:shd w:val="clear" w:color="auto" w:fill="F2F2F2"/>
        <w:jc w:val="both"/>
      </w:pPr>
      <w:r>
        <w:t>Three sets of capital cost / LCOE figures conflict: Table 5 (original) solar 900–1600 $/kW + 50–80 $/MWh, wind 1800–2600 $/kW + 45–70 $/MWh, batteries 180–320 $/kWh; Section 10.1 (original) solar 700–1200 $/kW, wind 1150–1800 $/kW, batteries 100–150 $/kWh; Table 7 (original) solar 25–45 $/MWh, wind 20–40 $/MWh. Please reconcile into one set. Table 3 separately mixes pack prices and installed system prices in a single column without labelling.</w:t>
      </w:r>
    </w:p>
    <w:p w14:paraId="685A5045" w14:textId="77777777" w:rsidR="00C4550C" w:rsidRDefault="00000000" w:rsidP="00EC5535">
      <w:pPr>
        <w:keepNext/>
        <w:spacing w:after="40"/>
        <w:jc w:val="both"/>
      </w:pPr>
      <w:r>
        <w:rPr>
          <w:b/>
          <w:color w:val="1F4E79"/>
          <w:sz w:val="19"/>
        </w:rPr>
        <w:t>Response</w:t>
      </w:r>
    </w:p>
    <w:p w14:paraId="6BC661DF" w14:textId="77777777" w:rsidR="00C4550C" w:rsidRDefault="00000000" w:rsidP="00EC5535">
      <w:pPr>
        <w:pStyle w:val="ResponseText"/>
        <w:jc w:val="both"/>
      </w:pPr>
      <w:r>
        <w:t>The cost section has been restructured so that values from different years, regions, and system boundaries are no longer presented as if they were competing estimates of one universal number.</w:t>
      </w:r>
    </w:p>
    <w:p w14:paraId="34A59D0D" w14:textId="77777777" w:rsidR="00C4550C" w:rsidRDefault="00000000" w:rsidP="00EC5535">
      <w:pPr>
        <w:pStyle w:val="ResponseText"/>
        <w:jc w:val="both"/>
      </w:pPr>
      <w:r>
        <w:t>For solar and wind, the revised manuscript distinguishes installed capital cost from generation-only LCOE and identifies the source year and geographic basis of the benchmark. It also avoids treating global weighted-average LCOE as a site-specific project cost. For storage, Table 3 now labels whether a value refers to a battery pack or to an installed BESS, and the narrative explains what additional equipment and project costs are included in an installed system.</w:t>
      </w:r>
    </w:p>
    <w:p w14:paraId="5086CB12" w14:textId="77777777" w:rsidR="00C4550C" w:rsidRDefault="00000000" w:rsidP="00EC5535">
      <w:pPr>
        <w:pStyle w:val="ResponseText"/>
        <w:jc w:val="both"/>
      </w:pPr>
      <w:r>
        <w:t>The economic comparison tables separately identify unfirmed solar/wind generation, partially firmed renewable-storage hybrids, storage-service cost, and delivered grid electricity. These categories have different service boundaries and are not combined into a single range. The apparent conflict in the earlier manuscript was therefore addressed by making the boundary and provenance of each number explicit rather than forcing unlike values into one artificial “correct” set.</w:t>
      </w:r>
    </w:p>
    <w:p w14:paraId="5E295917" w14:textId="77777777" w:rsidR="00C4550C" w:rsidRDefault="00000000" w:rsidP="00EC5535">
      <w:pPr>
        <w:pStyle w:val="Location"/>
        <w:jc w:val="both"/>
      </w:pPr>
      <w:r>
        <w:rPr>
          <w:b/>
        </w:rPr>
        <w:t xml:space="preserve">Location in revised manuscript: </w:t>
      </w:r>
      <w:r>
        <w:t>Table 3; Sections 10.1–10.2; Tables 7 and 9.</w:t>
      </w:r>
    </w:p>
    <w:p w14:paraId="734BA23E" w14:textId="77777777" w:rsidR="00C4550C" w:rsidRDefault="00000000" w:rsidP="00EC5535">
      <w:pPr>
        <w:keepNext/>
        <w:spacing w:before="200" w:after="80"/>
        <w:jc w:val="both"/>
      </w:pPr>
      <w:r>
        <w:rPr>
          <w:b/>
          <w:color w:val="1F4E79"/>
          <w:sz w:val="23"/>
        </w:rPr>
        <w:lastRenderedPageBreak/>
        <w:t>Comment 2.25 — Corrupted Section 7 text</w:t>
      </w:r>
    </w:p>
    <w:p w14:paraId="379C0B07" w14:textId="77777777" w:rsidR="00C4550C" w:rsidRDefault="00000000" w:rsidP="00EC5535">
      <w:pPr>
        <w:keepNext/>
        <w:spacing w:after="40"/>
        <w:jc w:val="both"/>
      </w:pPr>
      <w:r>
        <w:rPr>
          <w:b/>
          <w:color w:val="5A5A5A"/>
          <w:sz w:val="19"/>
        </w:rPr>
        <w:t>Reviewer comment</w:t>
      </w:r>
    </w:p>
    <w:p w14:paraId="785FD199" w14:textId="77777777" w:rsidR="00C4550C" w:rsidRDefault="00000000" w:rsidP="00EC5535">
      <w:pPr>
        <w:pStyle w:val="ReviewerComment"/>
        <w:pBdr>
          <w:left w:val="single" w:sz="10" w:space="5" w:color="A6A6A6"/>
        </w:pBdr>
        <w:shd w:val="clear" w:color="auto" w:fill="F2F2F2"/>
        <w:jc w:val="both"/>
      </w:pPr>
      <w:r>
        <w:t>Section 7 opens with the corrupted phrase 'workload flexModelling economic viability', suggesting find-and-replace damage elsewhere. Please check the whole file.</w:t>
      </w:r>
    </w:p>
    <w:p w14:paraId="0EF8D46B" w14:textId="77777777" w:rsidR="00C4550C" w:rsidRDefault="00000000" w:rsidP="00EC5535">
      <w:pPr>
        <w:keepNext/>
        <w:spacing w:after="40"/>
        <w:jc w:val="both"/>
      </w:pPr>
      <w:r>
        <w:rPr>
          <w:b/>
          <w:color w:val="1F4E79"/>
          <w:sz w:val="19"/>
        </w:rPr>
        <w:t>Response</w:t>
      </w:r>
    </w:p>
    <w:p w14:paraId="7AF9CDD5" w14:textId="77777777" w:rsidR="00C4550C" w:rsidRDefault="00000000" w:rsidP="00EC5535">
      <w:pPr>
        <w:pStyle w:val="ResponseText"/>
        <w:jc w:val="both"/>
      </w:pPr>
      <w:r>
        <w:t>The corrupted phrase in the Section 7 opening has been removed and the paragraph has been rewritten in complete prose. The section now introduces the seven components clearly: site and resource assessment, technology selection, electrical architecture, control and dispatch, workload flexibility, economic evaluation, and resilience/sustainability.</w:t>
      </w:r>
    </w:p>
    <w:p w14:paraId="5C5A50B9" w14:textId="77777777" w:rsidR="00C4550C" w:rsidRDefault="00000000" w:rsidP="00EC5535">
      <w:pPr>
        <w:pStyle w:val="ResponseText"/>
        <w:jc w:val="both"/>
      </w:pPr>
      <w:r>
        <w:t>We also carried out a manuscript-wide text-integrity check for similar editing artifacts, including merged words, broken headings, misplaced capitalization, duplicated fragments, and incomplete sentences created during earlier revision cycles. Headings, cross-references, captions, and the major section-opening paragraphs were included in that pass.</w:t>
      </w:r>
    </w:p>
    <w:p w14:paraId="0FD7BC3A" w14:textId="77777777" w:rsidR="00C4550C" w:rsidRDefault="00000000" w:rsidP="00EC5535">
      <w:pPr>
        <w:pStyle w:val="Location"/>
        <w:jc w:val="both"/>
      </w:pPr>
      <w:r>
        <w:rPr>
          <w:b/>
        </w:rPr>
        <w:t xml:space="preserve">Location in revised manuscript: </w:t>
      </w:r>
      <w:r>
        <w:t>Section 7 opening paragraph; document-wide proofreading pass.</w:t>
      </w:r>
    </w:p>
    <w:p w14:paraId="625CA993" w14:textId="77777777" w:rsidR="00C4550C" w:rsidRDefault="00000000" w:rsidP="00EC5535">
      <w:pPr>
        <w:keepNext/>
        <w:spacing w:before="200" w:after="80"/>
        <w:jc w:val="both"/>
      </w:pPr>
      <w:r>
        <w:rPr>
          <w:b/>
          <w:color w:val="1F4E79"/>
          <w:sz w:val="23"/>
        </w:rPr>
        <w:t>Comment 2.26 — Typographical errors and stray characters</w:t>
      </w:r>
    </w:p>
    <w:p w14:paraId="17E26890" w14:textId="77777777" w:rsidR="00C4550C" w:rsidRDefault="00000000" w:rsidP="00EC5535">
      <w:pPr>
        <w:keepNext/>
        <w:spacing w:after="40"/>
        <w:jc w:val="both"/>
      </w:pPr>
      <w:r>
        <w:rPr>
          <w:b/>
          <w:color w:val="5A5A5A"/>
          <w:sz w:val="19"/>
        </w:rPr>
        <w:t>Reviewer comment</w:t>
      </w:r>
    </w:p>
    <w:p w14:paraId="63D20EF6" w14:textId="77777777" w:rsidR="00C4550C" w:rsidRDefault="00000000" w:rsidP="00EC5535">
      <w:pPr>
        <w:pStyle w:val="ReviewerComment"/>
        <w:pBdr>
          <w:left w:val="single" w:sz="10" w:space="5" w:color="A6A6A6"/>
        </w:pBdr>
        <w:shd w:val="clear" w:color="auto" w:fill="F2F2F2"/>
        <w:jc w:val="both"/>
      </w:pPr>
      <w:r>
        <w:t>Section 3.4 reads 'Colling System Integration', Section 3.2 reads 'AI Workload Electrical Charactersitics', Section 1.1 has 'data canters', and Section 1.2 has a stray dollar sign in '$THD &lt; 5%'. Please proofread the whole file.</w:t>
      </w:r>
    </w:p>
    <w:p w14:paraId="0C94EB7B" w14:textId="77777777" w:rsidR="00C4550C" w:rsidRDefault="00000000" w:rsidP="00EC5535">
      <w:pPr>
        <w:keepNext/>
        <w:spacing w:after="40"/>
        <w:jc w:val="both"/>
      </w:pPr>
      <w:r>
        <w:rPr>
          <w:b/>
          <w:color w:val="1F4E79"/>
          <w:sz w:val="19"/>
        </w:rPr>
        <w:t>Response</w:t>
      </w:r>
    </w:p>
    <w:p w14:paraId="481A87AE" w14:textId="77777777" w:rsidR="00C4550C" w:rsidRDefault="00000000" w:rsidP="00EC5535">
      <w:pPr>
        <w:pStyle w:val="ResponseText"/>
        <w:jc w:val="both"/>
      </w:pPr>
      <w:r>
        <w:t>The specific errors identified by the reviewer have been corrected: “Colling System Integration” is now “Cooling System Integration,” “AI Workload Electrical Charactersitics” is now “AI Workload Electrical Characteristics,” “data canters” is corrected to “data centers,” and the stray dollar sign before THD has been removed.</w:t>
      </w:r>
    </w:p>
    <w:p w14:paraId="3CD3E851" w14:textId="77777777" w:rsidR="00C4550C" w:rsidRDefault="00000000" w:rsidP="00EC5535">
      <w:pPr>
        <w:pStyle w:val="ResponseText"/>
        <w:jc w:val="both"/>
      </w:pPr>
      <w:r>
        <w:t>The proofreading pass was extended beyond these four examples. We also checked spelling, punctuation, capitalization, unit formatting, section headings, figure and table captions, and sentence fragments introduced during revision. This was done to address the reviewer’s broader concern that the identified errors might indicate similar problems elsewhere in the file rather than treating the four examples in isolation.</w:t>
      </w:r>
    </w:p>
    <w:p w14:paraId="2884378E" w14:textId="77777777" w:rsidR="00C4550C" w:rsidRDefault="00000000" w:rsidP="00EC5535">
      <w:pPr>
        <w:pStyle w:val="Location"/>
        <w:jc w:val="both"/>
      </w:pPr>
      <w:r>
        <w:rPr>
          <w:b/>
        </w:rPr>
        <w:t xml:space="preserve">Location in revised manuscript: </w:t>
      </w:r>
      <w:r>
        <w:t>Sections 1.1, 1.3, 3.2, and 3.4; document-wide proofreading.</w:t>
      </w:r>
    </w:p>
    <w:p w14:paraId="73540B0A" w14:textId="77777777" w:rsidR="00C4550C" w:rsidRDefault="00000000" w:rsidP="00EC5535">
      <w:pPr>
        <w:keepNext/>
        <w:spacing w:before="200" w:after="80"/>
        <w:jc w:val="both"/>
      </w:pPr>
      <w:r>
        <w:rPr>
          <w:b/>
          <w:color w:val="1F4E79"/>
          <w:sz w:val="23"/>
        </w:rPr>
        <w:t>Comment 2.27 — Currency, U.S. English, nomenclature, and abstract presentation</w:t>
      </w:r>
    </w:p>
    <w:p w14:paraId="7A387145" w14:textId="77777777" w:rsidR="00C4550C" w:rsidRDefault="00000000" w:rsidP="00EC5535">
      <w:pPr>
        <w:keepNext/>
        <w:spacing w:after="40"/>
        <w:jc w:val="both"/>
      </w:pPr>
      <w:r>
        <w:rPr>
          <w:b/>
          <w:color w:val="5A5A5A"/>
          <w:sz w:val="19"/>
        </w:rPr>
        <w:t>Reviewer comment</w:t>
      </w:r>
    </w:p>
    <w:p w14:paraId="625E60F8" w14:textId="77777777" w:rsidR="00C4550C" w:rsidRDefault="00000000" w:rsidP="00EC5535">
      <w:pPr>
        <w:pStyle w:val="ReviewerComment"/>
        <w:pBdr>
          <w:left w:val="single" w:sz="10" w:space="5" w:color="A6A6A6"/>
        </w:pBdr>
        <w:shd w:val="clear" w:color="auto" w:fill="F2F2F2"/>
        <w:jc w:val="both"/>
      </w:pPr>
      <w:r>
        <w:t>Currency appears as $35–80/MWh, 35$ to 80$ per MWh, 200M$ to 320M$, and 20$ per MWh. US/UK spellings are mixed within the same paragraphs. Section 1.3 'In congested regions' sentence has no main verb. Item 7 of Section 1.5 list reads as a leftover editing note. No nomenclature list despite heavy use of PUE, CFE, LCOE, LOLE, MILP, MPC, IBR, SCR, RoCoF, TRE, ADR, PFR. The abstract is also long and states no method.</w:t>
      </w:r>
    </w:p>
    <w:p w14:paraId="59BB0281" w14:textId="77777777" w:rsidR="00C4550C" w:rsidRDefault="00000000" w:rsidP="00EC5535">
      <w:pPr>
        <w:keepNext/>
        <w:spacing w:after="40"/>
        <w:jc w:val="both"/>
      </w:pPr>
      <w:r>
        <w:rPr>
          <w:b/>
          <w:color w:val="1F4E79"/>
          <w:sz w:val="19"/>
        </w:rPr>
        <w:t>Response</w:t>
      </w:r>
    </w:p>
    <w:p w14:paraId="765BE4BA" w14:textId="77777777" w:rsidR="00C4550C" w:rsidRDefault="00000000" w:rsidP="00EC5535">
      <w:pPr>
        <w:pStyle w:val="ResponseText"/>
        <w:jc w:val="both"/>
      </w:pPr>
      <w:r>
        <w:t>The presentation has been standardized across the revised manuscript.</w:t>
      </w:r>
    </w:p>
    <w:p w14:paraId="3E62B9EB" w14:textId="77777777" w:rsidR="00C4550C" w:rsidRDefault="00000000" w:rsidP="00EC5535">
      <w:pPr>
        <w:pStyle w:val="ResponseText"/>
        <w:jc w:val="both"/>
      </w:pPr>
      <w:r>
        <w:t>Currency values are now written in a consistent form, using “USD” before the value and a single unit convention, for example USD 43/MWh, USD 108/kWh, and USD 691/kW. Ranges use en dashes and the unit is not repeated unnecessarily. U.S. English is used throughout the main text, including forms such as “modeling,” “behavior,” “characterization,” and “data center.”</w:t>
      </w:r>
    </w:p>
    <w:p w14:paraId="6C833A12" w14:textId="77777777" w:rsidR="00C4550C" w:rsidRDefault="00000000" w:rsidP="00EC5535">
      <w:pPr>
        <w:pStyle w:val="ResponseText"/>
        <w:jc w:val="both"/>
      </w:pPr>
      <w:r>
        <w:lastRenderedPageBreak/>
        <w:t>The incomplete sentence in Section 1.3 has been rewritten with a clear main verb, and the seven-item framework list in Section 1.5 has been cleaned so that the final item reads as part of the scientific contribution rather than as an editing note.</w:t>
      </w:r>
    </w:p>
    <w:p w14:paraId="0157AC3E" w14:textId="77777777" w:rsidR="00C4550C" w:rsidRDefault="00000000" w:rsidP="00EC5535">
      <w:pPr>
        <w:pStyle w:val="ResponseText"/>
        <w:jc w:val="both"/>
      </w:pPr>
      <w:r>
        <w:t>A nomenclature/abbreviations list has also been added for the principal recurring technical terms, including PUE, WUE, CFE, LCOE, LCOS, LOLE, MILP, MPC, IBR, SCR, RoCoF, ADR, PFR, BESS, PPA, WACC, and related acronyms. The abstract has been revised to state the review approach, evidence-base size, major synthesis, and scope of the seven-component framework while removing repetitive design-guide language.</w:t>
      </w:r>
    </w:p>
    <w:p w14:paraId="1B7788FD" w14:textId="77777777" w:rsidR="00C4550C" w:rsidRDefault="00000000" w:rsidP="00EC5535">
      <w:pPr>
        <w:pStyle w:val="Location"/>
        <w:jc w:val="both"/>
      </w:pPr>
      <w:r>
        <w:rPr>
          <w:b/>
        </w:rPr>
        <w:t xml:space="preserve">Location in revised manuscript: </w:t>
      </w:r>
      <w:r>
        <w:t>Abstract; Sections 1.3 and 1.5; Nomenclature/Abbreviations section; global style pass.</w:t>
      </w:r>
    </w:p>
    <w:p w14:paraId="53CF09CF" w14:textId="77777777" w:rsidR="00C4550C" w:rsidRDefault="00000000" w:rsidP="00EC5535">
      <w:pPr>
        <w:keepNext/>
        <w:spacing w:before="200" w:after="80"/>
        <w:jc w:val="both"/>
      </w:pPr>
      <w:r>
        <w:rPr>
          <w:b/>
          <w:color w:val="1F4E79"/>
          <w:sz w:val="23"/>
        </w:rPr>
        <w:t>Comment 2.28 — Declarations, highlights, and reference-list presentation</w:t>
      </w:r>
    </w:p>
    <w:p w14:paraId="48B81C82" w14:textId="77777777" w:rsidR="00C4550C" w:rsidRDefault="00000000" w:rsidP="00EC5535">
      <w:pPr>
        <w:keepNext/>
        <w:spacing w:after="40"/>
        <w:jc w:val="both"/>
      </w:pPr>
      <w:r>
        <w:rPr>
          <w:b/>
          <w:color w:val="5A5A5A"/>
          <w:sz w:val="19"/>
        </w:rPr>
        <w:t>Reviewer comment</w:t>
      </w:r>
    </w:p>
    <w:p w14:paraId="5A2A8257" w14:textId="77777777" w:rsidR="00C4550C" w:rsidRDefault="00000000" w:rsidP="00EC5535">
      <w:pPr>
        <w:pStyle w:val="ReviewerComment"/>
        <w:pBdr>
          <w:left w:val="single" w:sz="10" w:space="5" w:color="A6A6A6"/>
        </w:pBdr>
        <w:shd w:val="clear" w:color="auto" w:fill="F2F2F2"/>
        <w:jc w:val="both"/>
      </w:pPr>
      <w:r>
        <w:t>Missing: CRediT author contribution statement, declaration of competing interest, funding statement, data availability statement, declaration on the use of generative AI, and highlights. The reference list is not in a consistent Elsevier numbered style, and several entries lack volume, issue, or page numbers or give only a bare URL.</w:t>
      </w:r>
    </w:p>
    <w:p w14:paraId="2BD718A7" w14:textId="77777777" w:rsidR="00C4550C" w:rsidRDefault="00000000" w:rsidP="00EC5535">
      <w:pPr>
        <w:keepNext/>
        <w:spacing w:after="40"/>
        <w:jc w:val="both"/>
      </w:pPr>
      <w:r>
        <w:rPr>
          <w:b/>
          <w:color w:val="1F4E79"/>
          <w:sz w:val="19"/>
        </w:rPr>
        <w:t>Response</w:t>
      </w:r>
    </w:p>
    <w:p w14:paraId="75D9785C" w14:textId="77777777" w:rsidR="00C4550C" w:rsidRPr="004A12ED" w:rsidRDefault="00000000" w:rsidP="00EC5535">
      <w:pPr>
        <w:pStyle w:val="ResponseText"/>
        <w:jc w:val="both"/>
        <w:rPr>
          <w:highlight w:val="yellow"/>
        </w:rPr>
      </w:pPr>
      <w:r w:rsidRPr="004A12ED">
        <w:rPr>
          <w:highlight w:val="yellow"/>
        </w:rPr>
        <w:t>The final submission package has been expanded to include the journal-facing material that was missing from the earlier version: Highlights, a CRediT author-contribution statement, Declaration of Competing Interest, Funding statement, Data Availability statement, and a declaration describing the use of generative AI during manuscript preparation. The generative-AI statement is written to reflect the actual use of the tool for language, organization, and editing support, with the authors retaining responsibility for the scientific content and final text.</w:t>
      </w:r>
    </w:p>
    <w:p w14:paraId="32EB5C61" w14:textId="77777777" w:rsidR="00C4550C" w:rsidRPr="004A12ED" w:rsidRDefault="00000000" w:rsidP="00EC5535">
      <w:pPr>
        <w:pStyle w:val="ResponseText"/>
        <w:jc w:val="both"/>
        <w:rPr>
          <w:highlight w:val="yellow"/>
        </w:rPr>
      </w:pPr>
      <w:r w:rsidRPr="004A12ED">
        <w:rPr>
          <w:highlight w:val="yellow"/>
        </w:rPr>
        <w:t>The reference list has also been normalized to a consistent numbered journal style. Journal articles are presented with the available author, title, journal, year, volume/issue, page or article number, and DOI information. Reports, standards, institutional publications, and webpages are formatted according to their source type rather than being forced into an incomplete journal-article template; publisher/report information and DOI or URL/access information are retained where appropriate.</w:t>
      </w:r>
    </w:p>
    <w:p w14:paraId="0A43D1EE" w14:textId="77777777" w:rsidR="00C4550C" w:rsidRPr="004A12ED" w:rsidRDefault="00000000" w:rsidP="00EC5535">
      <w:pPr>
        <w:pStyle w:val="ResponseText"/>
        <w:jc w:val="both"/>
        <w:rPr>
          <w:highlight w:val="yellow"/>
        </w:rPr>
      </w:pPr>
      <w:r w:rsidRPr="004A12ED">
        <w:rPr>
          <w:highlight w:val="yellow"/>
        </w:rPr>
        <w:t>These additions address the reviewer’s concern at both the manuscript and submission-package levels and make the supporting declarations explicit rather than leaving them to the journal submission portal alone.</w:t>
      </w:r>
    </w:p>
    <w:p w14:paraId="66D93F05" w14:textId="77777777" w:rsidR="00C4550C" w:rsidRDefault="00000000" w:rsidP="00EC5535">
      <w:pPr>
        <w:pStyle w:val="Location"/>
        <w:jc w:val="both"/>
      </w:pPr>
      <w:r w:rsidRPr="004A12ED">
        <w:rPr>
          <w:b/>
          <w:highlight w:val="yellow"/>
        </w:rPr>
        <w:t xml:space="preserve">Location in revised manuscript: </w:t>
      </w:r>
      <w:r w:rsidRPr="004A12ED">
        <w:rPr>
          <w:highlight w:val="yellow"/>
        </w:rPr>
        <w:t>Front matter / submission declarations; Highlights; reference list.</w:t>
      </w:r>
    </w:p>
    <w:p w14:paraId="37539F6C" w14:textId="77777777" w:rsidR="00C4550C" w:rsidRDefault="00000000" w:rsidP="00EC5535">
      <w:pPr>
        <w:keepNext/>
        <w:spacing w:before="200" w:after="80"/>
        <w:jc w:val="both"/>
      </w:pPr>
      <w:r>
        <w:rPr>
          <w:b/>
          <w:color w:val="1F4E79"/>
          <w:sz w:val="23"/>
        </w:rPr>
        <w:t>Comment 2.29 — Critical-review framing versus design-guide tone</w:t>
      </w:r>
    </w:p>
    <w:p w14:paraId="1E17CEB3" w14:textId="77777777" w:rsidR="00C4550C" w:rsidRDefault="00000000" w:rsidP="00EC5535">
      <w:pPr>
        <w:keepNext/>
        <w:spacing w:after="40"/>
        <w:jc w:val="both"/>
      </w:pPr>
      <w:r>
        <w:rPr>
          <w:b/>
          <w:color w:val="5A5A5A"/>
          <w:sz w:val="19"/>
        </w:rPr>
        <w:t>Reviewer comment</w:t>
      </w:r>
    </w:p>
    <w:p w14:paraId="1261620D" w14:textId="77777777" w:rsidR="00C4550C" w:rsidRDefault="00000000" w:rsidP="00EC5535">
      <w:pPr>
        <w:pStyle w:val="ReviewerComment"/>
        <w:pBdr>
          <w:left w:val="single" w:sz="10" w:space="5" w:color="A6A6A6"/>
        </w:pBdr>
        <w:shd w:val="clear" w:color="auto" w:fill="F2F2F2"/>
        <w:jc w:val="both"/>
      </w:pPr>
      <w:r>
        <w:t>The title promises a critical review but the manuscript reads as a design guide, with almost every cited finding reported approvingly. Please either add appraisal of where the evidence is weak and where studies disagree, or adjust the title.</w:t>
      </w:r>
    </w:p>
    <w:p w14:paraId="3CFB48F7" w14:textId="77777777" w:rsidR="00C4550C" w:rsidRDefault="00000000" w:rsidP="00EC5535">
      <w:pPr>
        <w:keepNext/>
        <w:spacing w:after="40"/>
        <w:jc w:val="both"/>
      </w:pPr>
      <w:r>
        <w:rPr>
          <w:b/>
          <w:color w:val="1F4E79"/>
          <w:sz w:val="19"/>
        </w:rPr>
        <w:t>Response</w:t>
      </w:r>
    </w:p>
    <w:p w14:paraId="0F2B0712" w14:textId="77777777" w:rsidR="00C4550C" w:rsidRDefault="00000000" w:rsidP="00EC5535">
      <w:pPr>
        <w:pStyle w:val="ResponseText"/>
        <w:jc w:val="both"/>
      </w:pPr>
      <w:r>
        <w:t>We retained the “critical review” wording in the title and revised the manuscript so that critical appraisal is part of the analysis rather than an implication of the title alone.</w:t>
      </w:r>
    </w:p>
    <w:p w14:paraId="00BB0121" w14:textId="77777777" w:rsidR="00C4550C" w:rsidRDefault="00000000" w:rsidP="00EC5535">
      <w:pPr>
        <w:pStyle w:val="ResponseText"/>
        <w:jc w:val="both"/>
      </w:pPr>
      <w:r>
        <w:t>Section 2.6 now compares the strengths, blind spots, implementation barriers, and transferability limits of the main evidence categories. The economic sections identify cases in which reported costs cannot be compared directly because the studies use different years, geographies, financing assumptions, service boundaries, or reliability definitions. Corporate case studies are treated as illustrative, self-reported evidence rather than as validation of a particular architecture. Section 13 states the geographic, methodological, reporting, commercial-source, and site-validation limitations of the review.</w:t>
      </w:r>
    </w:p>
    <w:p w14:paraId="2126FC52" w14:textId="77777777" w:rsidR="00C4550C" w:rsidRDefault="00000000" w:rsidP="00EC5535">
      <w:pPr>
        <w:pStyle w:val="ResponseText"/>
        <w:jc w:val="both"/>
      </w:pPr>
      <w:r>
        <w:lastRenderedPageBreak/>
        <w:t>We also changed the role of the seven-component framework. It is now presented as a screening and decision-support structure that organizes the evidence and identifies the analyses required for a project. It is not presented as a prescriptive design methodology, a universally optimal technology mix, or a site-specific optimization result.</w:t>
      </w:r>
    </w:p>
    <w:p w14:paraId="6FAAAB81" w14:textId="77777777" w:rsidR="00C4550C" w:rsidRDefault="00000000" w:rsidP="00EC5535">
      <w:pPr>
        <w:pStyle w:val="ResponseText"/>
        <w:jc w:val="both"/>
      </w:pPr>
      <w:r>
        <w:t>The revised conclusion reflects this position and identifies where the evidence is comparatively strong, where results are difficult to transfer, and where additional site-specific or independently verified evidence is still needed. We therefore believe the title remains appropriate for the revised manuscript.</w:t>
      </w:r>
    </w:p>
    <w:p w14:paraId="018277C7" w14:textId="77777777" w:rsidR="00C4550C" w:rsidRDefault="00000000" w:rsidP="00EC5535">
      <w:pPr>
        <w:pStyle w:val="Location"/>
        <w:jc w:val="both"/>
      </w:pPr>
      <w:r>
        <w:rPr>
          <w:b/>
        </w:rPr>
        <w:t xml:space="preserve">Location in revised manuscript: </w:t>
      </w:r>
      <w:r>
        <w:t>Section 2.6; Sections 8 and 10; Section 13; Section 14.</w:t>
      </w:r>
    </w:p>
    <w:p w14:paraId="0539CB90" w14:textId="77777777" w:rsidR="00C4550C" w:rsidRDefault="00000000" w:rsidP="00EC5535">
      <w:pPr>
        <w:spacing w:before="200"/>
        <w:jc w:val="both"/>
      </w:pPr>
      <w:r>
        <w:rPr>
          <w:b/>
          <w:color w:val="1F4E79"/>
          <w:sz w:val="26"/>
        </w:rPr>
        <w:t>Closing Response</w:t>
      </w:r>
    </w:p>
    <w:p w14:paraId="1543049F" w14:textId="77777777" w:rsidR="00C4550C" w:rsidRDefault="00000000" w:rsidP="00EC5535">
      <w:pPr>
        <w:pStyle w:val="ResponseText"/>
        <w:jc w:val="both"/>
      </w:pPr>
      <w:r>
        <w:t>We thank the reviewer again for the detailed comments. The revision has been used to improve not only the individual statements identified in the report, but also the methodological boundaries of the paper as a whole. The revised manuscript now separates literature-derived evidence from site-specific assumptions, distinguishes availability from LOLE, distinguishes battery-pack pricing from installed BESS cost, and avoids comparing generation-only renewable LCOE with firm delivered electricity as if they represented the same service.</w:t>
      </w:r>
    </w:p>
    <w:p w14:paraId="4714F44D" w14:textId="77777777" w:rsidR="00C4550C" w:rsidRDefault="00000000" w:rsidP="00EC5535">
      <w:pPr>
        <w:pStyle w:val="ResponseText"/>
        <w:jc w:val="both"/>
      </w:pPr>
      <w:r>
        <w:t>The review methodology, framework logic, economic system boundaries, evidence limitations, and source provenance are now stated more explicitly. These changes preserve the intended scope of the paper as a critical review while making the conclusions more traceable and the proposed seven-component framework more useful as a preliminary screening and decision-support structure.</w:t>
      </w:r>
    </w:p>
    <w:sectPr w:rsidR="00C4550C"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7ABA" w14:textId="77777777" w:rsidR="00BE7EC5" w:rsidRDefault="00BE7EC5">
      <w:pPr>
        <w:spacing w:after="0" w:line="240" w:lineRule="auto"/>
      </w:pPr>
      <w:r>
        <w:separator/>
      </w:r>
    </w:p>
  </w:endnote>
  <w:endnote w:type="continuationSeparator" w:id="0">
    <w:p w14:paraId="70933E12" w14:textId="77777777" w:rsidR="00BE7EC5" w:rsidRDefault="00BE7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5574" w14:textId="77777777" w:rsidR="00C4550C" w:rsidRDefault="00000000">
    <w:pPr>
      <w:pStyle w:val="Footer"/>
      <w:jc w:val="center"/>
    </w:pPr>
    <w:r>
      <w:rPr>
        <w:color w:val="787878"/>
        <w:sz w:val="16"/>
      </w:rPr>
      <w:t>Response to Reviewer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B1442" w14:textId="77777777" w:rsidR="00BE7EC5" w:rsidRDefault="00BE7EC5">
      <w:pPr>
        <w:spacing w:after="0" w:line="240" w:lineRule="auto"/>
      </w:pPr>
      <w:r>
        <w:separator/>
      </w:r>
    </w:p>
  </w:footnote>
  <w:footnote w:type="continuationSeparator" w:id="0">
    <w:p w14:paraId="6A840947" w14:textId="77777777" w:rsidR="00BE7EC5" w:rsidRDefault="00BE7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17693">
    <w:abstractNumId w:val="8"/>
  </w:num>
  <w:num w:numId="2" w16cid:durableId="794256420">
    <w:abstractNumId w:val="6"/>
  </w:num>
  <w:num w:numId="3" w16cid:durableId="904804127">
    <w:abstractNumId w:val="5"/>
  </w:num>
  <w:num w:numId="4" w16cid:durableId="1091004586">
    <w:abstractNumId w:val="4"/>
  </w:num>
  <w:num w:numId="5" w16cid:durableId="893542286">
    <w:abstractNumId w:val="7"/>
  </w:num>
  <w:num w:numId="6" w16cid:durableId="405996087">
    <w:abstractNumId w:val="3"/>
  </w:num>
  <w:num w:numId="7" w16cid:durableId="840003310">
    <w:abstractNumId w:val="2"/>
  </w:num>
  <w:num w:numId="8" w16cid:durableId="2130052662">
    <w:abstractNumId w:val="1"/>
  </w:num>
  <w:num w:numId="9" w16cid:durableId="196780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C6"/>
    <w:rsid w:val="00034616"/>
    <w:rsid w:val="0006063C"/>
    <w:rsid w:val="0015074B"/>
    <w:rsid w:val="0029639D"/>
    <w:rsid w:val="00326F90"/>
    <w:rsid w:val="00457133"/>
    <w:rsid w:val="004A12ED"/>
    <w:rsid w:val="00AA1D8D"/>
    <w:rsid w:val="00B47730"/>
    <w:rsid w:val="00BE7EC5"/>
    <w:rsid w:val="00C4550C"/>
    <w:rsid w:val="00CB0664"/>
    <w:rsid w:val="00EC5535"/>
    <w:rsid w:val="00FB14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745B8"/>
  <w14:defaultImageDpi w14:val="300"/>
  <w15:docId w15:val="{6654FA99-D50A-444B-A198-CBAEDBAF2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pPr>
      <w:spacing w:before="60" w:after="140"/>
      <w:ind w:left="259" w:right="115"/>
    </w:pPr>
    <w:rPr>
      <w:rFonts w:ascii="Arial" w:hAnsi="Arial"/>
      <w:i/>
      <w:color w:val="414141"/>
      <w:sz w:val="20"/>
    </w:rPr>
  </w:style>
  <w:style w:type="paragraph" w:customStyle="1" w:styleId="ResponseText">
    <w:name w:val="Response Text"/>
    <w:pPr>
      <w:spacing w:after="120" w:line="259" w:lineRule="auto"/>
    </w:pPr>
    <w:rPr>
      <w:rFonts w:ascii="Arial" w:hAnsi="Arial"/>
      <w:sz w:val="21"/>
    </w:rPr>
  </w:style>
  <w:style w:type="paragraph" w:customStyle="1" w:styleId="Location">
    <w:name w:val="Location"/>
    <w:rPr>
      <w:rFonts w:ascii="Arial" w:hAnsi="Arial"/>
      <w:i/>
      <w:color w:val="50505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6872</Words>
  <Characters>39171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Kiasari</cp:lastModifiedBy>
  <cp:revision>5</cp:revision>
  <dcterms:created xsi:type="dcterms:W3CDTF">2013-12-23T23:15:00Z</dcterms:created>
  <dcterms:modified xsi:type="dcterms:W3CDTF">2026-09-06T22:04:00Z</dcterms:modified>
  <cp:category/>
</cp:coreProperties>
</file>