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rPr>
          <w:b/>
          <w:sz w:val="44"/>
        </w:rPr>
        <w:t>Submission-Ready Response to Reviewer #2</w:t>
      </w:r>
    </w:p>
    <w:p>
      <w:pPr>
        <w:jc w:val="center"/>
      </w:pPr>
      <w:r>
        <w:rPr>
          <w:i/>
          <w:color w:val="404040"/>
          <w:sz w:val="28"/>
        </w:rPr>
        <w:t>Defensive Technical Response — Final Manuscript</w:t>
      </w:r>
    </w:p>
    <w:p/>
    <w:p>
      <w:pPr>
        <w:jc w:val="center"/>
      </w:pPr>
      <w:r>
        <w:rPr>
          <w:b/>
          <w:sz w:val="22"/>
        </w:rPr>
        <w:t xml:space="preserve">Manuscript: </w:t>
      </w:r>
      <w:r>
        <w:rPr>
          <w:i/>
          <w:sz w:val="22"/>
        </w:rPr>
        <w:t>Energy Infrastructure for AI Data Centers: A Critical Review of Grid Integration, Techno-Economic Challenges, and Future Pathways</w:t>
      </w:r>
    </w:p>
    <w:p>
      <w:pPr>
        <w:jc w:val="center"/>
      </w:pPr>
      <w:r>
        <w:rPr>
          <w:b/>
          <w:sz w:val="22"/>
        </w:rPr>
        <w:t>Authors: Mahmoud Kiasari, Hamed Aly</w:t>
      </w:r>
    </w:p>
    <w:p>
      <w:pPr>
        <w:jc w:val="center"/>
      </w:pPr>
      <w:r>
        <w:rPr>
          <w:i/>
          <w:color w:val="606060"/>
          <w:sz w:val="20"/>
        </w:rPr>
        <w:t>Smart Grid and Green Power Research Lab, ECE Dept., Dalhousie University, Halifax, NS, Canada</w:t>
      </w:r>
    </w:p>
    <w:p/>
    <w:p>
      <w:pPr>
        <w:jc w:val="center"/>
      </w:pPr>
      <w:r>
        <w:rPr>
          <w:b/>
          <w:sz w:val="22"/>
        </w:rPr>
        <w:t>Date: September 6, 2026</w:t>
      </w:r>
    </w:p>
    <w:p>
      <w:pPr>
        <w:jc w:val="center"/>
      </w:pPr>
      <w:r>
        <w:rPr>
          <w:b/>
          <w:sz w:val="22"/>
        </w:rPr>
        <w:t>Final evidence-base count: n = 178 sources</w:t>
      </w:r>
    </w:p>
    <w:p>
      <w:pPr>
        <w:jc w:val="center"/>
      </w:pPr>
      <w:r>
        <w:rPr>
          <w:b/>
          <w:sz w:val="22"/>
        </w:rPr>
        <w:t>Response posture: final, resolved, defensive/technical</w:t>
      </w:r>
    </w:p>
    <w:p>
      <w:pPr>
        <w:sectPr>
          <w:headerReference w:type="default" r:id="rId9"/>
          <w:footerReference w:type="default" r:id="rId10"/>
          <w:pgSz w:w="11906" w:h="16838"/>
          <w:pgMar w:top="1417" w:right="1134" w:bottom="1417" w:left="1134" w:header="680" w:footer="680" w:gutter="0"/>
          <w:cols w:space="720"/>
          <w:docGrid w:linePitch="360"/>
        </w:sectPr>
      </w:pPr>
    </w:p>
    <w:p>
      <w:pPr>
        <w:pStyle w:val="Heading2"/>
      </w:pPr>
      <w:r>
        <w:t>TL;DR — One-Paragraph Verdict</w:t>
      </w:r>
    </w:p>
    <w:p>
      <w:pPr>
        <w:spacing w:line="360" w:lineRule="auto" w:after="200"/>
      </w:pPr>
      <w:r>
        <w:rPr>
          <w:b w:val="0"/>
          <w:i w:val="0"/>
          <w:sz w:val="22"/>
        </w:rPr>
        <w:t>Verdict: Recommend for Submission. The manuscript has been substantially restructured to address all 29 of Reviewer #2's concerns at the level of methodology, quantitative consistency, source provenance, engineering formulation, economic system boundaries, framework reproducibility, and critical appraisal. The revision now presents the work explicitly as a critical review and screening/decision-support framework. All unsupported numerical outputs from the earlier version have been removed; literature-derived benchmarks are separated from project-specific assumptions; availability and LOLE are treated as distinct reliability concepts; battery-pack prices are distinguished from installed BESS costs; generation-only LCOE is separated from partially firmed hybrid supply and delivered grid electricity; and the framework components now state their inputs, decision logic, and outputs. The manuscript is submission-ready.</w:t>
      </w:r>
    </w:p>
    <w:p>
      <w:pPr>
        <w:pStyle w:val="Heading2"/>
      </w:pPr>
      <w:r>
        <w:t>Overview</w:t>
      </w:r>
    </w:p>
    <w:p>
      <w:pPr>
        <w:spacing w:line="360" w:lineRule="auto" w:after="120"/>
      </w:pPr>
      <w:r>
        <w:rPr>
          <w:b w:val="0"/>
          <w:i w:val="0"/>
          <w:sz w:val="22"/>
        </w:rPr>
        <w:t>This document is a defensive response letter to Reviewer #2's 29 detailed technical comments on the manuscript 'Energy Infrastructure for AI Data Centers: A Critical Review of Grid Integration, Techno-Economic Challenges, and Future Pathways' by Mahmoud Kiasari and Hamed Aly (Smart Grid and Green Power Research Lab, ECE Dept., Dalhousie University, Halifax, NS, Canada). The letter treats the New manuscript (uploaded 2026-09-06) as the FINAL submitted version. The posture is defensive, technical, final, and confident: every revision the authors made (Old → New) is defended as correct and sufficient, and every one of Reviewer #2's 29 concerns is addressed at the level of methodology, quantitative consistency, source provenance, engineering formulation, economic system boundaries, framework reproducibility, and critical appraisal.</w:t>
      </w:r>
    </w:p>
    <w:p>
      <w:pPr>
        <w:spacing w:line="360" w:lineRule="auto" w:after="120"/>
      </w:pPr>
      <w:r>
        <w:rPr>
          <w:b w:val="0"/>
          <w:i w:val="0"/>
          <w:sz w:val="22"/>
        </w:rPr>
        <w:t>Evidence base. The revised manuscript draws on 178 sources, decomposed as: 90 peer-reviewed journal articles, 19 conference papers, 13 standards and patent documents, 36 government/agency/institutional reports, and 20 corporate and other grey-literature sources. These categories sum to 178 and are reported consistently across the abstract, Section 1.6.3, Figure 2, and the numbered bibliography.</w:t>
      </w:r>
    </w:p>
    <w:p>
      <w:pPr>
        <w:spacing w:line="360" w:lineRule="auto" w:after="40"/>
      </w:pPr>
      <w:r>
        <w:rPr>
          <w:b/>
          <w:i w:val="0"/>
          <w:sz w:val="22"/>
        </w:rPr>
        <w:t>Review scope:</w:t>
      </w:r>
    </w:p>
    <w:p>
      <w:pPr>
        <w:pStyle w:val="ListBullet"/>
        <w:spacing w:line="360" w:lineRule="auto" w:after="80"/>
      </w:pPr>
      <w:r>
        <w:rPr>
          <w:b w:val="0"/>
          <w:i w:val="0"/>
          <w:sz w:val="22"/>
        </w:rPr>
        <w:t>In Scope: point-by-point defensive response to all 29 of Reviewer #2's comments (2.1 through 2.29); explanation of how each concern was resolved in the final manuscript; quotation of the relevant resolution text from the revised manuscript as evidence; verbatim reproduction of the submission-ready response text that the corresponding author will send to the journal.</w:t>
      </w:r>
    </w:p>
    <w:p>
      <w:pPr>
        <w:pStyle w:val="ListBullet"/>
        <w:spacing w:line="360" w:lineRule="auto" w:after="80"/>
      </w:pPr>
      <w:r>
        <w:rPr>
          <w:b w:val="0"/>
          <w:i w:val="0"/>
          <w:sz w:val="22"/>
        </w:rPr>
        <w:t>Out of Scope: generating a revised manuscript (the New.docx is final and is not modified by this letter); addressing comments from other reviewers; selecting or recommending a specific target journal; producing a tracked-changes file or wording-audit file (those are separate deliverables).</w:t>
      </w:r>
    </w:p>
    <w:p>
      <w:pPr>
        <w:pStyle w:val="Heading3"/>
      </w:pPr>
      <w:r>
        <w:t>General Response to Reviewer #2</w:t>
      </w:r>
    </w:p>
    <w:p>
      <w:pPr>
        <w:spacing w:line="360" w:lineRule="auto" w:after="120"/>
      </w:pPr>
      <w:r>
        <w:rPr>
          <w:b w:val="0"/>
          <w:i w:val="0"/>
          <w:sz w:val="22"/>
        </w:rPr>
        <w:t>The general response below is reproduced verbatim from the submission-ready response MD file. It frames the revision as a substantive restructuring at the level of methodology, quantitative consistency, source provenance, engineering formulation, economic system boundaries, framework reproducibility, and critical appraisal. The general response is followed by 29 individual point-by-point responses (Comment 2.1 through Comment 2.29) in the Evidence &amp; Analysis section.</w:t>
      </w:r>
    </w:p>
    <w:p>
      <w:pPr>
        <w:spacing w:after="160" w:line="360" w:lineRule="auto"/>
        <w:ind w:left="283" w:right="0"/>
        <w:pBdr>
          <w:left w:val="single" w:sz="12" w:space="8" w:color="A0A0A0"/>
        </w:pBdr>
      </w:pPr>
      <w:r>
        <w:rPr>
          <w:b w:val="0"/>
          <w:i w:val="0"/>
          <w:sz w:val="22"/>
        </w:rPr>
        <w:t xml:space="preserve">We thank Reviewer #2 for the detailed technical assessment. The manuscript has been substantially restructured to address the concerns at the level of methodology, quantitative consistency, source provenance, engineering formulation, economic system boundaries, framework reproducibility, and critical appraisal. The revision now presents the work explicitly as a </w:t>
      </w:r>
      <w:r>
        <w:rPr>
          <w:b/>
          <w:i w:val="0"/>
          <w:sz w:val="22"/>
        </w:rPr>
        <w:t>critical review and screening/decision-support framework</w:t>
      </w:r>
      <w:r>
        <w:rPr>
          <w:b w:val="0"/>
          <w:i w:val="0"/>
          <w:sz w:val="22"/>
        </w:rPr>
        <w:t>, not as a site-specific design optimization or an investment-grade project model. Unsupported numerical outputs from the earlier version have been removed; literature-derived benchmarks are separated from project-specific assumptions; availability and LOLE are treated as distinct reliability concepts; battery-pack prices are distinguished from installed BESS costs; generation-only LCOE is separated from partially firmed hybrid supply and delivered grid electricity; and the framework components now state their inputs, decision logic, and outputs. The review methodology, limitations, source provenance, case-study transferability, workload-flexibility constraints, water-energy trade-offs, and modeling applicability have also been expanded.</w:t>
      </w:r>
    </w:p>
    <w:p>
      <w:pPr>
        <w:spacing w:after="160" w:line="360" w:lineRule="auto"/>
        <w:ind w:left="283" w:right="0"/>
        <w:pBdr>
          <w:left w:val="single" w:sz="12" w:space="8" w:color="A0A0A0"/>
        </w:pBdr>
      </w:pPr>
      <w:r>
        <w:rPr>
          <w:b w:val="0"/>
          <w:i w:val="0"/>
          <w:sz w:val="22"/>
        </w:rPr>
        <w:t>The individual responses below identify how each concern is resolved in the revised manuscript.</w:t>
      </w:r>
    </w:p>
    <w:p>
      <w:pPr>
        <w:spacing w:line="360" w:lineRule="auto" w:after="160"/>
      </w:pPr>
      <w:r>
        <w:rPr>
          <w:b w:val="0"/>
          <w:i/>
          <w:sz w:val="22"/>
        </w:rPr>
        <w:t>The general response establishes the defensive posture that the individual responses below maintain. The revision is presented as a critical review and screening/decision-support framework rather than as a site-specific design optimization or an investment-grade project model. The individual responses identify how each of the 29 concerns is resolved in the revised manuscript, with the relevant manuscript sections cited and the submission-ready text reproduced verbatim.</w:t>
      </w:r>
    </w:p>
    <w:p>
      <w:pPr>
        <w:pStyle w:val="Heading2"/>
      </w:pPr>
      <w:r>
        <w:t>Evaluation Criteria</w:t>
      </w:r>
    </w:p>
    <w:p>
      <w:pPr>
        <w:spacing w:line="360" w:lineRule="auto" w:after="120"/>
      </w:pPr>
      <w:r>
        <w:rPr>
          <w:b w:val="0"/>
          <w:i w:val="0"/>
          <w:sz w:val="22"/>
        </w:rPr>
        <w:t>The manuscript revision is assessed against five evaluation criteria. Each criterion is stated as a 'good' threshold with concrete evidence drawn from the revised manuscript. The criteria are applied uniformly to every reviewer concern and to the manuscript as a whole. The defensive posture of this response letter is grounded in the manuscript's satisfaction of these five criteria.</w:t>
      </w:r>
    </w:p>
    <w:p>
      <w:pPr>
        <w:pStyle w:val="ListNumber"/>
        <w:spacing w:line="360" w:lineRule="auto" w:after="80"/>
      </w:pPr>
      <w:r>
        <w:rPr>
          <w:b w:val="0"/>
          <w:i w:val="0"/>
          <w:sz w:val="22"/>
        </w:rPr>
        <w:t>Methodological Transparency — 'good' = a PRISMA 2020-informed review methodology is reported with the databases searched, the search concept groups, the date window, the eligibility criteria, and a PRISMA-style flow diagram with screening counts (n identified, n screened, n excluded with reasons, n included). Evidence: Section 1.6 with subsections 1.6.1–1.6.3 and Figure 2, which reports the final inclusion count of n = 178 sources. The manuscript uses the term 'PRISMA 2020-informed' rather than claiming full PRISMA 2020 compliance, because exact archival search logs were not preserved for every individual search; this transparency choice is stated explicitly in Section 1.6.1.</w:t>
      </w:r>
    </w:p>
    <w:p>
      <w:pPr>
        <w:pStyle w:val="ListNumber"/>
        <w:spacing w:line="360" w:lineRule="auto" w:after="80"/>
      </w:pPr>
      <w:r>
        <w:rPr>
          <w:b w:val="0"/>
          <w:i w:val="0"/>
          <w:sz w:val="22"/>
        </w:rPr>
        <w:t>Quantitative Consistency — 'good' = every headline number reported in the manuscript is traceable to a single cited source; all abstract, body, table, and conclusion figures are reconciled; universal percentage claims that could not be supported by the cited literature have been removed. Evidence: the 178-source count is consistent across the abstract, Section 1.6.3, Figure 2, and the bibliography (which ends at [178]). The earlier 'over 160' and '185' source-count statements have been removed. The earlier 720 MWh baseline, the &gt;90% storage-reduction claim, the Pareto-frontier figure, and the generalized project-payback ranges have been removed as universal findings.</w:t>
      </w:r>
    </w:p>
    <w:p>
      <w:pPr>
        <w:pStyle w:val="ListNumber"/>
        <w:spacing w:line="360" w:lineRule="auto" w:after="80"/>
      </w:pPr>
      <w:r>
        <w:rPr>
          <w:b w:val="0"/>
          <w:i w:val="0"/>
          <w:sz w:val="22"/>
        </w:rPr>
        <w:t>Engineering Formulation Rigor — 'good' = equations are dimensionally correct; variables are explicitly defined; reliability concepts (availability vs LOLE) are distinguished. Evidence: Equations (1) and (2) in Section 5.3 are now dimensionally correct. Equation (1) is a maximum over discrete deficit events, with the energy shortfall accumulated over the chronological intervals of each event. Equation (2) accumulates the duration of shortfall intervals without the incorrect 1/8760 normalization. Availability (99.99% = 0.876 h/yr unavailability) and LOLE are now treated as distinct reliability concepts in Section 5.3, Section 7.8, and Table 3.</w:t>
      </w:r>
    </w:p>
    <w:p>
      <w:pPr>
        <w:pStyle w:val="ListNumber"/>
        <w:spacing w:line="360" w:lineRule="auto" w:after="80"/>
      </w:pPr>
      <w:r>
        <w:rPr>
          <w:b w:val="0"/>
          <w:i w:val="0"/>
          <w:sz w:val="22"/>
        </w:rPr>
        <w:t>Economic System Boundary Clarity — 'good' = generation-only LCOE is separated from firm delivered electricity; capacity prices are reported in their native USD/MW-day units; battery-pack prices are distinguished from installed BESS costs; a single WACC is stated and applied to every LCOE, NPV, and payback calculation. Evidence: Sections 7.8, 10.1, and 10.2; Tables 3, 7, and 9. The 7.5% real WACC is used consistently as the illustrative screening assumption, with 5–12% real as the sensitivity range. The USD 108/kWh value is identified as a BNEF 2025 battery-pack benchmark and is not conflated with installed BESS costs. Capacity prices remain in USD/MW-day; an illustrative conversion is shown only to demonstrate the dimensional treatment.</w:t>
      </w:r>
    </w:p>
    <w:p>
      <w:pPr>
        <w:pStyle w:val="ListNumber"/>
        <w:spacing w:line="360" w:lineRule="auto" w:after="80"/>
      </w:pPr>
      <w:r>
        <w:rPr>
          <w:b w:val="0"/>
          <w:i w:val="0"/>
          <w:sz w:val="22"/>
        </w:rPr>
        <w:t>Critical-Review Framing — 'good' = the framework is presented as a screening and decision-support structure rather than a prescriptive design methodology or site-specific optimization result; the manuscript explicitly appraises evidence weaknesses, source/reporting limitations, system-boundary differences, corporate self-reporting, geographic transferability, and requirements for site-specific validation. Evidence: Section 2.6 (which compares the strengths, blind spots, implementation barriers, and transferability limitations of major evidence categories); Section 13 (Limitations, with subsections on geographic, methodological, reporting, commercial-source, and site-validation limitations); Section 14 (which presents the seven-component framework as a preliminary screening and decision-support structure rather than a prescriptive design guide).</w:t>
      </w:r>
    </w:p>
    <w:p>
      <w:pPr>
        <w:pStyle w:val="Heading2"/>
      </w:pPr>
      <w:r>
        <w:t>Key Claims</w:t>
      </w:r>
    </w:p>
    <w:p>
      <w:pPr>
        <w:spacing w:line="360" w:lineRule="auto" w:after="120"/>
      </w:pPr>
      <w:r>
        <w:rPr>
          <w:b w:val="0"/>
          <w:i w:val="0"/>
          <w:sz w:val="22"/>
        </w:rPr>
        <w:t>Five central claims anchor the defense of the revised manuscript. Each claim is supported by specific manuscript sections and is reconciled with the corresponding reviewer concerns in the Evidence &amp; Analysis section below.</w:t>
      </w:r>
    </w:p>
    <w:p>
      <w:pPr>
        <w:pStyle w:val="ListNumber"/>
        <w:spacing w:line="360" w:lineRule="auto" w:after="80"/>
      </w:pPr>
      <w:r>
        <w:rPr>
          <w:b w:val="0"/>
          <w:i w:val="0"/>
          <w:sz w:val="22"/>
        </w:rPr>
        <w:t>The manuscript has been restructured from a design-guide tone to a critical review and screening/decision-support framework, matching the title's promise of a 'Critical Review'. The seven-component framework is explicitly presented as a preliminary screening and decision-support structure rather than a prescriptive design methodology or a site-specific optimization result (Sections 7 and 14; Comment 2.29).</w:t>
      </w:r>
    </w:p>
    <w:p>
      <w:pPr>
        <w:pStyle w:val="ListNumber"/>
        <w:spacing w:line="360" w:lineRule="auto" w:after="80"/>
      </w:pPr>
      <w:r>
        <w:rPr>
          <w:b w:val="0"/>
          <w:i w:val="0"/>
          <w:sz w:val="22"/>
        </w:rPr>
        <w:t>All unsupported site-specific modelling outputs have been removed. The 720 MWh deterministic baseline, the universal &gt;90% storage-reduction claim, the original Pareto-frontier result, and the generalized project-payback ranges are no longer presented as findings of this review. Section 5.3 retains only a generic mathematical structure synthesized from the literature and explicitly states that it was not used to generate site-specific numerical results (Section 5.3, Section 7.3; Comments 2.3, 2.6, 2.12).</w:t>
      </w:r>
    </w:p>
    <w:p>
      <w:pPr>
        <w:pStyle w:val="ListNumber"/>
        <w:spacing w:line="360" w:lineRule="auto" w:after="80"/>
      </w:pPr>
      <w:r>
        <w:rPr>
          <w:b w:val="0"/>
          <w:i w:val="0"/>
          <w:sz w:val="22"/>
        </w:rPr>
        <w:t>Availability and LOLE are now treated as distinct reliability concepts. Availability of 99.99% corresponds to 0.876 h/yr of unavailability; LOLE is reported in h/yr as an expectation, not a probability. The former 99.9–99.99% LOLE-target range has been removed from the storage table. Equation (2) no longer divides by 8760 (Sections 5.3, 7.8; Table 3; Comments 2.4, 2.8).</w:t>
      </w:r>
    </w:p>
    <w:p>
      <w:pPr>
        <w:pStyle w:val="ListNumber"/>
        <w:spacing w:line="360" w:lineRule="auto" w:after="80"/>
      </w:pPr>
      <w:r>
        <w:rPr>
          <w:b w:val="0"/>
          <w:i w:val="0"/>
          <w:sz w:val="22"/>
        </w:rPr>
        <w:t>Battery-pack prices (USD 108/kWh, BNEF 2025) are explicitly distinguished from installed BESS costs; Table 3 labels each battery value as a pack price or an installed-system cost. Generation-only LCOE is separated from firm delivered electricity cost in Tables 7 and 9. Capacity prices remain in their native USD/MW-day units. A single 7.5% real WACC is stated and applied to every LCOE, NPV, and payback calculation (Sections 7.8, 10.1–10.2; Tables 3, 7, 9; Comments 2.7, 2.9, 2.10, 2.11).</w:t>
      </w:r>
    </w:p>
    <w:p>
      <w:pPr>
        <w:pStyle w:val="ListNumber"/>
        <w:spacing w:line="360" w:lineRule="auto" w:after="80"/>
      </w:pPr>
      <w:r>
        <w:rPr>
          <w:b w:val="0"/>
          <w:i w:val="0"/>
          <w:sz w:val="22"/>
        </w:rPr>
        <w:t>The seven-component framework is explicitly presented as a screening and decision-support structure, not as a prescriptive design methodology or site-specific optimization result. Each component now states its inputs, decision logic, and outputs. The MCDA component specifies criteria, weighting method, and sensitivity check. The modelling-tool component specifies which modelling approach suits which question, at what time resolution, with what data requirements, and where each approach breaks down (Sections 6, 7.2, 7.3; Comments 2.17, 2.18, 2.19).</w:t>
      </w:r>
    </w:p>
    <w:p>
      <w:pPr>
        <w:pStyle w:val="Heading2"/>
      </w:pPr>
      <w:r>
        <w:t>Evidence &amp; Analysis</w:t>
      </w:r>
    </w:p>
    <w:p>
      <w:pPr>
        <w:spacing w:line="360" w:lineRule="auto" w:after="120"/>
      </w:pPr>
      <w:r>
        <w:rPr>
          <w:b w:val="0"/>
          <w:i w:val="0"/>
          <w:sz w:val="22"/>
        </w:rPr>
        <w:t>This section provides a structured defensive response to each of Reviewer #2's 29 comments (Comment 2.1 through Comment 2.29). Each comment is presented with four labeled elements: a Manuscript Context paragraph (italic) identifying the manuscript section(s) affected; the verbatim Reviewer Comment (italic indented block with left border); the verbatim Resolution in the Revised Manuscript (indented block with left border); and the verbatim Submission-Ready Response (italic indented block with left border — this is the defensive letter text the corresponding author will send to the journal). All three verbatim elements are reproduced from the submission-ready response MD file. No verification status badges are shown because the manuscript is the final submitted version and every concern is addressed.</w:t>
      </w:r>
    </w:p>
    <w:p>
      <w:pPr>
        <w:spacing w:line="360" w:lineRule="auto" w:after="120"/>
      </w:pPr>
      <w:r>
        <w:rPr>
          <w:b w:val="0"/>
          <w:i w:val="0"/>
          <w:sz w:val="22"/>
        </w:rPr>
        <w:t>Cross-cutting observations. Several resolution patterns recur across the 29 comments and are worth highlighting at the outset. First, the manuscript removes unsupported universal numerical claims (720 MWh baseline, &gt;90% storage reduction, Pareto frontier, generalized payback ranges, USD 500,000/h downtime) rather than attempting to defend them without a documented model — this is the resolution pattern for Comments 2.3, 2.6, 2.12, and 2.15. Second, the manuscript standardizes headline numbers across the abstract, body, tables, and conclusions (178 sources, 7.5% real WACC, USD 108/kWh pack price, 99.99% annual availability, USD/MW-day capacity prices) — this is the resolution pattern for Comments 2.2, 2.11, 2.13, 2.8, and 2.9. Third, the manuscript distinguishes engineering and economic concepts that the earlier version conflated (availability vs LOLE; battery-pack vs installed BESS cost; generation-only LCOE vs firm delivered electricity; technical workload flexibility vs commercially dispatchable flexibility) — this is the resolution pattern for Comments 2.4, 2.5, 2.7, 2.8, 2.10, and 2.21. Fourth, the manuscript adds the missing methodological and reporting infrastructure (PRISMA 2020-informed methodology, figure and table source lines, Table 1 citations, framework component inputs/outputs, MCDA criteria and weights, modelling tool selection criteria, WUE/water-energy discussion, review boundaries, CRediT/COI/Funding/Data Availability/GenAI declarations) — this is the resolution pattern for Comments 2.1, 2.16, 2.17, 2.18, 2.19, 2.20, 2.22, 2.23, and 2.28. Fifth, the manuscript enforces a document-wide proofreading pass (corrupted phrase, typos, currency formatting, US/UK spellings) — this is the resolution pattern for Comments 2.25, 2.26, and 2.27. Sixth, the manuscript restructures the framing from a design guide to a critical review and screening/decision-support framework — this is the resolution pattern for Comment 2.29 and the closing defensive summary.</w:t>
      </w:r>
    </w:p>
    <w:p>
      <w:pPr>
        <w:pStyle w:val="Heading3"/>
      </w:pPr>
      <w:r>
        <w:t>Comment 2.1 — PRISMA methodology</w:t>
      </w:r>
    </w:p>
    <w:p>
      <w:pPr>
        <w:spacing w:line="360" w:lineRule="auto" w:after="120"/>
      </w:pPr>
      <w:r>
        <w:rPr>
          <w:b/>
          <w:color w:val="404040"/>
          <w:sz w:val="22"/>
        </w:rPr>
        <w:t xml:space="preserve">Manuscript context. </w:t>
      </w:r>
      <w:r>
        <w:rPr>
          <w:i/>
          <w:color w:val="404040"/>
          <w:sz w:val="22"/>
        </w:rPr>
        <w:t>This concern targets the review methodology itself. The revised manuscript adds a dedicated Section 1.6 (Review Methodology) with subsections 1.6.1 (search strategy and evidence identification), 1.6.2 (eligibility criteria), and 1.6.3 (screening and selection process), plus the PRISMA 2020-informed flow diagram in Figure 2.</w:t>
      </w:r>
    </w:p>
    <w:p>
      <w:pPr>
        <w:pStyle w:val="Heading4"/>
      </w:pPr>
      <w:r>
        <w:t>Reviewer Comment</w:t>
      </w:r>
    </w:p>
    <w:p>
      <w:pPr>
        <w:spacing w:after="160" w:line="360" w:lineRule="auto"/>
        <w:ind w:left="283" w:right="0"/>
        <w:pBdr>
          <w:left w:val="single" w:sz="12" w:space="8" w:color="A0A0A0"/>
        </w:pBdr>
      </w:pPr>
      <w:r>
        <w:rPr>
          <w:b w:val="0"/>
          <w:i/>
          <w:sz w:val="20"/>
        </w:rPr>
        <w:t>No review methodology is reported. Please add a PRISMA-style methodology with the databases searched, the search strings used, the date window, the inclusion and exclusion criteria, the screening counts (n identified, n screened, n excluded with reasons, n included), and a PRISMA flow diagram.</w:t>
      </w:r>
    </w:p>
    <w:p>
      <w:pPr>
        <w:pStyle w:val="Heading4"/>
      </w:pPr>
      <w:r>
        <w:t>Resolution in the Revised Manuscript</w:t>
      </w:r>
    </w:p>
    <w:p>
      <w:pPr>
        <w:spacing w:after="160" w:line="360" w:lineRule="auto"/>
        <w:ind w:left="283"/>
        <w:pBdr>
          <w:left w:val="single" w:sz="12" w:space="8" w:color="A0A0A0"/>
        </w:pBdr>
      </w:pPr>
      <w:r>
        <w:rPr>
          <w:b w:val="0"/>
          <w:i w:val="0"/>
          <w:sz w:val="20"/>
        </w:rPr>
        <w:t xml:space="preserve">Section </w:t>
      </w:r>
      <w:r>
        <w:rPr>
          <w:b/>
          <w:i w:val="0"/>
          <w:sz w:val="20"/>
        </w:rPr>
        <w:t>1.6 Review Methodology</w:t>
      </w:r>
      <w:r>
        <w:rPr>
          <w:b w:val="0"/>
          <w:i w:val="0"/>
          <w:sz w:val="20"/>
        </w:rPr>
        <w:t xml:space="preserve"> and Sections </w:t>
      </w:r>
      <w:r>
        <w:rPr>
          <w:b/>
          <w:i w:val="0"/>
          <w:sz w:val="20"/>
        </w:rPr>
        <w:t>1.6.1–1.6.3</w:t>
      </w:r>
      <w:r>
        <w:rPr>
          <w:b w:val="0"/>
          <w:i w:val="0"/>
          <w:sz w:val="20"/>
        </w:rPr>
        <w:t xml:space="preserve"> now provide the review protocol. The manuscript identifies Scopus, Web of Science Core Collection, and IEEE Xplore as the principal bibliographic databases, with ScienceDirect and Google Scholar used as supplementary discovery resources. The primary publication window is 2015–2026, with earlier foundational sources retained only when technically necessary. The eligibility criteria, exclusion logic, source categories, qualitative-synthesis rationale, and PRISMA 2020-informed screening procedure are stated explicitly. Figure 2 reports the identification, duplicate-removal, screening, full-text assessment, exclusion, and final inclusion counts leading to </w:t>
      </w:r>
      <w:r>
        <w:rPr>
          <w:b/>
          <w:i w:val="0"/>
          <w:sz w:val="20"/>
        </w:rPr>
        <w:t>n = 178</w:t>
      </w:r>
      <w:r>
        <w:rPr>
          <w:b w:val="0"/>
          <w:i w:val="0"/>
          <w:sz w:val="20"/>
        </w:rPr>
        <w:t>.</w:t>
      </w:r>
    </w:p>
    <w:p>
      <w:pPr>
        <w:spacing w:after="160" w:line="360" w:lineRule="auto"/>
        <w:ind w:left="283"/>
        <w:pBdr>
          <w:left w:val="single" w:sz="12" w:space="8" w:color="A0A0A0"/>
        </w:pBdr>
      </w:pPr>
      <w:r>
        <w:rPr>
          <w:b w:val="0"/>
          <w:i w:val="0"/>
          <w:sz w:val="20"/>
        </w:rPr>
        <w:t>The search strategy is reported through defined concept groups and database-adapted Boolean logic. Where exact archival search histories were not retained for every platform, the manuscript explicitly states this rather than presenting retrospectively reconstructed strings as if they were verbatim historical queries. The final literature-search/update date is reported in the final manuscript.</w:t>
      </w:r>
    </w:p>
    <w:p>
      <w:pPr>
        <w:pStyle w:val="Heading4"/>
      </w:pPr>
      <w:r>
        <w:t>Submission-Ready Response</w:t>
      </w:r>
    </w:p>
    <w:p>
      <w:pPr>
        <w:spacing w:after="160" w:line="360" w:lineRule="auto"/>
        <w:ind w:left="283" w:right="0"/>
        <w:pBdr>
          <w:left w:val="single" w:sz="12" w:space="8" w:color="A0A0A0"/>
        </w:pBdr>
      </w:pPr>
      <w:r>
        <w:rPr>
          <w:b w:val="0"/>
          <w:i/>
          <w:sz w:val="20"/>
        </w:rPr>
        <w:t>We appreciate the reviewer’s request for a reproducible review methodology. A dedicated methodology section has now been added as Section 1.6, with separate subsections for the search strategy and evidence identification, eligibility criteria, and screening/selection process. The revised manuscript identifies the bibliographic databases and supplementary discovery sources, defines the 2015–2026 primary publication window, states the inclusion and exclusion criteria, describes the search concept groups and database-specific syntax adaptation, and reports the final literature-search/update date. Figure 2 now presents the complete PRISMA 2020-informed screening flow and the final inclusion count of 178 sources. Where exact archival query histories were not preserved for every platform, we state that limitation explicitly rather than reconstructing a fictitious verbatim search history. We therefore use the term “PRISMA 2020-informed” to describe the identification, screening, eligibility, and reporting process.</w:t>
      </w:r>
    </w:p>
    <w:p>
      <w:pPr>
        <w:pStyle w:val="Heading3"/>
      </w:pPr>
      <w:r>
        <w:t>Comment 2.2 — Source count breakdown (n=178)</w:t>
      </w:r>
    </w:p>
    <w:p>
      <w:pPr>
        <w:spacing w:line="360" w:lineRule="auto" w:after="120"/>
      </w:pPr>
      <w:r>
        <w:rPr>
          <w:b/>
          <w:color w:val="404040"/>
          <w:sz w:val="22"/>
        </w:rPr>
        <w:t xml:space="preserve">Manuscript context. </w:t>
      </w:r>
      <w:r>
        <w:rPr>
          <w:i/>
          <w:color w:val="404040"/>
          <w:sz w:val="22"/>
        </w:rPr>
        <w:t>This concern targets the consistency of the source-count reporting across the abstract, the methodology section, and the bibliography. The revised manuscript standardizes the count to 178 sources throughout and provides the source-type breakdown in Figure 2.</w:t>
      </w:r>
    </w:p>
    <w:p>
      <w:pPr>
        <w:pStyle w:val="Heading4"/>
      </w:pPr>
      <w:r>
        <w:t>Reviewer Comment</w:t>
      </w:r>
    </w:p>
    <w:p>
      <w:pPr>
        <w:spacing w:after="160" w:line="360" w:lineRule="auto"/>
        <w:ind w:left="283" w:right="0"/>
        <w:pBdr>
          <w:left w:val="single" w:sz="12" w:space="8" w:color="A0A0A0"/>
        </w:pBdr>
      </w:pPr>
      <w:r>
        <w:rPr>
          <w:b w:val="0"/>
          <w:i/>
          <w:sz w:val="20"/>
        </w:rPr>
        <w:t>The source count is inconsistent: the abstract reports 185 sources, Section 2 reports 160, and the reference list contains 185 entries of mixed type. Please give the true breakdown by source type and make the counts consistent throughout the manuscript.</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final evidence-base count has been standardized to </w:t>
      </w:r>
      <w:r>
        <w:rPr>
          <w:b/>
          <w:i w:val="0"/>
          <w:sz w:val="20"/>
        </w:rPr>
        <w:t>178 sources</w:t>
      </w:r>
      <w:r>
        <w:rPr>
          <w:b w:val="0"/>
          <w:i w:val="0"/>
          <w:sz w:val="20"/>
        </w:rPr>
        <w:t xml:space="preserve"> throughout the abstract, Section 1.6.3, Figure 2, the discussion of the evidence base, and the reviewer response. Figure 2 classifies the 178-source corpus as </w:t>
      </w:r>
      <w:r>
        <w:rPr>
          <w:b/>
          <w:i w:val="0"/>
          <w:sz w:val="20"/>
        </w:rPr>
        <w:t>90 peer-reviewed journal articles, 19 conference papers, 13 standards/patent documents, 36 agency/institutional reports, and 20 corporate/other grey-literature sources</w:t>
      </w:r>
      <w:r>
        <w:rPr>
          <w:b w:val="0"/>
          <w:i w:val="0"/>
          <w:sz w:val="20"/>
        </w:rPr>
        <w:t>, totaling 178. The earlier “over 160” and 185-source statements have been removed. The numbered bibliography has also been reconciled so that no in-text citation points beyond the final reference list.</w:t>
      </w:r>
    </w:p>
    <w:p>
      <w:pPr>
        <w:pStyle w:val="Heading4"/>
      </w:pPr>
      <w:r>
        <w:t>Submission-Ready Response</w:t>
      </w:r>
    </w:p>
    <w:p>
      <w:pPr>
        <w:spacing w:after="160" w:line="360" w:lineRule="auto"/>
        <w:ind w:left="283" w:right="0"/>
        <w:pBdr>
          <w:left w:val="single" w:sz="12" w:space="8" w:color="A0A0A0"/>
        </w:pBdr>
      </w:pPr>
      <w:r>
        <w:rPr>
          <w:b w:val="0"/>
          <w:i/>
          <w:sz w:val="20"/>
        </w:rPr>
        <w:t xml:space="preserve">The source count has been fully reconciled. The revised manuscript now reports one consistent final evidence-base count of </w:t>
      </w:r>
      <w:r>
        <w:rPr>
          <w:b/>
          <w:i/>
          <w:sz w:val="20"/>
        </w:rPr>
        <w:t>178 sources</w:t>
      </w:r>
      <w:r>
        <w:rPr>
          <w:b w:val="0"/>
          <w:i/>
          <w:sz w:val="20"/>
        </w:rPr>
        <w:t>. The source-type composition is also stated consistently: 90 peer-reviewed journal articles, 19 conference papers, 13 standards and patent documents, 36 government/agency/institutional reports, and 20 corporate and other grey-literature sources. These categories sum to 178 and are shown in Figure 2. The earlier “over 160” and 185-source wording has been removed, and the in-text citations and numbered reference list have been cross-checked so that the evidence count and bibliography are numerically auditable.</w:t>
      </w:r>
    </w:p>
    <w:p>
      <w:pPr>
        <w:pStyle w:val="Heading3"/>
      </w:pPr>
      <w:r>
        <w:t>Comment 2.3 — Modelling outputs removed</w:t>
      </w:r>
    </w:p>
    <w:p>
      <w:pPr>
        <w:spacing w:line="360" w:lineRule="auto" w:after="120"/>
      </w:pPr>
      <w:r>
        <w:rPr>
          <w:b/>
          <w:color w:val="404040"/>
          <w:sz w:val="22"/>
        </w:rPr>
        <w:t xml:space="preserve">Manuscript context. </w:t>
      </w:r>
      <w:r>
        <w:rPr>
          <w:i/>
          <w:color w:val="404040"/>
          <w:sz w:val="22"/>
        </w:rPr>
        <w:t>This concern targets Sections 5.3, 7.3, 10.1, 10.2, and 10.4, which in the earlier version presented original modelling outputs (720 MWh baseline, &gt;90% storage reduction, Pareto frontier, payback ranges) without a documented model. The revised manuscript removes those outputs as universal findings and retains only a generic literature-synthesized formulation in Section 5.3.</w:t>
      </w:r>
    </w:p>
    <w:p>
      <w:pPr>
        <w:pStyle w:val="Heading4"/>
      </w:pPr>
      <w:r>
        <w:t>Reviewer Comment</w:t>
      </w:r>
    </w:p>
    <w:p>
      <w:pPr>
        <w:spacing w:after="160" w:line="360" w:lineRule="auto"/>
        <w:ind w:left="283" w:right="0"/>
        <w:pBdr>
          <w:left w:val="single" w:sz="12" w:space="8" w:color="A0A0A0"/>
        </w:pBdr>
      </w:pPr>
      <w:r>
        <w:rPr>
          <w:b w:val="0"/>
          <w:i/>
          <w:sz w:val="20"/>
        </w:rPr>
        <w:t>Sections 5.3, 7.3, 10.1, 10.2, and 10.4 present original modelling results (e.g., the 720 MWh deterministic baseline, the &gt;90% storage-reduction claim, the Pareto-frontier figure, the payback ranges) but no model is documented. Please either document the model in an appendix with a data availability statement, or replace these outputs with sourced published values.</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unsupported site-specific outputs have been removed. Section 5.3 now labels the mathematical expressions as a </w:t>
      </w:r>
      <w:r>
        <w:rPr>
          <w:b/>
          <w:i w:val="0"/>
          <w:sz w:val="20"/>
        </w:rPr>
        <w:t>generic literature-synthesized formulation</w:t>
      </w:r>
      <w:r>
        <w:rPr>
          <w:b w:val="0"/>
          <w:i w:val="0"/>
          <w:sz w:val="20"/>
        </w:rPr>
        <w:t xml:space="preserve"> and explicitly states that they were not executed to produce site-specific numerical results. The 720 MWh baseline, universal &gt;90% storage-reduction claim, original Pareto-frontier result, and generalized project payback outputs are no longer presented as findings. Section 7.3 states that any project-specific optimization must document the model, data, solver, temporal resolution, assumptions, constraints, and outputs.</w:t>
      </w:r>
    </w:p>
    <w:p>
      <w:pPr>
        <w:pStyle w:val="Heading4"/>
      </w:pPr>
      <w:r>
        <w:t>Submission-Ready Response</w:t>
      </w:r>
    </w:p>
    <w:p>
      <w:pPr>
        <w:spacing w:after="160" w:line="360" w:lineRule="auto"/>
        <w:ind w:left="283" w:right="0"/>
        <w:pBdr>
          <w:left w:val="single" w:sz="12" w:space="8" w:color="A0A0A0"/>
        </w:pBdr>
      </w:pPr>
      <w:r>
        <w:rPr>
          <w:b w:val="0"/>
          <w:i/>
          <w:sz w:val="20"/>
        </w:rPr>
        <w:t>The reviewer’s concern has been resolved by removing the unsupported site-specific modeling outputs rather than attempting to present them without a reproducible model. The revised manuscript no longer reports the 720 MWh baseline, a universal &gt;90% storage reduction, a site-specific Pareto frontier, or generalized payback outputs as results of this review. Section 5.3 retains only a generic mathematical structure synthesized from the literature and explicitly states that it was not used to generate site-specific numerical results. Section 7.3 further specifies that any future application of the framework using optimization must document the model, data, solver, time resolution, assumptions, constraints, and outputs. The manuscript therefore no longer presents an undocumented numerical model as an original result.</w:t>
      </w:r>
    </w:p>
    <w:p>
      <w:pPr>
        <w:pStyle w:val="Heading3"/>
      </w:pPr>
      <w:r>
        <w:t>Comment 2.4 — LOLE equation dimensionality</w:t>
      </w:r>
    </w:p>
    <w:p>
      <w:pPr>
        <w:spacing w:line="360" w:lineRule="auto" w:after="120"/>
      </w:pPr>
      <w:r>
        <w:rPr>
          <w:b/>
          <w:color w:val="404040"/>
          <w:sz w:val="22"/>
        </w:rPr>
        <w:t xml:space="preserve">Manuscript context. </w:t>
      </w:r>
      <w:r>
        <w:rPr>
          <w:i/>
          <w:color w:val="404040"/>
          <w:sz w:val="22"/>
        </w:rPr>
        <w:t>This concern targets the dimensional consistency of the LOLE equation in Section 5.3. The original equation divided the indicator sum by 8760, returning a dimensionless probability rather than an expectation in hours per year. The revised Equation (2) accumulates the duration of shortfall intervals directly, returning an expectation in h/yr.</w:t>
      </w:r>
    </w:p>
    <w:p>
      <w:pPr>
        <w:pStyle w:val="Heading4"/>
      </w:pPr>
      <w:r>
        <w:t>Reviewer Comment</w:t>
      </w:r>
    </w:p>
    <w:p>
      <w:pPr>
        <w:spacing w:after="160" w:line="360" w:lineRule="auto"/>
        <w:ind w:left="283" w:right="0"/>
        <w:pBdr>
          <w:left w:val="single" w:sz="12" w:space="8" w:color="A0A0A0"/>
        </w:pBdr>
      </w:pPr>
      <w:r>
        <w:rPr>
          <w:b w:val="0"/>
          <w:i/>
          <w:sz w:val="20"/>
        </w:rPr>
        <w:t>LOLE is defined as hours per year, but the equation divides the indicator sum by 8760, returning a probability rather than an expectation in hours. Please either remove the factor of 8760 or relabel the metric as LOLP (loss-of-load probability).</w:t>
      </w:r>
    </w:p>
    <w:p>
      <w:pPr>
        <w:pStyle w:val="Heading4"/>
      </w:pPr>
      <w:r>
        <w:t>Resolution in the Revised Manuscript</w:t>
      </w:r>
    </w:p>
    <w:p>
      <w:pPr>
        <w:spacing w:after="160" w:line="360" w:lineRule="auto"/>
        <w:ind w:left="283"/>
        <w:pBdr>
          <w:left w:val="single" w:sz="12" w:space="8" w:color="A0A0A0"/>
        </w:pBdr>
      </w:pPr>
      <w:r>
        <w:rPr>
          <w:b w:val="0"/>
          <w:i w:val="0"/>
          <w:sz w:val="20"/>
        </w:rPr>
        <w:t>Equation (2) has been corrected so that LOLE is accumulated as the duration of shortfall intervals, conceptually `Σ I(P_available,t &lt; P_critical,t) Δt`. The 1/8760 normalization is removed. With `Δt` expressed in hours, the output has units of hours over the assessment period.</w:t>
      </w:r>
    </w:p>
    <w:p>
      <w:pPr>
        <w:pStyle w:val="Heading4"/>
      </w:pPr>
      <w:r>
        <w:t>Submission-Ready Response</w:t>
      </w:r>
    </w:p>
    <w:p>
      <w:pPr>
        <w:spacing w:after="160" w:line="360" w:lineRule="auto"/>
        <w:ind w:left="283" w:right="0"/>
        <w:pBdr>
          <w:left w:val="single" w:sz="12" w:space="8" w:color="A0A0A0"/>
        </w:pBdr>
      </w:pPr>
      <w:r>
        <w:rPr>
          <w:b w:val="0"/>
          <w:i/>
          <w:sz w:val="20"/>
        </w:rPr>
        <w:t>We have revised the adequacy formulation so that LOLE is dimensionally consistent with its definition. The former normalization by 8,760 has been removed. Equation (2) now accumulates the duration of chronological intervals in which available supply is insufficient to meet the defined critical load; therefore, when the simulation interval is expressed in hours, the result is expressed in hours over the assessment period. The revised equation is consequently LOLE rather than LOLP.</w:t>
      </w:r>
    </w:p>
    <w:p>
      <w:pPr>
        <w:pStyle w:val="Heading3"/>
      </w:pPr>
      <w:r>
        <w:t>Comment 2.5 — Equation (1) index notation</w:t>
      </w:r>
    </w:p>
    <w:p>
      <w:pPr>
        <w:spacing w:line="360" w:lineRule="auto" w:after="120"/>
      </w:pPr>
      <w:r>
        <w:rPr>
          <w:b/>
          <w:color w:val="404040"/>
          <w:sz w:val="22"/>
        </w:rPr>
        <w:t xml:space="preserve">Manuscript context. </w:t>
      </w:r>
      <w:r>
        <w:rPr>
          <w:i/>
          <w:color w:val="404040"/>
          <w:sz w:val="22"/>
        </w:rPr>
        <w:t>This concern targets the index notation of Equation (1) in Section 5.3. The original equation used tau as the duration but ran the maximum over 1 to n, where n is the count of drought events, leaving the relationship between the event index and the duration index ambiguous. The revised equation expresses the deterministic storage formulation as a maximum over identified deficit events, with the energy shortfall accumulated over the time intervals belonging to each event.</w:t>
      </w:r>
    </w:p>
    <w:p>
      <w:pPr>
        <w:pStyle w:val="Heading4"/>
      </w:pPr>
      <w:r>
        <w:t>Reviewer Comment</w:t>
      </w:r>
    </w:p>
    <w:p>
      <w:pPr>
        <w:spacing w:after="160" w:line="360" w:lineRule="auto"/>
        <w:ind w:left="283" w:right="0"/>
        <w:pBdr>
          <w:left w:val="single" w:sz="12" w:space="8" w:color="A0A0A0"/>
        </w:pBdr>
      </w:pPr>
      <w:r>
        <w:rPr>
          <w:b w:val="0"/>
          <w:i/>
          <w:sz w:val="20"/>
        </w:rPr>
        <w:t>Equation (1) uses τ as the duration but the maximum runs over 1 to n, where n is the count of drought events — i.e., the max is over events, while the index inside the sum is a duration index. Please rewrite as a maximum over events, and state whether P_load is the full facility load or only the critical non-deferrable load.</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deterministic storage formulation is now expressed as a maximum over identified deficit events, with the energy shortfall accumulated over the time intervals belonging to each event. The load variable is explicitly defined as the </w:t>
      </w:r>
      <w:r>
        <w:rPr>
          <w:b/>
          <w:i w:val="0"/>
          <w:sz w:val="20"/>
        </w:rPr>
        <w:t>critical, non-deferrable load</w:t>
      </w:r>
      <w:r>
        <w:rPr>
          <w:b w:val="0"/>
          <w:i w:val="0"/>
          <w:sz w:val="20"/>
        </w:rPr>
        <w:t>, while renewable generation, permitted grid imports, and available backup generation are treated as non-storage supply.</w:t>
      </w:r>
    </w:p>
    <w:p>
      <w:pPr>
        <w:pStyle w:val="Heading4"/>
      </w:pPr>
      <w:r>
        <w:t>Submission-Ready Response</w:t>
      </w:r>
    </w:p>
    <w:p>
      <w:pPr>
        <w:spacing w:after="160" w:line="360" w:lineRule="auto"/>
        <w:ind w:left="283" w:right="0"/>
        <w:pBdr>
          <w:left w:val="single" w:sz="12" w:space="8" w:color="A0A0A0"/>
        </w:pBdr>
      </w:pPr>
      <w:r>
        <w:rPr>
          <w:b w:val="0"/>
          <w:i/>
          <w:sz w:val="20"/>
        </w:rPr>
        <w:t xml:space="preserve">Equation (1) has been reformulated as a maximum over discrete deficit events, with the positive energy deficit summed over the chronological intervals associated with each event. The revised variable definitions also make clear that the relevant demand term is the </w:t>
      </w:r>
      <w:r>
        <w:rPr>
          <w:b/>
          <w:i/>
          <w:sz w:val="20"/>
        </w:rPr>
        <w:t>critical, non-deferrable facility load</w:t>
      </w:r>
      <w:r>
        <w:rPr>
          <w:b w:val="0"/>
          <w:i/>
          <w:sz w:val="20"/>
        </w:rPr>
        <w:t>, not the entire facility load by default. Training, analytics, and batch workloads may be excluded from the critical-load definition only where their deferral is technically feasible and permitted by applicable service-level and operational constraints.</w:t>
      </w:r>
    </w:p>
    <w:p>
      <w:pPr>
        <w:pStyle w:val="Heading3"/>
      </w:pPr>
      <w:r>
        <w:t>Comment 2.6 — Storage-reduction baseline</w:t>
      </w:r>
    </w:p>
    <w:p>
      <w:pPr>
        <w:spacing w:line="360" w:lineRule="auto" w:after="120"/>
      </w:pPr>
      <w:r>
        <w:rPr>
          <w:b/>
          <w:color w:val="404040"/>
          <w:sz w:val="22"/>
        </w:rPr>
        <w:t xml:space="preserve">Manuscript context. </w:t>
      </w:r>
      <w:r>
        <w:rPr>
          <w:i/>
          <w:color w:val="404040"/>
          <w:sz w:val="22"/>
        </w:rPr>
        <w:t>This concern targets the storage-reduction claim in Section 5.3 (and the conflicting range in Section 13.3 of the earlier version). The revised manuscript no longer claims a universal percentage reduction in storage capacity; the 720 MWh baseline and the generalized reduction ranges are removed as universal conclusions.</w:t>
      </w:r>
    </w:p>
    <w:p>
      <w:pPr>
        <w:pStyle w:val="Heading4"/>
      </w:pPr>
      <w:r>
        <w:t>Reviewer Comment</w:t>
      </w:r>
    </w:p>
    <w:p>
      <w:pPr>
        <w:spacing w:after="160" w:line="360" w:lineRule="auto"/>
        <w:ind w:left="283" w:right="0"/>
        <w:pBdr>
          <w:left w:val="single" w:sz="12" w:space="8" w:color="A0A0A0"/>
        </w:pBdr>
      </w:pPr>
      <w:r>
        <w:rPr>
          <w:b w:val="0"/>
          <w:i/>
          <w:sz w:val="20"/>
        </w:rPr>
        <w:t>Section 5.3 claims that LOLE-based sizing cuts storage by more than 90% against a 720 MWh baseline, but the baseline is never derived and the facility size is never stated. Section 13.3 separately gives 30–60% for the same comparison. Please reconcile.</w:t>
      </w:r>
    </w:p>
    <w:p>
      <w:pPr>
        <w:pStyle w:val="Heading4"/>
      </w:pPr>
      <w:r>
        <w:t>Resolution in the Revised Manuscript</w:t>
      </w:r>
    </w:p>
    <w:p>
      <w:pPr>
        <w:spacing w:after="160" w:line="360" w:lineRule="auto"/>
        <w:ind w:left="283"/>
        <w:pBdr>
          <w:left w:val="single" w:sz="12" w:space="8" w:color="A0A0A0"/>
        </w:pBdr>
      </w:pPr>
      <w:r>
        <w:rPr>
          <w:b w:val="0"/>
          <w:i w:val="0"/>
          <w:sz w:val="20"/>
        </w:rPr>
        <w:t>The manuscript no longer claims a universal percentage reduction in storage capacity. The 720 MWh baseline and both generalized reduction ranges have been removed as universal conclusions. Storage requirements are now described as site-specific outputs of chronological resource, load, grid, backup, dispatch, and reliability assumptions.</w:t>
      </w:r>
    </w:p>
    <w:p>
      <w:pPr>
        <w:pStyle w:val="Heading4"/>
      </w:pPr>
      <w:r>
        <w:t>Submission-Ready Response</w:t>
      </w:r>
    </w:p>
    <w:p>
      <w:pPr>
        <w:spacing w:after="160" w:line="360" w:lineRule="auto"/>
        <w:ind w:left="283" w:right="0"/>
        <w:pBdr>
          <w:left w:val="single" w:sz="12" w:space="8" w:color="A0A0A0"/>
        </w:pBdr>
      </w:pPr>
      <w:r>
        <w:rPr>
          <w:b w:val="0"/>
          <w:i/>
          <w:sz w:val="20"/>
        </w:rPr>
        <w:t>The conflicting storage-reduction statements have been removed. The revised manuscript does not claim that probabilistic or optimization-based sizing produces a universal percentage reduction relative to deterministic sizing, nor does it retain the former 720 MWh baseline. Section 5.3 now states that storage capacity is site-specific and must be obtained from chronological load, renewable-resource, grid-availability, backup-resource, dispatch, and reliability data. This avoids extrapolating a percentage reduction beyond the assumptions of a particular study or site.</w:t>
      </w:r>
    </w:p>
    <w:p>
      <w:pPr>
        <w:pStyle w:val="Heading3"/>
      </w:pPr>
      <w:r>
        <w:t>Comment 2.7 — Battery cost units ($/kWh)</w:t>
      </w:r>
    </w:p>
    <w:p>
      <w:pPr>
        <w:spacing w:line="360" w:lineRule="auto" w:after="120"/>
      </w:pPr>
      <w:r>
        <w:rPr>
          <w:b/>
          <w:color w:val="404040"/>
          <w:sz w:val="22"/>
        </w:rPr>
        <w:t xml:space="preserve">Manuscript context. </w:t>
      </w:r>
      <w:r>
        <w:rPr>
          <w:i/>
          <w:color w:val="404040"/>
          <w:sz w:val="22"/>
        </w:rPr>
        <w:t>This concern targets Section 7.3 and Table 3, where battery-cost sensitivity was previously expressed in USD/MWh. Battery capital cost is a USD/kWh quantity. The revised manuscript reports battery costs in USD/kWh throughout and explicitly labels each value as cell-level, pack-level, or installed-system.</w:t>
      </w:r>
    </w:p>
    <w:p>
      <w:pPr>
        <w:pStyle w:val="Heading4"/>
      </w:pPr>
      <w:r>
        <w:t>Reviewer Comment</w:t>
      </w:r>
    </w:p>
    <w:p>
      <w:pPr>
        <w:spacing w:after="160" w:line="360" w:lineRule="auto"/>
        <w:ind w:left="283" w:right="0"/>
        <w:pBdr>
          <w:left w:val="single" w:sz="12" w:space="8" w:color="A0A0A0"/>
        </w:pBdr>
      </w:pPr>
      <w:r>
        <w:rPr>
          <w:b w:val="0"/>
          <w:i/>
          <w:sz w:val="20"/>
        </w:rPr>
        <w:t>Section 7.3 expresses battery-cost sensitivity in $/MWh. Battery capital cost is a $/kWh quantity. Please correct the unit and state whether the price refers to the cell, the pack, or the installed system.</w:t>
      </w:r>
    </w:p>
    <w:p>
      <w:pPr>
        <w:pStyle w:val="Heading4"/>
      </w:pPr>
      <w:r>
        <w:t>Resolution in the Revised Manuscript</w:t>
      </w:r>
    </w:p>
    <w:p>
      <w:pPr>
        <w:spacing w:after="160" w:line="360" w:lineRule="auto"/>
        <w:ind w:left="283"/>
        <w:pBdr>
          <w:left w:val="single" w:sz="12" w:space="8" w:color="A0A0A0"/>
        </w:pBdr>
      </w:pPr>
      <w:r>
        <w:rPr>
          <w:b w:val="0"/>
          <w:i w:val="0"/>
          <w:sz w:val="20"/>
        </w:rPr>
        <w:t>Battery capital-cost quantities are now reported in `USD/kWh` and explicitly differentiated by system boundary. The manuscript distinguishes cell-level prices, battery-pack prices, and installed BESS costs. Storage-service cost is separately reported as LCOS in `USD/MWh` where appropriate.</w:t>
      </w:r>
    </w:p>
    <w:p>
      <w:pPr>
        <w:pStyle w:val="Heading4"/>
      </w:pPr>
      <w:r>
        <w:t>Submission-Ready Response</w:t>
      </w:r>
    </w:p>
    <w:p>
      <w:pPr>
        <w:spacing w:after="160" w:line="360" w:lineRule="auto"/>
        <w:ind w:left="283" w:right="0"/>
        <w:pBdr>
          <w:left w:val="single" w:sz="12" w:space="8" w:color="A0A0A0"/>
        </w:pBdr>
      </w:pPr>
      <w:r>
        <w:rPr>
          <w:b w:val="0"/>
          <w:i/>
          <w:sz w:val="20"/>
        </w:rPr>
        <w:t>The battery-cost units and system boundaries have been corrected. Capital-cost figures are now reported in `USD/kWh` and explicitly identified as cell, battery-pack, or installed BESS values. In particular, the BloombergNEF `USD 108/kWh` value is identified as a battery-pack benchmark rather than an installed-system cost. Where a storage-service metric is reported in `USD/MWh`, it is labeled as LCOS rather than battery capital cost. This distinction is maintained in Sections 5.3, 7.3, 10.1, and the cost tables.</w:t>
      </w:r>
    </w:p>
    <w:p>
      <w:pPr>
        <w:pStyle w:val="Heading3"/>
      </w:pPr>
      <w:r>
        <w:t>Comment 2.8 — Availability arithmetic (99.99%)</w:t>
      </w:r>
    </w:p>
    <w:p>
      <w:pPr>
        <w:spacing w:line="360" w:lineRule="auto" w:after="120"/>
      </w:pPr>
      <w:r>
        <w:rPr>
          <w:b/>
          <w:color w:val="404040"/>
          <w:sz w:val="22"/>
        </w:rPr>
        <w:t xml:space="preserve">Manuscript context. </w:t>
      </w:r>
      <w:r>
        <w:rPr>
          <w:i/>
          <w:color w:val="404040"/>
          <w:sz w:val="22"/>
        </w:rPr>
        <w:t>This concern targets the availability arithmetic in Section 5.3 and the reliability-target wording in Table 3. A LOLE of 0.1 h/yr corresponds to 99.9989% availability, not 99.99%. The revised manuscript distinguishes availability (99.99% = 0.876 h/yr unavailability) from LOLE and removes the 99.9–99.99% LOLE-target range from the storage table.</w:t>
      </w:r>
    </w:p>
    <w:p>
      <w:pPr>
        <w:pStyle w:val="Heading4"/>
      </w:pPr>
      <w:r>
        <w:t>Reviewer Comment</w:t>
      </w:r>
    </w:p>
    <w:p>
      <w:pPr>
        <w:spacing w:after="160" w:line="360" w:lineRule="auto"/>
        <w:ind w:left="283" w:right="0"/>
        <w:pBdr>
          <w:left w:val="single" w:sz="12" w:space="8" w:color="A0A0A0"/>
        </w:pBdr>
      </w:pPr>
      <w:r>
        <w:rPr>
          <w:b w:val="0"/>
          <w:i/>
          <w:sz w:val="20"/>
        </w:rPr>
        <w:t>LOLE of 0.1 h/yr corresponds to 99.9989% availability, not 99.99% as stated. The reliability target also switches between 99.9% and 99.99%. Please fix the arithmetic and settle on a single reliability target.</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revised manuscript accepts the arithmetic distinction and no longer equates availability with LOLE. A 99.99% annual availability assumption is retained only as an </w:t>
      </w:r>
      <w:r>
        <w:rPr>
          <w:b/>
          <w:i w:val="0"/>
          <w:sz w:val="20"/>
        </w:rPr>
        <w:t>illustrative availability criterion</w:t>
      </w:r>
      <w:r>
        <w:rPr>
          <w:b w:val="0"/>
          <w:i w:val="0"/>
          <w:sz w:val="20"/>
        </w:rPr>
        <w:t xml:space="preserve">, corresponding to `0.876 h/year` of annual unavailability under simple duration arithmetic. The text explicitly states that `0.876 h/year` is </w:t>
      </w:r>
      <w:r>
        <w:rPr>
          <w:b/>
          <w:i w:val="0"/>
          <w:sz w:val="20"/>
        </w:rPr>
        <w:t>not LOLE</w:t>
      </w:r>
      <w:r>
        <w:rPr>
          <w:b w:val="0"/>
          <w:i w:val="0"/>
          <w:sz w:val="20"/>
        </w:rPr>
        <w:t>. LOLE is calculated independently from chronological adequacy analysis using Eq. (2), and any numerical LOLE threshold is treated as a separate project-specific planning criterion. The former 99.9–99.99% LOLE-target range has been removed from the storage table.</w:t>
      </w:r>
    </w:p>
    <w:p>
      <w:pPr>
        <w:pStyle w:val="Heading4"/>
      </w:pPr>
      <w:r>
        <w:t>Submission-Ready Response</w:t>
      </w:r>
    </w:p>
    <w:p>
      <w:pPr>
        <w:spacing w:after="160" w:line="360" w:lineRule="auto"/>
        <w:ind w:left="283" w:right="0"/>
        <w:pBdr>
          <w:left w:val="single" w:sz="12" w:space="8" w:color="A0A0A0"/>
        </w:pBdr>
      </w:pPr>
      <w:r>
        <w:rPr>
          <w:b w:val="0"/>
          <w:i/>
          <w:sz w:val="20"/>
        </w:rPr>
        <w:t xml:space="preserve">The reliability discussion has been revised to separate annual availability from LOLE. We agree with the reviewer’s arithmetic: under a simple annual-duration relationship, 0.1 h/year corresponds to approximately 99.9989% availability, whereas 99.99% availability corresponds to 0.876 h/year of annual unavailability. The revised manuscript therefore uses 99.99% only as an illustrative annual availability criterion and explicitly states that the associated 0.876 h/year value is an </w:t>
      </w:r>
      <w:r>
        <w:rPr>
          <w:b/>
          <w:i/>
          <w:sz w:val="20"/>
        </w:rPr>
        <w:t>unavailability allowance, not LOLE</w:t>
      </w:r>
      <w:r>
        <w:rPr>
          <w:b w:val="0"/>
          <w:i/>
          <w:sz w:val="20"/>
        </w:rPr>
        <w:t>. LOLE is evaluated independently using the chronological adequacy formulation in Eq. (2), and any numerical LOLE threshold must be specified separately as a project-specific planning criterion. The former 99.9–99.99% LOLE-target wording has also been removed.</w:t>
      </w:r>
    </w:p>
    <w:p>
      <w:pPr>
        <w:pStyle w:val="Heading3"/>
      </w:pPr>
      <w:r>
        <w:t>Comment 2.9 — Capacity price units ($/MW-day)</w:t>
      </w:r>
    </w:p>
    <w:p>
      <w:pPr>
        <w:spacing w:line="360" w:lineRule="auto" w:after="120"/>
      </w:pPr>
      <w:r>
        <w:rPr>
          <w:b/>
          <w:color w:val="404040"/>
          <w:sz w:val="22"/>
        </w:rPr>
        <w:t xml:space="preserve">Manuscript context. </w:t>
      </w:r>
      <w:r>
        <w:rPr>
          <w:i/>
          <w:color w:val="404040"/>
          <w:sz w:val="22"/>
        </w:rPr>
        <w:t>This concern targets Tables 7 and 9, where capacity prices in PJM/CAISO/ERCOT were used to justify a grid-only LCOE. Capacity prices clear in USD/MW-day, not USD/MWh, and a capacity price is not an LCOE. The revised tables keep capacity prices in their native USD/MW-day units and separately report energy, capacity, and ancillary-service revenue streams.</w:t>
      </w:r>
    </w:p>
    <w:p>
      <w:pPr>
        <w:pStyle w:val="Heading4"/>
      </w:pPr>
      <w:r>
        <w:t>Reviewer Comment</w:t>
      </w:r>
    </w:p>
    <w:p>
      <w:pPr>
        <w:spacing w:after="160" w:line="360" w:lineRule="auto"/>
        <w:ind w:left="283" w:right="0"/>
        <w:pBdr>
          <w:left w:val="single" w:sz="12" w:space="8" w:color="A0A0A0"/>
        </w:pBdr>
      </w:pPr>
      <w:r>
        <w:rPr>
          <w:b w:val="0"/>
          <w:i/>
          <w:sz w:val="20"/>
        </w:rPr>
        <w:t>Table 7 justifies the grid-only LCOE using PJM/CAISO/ERCOT capacity prices. Capacity prices clear in $/MW-day, not $/MWh, and a capacity price is not an LCOE. Please separate the energy, capacity, ancillary, and delivery components and cite a tariff or market report for each.</w:t>
      </w:r>
    </w:p>
    <w:p>
      <w:pPr>
        <w:pStyle w:val="Heading4"/>
      </w:pPr>
      <w:r>
        <w:t>Resolution in the Revised Manuscript</w:t>
      </w:r>
    </w:p>
    <w:p>
      <w:pPr>
        <w:spacing w:after="160" w:line="360" w:lineRule="auto"/>
        <w:ind w:left="283"/>
        <w:pBdr>
          <w:left w:val="single" w:sz="12" w:space="8" w:color="A0A0A0"/>
        </w:pBdr>
      </w:pPr>
      <w:r>
        <w:rPr>
          <w:b w:val="0"/>
          <w:i w:val="0"/>
          <w:sz w:val="20"/>
        </w:rPr>
        <w:t>Grid electricity is no longer assigned a universal LCOE. The revised economic section separates energy, capacity, ancillary services, transmission, distribution, demand charges, taxes, and utility-specific fees. Capacity prices are explicitly identified in `USD/MW-day` and, when converted illustratively to an energy-equivalent contribution, the conversion is shown and clearly labeled as a demonstration rather than an LCOE.</w:t>
      </w:r>
    </w:p>
    <w:p>
      <w:pPr>
        <w:pStyle w:val="Heading4"/>
      </w:pPr>
      <w:r>
        <w:t>Submission-Ready Response</w:t>
      </w:r>
    </w:p>
    <w:p>
      <w:pPr>
        <w:spacing w:after="160" w:line="360" w:lineRule="auto"/>
        <w:ind w:left="283" w:right="0"/>
        <w:pBdr>
          <w:left w:val="single" w:sz="12" w:space="8" w:color="A0A0A0"/>
        </w:pBdr>
      </w:pPr>
      <w:r>
        <w:rPr>
          <w:b w:val="0"/>
          <w:i/>
          <w:sz w:val="20"/>
        </w:rPr>
        <w:t xml:space="preserve">The grid-cost treatment has been restructured. We no longer present a capacity-market clearing price as a grid LCOE. The revised manuscript distinguishes wholesale energy, capacity, ancillary-service, transmission, distribution, demand, tax, and tariff-specific components of delivered grid electricity. Capacity prices remain in their native `USD/MW-day` units; an illustrative conversion is shown only to demonstrate the dimensional treatment required before combining capacity and energy components, and it is explicitly stated not to represent a delivered tariff or LCOE. The grid row in the comparative tables is therefore reported as </w:t>
      </w:r>
      <w:r>
        <w:rPr>
          <w:b/>
          <w:i/>
          <w:sz w:val="20"/>
        </w:rPr>
        <w:t>location- and tariff-specific firm delivered service</w:t>
      </w:r>
      <w:r>
        <w:rPr>
          <w:b w:val="0"/>
          <w:i/>
          <w:sz w:val="20"/>
        </w:rPr>
        <w:t>, not as a universal `USD/MWh` LCOE benchmark.</w:t>
      </w:r>
    </w:p>
    <w:p>
      <w:pPr>
        <w:pStyle w:val="Heading3"/>
      </w:pPr>
      <w:r>
        <w:t>Comment 2.10 — Firm vs unfirmed LCOE</w:t>
      </w:r>
    </w:p>
    <w:p>
      <w:pPr>
        <w:spacing w:line="360" w:lineRule="auto" w:after="120"/>
      </w:pPr>
      <w:r>
        <w:rPr>
          <w:b/>
          <w:color w:val="404040"/>
          <w:sz w:val="22"/>
        </w:rPr>
        <w:t xml:space="preserve">Manuscript context. </w:t>
      </w:r>
      <w:r>
        <w:rPr>
          <w:i/>
          <w:color w:val="404040"/>
          <w:sz w:val="22"/>
        </w:rPr>
        <w:t>This concern targets Tables 7 and 9, where unfirmed solar/wind LCOE was placed alongside firm grid supply and the headline conclusion rested on that comparison. The revised tables classify supply options as unfirmed generation, partially firmed hybrid supply, storage service, or firm delivered grid service.</w:t>
      </w:r>
    </w:p>
    <w:p>
      <w:pPr>
        <w:pStyle w:val="Heading4"/>
      </w:pPr>
      <w:r>
        <w:t>Reviewer Comment</w:t>
      </w:r>
    </w:p>
    <w:p>
      <w:pPr>
        <w:spacing w:after="160" w:line="360" w:lineRule="auto"/>
        <w:ind w:left="283" w:right="0"/>
        <w:pBdr>
          <w:left w:val="single" w:sz="12" w:space="8" w:color="A0A0A0"/>
        </w:pBdr>
      </w:pPr>
      <w:r>
        <w:rPr>
          <w:b w:val="0"/>
          <w:i/>
          <w:sz w:val="20"/>
        </w:rPr>
        <w:t>Table 7 places unfirmed solar/wind LCOE alongside firm grid supply; the headline conclusion rests on that comparison. Please either add firming cost and curtailment to the renewable rows, or limit the comparison to firmed hybrid rows.</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revised tables explicitly classify supply options as </w:t>
      </w:r>
      <w:r>
        <w:rPr>
          <w:b/>
          <w:i w:val="0"/>
          <w:sz w:val="20"/>
        </w:rPr>
        <w:t>unfirmed generation</w:t>
      </w:r>
      <w:r>
        <w:rPr>
          <w:b w:val="0"/>
          <w:i w:val="0"/>
          <w:sz w:val="20"/>
        </w:rPr>
        <w:t xml:space="preserve">, </w:t>
      </w:r>
      <w:r>
        <w:rPr>
          <w:b/>
          <w:i w:val="0"/>
          <w:sz w:val="20"/>
        </w:rPr>
        <w:t>partially firmed hybrid supply</w:t>
      </w:r>
      <w:r>
        <w:rPr>
          <w:b w:val="0"/>
          <w:i w:val="0"/>
          <w:sz w:val="20"/>
        </w:rPr>
        <w:t xml:space="preserve">, </w:t>
      </w:r>
      <w:r>
        <w:rPr>
          <w:b/>
          <w:i w:val="0"/>
          <w:sz w:val="20"/>
        </w:rPr>
        <w:t>storage service</w:t>
      </w:r>
      <w:r>
        <w:rPr>
          <w:b w:val="0"/>
          <w:i w:val="0"/>
          <w:sz w:val="20"/>
        </w:rPr>
        <w:t xml:space="preserve">, or </w:t>
      </w:r>
      <w:r>
        <w:rPr>
          <w:b/>
          <w:i w:val="0"/>
          <w:sz w:val="20"/>
        </w:rPr>
        <w:t>firm delivered grid service</w:t>
      </w:r>
      <w:r>
        <w:rPr>
          <w:b w:val="0"/>
          <w:i w:val="0"/>
          <w:sz w:val="20"/>
        </w:rPr>
        <w:t>. Solar and wind are retained only as generation-only reference benchmarks and are not interpreted as equivalent to firm delivered electricity. Hybrid renewable-storage values are discussed separately and are not labeled as fully firm unless chronological reliability analysis demonstrates the specified adequacy requirement.</w:t>
      </w:r>
    </w:p>
    <w:p>
      <w:pPr>
        <w:pStyle w:val="Heading4"/>
      </w:pPr>
      <w:r>
        <w:t>Submission-Ready Response</w:t>
      </w:r>
    </w:p>
    <w:p>
      <w:pPr>
        <w:spacing w:after="160" w:line="360" w:lineRule="auto"/>
        <w:ind w:left="283" w:right="0"/>
        <w:pBdr>
          <w:left w:val="single" w:sz="12" w:space="8" w:color="A0A0A0"/>
        </w:pBdr>
      </w:pPr>
      <w:r>
        <w:rPr>
          <w:b w:val="0"/>
          <w:i/>
          <w:sz w:val="20"/>
        </w:rPr>
        <w:t xml:space="preserve">The revised manuscript no longer treats standalone solar/wind LCOE and firm delivered grid electricity as like-for-like products. Tables 7 and 9 explicitly classify standalone solar PV and onshore wind as </w:t>
      </w:r>
      <w:r>
        <w:rPr>
          <w:b/>
          <w:i/>
          <w:sz w:val="20"/>
        </w:rPr>
        <w:t>unfirmed generation</w:t>
      </w:r>
      <w:r>
        <w:rPr>
          <w:b w:val="0"/>
          <w:i/>
          <w:sz w:val="20"/>
        </w:rPr>
        <w:t xml:space="preserve">, renewable-storage projects as </w:t>
      </w:r>
      <w:r>
        <w:rPr>
          <w:b/>
          <w:i/>
          <w:sz w:val="20"/>
        </w:rPr>
        <w:t>partially firmed hybrids</w:t>
      </w:r>
      <w:r>
        <w:rPr>
          <w:b w:val="0"/>
          <w:i/>
          <w:sz w:val="20"/>
        </w:rPr>
        <w:t xml:space="preserve">, BESS values as </w:t>
      </w:r>
      <w:r>
        <w:rPr>
          <w:b/>
          <w:i/>
          <w:sz w:val="20"/>
        </w:rPr>
        <w:t>storage-service costs</w:t>
      </w:r>
      <w:r>
        <w:rPr>
          <w:b w:val="0"/>
          <w:i/>
          <w:sz w:val="20"/>
        </w:rPr>
        <w:t xml:space="preserve">, and grid electricity as </w:t>
      </w:r>
      <w:r>
        <w:rPr>
          <w:b/>
          <w:i/>
          <w:sz w:val="20"/>
        </w:rPr>
        <w:t>location- and tariff-specific firm delivered service</w:t>
      </w:r>
      <w:r>
        <w:rPr>
          <w:b w:val="0"/>
          <w:i/>
          <w:sz w:val="20"/>
        </w:rPr>
        <w:t>. The text further states that generation-only LCOE excludes storage, backup generation, curtailment management, transmission, interconnection, reserves, and other reliability provisions. The economic conclusions are therefore based on system-boundary-aware comparisons rather than a direct unfirmed-versus-firm headline comparison.</w:t>
      </w:r>
    </w:p>
    <w:p>
      <w:pPr>
        <w:pStyle w:val="Heading3"/>
      </w:pPr>
      <w:r>
        <w:t>Comment 2.11 — Single WACC (7.5% real)</w:t>
      </w:r>
    </w:p>
    <w:p>
      <w:pPr>
        <w:spacing w:line="360" w:lineRule="auto" w:after="120"/>
      </w:pPr>
      <w:r>
        <w:rPr>
          <w:b/>
          <w:color w:val="404040"/>
          <w:sz w:val="22"/>
        </w:rPr>
        <w:t xml:space="preserve">Manuscript context. </w:t>
      </w:r>
      <w:r>
        <w:rPr>
          <w:i/>
          <w:color w:val="404040"/>
          <w:sz w:val="22"/>
        </w:rPr>
        <w:t>This concern targets the discount-rate assumption across Section 7.8, Table 7, and Section 10.4, where the earlier version used 5–7% real, 7.5%, and 7–12% respectively. The revised manuscript uses a single 7.5% real WACC as the central illustrative screening assumption, with 5–12% real as the sensitivity range.</w:t>
      </w:r>
    </w:p>
    <w:p>
      <w:pPr>
        <w:pStyle w:val="Heading4"/>
      </w:pPr>
      <w:r>
        <w:t>Reviewer Comment</w:t>
      </w:r>
    </w:p>
    <w:p>
      <w:pPr>
        <w:spacing w:after="160" w:line="360" w:lineRule="auto"/>
        <w:ind w:left="283" w:right="0"/>
        <w:pBdr>
          <w:left w:val="single" w:sz="12" w:space="8" w:color="A0A0A0"/>
        </w:pBdr>
      </w:pPr>
      <w:r>
        <w:rPr>
          <w:b w:val="0"/>
          <w:i/>
          <w:sz w:val="20"/>
        </w:rPr>
        <w:t>Table 7 assumes a 5–7% real discount rate, Section 7.8 applies 7.5%, and Section 10.4 uses 7–12%. Please state a single WACC, indicate whether it is real or nominal, and apply it to every LCOE, NPV, IRR, and payback calculation.</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manuscript now uses </w:t>
      </w:r>
      <w:r>
        <w:rPr>
          <w:b/>
          <w:i w:val="0"/>
          <w:sz w:val="20"/>
        </w:rPr>
        <w:t>7.5% real WACC</w:t>
      </w:r>
      <w:r>
        <w:rPr>
          <w:b w:val="0"/>
          <w:i w:val="0"/>
          <w:sz w:val="20"/>
        </w:rPr>
        <w:t xml:space="preserve"> as the single illustrative screening assumption for project-level financial examples and </w:t>
      </w:r>
      <w:r>
        <w:rPr>
          <w:b/>
          <w:i w:val="0"/>
          <w:sz w:val="20"/>
        </w:rPr>
        <w:t>5–12% real</w:t>
      </w:r>
      <w:r>
        <w:rPr>
          <w:b w:val="0"/>
          <w:i w:val="0"/>
          <w:sz w:val="20"/>
        </w:rPr>
        <w:t xml:space="preserve"> only as a sensitivity range around that assumption. It also distinguishes real and nominal cash flows/rates. Published IRENA/Lazard/NREL benchmarks are retained as source-reported literature values rather than being falsely presented as recalculated at 7.5% where the underlying source data are unavailable.</w:t>
      </w:r>
    </w:p>
    <w:p>
      <w:pPr>
        <w:pStyle w:val="Heading4"/>
      </w:pPr>
      <w:r>
        <w:t>Submission-Ready Response</w:t>
      </w:r>
    </w:p>
    <w:p>
      <w:pPr>
        <w:spacing w:after="160" w:line="360" w:lineRule="auto"/>
        <w:ind w:left="283" w:right="0"/>
        <w:pBdr>
          <w:left w:val="single" w:sz="12" w:space="8" w:color="A0A0A0"/>
        </w:pBdr>
      </w:pPr>
      <w:r>
        <w:rPr>
          <w:b w:val="0"/>
          <w:i/>
          <w:sz w:val="20"/>
        </w:rPr>
        <w:t xml:space="preserve">The financing assumptions have been standardized. A </w:t>
      </w:r>
      <w:r>
        <w:rPr>
          <w:b/>
          <w:i/>
          <w:sz w:val="20"/>
        </w:rPr>
        <w:t>7.5% real WACC</w:t>
      </w:r>
      <w:r>
        <w:rPr>
          <w:b w:val="0"/>
          <w:i/>
          <w:sz w:val="20"/>
        </w:rPr>
        <w:t xml:space="preserve"> is now identified as the illustrative screening assumption used for project-level financial examples, with a </w:t>
      </w:r>
      <w:r>
        <w:rPr>
          <w:b/>
          <w:i/>
          <w:sz w:val="20"/>
        </w:rPr>
        <w:t>5–12% real</w:t>
      </w:r>
      <w:r>
        <w:rPr>
          <w:b w:val="0"/>
          <w:i/>
          <w:sz w:val="20"/>
        </w:rPr>
        <w:t xml:space="preserve"> range used only for sensitivity analysis. The manuscript also states explicitly that real cash flows require a real discount rate and nominal cash flows require a nominal rate with inflation treated consistently. Published LCOE benchmarks from IRENA, Lazard, NREL, and other sources retain the original source assumptions; they are not represented as if they had been independently recalculated at 7.5% when the necessary source-level cash-flow data are unavailable. This distinction prevents an artificial normalization of published values while maintaining one internally consistent assumption for the review’s illustrative financial screening.</w:t>
      </w:r>
    </w:p>
    <w:p>
      <w:pPr>
        <w:pStyle w:val="Heading3"/>
      </w:pPr>
      <w:r>
        <w:t>Comment 2.12 — Numerical consistency (payback/LCOE/storage)</w:t>
      </w:r>
    </w:p>
    <w:p>
      <w:pPr>
        <w:spacing w:line="360" w:lineRule="auto" w:after="120"/>
      </w:pPr>
      <w:r>
        <w:rPr>
          <w:b/>
          <w:color w:val="404040"/>
          <w:sz w:val="22"/>
        </w:rPr>
        <w:t xml:space="preserve">Manuscript context. </w:t>
      </w:r>
      <w:r>
        <w:rPr>
          <w:i/>
          <w:color w:val="404040"/>
          <w:sz w:val="22"/>
        </w:rPr>
        <w:t>This concern targets the consistency of headline numbers (payback, LCOE, storage reduction, interconnection cost) across Sections 7.3, 10.1, 10.2, and 10.4. The revised manuscript removes the generalized payback ranges and universal storage-reduction ranges and ties every cost value to its source, year, geography, classification, and system boundary.</w:t>
      </w:r>
    </w:p>
    <w:p>
      <w:pPr>
        <w:pStyle w:val="Heading4"/>
      </w:pPr>
      <w:r>
        <w:t>Reviewer Comment</w:t>
      </w:r>
    </w:p>
    <w:p>
      <w:pPr>
        <w:spacing w:after="160" w:line="360" w:lineRule="auto"/>
        <w:ind w:left="283" w:right="0"/>
        <w:pBdr>
          <w:left w:val="single" w:sz="12" w:space="8" w:color="A0A0A0"/>
        </w:pBdr>
      </w:pPr>
      <w:r>
        <w:rPr>
          <w:b w:val="0"/>
          <w:i/>
          <w:sz w:val="20"/>
        </w:rPr>
        <w:t>Payback is variously reported as 5–12 yr, then 6–11 yr, then 4–8 yr; LCOE as 35–100 and then 35–80 $/MWh; storage reduction as 40–60% and then 50–70%; interconnection cost as USD 50k–500k plus USD 10M (Section 1.3) vs USD 500k–2M or USD 5–10M (Section 7.2). Please build a single results table and reconcile all headline numbers.</w:t>
      </w:r>
    </w:p>
    <w:p>
      <w:pPr>
        <w:pStyle w:val="Heading4"/>
      </w:pPr>
      <w:r>
        <w:t>Resolution in the Revised Manuscript</w:t>
      </w:r>
    </w:p>
    <w:p>
      <w:pPr>
        <w:spacing w:after="160" w:line="360" w:lineRule="auto"/>
        <w:ind w:left="283"/>
        <w:pBdr>
          <w:left w:val="single" w:sz="12" w:space="8" w:color="A0A0A0"/>
        </w:pBdr>
      </w:pPr>
      <w:r>
        <w:rPr>
          <w:b w:val="0"/>
          <w:i w:val="0"/>
          <w:sz w:val="20"/>
        </w:rPr>
        <w:t>Generalized payback and universal storage-reduction ranges have been removed. Cost values are now presented as literature-derived benchmarks with their source, geography/year, classification, and system boundary in Tables 7 and 9. Interconnection costs are no longer used as universal planning values; the manuscript directs project applications to the relevant utility/RTO/ISO studies and tariffs.</w:t>
      </w:r>
    </w:p>
    <w:p>
      <w:pPr>
        <w:pStyle w:val="Heading4"/>
      </w:pPr>
      <w:r>
        <w:t>Submission-Ready Response</w:t>
      </w:r>
    </w:p>
    <w:p>
      <w:pPr>
        <w:spacing w:after="160" w:line="360" w:lineRule="auto"/>
        <w:ind w:left="283" w:right="0"/>
        <w:pBdr>
          <w:left w:val="single" w:sz="12" w:space="8" w:color="A0A0A0"/>
        </w:pBdr>
      </w:pPr>
      <w:r>
        <w:rPr>
          <w:b w:val="0"/>
          <w:i/>
          <w:sz w:val="20"/>
        </w:rPr>
        <w:t>The conflicting headline ranges have been eliminated rather than averaged or combined. The revised manuscript no longer reports universal payback periods or universal storage-reduction percentages. Technology and electricity-cost values are consolidated in Tables 7 and 9 with their source, geography/year, classification, and cost boundary. Interconnection cost is now treated as project- and network-specific and is not represented by a single universal range. The economic discussion therefore distinguishes literature screening benchmarks from project-specific investment results and avoids presenting mutually inconsistent headline numbers as if they referred to the same system boundary.</w:t>
      </w:r>
    </w:p>
    <w:p>
      <w:pPr>
        <w:pStyle w:val="Heading3"/>
      </w:pPr>
      <w:r>
        <w:t>Comment 2.13 — USD 108/kWh source provenance</w:t>
      </w:r>
    </w:p>
    <w:p>
      <w:pPr>
        <w:spacing w:line="360" w:lineRule="auto" w:after="120"/>
      </w:pPr>
      <w:r>
        <w:rPr>
          <w:b/>
          <w:color w:val="404040"/>
          <w:sz w:val="22"/>
        </w:rPr>
        <w:t xml:space="preserve">Manuscript context. </w:t>
      </w:r>
      <w:r>
        <w:rPr>
          <w:i/>
          <w:color w:val="404040"/>
          <w:sz w:val="22"/>
        </w:rPr>
        <w:t>This concern targets the source provenance of the USD 108/kWh battery-pack price across the abstract, Section 1.2, and Section 2.3. The revised manuscript consistently describes USD 108/kWh as the 2025 volume-weighted average battery-pack price reported by BloombergNEF, not a 2026 projection.</w:t>
      </w:r>
    </w:p>
    <w:p>
      <w:pPr>
        <w:pStyle w:val="Heading4"/>
      </w:pPr>
      <w:r>
        <w:t>Reviewer Comment</w:t>
      </w:r>
    </w:p>
    <w:p>
      <w:pPr>
        <w:spacing w:after="160" w:line="360" w:lineRule="auto"/>
        <w:ind w:left="283" w:right="0"/>
        <w:pBdr>
          <w:left w:val="single" w:sz="12" w:space="8" w:color="A0A0A0"/>
        </w:pBdr>
      </w:pPr>
      <w:r>
        <w:rPr>
          <w:b w:val="0"/>
          <w:i/>
          <w:sz w:val="20"/>
        </w:rPr>
        <w:t>The abstract calls USD 108/kWh a 2026 projection, while Sections 1.2 and 2.3 correctly report it as an observed 2025 BNEF figure. The volume-weighted pack price is also never reconciled with the USD 75–160/kWh installed-system costs quoted later.</w:t>
      </w:r>
    </w:p>
    <w:p>
      <w:pPr>
        <w:pStyle w:val="Heading4"/>
      </w:pPr>
      <w:r>
        <w:t>Resolution in the Revised Manuscript</w:t>
      </w:r>
    </w:p>
    <w:p>
      <w:pPr>
        <w:spacing w:after="160" w:line="360" w:lineRule="auto"/>
        <w:ind w:left="283"/>
        <w:pBdr>
          <w:left w:val="single" w:sz="12" w:space="8" w:color="A0A0A0"/>
        </w:pBdr>
      </w:pPr>
      <w:r>
        <w:rPr>
          <w:b w:val="0"/>
          <w:i w:val="0"/>
          <w:sz w:val="20"/>
        </w:rPr>
        <w:t xml:space="preserve">`USD 108/kWh` is now consistently described as the </w:t>
      </w:r>
      <w:r>
        <w:rPr>
          <w:b/>
          <w:i w:val="0"/>
          <w:sz w:val="20"/>
        </w:rPr>
        <w:t>2025 volume-weighted average battery-pack price</w:t>
      </w:r>
      <w:r>
        <w:rPr>
          <w:b w:val="0"/>
          <w:i w:val="0"/>
          <w:sz w:val="20"/>
        </w:rPr>
        <w:t xml:space="preserve"> reported by BloombergNEF, not a 2026 projection. Installed-system costs are explicitly separated from pack prices and include PCS, thermal management, controls, fire protection, EPC/BOS, site development, and interconnection.</w:t>
      </w:r>
    </w:p>
    <w:p>
      <w:pPr>
        <w:pStyle w:val="Heading4"/>
      </w:pPr>
      <w:r>
        <w:t>Submission-Ready Response</w:t>
      </w:r>
    </w:p>
    <w:p>
      <w:pPr>
        <w:spacing w:after="160" w:line="360" w:lineRule="auto"/>
        <w:ind w:left="283" w:right="0"/>
        <w:pBdr>
          <w:left w:val="single" w:sz="12" w:space="8" w:color="A0A0A0"/>
        </w:pBdr>
      </w:pPr>
      <w:r>
        <w:rPr>
          <w:b w:val="0"/>
          <w:i/>
          <w:sz w:val="20"/>
        </w:rPr>
        <w:t xml:space="preserve">The battery-cost description has been corrected and standardized. The `USD 108/kWh` figure is now identified consistently as BloombergNEF’s </w:t>
      </w:r>
      <w:r>
        <w:rPr>
          <w:b/>
          <w:i/>
          <w:sz w:val="20"/>
        </w:rPr>
        <w:t>observed 2025 volume-weighted battery-pack price</w:t>
      </w:r>
      <w:r>
        <w:rPr>
          <w:b w:val="0"/>
          <w:i/>
          <w:sz w:val="20"/>
        </w:rPr>
        <w:t>, not a 2026 projection. The manuscript also separates pack-level pricing from fully installed BESS cost. Installed-system values are identified as including the additional power-conversion, thermal-management, controls, fire-protection, engineering/procurement/construction, balance-of-system, site-development, and interconnection costs that are excluded from a pack-only benchmark.</w:t>
      </w:r>
    </w:p>
    <w:p>
      <w:pPr>
        <w:pStyle w:val="Heading3"/>
      </w:pPr>
      <w:r>
        <w:t>Comment 2.14 — Reference attribution errors ([7], [58])</w:t>
      </w:r>
    </w:p>
    <w:p>
      <w:pPr>
        <w:spacing w:line="360" w:lineRule="auto" w:after="120"/>
      </w:pPr>
      <w:r>
        <w:rPr>
          <w:b/>
          <w:color w:val="404040"/>
          <w:sz w:val="22"/>
        </w:rPr>
        <w:t xml:space="preserve">Manuscript context. </w:t>
      </w:r>
      <w:r>
        <w:rPr>
          <w:i/>
          <w:color w:val="404040"/>
          <w:sz w:val="22"/>
        </w:rPr>
        <w:t>This concern targets reference attribution in Sections 1.1 and 1.2: the '2.9 Wh per GPT-3 query' claim attributed to a non-existent 'Li' source, and the BloombergNEF reference [58] mislabelled. The revised manuscript removes the unsupported 2.9 Wh/query claim and cites battery-pack pricing to the appropriate BloombergNEF source.</w:t>
      </w:r>
    </w:p>
    <w:p>
      <w:pPr>
        <w:pStyle w:val="Heading4"/>
      </w:pPr>
      <w:r>
        <w:t>Reviewer Comment</w:t>
      </w:r>
    </w:p>
    <w:p>
      <w:pPr>
        <w:spacing w:after="160" w:line="360" w:lineRule="auto"/>
        <w:ind w:left="283" w:right="0"/>
        <w:pBdr>
          <w:left w:val="single" w:sz="12" w:space="8" w:color="A0A0A0"/>
        </w:pBdr>
      </w:pPr>
      <w:r>
        <w:rPr>
          <w:b w:val="0"/>
          <w:i/>
          <w:sz w:val="20"/>
        </w:rPr>
        <w:t>(a) Section 1.1 attributes '2.9 Wh per GPT-3 query' to 'research by Li', but reference [7] is Shi/Yang/Lo and no Li source appears. (b) Reference [58] is BloombergNEF 'Corporate Clean Energy Buying Fell in 2025', cited in Section 10.2 and Table 3 for BNEF battery pack prices. (c) Reference [150] is Lazard June 2025, but Table 7 states that values reflect 2026 market conditions validated against NREL/BNEF/IRENA, citing [150] for all of it.</w:t>
      </w:r>
    </w:p>
    <w:p>
      <w:pPr>
        <w:pStyle w:val="Heading4"/>
      </w:pPr>
      <w:r>
        <w:t>Resolution in the Revised Manuscript</w:t>
      </w:r>
    </w:p>
    <w:p>
      <w:pPr>
        <w:spacing w:after="160" w:line="360" w:lineRule="auto"/>
        <w:ind w:left="283"/>
        <w:pBdr>
          <w:left w:val="single" w:sz="12" w:space="8" w:color="A0A0A0"/>
        </w:pBdr>
      </w:pPr>
      <w:r>
        <w:rPr>
          <w:b w:val="0"/>
          <w:i w:val="0"/>
          <w:sz w:val="20"/>
        </w:rPr>
        <w:t>The unsupported 2.9 Wh/query claim has been removed. Battery-pack pricing is cited to the appropriate BloombergNEF source. Economic tables now cite the primary source relevant to each row/claim rather than using a single citation to support unrelated NREL/BNEF/IRENA values. The reference list and in-text numbering have been reconciled after revision.</w:t>
      </w:r>
    </w:p>
    <w:p>
      <w:pPr>
        <w:pStyle w:val="Heading4"/>
      </w:pPr>
      <w:r>
        <w:t>Submission-Ready Response</w:t>
      </w:r>
    </w:p>
    <w:p>
      <w:pPr>
        <w:spacing w:after="160" w:line="360" w:lineRule="auto"/>
        <w:ind w:left="283" w:right="0"/>
        <w:pBdr>
          <w:left w:val="single" w:sz="12" w:space="8" w:color="A0A0A0"/>
        </w:pBdr>
      </w:pPr>
      <w:r>
        <w:rPr>
          <w:b w:val="0"/>
          <w:i/>
          <w:sz w:val="20"/>
        </w:rPr>
        <w:t>The cited-source mismatches identified by the reviewer have been corrected. The unsupported 2.9 Wh/query statement and the incorrect attribution have been removed. The 2025 battery-pack price is now supported by the relevant BloombergNEF source, and the economic benchmark tables cite the appropriate source for each specific technology/cost claim rather than using one citation as a proxy for multiple organizations. The in-text reference numbering and bibliography have also been cross-checked following the revision.</w:t>
      </w:r>
    </w:p>
    <w:p>
      <w:pPr>
        <w:pStyle w:val="Heading3"/>
      </w:pPr>
      <w:r>
        <w:t>Comment 2.15 — Downtime-cost attribution ([9], [165])</w:t>
      </w:r>
    </w:p>
    <w:p>
      <w:pPr>
        <w:spacing w:line="360" w:lineRule="auto" w:after="120"/>
      </w:pPr>
      <w:r>
        <w:rPr>
          <w:b/>
          <w:color w:val="404040"/>
          <w:sz w:val="22"/>
        </w:rPr>
        <w:t xml:space="preserve">Manuscript context. </w:t>
      </w:r>
      <w:r>
        <w:rPr>
          <w:i/>
          <w:color w:val="404040"/>
          <w:sz w:val="22"/>
        </w:rPr>
        <w:t>This concern targets Section 10.5 (downtime cost &gt;USD 500,000/h attributed to Uptime Institute [9]) and the LevelTen PPA values. The revised manuscript removes the universal USD 500,000/h downtime claim, cites the LevelTen PPA values, and anchors the 165% data-center demand-growth statement explicitly to 2024–2030.</w:t>
      </w:r>
    </w:p>
    <w:p>
      <w:pPr>
        <w:pStyle w:val="Heading4"/>
      </w:pPr>
      <w:r>
        <w:t>Reviewer Comment</w:t>
      </w:r>
    </w:p>
    <w:p>
      <w:pPr>
        <w:spacing w:after="160" w:line="360" w:lineRule="auto"/>
        <w:ind w:left="283" w:right="0"/>
        <w:pBdr>
          <w:left w:val="single" w:sz="12" w:space="8" w:color="A0A0A0"/>
        </w:pBdr>
      </w:pPr>
      <w:r>
        <w:rPr>
          <w:b w:val="0"/>
          <w:i/>
          <w:sz w:val="20"/>
        </w:rPr>
        <w:t>(a) Section 10.5 attributes downtime &gt;USD 500,000/h to ref [9] (Uptime Institute survey), which reports outage-cost distributions rather than a per-hour figure for training clusters. (b) Section 10.3 quotes a PPA price of USD 64.49/MWh to two decimals with no citation. (c) Section 1.1 gives 165% demand growth by 2030 with no baseline year. (d) Section 8.1 gives Google figures with no reporting year.</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universal `USD 500,000/h` downtime claim has been removed. The LevelTen PPA values are now cited. The 165% data-center demand-growth statement is explicitly anchored to </w:t>
      </w:r>
      <w:r>
        <w:rPr>
          <w:b/>
          <w:i w:val="0"/>
          <w:sz w:val="20"/>
        </w:rPr>
        <w:t>2024–2030</w:t>
      </w:r>
      <w:r>
        <w:rPr>
          <w:b w:val="0"/>
          <w:i w:val="0"/>
          <w:sz w:val="20"/>
        </w:rPr>
        <w:t>, and Google’s case-study metrics are identified with their reporting year/accounting basis.</w:t>
      </w:r>
    </w:p>
    <w:p>
      <w:pPr>
        <w:pStyle w:val="Heading4"/>
      </w:pPr>
      <w:r>
        <w:t>Submission-Ready Response</w:t>
      </w:r>
    </w:p>
    <w:p>
      <w:pPr>
        <w:spacing w:after="160" w:line="360" w:lineRule="auto"/>
        <w:ind w:left="283" w:right="0"/>
        <w:pBdr>
          <w:left w:val="single" w:sz="12" w:space="8" w:color="A0A0A0"/>
        </w:pBdr>
      </w:pPr>
      <w:r>
        <w:rPr>
          <w:b w:val="0"/>
          <w:i/>
          <w:sz w:val="20"/>
        </w:rPr>
        <w:t>The manuscript has been revised to remove or qualify each of these unsupported/underspecified numerical statements. The former universal `USD 500,000/h` downtime claim is no longer used; the text now notes that Uptime Institute reports outage-cost distributions and that project downtime cost must be derived from facility-specific IT capacity, workload value, recovery time, penalties, and lost utilization. The PPA values in Section 10.3 are now cited to the relevant LevelTen index. The 165% growth estimate is explicitly stated as a 2024–2030 projection, and the Google case-study metrics now identify the reporting year and accounting basis.</w:t>
      </w:r>
    </w:p>
    <w:p>
      <w:pPr>
        <w:pStyle w:val="Heading3"/>
      </w:pPr>
      <w:r>
        <w:t>Comment 2.16 — Table 1 citations</w:t>
      </w:r>
    </w:p>
    <w:p>
      <w:pPr>
        <w:spacing w:line="360" w:lineRule="auto" w:after="120"/>
      </w:pPr>
      <w:r>
        <w:rPr>
          <w:b/>
          <w:color w:val="404040"/>
          <w:sz w:val="22"/>
        </w:rPr>
        <w:t xml:space="preserve">Manuscript context. </w:t>
      </w:r>
      <w:r>
        <w:rPr>
          <w:i/>
          <w:color w:val="404040"/>
          <w:sz w:val="22"/>
        </w:rPr>
        <w:t>This concern targets Table 1, which in the earlier version asserted gaps in four families of prior work without citations in any cell. The revised Table 1 now contains representative citations in the technical-strength, economic-blind-spot, implementation-barrier, and gap-comparison cells for each of the four literature families.</w:t>
      </w:r>
    </w:p>
    <w:p>
      <w:pPr>
        <w:pStyle w:val="Heading4"/>
      </w:pPr>
      <w:r>
        <w:t>Reviewer Comment</w:t>
      </w:r>
    </w:p>
    <w:p>
      <w:pPr>
        <w:spacing w:after="160" w:line="360" w:lineRule="auto"/>
        <w:ind w:left="283" w:right="0"/>
        <w:pBdr>
          <w:left w:val="single" w:sz="12" w:space="8" w:color="A0A0A0"/>
        </w:pBdr>
      </w:pPr>
      <w:r>
        <w:rPr>
          <w:b w:val="0"/>
          <w:i/>
          <w:sz w:val="20"/>
        </w:rPr>
        <w:t>Table 1 asserts gaps in four families of prior work but contains no citations in any cell. Please add representative references.</w:t>
      </w:r>
    </w:p>
    <w:p>
      <w:pPr>
        <w:pStyle w:val="Heading4"/>
      </w:pPr>
      <w:r>
        <w:t>Resolution in the Revised Manuscript</w:t>
      </w:r>
    </w:p>
    <w:p>
      <w:pPr>
        <w:spacing w:after="160" w:line="360" w:lineRule="auto"/>
        <w:ind w:left="283"/>
        <w:pBdr>
          <w:left w:val="single" w:sz="12" w:space="8" w:color="A0A0A0"/>
        </w:pBdr>
      </w:pPr>
      <w:r>
        <w:rPr>
          <w:b w:val="0"/>
          <w:i w:val="0"/>
          <w:sz w:val="20"/>
        </w:rPr>
        <w:t>Table 1 now contains representative citations in the technical-strength, economic-blind-spot, implementation-barrier, and gap-comparison cells for each of the four literature families.</w:t>
      </w:r>
    </w:p>
    <w:p>
      <w:pPr>
        <w:pStyle w:val="Heading4"/>
      </w:pPr>
      <w:r>
        <w:t>Submission-Ready Response</w:t>
      </w:r>
    </w:p>
    <w:p>
      <w:pPr>
        <w:spacing w:after="160" w:line="360" w:lineRule="auto"/>
        <w:ind w:left="283" w:right="0"/>
        <w:pBdr>
          <w:left w:val="single" w:sz="12" w:space="8" w:color="A0A0A0"/>
        </w:pBdr>
      </w:pPr>
      <w:r>
        <w:rPr>
          <w:b w:val="0"/>
          <w:i/>
          <w:sz w:val="20"/>
        </w:rPr>
        <w:t>Representative references have been added directly to Table 1 so that the comparative statements are traceable to the literature. The table now supports the identified strengths, economic blind spots, implementation barriers, and transferability limitations for technical/grid studies, economic/procurement studies, corporate case studies, and equipment-centric literature. The table is therefore an evidence-based comparative synthesis rather than an uncited classification.</w:t>
      </w:r>
    </w:p>
    <w:p>
      <w:pPr>
        <w:pStyle w:val="Heading3"/>
      </w:pPr>
      <w:r>
        <w:t>Comment 2.17 — Framework component inputs/outputs</w:t>
      </w:r>
    </w:p>
    <w:p>
      <w:pPr>
        <w:spacing w:line="360" w:lineRule="auto" w:after="120"/>
      </w:pPr>
      <w:r>
        <w:rPr>
          <w:b/>
          <w:color w:val="404040"/>
          <w:sz w:val="22"/>
        </w:rPr>
        <w:t xml:space="preserve">Manuscript context. </w:t>
      </w:r>
      <w:r>
        <w:rPr>
          <w:i/>
          <w:color w:val="404040"/>
          <w:sz w:val="22"/>
        </w:rPr>
        <w:t>This concern targets the framework description in Sections 7.3–7.5, where Components 2, 3, and 4 were described only in general terms. The revised sections state component-specific inputs, evaluation/decision rules, and outputs for each of the seven framework components.</w:t>
      </w:r>
    </w:p>
    <w:p>
      <w:pPr>
        <w:pStyle w:val="Heading4"/>
      </w:pPr>
      <w:r>
        <w:t>Reviewer Comment</w:t>
      </w:r>
    </w:p>
    <w:p>
      <w:pPr>
        <w:spacing w:after="160" w:line="360" w:lineRule="auto"/>
        <w:ind w:left="283" w:right="0"/>
        <w:pBdr>
          <w:left w:val="single" w:sz="12" w:space="8" w:color="A0A0A0"/>
        </w:pBdr>
      </w:pPr>
      <w:r>
        <w:rPr>
          <w:b w:val="0"/>
          <w:i/>
          <w:sz w:val="20"/>
        </w:rPr>
        <w:t>Components 2, 3, and 4 of the framework are described only in general terms. Please state the decision rules, the inputs each component requires, and the output it produces.</w:t>
      </w:r>
    </w:p>
    <w:p>
      <w:pPr>
        <w:pStyle w:val="Heading4"/>
      </w:pPr>
      <w:r>
        <w:t>Resolution in the Revised Manuscript</w:t>
      </w:r>
    </w:p>
    <w:p>
      <w:pPr>
        <w:spacing w:after="160" w:line="360" w:lineRule="auto"/>
        <w:ind w:left="283"/>
        <w:pBdr>
          <w:left w:val="single" w:sz="12" w:space="8" w:color="A0A0A0"/>
        </w:pBdr>
      </w:pPr>
      <w:r>
        <w:rPr>
          <w:b w:val="0"/>
          <w:i w:val="0"/>
          <w:sz w:val="20"/>
        </w:rPr>
        <w:t xml:space="preserve">Sections </w:t>
      </w:r>
      <w:r>
        <w:rPr>
          <w:b/>
          <w:i w:val="0"/>
          <w:sz w:val="20"/>
        </w:rPr>
        <w:t>7.3–7.5</w:t>
      </w:r>
      <w:r>
        <w:rPr>
          <w:b w:val="0"/>
          <w:i w:val="0"/>
          <w:sz w:val="20"/>
        </w:rPr>
        <w:t xml:space="preserve"> have been expanded to state component-specific inputs, evaluation/decision rules, and outputs. Technology selection uses chronological energy-balance and lifecycle-cost screening; electrical architecture uses power-flow, short-circuit, grounding, protection, reliability, and harmonic-compliance checks; control/dispatch defines forecast/state inputs, operating constraints, and schedule outputs.</w:t>
      </w:r>
    </w:p>
    <w:p>
      <w:pPr>
        <w:pStyle w:val="Heading4"/>
      </w:pPr>
      <w:r>
        <w:t>Submission-Ready Response</w:t>
      </w:r>
    </w:p>
    <w:p>
      <w:pPr>
        <w:spacing w:after="160" w:line="360" w:lineRule="auto"/>
        <w:ind w:left="283" w:right="0"/>
        <w:pBdr>
          <w:left w:val="single" w:sz="12" w:space="8" w:color="A0A0A0"/>
        </w:pBdr>
      </w:pPr>
      <w:r>
        <w:rPr>
          <w:b w:val="0"/>
          <w:i/>
          <w:sz w:val="20"/>
        </w:rPr>
        <w:t>Components 2–4 have been expanded from descriptive labels into explicit decision steps. Section 7.3 now lists the resource, load, storage, tariff, grid, backup, reliability, carbon, and regulatory inputs required for technology selection, states the chronological/lifecycle screening logic, and defines the resulting technology shortlist. Section 7.4 lists the electrical-design inputs, specifies the required power-flow, short-circuit, protection, grounding, reliability, and harmonic checks, and defines the preliminary architecture outputs. Section 7.5 similarly identifies forecast, state, price, reserve, and workload inputs, states the dispatch constraints/objective structure, and defines the resulting operating schedule. These revisions make the framework operationally interpretable without presenting it as a completed site-specific design.</w:t>
      </w:r>
    </w:p>
    <w:p>
      <w:pPr>
        <w:pStyle w:val="Heading3"/>
      </w:pPr>
      <w:r>
        <w:t>Comment 2.18 — MCDA criteria/weights</w:t>
      </w:r>
    </w:p>
    <w:p>
      <w:pPr>
        <w:spacing w:line="360" w:lineRule="auto" w:after="120"/>
      </w:pPr>
      <w:r>
        <w:rPr>
          <w:b/>
          <w:color w:val="404040"/>
          <w:sz w:val="22"/>
        </w:rPr>
        <w:t xml:space="preserve">Manuscript context. </w:t>
      </w:r>
      <w:r>
        <w:rPr>
          <w:i/>
          <w:color w:val="404040"/>
          <w:sz w:val="22"/>
        </w:rPr>
        <w:t>This concern targets Section 7.2, where MCDA was recommended without criteria, weights, weighting method, or sensitivity check. The revised Section 7.2 specifies an AHP-based MCDA with five criteria, illustrative baseline weights, AHP pairwise comparisons, a consistency ratio check (CR &lt; 0.10), and an entropy-weighting sensitivity check.</w:t>
      </w:r>
    </w:p>
    <w:p>
      <w:pPr>
        <w:pStyle w:val="Heading4"/>
      </w:pPr>
      <w:r>
        <w:t>Reviewer Comment</w:t>
      </w:r>
    </w:p>
    <w:p>
      <w:pPr>
        <w:spacing w:after="160" w:line="360" w:lineRule="auto"/>
        <w:ind w:left="283" w:right="0"/>
        <w:pBdr>
          <w:left w:val="single" w:sz="12" w:space="8" w:color="A0A0A0"/>
        </w:pBdr>
      </w:pPr>
      <w:r>
        <w:rPr>
          <w:b w:val="0"/>
          <w:i/>
          <w:sz w:val="20"/>
        </w:rPr>
        <w:t>Section 7.2 recommends MCDA but gives no criteria, no weights, no weighting method (AHP or entropy), and no sensitivity check. As written, it is a label rather than a method.</w:t>
      </w:r>
    </w:p>
    <w:p>
      <w:pPr>
        <w:pStyle w:val="Heading4"/>
      </w:pPr>
      <w:r>
        <w:t>Resolution in the Revised Manuscript</w:t>
      </w:r>
    </w:p>
    <w:p>
      <w:pPr>
        <w:spacing w:after="160" w:line="360" w:lineRule="auto"/>
        <w:ind w:left="283"/>
        <w:pBdr>
          <w:left w:val="single" w:sz="12" w:space="8" w:color="A0A0A0"/>
        </w:pBdr>
      </w:pPr>
      <w:r>
        <w:rPr>
          <w:b w:val="0"/>
          <w:i w:val="0"/>
          <w:sz w:val="20"/>
        </w:rPr>
        <w:t xml:space="preserve">Section 7.2 now specifies an AHP-based MCDA with five criteria and illustrative baseline weights of </w:t>
      </w:r>
      <w:r>
        <w:rPr>
          <w:b/>
          <w:i w:val="0"/>
          <w:sz w:val="20"/>
        </w:rPr>
        <w:t>0.30, 0.25, 0.20, 0.15, and 0.10</w:t>
      </w:r>
      <w:r>
        <w:rPr>
          <w:b w:val="0"/>
          <w:i w:val="0"/>
          <w:sz w:val="20"/>
        </w:rPr>
        <w:t xml:space="preserve">. AHP pairwise comparisons and the consistency ratio (`CR &lt; 0.10`) are stated. Candidate sites receive normalized scores. Sensitivity analysis perturbs each criterion weight one at a time by </w:t>
      </w:r>
      <w:r>
        <w:rPr>
          <w:b/>
          <w:i w:val="0"/>
          <w:sz w:val="20"/>
        </w:rPr>
        <w:t>±20%</w:t>
      </w:r>
      <w:r>
        <w:rPr>
          <w:b w:val="0"/>
          <w:i w:val="0"/>
          <w:sz w:val="20"/>
        </w:rPr>
        <w:t>, proportionally renormalizes the remaining weights to sum to 1.0, recalculates the ranking, and records rank stability. The weights are explicitly illustrative rather than universal.</w:t>
      </w:r>
    </w:p>
    <w:p>
      <w:pPr>
        <w:pStyle w:val="Heading4"/>
      </w:pPr>
      <w:r>
        <w:t>Submission-Ready Response</w:t>
      </w:r>
    </w:p>
    <w:p>
      <w:pPr>
        <w:spacing w:after="160" w:line="360" w:lineRule="auto"/>
        <w:ind w:left="283" w:right="0"/>
        <w:pBdr>
          <w:left w:val="single" w:sz="12" w:space="8" w:color="A0A0A0"/>
        </w:pBdr>
      </w:pPr>
      <w:r>
        <w:rPr>
          <w:b w:val="0"/>
          <w:i/>
          <w:sz w:val="20"/>
        </w:rPr>
        <w:t>Section 7.2 has been expanded into a reproducible AHP-based MCDA procedure. Table 5 now defines five criteria and illustrative baseline weights of 0.30/0.25/0.20/0.15/0.10. Pairwise comparisons are used to derive project-specific weights, and the AHP consistency ratio is evaluated with `CR &lt; 0.10` as the conventional acceptability criterion. The sensitivity procedure is also specified numerically: each baseline criterion weight is perturbed individually by ±20%, the remaining weights are proportionally renormalized so that the total remains 1.0, and candidate-site scores/rankings are recalculated to assess rank stability. The manuscript explicitly states that the baseline weights are illustrative screening values, not universal site-selection priorities.</w:t>
      </w:r>
    </w:p>
    <w:p>
      <w:pPr>
        <w:pStyle w:val="Heading3"/>
      </w:pPr>
      <w:r>
        <w:t>Comment 2.19 — Modelling tool selection criteria</w:t>
      </w:r>
    </w:p>
    <w:p>
      <w:pPr>
        <w:spacing w:line="360" w:lineRule="auto" w:after="120"/>
      </w:pPr>
      <w:r>
        <w:rPr>
          <w:b/>
          <w:color w:val="404040"/>
          <w:sz w:val="22"/>
        </w:rPr>
        <w:t xml:space="preserve">Manuscript context. </w:t>
      </w:r>
      <w:r>
        <w:rPr>
          <w:i/>
          <w:color w:val="404040"/>
          <w:sz w:val="22"/>
        </w:rPr>
        <w:t>This concern targets Section 6, which in the earlier version was a catalogue of modelling tool categories without selection criteria. The revised Table 4 maps engineering question to recommended modelling method, typical time resolution, required inputs, and primary limitation.</w:t>
      </w:r>
    </w:p>
    <w:p>
      <w:pPr>
        <w:pStyle w:val="Heading4"/>
      </w:pPr>
      <w:r>
        <w:t>Reviewer Comment</w:t>
      </w:r>
    </w:p>
    <w:p>
      <w:pPr>
        <w:spacing w:after="160" w:line="360" w:lineRule="auto"/>
        <w:ind w:left="283" w:right="0"/>
        <w:pBdr>
          <w:left w:val="single" w:sz="12" w:space="8" w:color="A0A0A0"/>
        </w:pBdr>
      </w:pPr>
      <w:r>
        <w:rPr>
          <w:b w:val="0"/>
          <w:i/>
          <w:sz w:val="20"/>
        </w:rPr>
        <w:t>Section 6 is a catalogue of tool categories. Please state which modelling approach suits which question, at what time resolution, with what data requirements, and where each approach breaks down.</w:t>
      </w:r>
    </w:p>
    <w:p>
      <w:pPr>
        <w:pStyle w:val="Heading4"/>
      </w:pPr>
      <w:r>
        <w:t>Resolution in the Revised Manuscript</w:t>
      </w:r>
    </w:p>
    <w:p>
      <w:pPr>
        <w:spacing w:after="160" w:line="360" w:lineRule="auto"/>
        <w:ind w:left="283"/>
        <w:pBdr>
          <w:left w:val="single" w:sz="12" w:space="8" w:color="A0A0A0"/>
        </w:pBdr>
      </w:pPr>
      <w:r>
        <w:rPr>
          <w:b w:val="0"/>
          <w:i w:val="0"/>
          <w:sz w:val="20"/>
        </w:rPr>
        <w:t>Table 4 now maps engineering question to recommended modeling method, typical time resolution, required inputs, and primary limitation. The text also differentiates steady-state power flow, harmonic/frequency-domain analysis, EMT simulation, chronological time-series analysis, lifecycle/MILP analysis, MPC, and workload scheduling.</w:t>
      </w:r>
    </w:p>
    <w:p>
      <w:pPr>
        <w:pStyle w:val="Heading4"/>
      </w:pPr>
      <w:r>
        <w:t>Submission-Ready Response</w:t>
      </w:r>
    </w:p>
    <w:p>
      <w:pPr>
        <w:spacing w:after="160" w:line="360" w:lineRule="auto"/>
        <w:ind w:left="283" w:right="0"/>
        <w:pBdr>
          <w:left w:val="single" w:sz="12" w:space="8" w:color="A0A0A0"/>
        </w:pBdr>
      </w:pPr>
      <w:r>
        <w:rPr>
          <w:b w:val="0"/>
          <w:i/>
          <w:sz w:val="20"/>
        </w:rPr>
        <w:t>Section 6 has been reorganized around engineering questions rather than software names alone. Table 4 now maps each question to a recommended analysis method, characteristic time resolution, required input data, and principal limitation. For example, steady-state AC/DC power flow is distinguished from harmonic/frequency-domain analysis, EMT studies, chronological storage/resource simulation, lifecycle/MILP optimization, MPC-based operational dispatch, and workload scheduling. The text also states where each method loses validity—for example, steady-state models do not capture fast dynamics, DC power flow omits reactive-power/voltage behavior, EMT studies are computationally intensive, and chronological optimization is sensitive to input-data quality and assumptions.</w:t>
      </w:r>
    </w:p>
    <w:p>
      <w:pPr>
        <w:pStyle w:val="Heading3"/>
      </w:pPr>
      <w:r>
        <w:t>Comment 2.20 — Water-energy tradeoff discussion</w:t>
      </w:r>
    </w:p>
    <w:p>
      <w:pPr>
        <w:spacing w:line="360" w:lineRule="auto" w:after="120"/>
      </w:pPr>
      <w:r>
        <w:rPr>
          <w:b/>
          <w:color w:val="404040"/>
          <w:sz w:val="22"/>
        </w:rPr>
        <w:t xml:space="preserve">Manuscript context. </w:t>
      </w:r>
      <w:r>
        <w:rPr>
          <w:i/>
          <w:color w:val="404040"/>
          <w:sz w:val="22"/>
        </w:rPr>
        <w:t>This concern targets the treatment of water use effectiveness (WUE) and the water-vs-energy tradeoff in cooling selection, which in the earlier version was treated only as a siting input. The revised Section 7.7 provides a dedicated WUE/water-energy discussion, distinguishing direct on-site water use, indirect water embedded in purchased electricity, and lifecycle water impacts.</w:t>
      </w:r>
    </w:p>
    <w:p>
      <w:pPr>
        <w:pStyle w:val="Heading4"/>
      </w:pPr>
      <w:r>
        <w:t>Reviewer Comment</w:t>
      </w:r>
    </w:p>
    <w:p>
      <w:pPr>
        <w:spacing w:after="160" w:line="360" w:lineRule="auto"/>
        <w:ind w:left="283" w:right="0"/>
        <w:pBdr>
          <w:left w:val="single" w:sz="12" w:space="8" w:color="A0A0A0"/>
        </w:pBdr>
      </w:pPr>
      <w:r>
        <w:rPr>
          <w:b w:val="0"/>
          <w:i/>
          <w:sz w:val="20"/>
        </w:rPr>
        <w:t>Water use effectiveness and the water-vs-energy tradeoff in cooling selection are treated only as a siting input, despite the sustainability framing. Please add a dedicated discussion.</w:t>
      </w:r>
    </w:p>
    <w:p>
      <w:pPr>
        <w:pStyle w:val="Heading4"/>
      </w:pPr>
      <w:r>
        <w:t>Resolution in the Revised Manuscript</w:t>
      </w:r>
    </w:p>
    <w:p>
      <w:pPr>
        <w:spacing w:after="160" w:line="360" w:lineRule="auto"/>
        <w:ind w:left="283"/>
        <w:pBdr>
          <w:left w:val="single" w:sz="12" w:space="8" w:color="A0A0A0"/>
        </w:pBdr>
      </w:pPr>
      <w:r>
        <w:rPr>
          <w:b w:val="0"/>
          <w:i w:val="0"/>
          <w:sz w:val="20"/>
        </w:rPr>
        <w:t>Section 7.7 now provides a dedicated WUE/water-energy discussion, distinguishing direct on-site water use, indirect water embedded in purchased electricity, and lifecycle water impacts. Section 12.4 further discusses the location-dependent energy-water tradeoff among air-cooled, evaporative, and liquid-cooling configurations.</w:t>
      </w:r>
    </w:p>
    <w:p>
      <w:pPr>
        <w:pStyle w:val="Heading4"/>
      </w:pPr>
      <w:r>
        <w:t>Submission-Ready Response</w:t>
      </w:r>
    </w:p>
    <w:p>
      <w:pPr>
        <w:spacing w:after="160" w:line="360" w:lineRule="auto"/>
        <w:ind w:left="283" w:right="0"/>
        <w:pBdr>
          <w:left w:val="single" w:sz="12" w:space="8" w:color="A0A0A0"/>
        </w:pBdr>
      </w:pPr>
      <w:r>
        <w:rPr>
          <w:b w:val="0"/>
          <w:i/>
          <w:sz w:val="20"/>
        </w:rPr>
        <w:t>A dedicated water-energy discussion has been added. Section 7.7 now defines WUE and distinguishes direct on-site cooling/facility water consumption, indirect water associated with purchased electricity, and lifecycle water impacts. Section 12.4 further explains that cooling alternatives may trade lower electrical cooling demand against higher direct water consumption and that the environmental significance of this tradeoff is site-dependent, particularly in water-stressed regions. WUE is therefore considered jointly with PUE and broader project boundaries rather than treated only as a siting variable.</w:t>
      </w:r>
    </w:p>
    <w:p>
      <w:pPr>
        <w:pStyle w:val="Heading3"/>
      </w:pPr>
      <w:r>
        <w:t>Comment 2.21 — Workload deferral commercial reluctance</w:t>
      </w:r>
    </w:p>
    <w:p>
      <w:pPr>
        <w:spacing w:line="360" w:lineRule="auto" w:after="120"/>
      </w:pPr>
      <w:r>
        <w:rPr>
          <w:b/>
          <w:color w:val="404040"/>
          <w:sz w:val="22"/>
        </w:rPr>
        <w:t xml:space="preserve">Manuscript context. </w:t>
      </w:r>
      <w:r>
        <w:rPr>
          <w:i/>
          <w:color w:val="404040"/>
          <w:sz w:val="22"/>
        </w:rPr>
        <w:t>This concern targets Section 11, where workload deferral was presented as a purely technical option without acknowledging commercial reluctance to curtail training jobs on assets of this capital cost. The revised Section 11 constrains workload flexibility by GPU utilization, model-development schedules, contractual commitments, SLAs, checkpointing, data residency, cybersecurity, network, and revenue implications.</w:t>
      </w:r>
    </w:p>
    <w:p>
      <w:pPr>
        <w:pStyle w:val="Heading4"/>
      </w:pPr>
      <w:r>
        <w:t>Reviewer Comment</w:t>
      </w:r>
    </w:p>
    <w:p>
      <w:pPr>
        <w:spacing w:after="160" w:line="360" w:lineRule="auto"/>
        <w:ind w:left="283" w:right="0"/>
        <w:pBdr>
          <w:left w:val="single" w:sz="12" w:space="8" w:color="A0A0A0"/>
        </w:pBdr>
      </w:pPr>
      <w:r>
        <w:rPr>
          <w:b w:val="0"/>
          <w:i/>
          <w:sz w:val="20"/>
        </w:rPr>
        <w:t>Section 11 presents workload deferral as a purely technical option, without acknowledging commercial reluctance to curtail training jobs on assets of this capital cost.</w:t>
      </w:r>
    </w:p>
    <w:p>
      <w:pPr>
        <w:pStyle w:val="Heading4"/>
      </w:pPr>
      <w:r>
        <w:t>Resolution in the Revised Manuscript</w:t>
      </w:r>
    </w:p>
    <w:p>
      <w:pPr>
        <w:spacing w:after="160" w:line="360" w:lineRule="auto"/>
        <w:ind w:left="283"/>
        <w:pBdr>
          <w:left w:val="single" w:sz="12" w:space="8" w:color="A0A0A0"/>
        </w:pBdr>
      </w:pPr>
      <w:r>
        <w:rPr>
          <w:b w:val="0"/>
          <w:i w:val="0"/>
          <w:sz w:val="20"/>
        </w:rPr>
        <w:t>Workload flexibility is now explicitly constrained by GPU utilization/asset productivity, model-development schedules, contractual commitments, SLAs, checkpointing, data residency, cybersecurity, network latency, and business objectives. Table 6 labels flexibility as potential rather than guaranteed dispatchable flexibility.</w:t>
      </w:r>
    </w:p>
    <w:p>
      <w:pPr>
        <w:pStyle w:val="Heading4"/>
      </w:pPr>
      <w:r>
        <w:t>Submission-Ready Response</w:t>
      </w:r>
    </w:p>
    <w:p>
      <w:pPr>
        <w:spacing w:after="160" w:line="360" w:lineRule="auto"/>
        <w:ind w:left="283" w:right="0"/>
        <w:pBdr>
          <w:left w:val="single" w:sz="12" w:space="8" w:color="A0A0A0"/>
        </w:pBdr>
      </w:pPr>
      <w:r>
        <w:rPr>
          <w:b w:val="0"/>
          <w:i/>
          <w:sz w:val="20"/>
        </w:rPr>
        <w:t>The revised workload-flexibility discussion now treats deferral as both a technical and commercial decision. Section 7.6 and the operational-strategy discussion explicitly recognize GPU asset utilization, training deadlines, project schedules, contractual commitments, SLAs, checkpointing, data residency, cybersecurity, network latency, and business objectives as constraints. The manuscript therefore treats technical deferral potential as an upper bound rather than an assured dispatchable resource, and Table 6 labels the workload categories accordingly.</w:t>
      </w:r>
    </w:p>
    <w:p>
      <w:pPr>
        <w:pStyle w:val="Heading3"/>
      </w:pPr>
      <w:r>
        <w:t>Comment 2.22 — Review boundaries (US bias, self-reporting)</w:t>
      </w:r>
    </w:p>
    <w:p>
      <w:pPr>
        <w:spacing w:line="360" w:lineRule="auto" w:after="120"/>
      </w:pPr>
      <w:r>
        <w:rPr>
          <w:b/>
          <w:color w:val="404040"/>
          <w:sz w:val="22"/>
        </w:rPr>
        <w:t xml:space="preserve">Manuscript context. </w:t>
      </w:r>
      <w:r>
        <w:rPr>
          <w:i/>
          <w:color w:val="404040"/>
          <w:sz w:val="22"/>
        </w:rPr>
        <w:t>This concern targets the explicit statement of review boundaries, which in the earlier version were not stated. The revised Section 13 contains dedicated subsections on geographic/evidence-base scope, corporate reporting and source quality, methodological/screening limitations, lack of site-specific validation, and technical-modeling limitations.</w:t>
      </w:r>
    </w:p>
    <w:p>
      <w:pPr>
        <w:pStyle w:val="Heading4"/>
      </w:pPr>
      <w:r>
        <w:t>Reviewer Comment</w:t>
      </w:r>
    </w:p>
    <w:p>
      <w:pPr>
        <w:spacing w:after="160" w:line="360" w:lineRule="auto"/>
        <w:ind w:left="283" w:right="0"/>
        <w:pBdr>
          <w:left w:val="single" w:sz="12" w:space="8" w:color="A0A0A0"/>
        </w:pBdr>
      </w:pPr>
      <w:r>
        <w:rPr>
          <w:b w:val="0"/>
          <w:i/>
          <w:sz w:val="20"/>
        </w:rPr>
        <w:t>Please state the boundaries of the review: U.S. bias of case studies, reliance on self-reported corporate sustainability disclosures, and small number of commercial sources behind cost data.</w:t>
      </w:r>
    </w:p>
    <w:p>
      <w:pPr>
        <w:pStyle w:val="Heading4"/>
      </w:pPr>
      <w:r>
        <w:t>Resolution in the Revised Manuscript</w:t>
      </w:r>
    </w:p>
    <w:p>
      <w:pPr>
        <w:spacing w:after="160" w:line="360" w:lineRule="auto"/>
        <w:ind w:left="283"/>
        <w:pBdr>
          <w:left w:val="single" w:sz="12" w:space="8" w:color="A0A0A0"/>
        </w:pBdr>
      </w:pPr>
      <w:r>
        <w:rPr>
          <w:b w:val="0"/>
          <w:i w:val="0"/>
          <w:sz w:val="20"/>
        </w:rPr>
        <w:t>Section 13 now contains dedicated subsections on geographic/evidence-base scope, corporate reporting and source quality, methodological/screening limitations, lack of site-specific validation, and technology/policy/market uncertainty. Corporate metrics are explicitly treated as self-reported unless independently assured, and cost benchmarks are described as literature-based screening values rather than transferable project estimates.</w:t>
      </w:r>
    </w:p>
    <w:p>
      <w:pPr>
        <w:pStyle w:val="Heading4"/>
      </w:pPr>
      <w:r>
        <w:t>Submission-Ready Response</w:t>
      </w:r>
    </w:p>
    <w:p>
      <w:pPr>
        <w:spacing w:after="160" w:line="360" w:lineRule="auto"/>
        <w:ind w:left="283" w:right="0"/>
        <w:pBdr>
          <w:left w:val="single" w:sz="12" w:space="8" w:color="A0A0A0"/>
        </w:pBdr>
      </w:pPr>
      <w:r>
        <w:rPr>
          <w:b w:val="0"/>
          <w:i/>
          <w:sz w:val="20"/>
        </w:rPr>
        <w:t>The scope limitations are now stated explicitly in Section 13. The revised manuscript identifies the geographic concentration of many case studies and regulatory/cost examples in North America, particularly the United States; distinguishes self-reported corporate sustainability disclosures from independently verified data; and notes that some commercial cost/performance benchmarks are concentrated among a limited number of reporting organizations. The limitations section also explains that market structures, interconnection procedures, resource quality, regulations, equipment/labor costs, and financing conditions differ by jurisdiction. The numerical values in the review are therefore presented as literature-based screening benchmarks, not directly transferable project estimates.</w:t>
      </w:r>
    </w:p>
    <w:p>
      <w:pPr>
        <w:pStyle w:val="Heading3"/>
      </w:pPr>
      <w:r>
        <w:t>Comment 2.23 — Figure source lines</w:t>
      </w:r>
    </w:p>
    <w:p>
      <w:pPr>
        <w:spacing w:line="360" w:lineRule="auto" w:after="120"/>
      </w:pPr>
      <w:r>
        <w:rPr>
          <w:b/>
          <w:color w:val="404040"/>
          <w:sz w:val="22"/>
        </w:rPr>
        <w:t xml:space="preserve">Manuscript context. </w:t>
      </w:r>
      <w:r>
        <w:rPr>
          <w:i/>
          <w:color w:val="404040"/>
          <w:sz w:val="22"/>
        </w:rPr>
        <w:t>This concern targets figure and table captions, which in the earlier version lacked source statements (only Figure 1 had one). The revised manuscript gives every figure and table caption an explicit source statement, classifying conceptual figures as 'Authors' synthesis' and data-derived figures by primary source.</w:t>
      </w:r>
    </w:p>
    <w:p>
      <w:pPr>
        <w:pStyle w:val="Heading4"/>
      </w:pPr>
      <w:r>
        <w:t>Reviewer Comment</w:t>
      </w:r>
    </w:p>
    <w:p>
      <w:pPr>
        <w:spacing w:after="160" w:line="360" w:lineRule="auto"/>
        <w:ind w:left="283" w:right="0"/>
        <w:pBdr>
          <w:left w:val="single" w:sz="12" w:space="8" w:color="A0A0A0"/>
        </w:pBdr>
      </w:pPr>
      <w:r>
        <w:rPr>
          <w:b w:val="0"/>
          <w:i/>
          <w:sz w:val="20"/>
        </w:rPr>
        <w:t>Of nine figures, only Figure 1 carries a source line. Every caption needs one. Figure 7 is a modelling output and needs its formulation, decision variables, and solver stated. Figure 4 needs site, data source, and years averaged.</w:t>
      </w:r>
    </w:p>
    <w:p>
      <w:pPr>
        <w:pStyle w:val="Heading4"/>
      </w:pPr>
      <w:r>
        <w:t>Resolution in the Revised Manuscript</w:t>
      </w:r>
    </w:p>
    <w:p>
      <w:pPr>
        <w:spacing w:after="160" w:line="360" w:lineRule="auto"/>
        <w:ind w:left="283"/>
        <w:pBdr>
          <w:left w:val="single" w:sz="12" w:space="8" w:color="A0A0A0"/>
        </w:pBdr>
      </w:pPr>
      <w:r>
        <w:rPr>
          <w:b w:val="0"/>
          <w:i w:val="0"/>
          <w:sz w:val="20"/>
        </w:rPr>
        <w:t xml:space="preserve">Every figure and table caption now includes an explicit source statement. Conceptual figures are labeled </w:t>
      </w:r>
      <w:r>
        <w:rPr>
          <w:b/>
          <w:i w:val="0"/>
          <w:sz w:val="20"/>
        </w:rPr>
        <w:t>Source: Authors’ synthesis</w:t>
      </w:r>
      <w:r>
        <w:rPr>
          <w:b w:val="0"/>
          <w:i w:val="0"/>
          <w:sz w:val="20"/>
        </w:rPr>
        <w:t xml:space="preserve"> or </w:t>
      </w:r>
      <w:r>
        <w:rPr>
          <w:b/>
          <w:i w:val="0"/>
          <w:sz w:val="20"/>
        </w:rPr>
        <w:t>Authors’ illustrative synthesis</w:t>
      </w:r>
      <w:r>
        <w:rPr>
          <w:b w:val="0"/>
          <w:i w:val="0"/>
          <w:sz w:val="20"/>
        </w:rPr>
        <w:t>, while data-derived figures identify the underlying source and data period. The former Pareto/model-output figure has been removed; the current framework/technology figures are explicitly conceptual and are not presented as outputs of an executed optimization model. The current Figure 4 is a solar-cost trend rather than the former site/resource model output, and its caption identifies the data source and period used to construct the plot.</w:t>
      </w:r>
    </w:p>
    <w:p>
      <w:pPr>
        <w:pStyle w:val="Heading4"/>
      </w:pPr>
      <w:r>
        <w:t>Submission-Ready Response</w:t>
      </w:r>
    </w:p>
    <w:p>
      <w:pPr>
        <w:spacing w:after="160" w:line="360" w:lineRule="auto"/>
        <w:ind w:left="283" w:right="0"/>
        <w:pBdr>
          <w:left w:val="single" w:sz="12" w:space="8" w:color="A0A0A0"/>
        </w:pBdr>
      </w:pPr>
      <w:r>
        <w:rPr>
          <w:b w:val="0"/>
          <w:i/>
          <w:sz w:val="20"/>
        </w:rPr>
        <w:t>Source attribution has been standardized at the caption level. Every figure and table now contains an explicit `Source:` statement. Conceptual diagrams are identified as authors’ synthesis; illustrative load/resource figures are identified as illustrative rather than measured facility data; and data-derived plots identify the underlying source and relevant data period. The former Pareto-frontier modeling output has been removed and replaced by conceptual framework figures, so no undocumented solver-specific output remains. The revised Figure 4 is no longer the former site-based resource figure; it is a solar-PV cost-trend visualization, and the caption states the source and period used to construct it. These changes make the provenance and status of every visual explicit.</w:t>
      </w:r>
    </w:p>
    <w:p>
      <w:pPr>
        <w:pStyle w:val="Heading3"/>
      </w:pPr>
      <w:r>
        <w:t>Comment 2.24 — Capital cost / LCOE figure conflicts</w:t>
      </w:r>
    </w:p>
    <w:p>
      <w:pPr>
        <w:spacing w:line="360" w:lineRule="auto" w:after="120"/>
      </w:pPr>
      <w:r>
        <w:rPr>
          <w:b/>
          <w:color w:val="404040"/>
          <w:sz w:val="22"/>
        </w:rPr>
        <w:t xml:space="preserve">Manuscript context. </w:t>
      </w:r>
      <w:r>
        <w:rPr>
          <w:i/>
          <w:color w:val="404040"/>
          <w:sz w:val="22"/>
        </w:rPr>
        <w:t>This concern targets the consistency of capital-cost and LCOE figures across Table 5, Section 10.1, and Table 7 (original), and the mixing of pack prices and installed-system prices in a single column in Table 3. The revised Tables 3, 7, and 9 identify source/year/geography and explicitly label each battery value as pack or installed system.</w:t>
      </w:r>
    </w:p>
    <w:p>
      <w:pPr>
        <w:pStyle w:val="Heading4"/>
      </w:pPr>
      <w:r>
        <w:t>Reviewer Comment</w:t>
      </w:r>
    </w:p>
    <w:p>
      <w:pPr>
        <w:spacing w:after="160" w:line="360" w:lineRule="auto"/>
        <w:ind w:left="283" w:right="0"/>
        <w:pBdr>
          <w:left w:val="single" w:sz="12" w:space="8" w:color="A0A0A0"/>
        </w:pBdr>
      </w:pPr>
      <w:r>
        <w:rPr>
          <w:b w:val="0"/>
          <w:i/>
          <w:sz w:val="20"/>
        </w:rPr>
        <w:t>Three sets of capital cost / LCOE figures conflict: Table 5 (original) solar 900–1600 $/kW + 50–80 $/MWh, wind 1800–2600 $/kW + 45–70 $/MWh, batteries 180–320 $/kWh; Section 10.1 (original) solar 700–1200 $/kW, wind 1150–1800 $/kW, batteries 100–150 $/kWh; Table 7 (original) solar 25–45 $/MWh, wind 20–40 $/MWh. Please reconcile into one set. Table 3 separately mixes pack prices and installed system prices in a single column without labelling.</w:t>
      </w:r>
    </w:p>
    <w:p>
      <w:pPr>
        <w:pStyle w:val="Heading4"/>
      </w:pPr>
      <w:r>
        <w:t>Resolution in the Revised Manuscript</w:t>
      </w:r>
    </w:p>
    <w:p>
      <w:pPr>
        <w:spacing w:after="160" w:line="360" w:lineRule="auto"/>
        <w:ind w:left="283"/>
        <w:pBdr>
          <w:left w:val="single" w:sz="12" w:space="8" w:color="A0A0A0"/>
        </w:pBdr>
      </w:pPr>
      <w:r>
        <w:rPr>
          <w:b w:val="0"/>
          <w:i w:val="0"/>
          <w:sz w:val="20"/>
        </w:rPr>
        <w:t>The revised manuscript no longer attempts to present one universal cost set across unlike geographies, years, and system boundaries. Tables 3, 7, and 9 identify source/year/geography and explicitly label battery-pack versus installed-system cost. Solar/wind generation-only LCOE is kept distinct from hybrid/storage/delivered-service costs.</w:t>
      </w:r>
    </w:p>
    <w:p>
      <w:pPr>
        <w:pStyle w:val="Heading4"/>
      </w:pPr>
      <w:r>
        <w:t>Submission-Ready Response</w:t>
      </w:r>
    </w:p>
    <w:p>
      <w:pPr>
        <w:spacing w:after="160" w:line="360" w:lineRule="auto"/>
        <w:ind w:left="283" w:right="0"/>
        <w:pBdr>
          <w:left w:val="single" w:sz="12" w:space="8" w:color="A0A0A0"/>
        </w:pBdr>
      </w:pPr>
      <w:r>
        <w:rPr>
          <w:b w:val="0"/>
          <w:i/>
          <w:sz w:val="20"/>
        </w:rPr>
        <w:t>The cost tables have been restructured to eliminate the appearance of contradictory universal values. Cost benchmarks are now tied to their source, year, geography, technology boundary, and service classification. Table 3 explicitly labels whether a battery value is a battery-pack price or an installed-system cost. Tables 7 and 9 separately classify generation-only solar/wind LCOE, partially firmed renewable-storage hybrids, storage-service cost, and delivered grid electricity. The manuscript therefore does not combine or average values that correspond to different technology vintages, geographic markets, or system boundaries.</w:t>
      </w:r>
    </w:p>
    <w:p>
      <w:pPr>
        <w:pStyle w:val="Heading3"/>
      </w:pPr>
      <w:r>
        <w:t>Comment 2.25 — Section 7 corrupted phrase</w:t>
      </w:r>
    </w:p>
    <w:p>
      <w:pPr>
        <w:spacing w:line="360" w:lineRule="auto" w:after="120"/>
      </w:pPr>
      <w:r>
        <w:rPr>
          <w:b/>
          <w:color w:val="404040"/>
          <w:sz w:val="22"/>
        </w:rPr>
        <w:t xml:space="preserve">Manuscript context. </w:t>
      </w:r>
      <w:r>
        <w:rPr>
          <w:i/>
          <w:color w:val="404040"/>
          <w:sz w:val="22"/>
        </w:rPr>
        <w:t>This concern targets Section 7, which in the earlier version opened with the corrupted phrase 'workload flexModelling economic viability', suggesting find-and-replace damage elsewhere. The revised manuscript has been subjected to a document-wide text-integrity and proofreading pass.</w:t>
      </w:r>
    </w:p>
    <w:p>
      <w:pPr>
        <w:pStyle w:val="Heading4"/>
      </w:pPr>
      <w:r>
        <w:t>Reviewer Comment</w:t>
      </w:r>
    </w:p>
    <w:p>
      <w:pPr>
        <w:spacing w:after="160" w:line="360" w:lineRule="auto"/>
        <w:ind w:left="283" w:right="0"/>
        <w:pBdr>
          <w:left w:val="single" w:sz="12" w:space="8" w:color="A0A0A0"/>
        </w:pBdr>
      </w:pPr>
      <w:r>
        <w:rPr>
          <w:b w:val="0"/>
          <w:i/>
          <w:sz w:val="20"/>
        </w:rPr>
        <w:t>Section 7 opens with the corrupted phrase 'workload flexModelling economic viability', suggesting find-and-replace damage elsewhere. Please check the whole file.</w:t>
      </w:r>
    </w:p>
    <w:p>
      <w:pPr>
        <w:pStyle w:val="Heading4"/>
      </w:pPr>
      <w:r>
        <w:t>Resolution in the Revised Manuscript</w:t>
      </w:r>
    </w:p>
    <w:p>
      <w:pPr>
        <w:spacing w:after="160" w:line="360" w:lineRule="auto"/>
        <w:ind w:left="283"/>
        <w:pBdr>
          <w:left w:val="single" w:sz="12" w:space="8" w:color="A0A0A0"/>
        </w:pBdr>
      </w:pPr>
      <w:r>
        <w:rPr>
          <w:b w:val="0"/>
          <w:i w:val="0"/>
          <w:sz w:val="20"/>
        </w:rPr>
        <w:t>The corrupted phrase has been removed and the manuscript has been subjected to a document-wide text-integrity and proofreading pass, including headings, cross-references, captions, units, and section-opening sentences.</w:t>
      </w:r>
    </w:p>
    <w:p>
      <w:pPr>
        <w:pStyle w:val="Heading4"/>
      </w:pPr>
      <w:r>
        <w:t>Submission-Ready Response</w:t>
      </w:r>
    </w:p>
    <w:p>
      <w:pPr>
        <w:spacing w:after="160" w:line="360" w:lineRule="auto"/>
        <w:ind w:left="283" w:right="0"/>
        <w:pBdr>
          <w:left w:val="single" w:sz="12" w:space="8" w:color="A0A0A0"/>
        </w:pBdr>
      </w:pPr>
      <w:r>
        <w:rPr>
          <w:b w:val="0"/>
          <w:i/>
          <w:sz w:val="20"/>
        </w:rPr>
        <w:t>The corrupted Section 7 phrase has been corrected, and the manuscript has been checked globally for similar find-and-replace or text-conversion artifacts. The Section 7 opening now states the seven framework components in complete prose, and the associated headings, captions, and cross-references have been standardized.</w:t>
      </w:r>
    </w:p>
    <w:p>
      <w:pPr>
        <w:pStyle w:val="Heading3"/>
      </w:pPr>
      <w:r>
        <w:t>Comment 2.26 — Typos and stray characters</w:t>
      </w:r>
    </w:p>
    <w:p>
      <w:pPr>
        <w:spacing w:line="360" w:lineRule="auto" w:after="120"/>
      </w:pPr>
      <w:r>
        <w:rPr>
          <w:b/>
          <w:color w:val="404040"/>
          <w:sz w:val="22"/>
        </w:rPr>
        <w:t xml:space="preserve">Manuscript context. </w:t>
      </w:r>
      <w:r>
        <w:rPr>
          <w:i/>
          <w:color w:val="404040"/>
          <w:sz w:val="22"/>
        </w:rPr>
        <w:t>This concern targets specific typographical errors in Sections 3.4, 3.2, 1.1, and 1.2 of the earlier version. The named typographical errors and equivalent document-wide issues have been corrected in the final proofread manuscript.</w:t>
      </w:r>
    </w:p>
    <w:p>
      <w:pPr>
        <w:pStyle w:val="Heading4"/>
      </w:pPr>
      <w:r>
        <w:t>Reviewer Comment</w:t>
      </w:r>
    </w:p>
    <w:p>
      <w:pPr>
        <w:spacing w:after="160" w:line="360" w:lineRule="auto"/>
        <w:ind w:left="283" w:right="0"/>
        <w:pBdr>
          <w:left w:val="single" w:sz="12" w:space="8" w:color="A0A0A0"/>
        </w:pBdr>
      </w:pPr>
      <w:r>
        <w:rPr>
          <w:b w:val="0"/>
          <w:i/>
          <w:sz w:val="20"/>
        </w:rPr>
        <w:t>Section 3.4 reads 'Colling System Integration', Section 3.2 reads 'AI Workload Electrical Charactersitics', Section 1.1 has 'data canters', and Section 1.2 has a stray dollar sign in '$THD &lt; 5%'. Please proofread the whole file.</w:t>
      </w:r>
    </w:p>
    <w:p>
      <w:pPr>
        <w:pStyle w:val="Heading4"/>
      </w:pPr>
      <w:r>
        <w:t>Resolution in the Revised Manuscript</w:t>
      </w:r>
    </w:p>
    <w:p>
      <w:pPr>
        <w:spacing w:after="160" w:line="360" w:lineRule="auto"/>
        <w:ind w:left="283"/>
        <w:pBdr>
          <w:left w:val="single" w:sz="12" w:space="8" w:color="A0A0A0"/>
        </w:pBdr>
      </w:pPr>
      <w:r>
        <w:rPr>
          <w:b w:val="0"/>
          <w:i w:val="0"/>
          <w:sz w:val="20"/>
        </w:rPr>
        <w:t>The named typographical errors and equivalent document-wide issues have been corrected in the final proofread manuscript.</w:t>
      </w:r>
    </w:p>
    <w:p>
      <w:pPr>
        <w:pStyle w:val="Heading4"/>
      </w:pPr>
      <w:r>
        <w:t>Submission-Ready Response</w:t>
      </w:r>
    </w:p>
    <w:p>
      <w:pPr>
        <w:spacing w:after="160" w:line="360" w:lineRule="auto"/>
        <w:ind w:left="283" w:right="0"/>
        <w:pBdr>
          <w:left w:val="single" w:sz="12" w:space="8" w:color="A0A0A0"/>
        </w:pBdr>
      </w:pPr>
      <w:r>
        <w:rPr>
          <w:b w:val="0"/>
          <w:i/>
          <w:sz w:val="20"/>
        </w:rPr>
        <w:t>The manuscript has undergone a full proofreading pass. The specific typographical errors identified by the reviewer—including the Section 3.2/3.4 headings, “data canters,” and the malformed THD notation—have been corrected, together with related spelling, unit-formatting, punctuation, and capitalization inconsistencies elsewhere in the manuscript.</w:t>
      </w:r>
    </w:p>
    <w:p>
      <w:pPr>
        <w:pStyle w:val="Heading3"/>
      </w:pPr>
      <w:r>
        <w:t>Comment 2.27 — Currency formatting and spellings</w:t>
      </w:r>
    </w:p>
    <w:p>
      <w:pPr>
        <w:spacing w:line="360" w:lineRule="auto" w:after="120"/>
      </w:pPr>
      <w:r>
        <w:rPr>
          <w:b/>
          <w:color w:val="404040"/>
          <w:sz w:val="22"/>
        </w:rPr>
        <w:t xml:space="preserve">Manuscript context. </w:t>
      </w:r>
      <w:r>
        <w:rPr>
          <w:i/>
          <w:color w:val="404040"/>
          <w:sz w:val="22"/>
        </w:rPr>
        <w:t>This concern targets currency formatting (e.g., 'USD 35–80/MWh', '35$ to 80$ per MWh', '200M$', '20$ per MWh'), mixed US/UK spellings, and incomplete editing-note text. The revised manuscript standardizes currency and units, uses U.S. English consistently, removes editing-note text, and adds a nomenclature/abbreviations section.</w:t>
      </w:r>
    </w:p>
    <w:p>
      <w:pPr>
        <w:pStyle w:val="Heading4"/>
      </w:pPr>
      <w:r>
        <w:t>Reviewer Comment</w:t>
      </w:r>
    </w:p>
    <w:p>
      <w:pPr>
        <w:spacing w:after="160" w:line="360" w:lineRule="auto"/>
        <w:ind w:left="283" w:right="0"/>
        <w:pBdr>
          <w:left w:val="single" w:sz="12" w:space="8" w:color="A0A0A0"/>
        </w:pBdr>
      </w:pPr>
      <w:r>
        <w:rPr>
          <w:b w:val="0"/>
          <w:i/>
          <w:sz w:val="20"/>
        </w:rPr>
        <w:t>Currency appears as $35–80/MWh, 35$ to 80$ per MWh, 200M$ to 320M$, and 20$ per MWh. US/UK spellings are mixed within the same paragraphs. Section 1.3 'In congested regions' sentence has no main verb. Item 7 of Section 1.5 list reads as a leftover editing note. No nomenclature list despite heavy use of PUE, CFE, LCOE, LOLE, MILP, MPC, IBR, SCR, RoCoF, TRE, ADR, PFR. The abstract is also long and states no method.</w:t>
      </w:r>
    </w:p>
    <w:p>
      <w:pPr>
        <w:pStyle w:val="Heading4"/>
      </w:pPr>
      <w:r>
        <w:t>Resolution in the Revised Manuscript</w:t>
      </w:r>
    </w:p>
    <w:p>
      <w:pPr>
        <w:spacing w:after="160" w:line="360" w:lineRule="auto"/>
        <w:ind w:left="283"/>
        <w:pBdr>
          <w:left w:val="single" w:sz="12" w:space="8" w:color="A0A0A0"/>
        </w:pBdr>
      </w:pPr>
      <w:r>
        <w:rPr>
          <w:b w:val="0"/>
          <w:i w:val="0"/>
          <w:sz w:val="20"/>
        </w:rPr>
        <w:t>Currency/units are standardized, U.S. English is used consistently, incomplete/editing-note text has been removed, a nomenclature/abbreviations section has been added, and the abstract now states the review method and evidence-base count while being shortened to the journal’s required length.</w:t>
      </w:r>
    </w:p>
    <w:p>
      <w:pPr>
        <w:pStyle w:val="Heading4"/>
      </w:pPr>
      <w:r>
        <w:t>Submission-Ready Response</w:t>
      </w:r>
    </w:p>
    <w:p>
      <w:pPr>
        <w:spacing w:after="160" w:line="360" w:lineRule="auto"/>
        <w:ind w:left="283" w:right="0"/>
        <w:pBdr>
          <w:left w:val="single" w:sz="12" w:space="8" w:color="A0A0A0"/>
        </w:pBdr>
      </w:pPr>
      <w:r>
        <w:rPr>
          <w:b w:val="0"/>
          <w:i/>
          <w:sz w:val="20"/>
        </w:rPr>
        <w:t>Presentation has been standardized throughout the manuscript. Currency is now expressed consistently in forms such as `USD 43/MWh`, `USD 108/kWh`, and `USD 691/kW`; ranges use consistent en dashes and unit placement; and U.S. English spelling is used throughout. Incomplete or residual editing-note text has been removed. A nomenclature/abbreviations section has been added for the principal technical acronyms, including PUE, WUE, CFE, LCOE, LCOS, LOLE, MILP, MPC, IBR, SCR, RoCoF, ADR, and PFR. The abstract has also been revised to state the PRISMA 2020-informed review method and the 178-source evidence base while meeting the journal’s length requirements.</w:t>
      </w:r>
    </w:p>
    <w:p>
      <w:pPr>
        <w:pStyle w:val="Heading3"/>
      </w:pPr>
      <w:r>
        <w:t>Comment 2.28 — CRediT and declarations</w:t>
      </w:r>
    </w:p>
    <w:p>
      <w:pPr>
        <w:spacing w:line="360" w:lineRule="auto" w:after="120"/>
      </w:pPr>
      <w:r>
        <w:rPr>
          <w:b/>
          <w:color w:val="404040"/>
          <w:sz w:val="22"/>
        </w:rPr>
        <w:t xml:space="preserve">Manuscript context. </w:t>
      </w:r>
      <w:r>
        <w:rPr>
          <w:i/>
          <w:color w:val="404040"/>
          <w:sz w:val="22"/>
        </w:rPr>
        <w:t>This concern targets the missing submission declarations: CRediT, COI, Funding, Data Availability, GenAI disclosure, Highlights, and a nomenclature/abbreviations section. The revised final submission package includes all of these as separate sections or as part of the manuscript file per the journal's submission system.</w:t>
      </w:r>
    </w:p>
    <w:p>
      <w:pPr>
        <w:pStyle w:val="Heading4"/>
      </w:pPr>
      <w:r>
        <w:t>Reviewer Comment</w:t>
      </w:r>
    </w:p>
    <w:p>
      <w:pPr>
        <w:spacing w:after="160" w:line="360" w:lineRule="auto"/>
        <w:ind w:left="283" w:right="0"/>
        <w:pBdr>
          <w:left w:val="single" w:sz="12" w:space="8" w:color="A0A0A0"/>
        </w:pBdr>
      </w:pPr>
      <w:r>
        <w:rPr>
          <w:b w:val="0"/>
          <w:i/>
          <w:sz w:val="20"/>
        </w:rPr>
        <w:t>Missing: CRediT author contribution statement, declaration of competing interest, funding statement, data availability statement, declaration on the use of generative AI, and highlights. The reference list is not in a consistent Elsevier numbered style, and several entries lack volume, issue, or page numbers or give only a bare URL.</w:t>
      </w:r>
    </w:p>
    <w:p>
      <w:pPr>
        <w:pStyle w:val="Heading4"/>
      </w:pPr>
      <w:r>
        <w:t>Resolution in the Revised Manuscript</w:t>
      </w:r>
    </w:p>
    <w:p>
      <w:pPr>
        <w:spacing w:after="160" w:line="360" w:lineRule="auto"/>
        <w:ind w:left="283"/>
        <w:pBdr>
          <w:left w:val="single" w:sz="12" w:space="8" w:color="A0A0A0"/>
        </w:pBdr>
      </w:pPr>
      <w:r>
        <w:rPr>
          <w:b w:val="0"/>
          <w:i w:val="0"/>
          <w:sz w:val="20"/>
        </w:rPr>
        <w:t>The final submission package includes Highlights, CRediT author contributions, Declaration of Competing Interest, Funding, Data Availability, and a truthful Generative-AI disclosure consistent with the tools actually used. The reference list has been normalized to the target journal’s numbered style to the extent metadata are available, with DOI/URL/access information provided appropriately for reports, standards, webpages, and other non-journal sources.</w:t>
      </w:r>
    </w:p>
    <w:p>
      <w:pPr>
        <w:pStyle w:val="Heading4"/>
      </w:pPr>
      <w:r>
        <w:t>Submission-Ready Response</w:t>
      </w:r>
    </w:p>
    <w:p>
      <w:pPr>
        <w:spacing w:after="160" w:line="360" w:lineRule="auto"/>
        <w:ind w:left="283" w:right="0"/>
        <w:pBdr>
          <w:left w:val="single" w:sz="12" w:space="8" w:color="A0A0A0"/>
        </w:pBdr>
      </w:pPr>
      <w:r>
        <w:rPr>
          <w:b w:val="0"/>
          <w:i/>
          <w:sz w:val="20"/>
        </w:rPr>
        <w:t>The requested submission elements have been added to the final manuscript/submission package: Highlights, CRediT author contributions, Declaration of Competing Interest, Funding statement, Data Availability statement, and a Generative-AI disclosure that accurately reflects the tools and purposes actually used during manuscript preparation. The reference list has also been reformatted into a consistent numbered journal style, with journal metadata completed where available and appropriate DOI, URL, publisher/report information, and access details retained for standards, institutional reports, webpages, and other non-journal sources.</w:t>
      </w:r>
    </w:p>
    <w:p>
      <w:pPr>
        <w:pStyle w:val="Heading3"/>
      </w:pPr>
      <w:r>
        <w:t>Comment 2.29 — Critical-review framing</w:t>
      </w:r>
    </w:p>
    <w:p>
      <w:pPr>
        <w:spacing w:line="360" w:lineRule="auto" w:after="120"/>
      </w:pPr>
      <w:r>
        <w:rPr>
          <w:b/>
          <w:color w:val="404040"/>
          <w:sz w:val="22"/>
        </w:rPr>
        <w:t xml:space="preserve">Manuscript context. </w:t>
      </w:r>
      <w:r>
        <w:rPr>
          <w:i/>
          <w:color w:val="404040"/>
          <w:sz w:val="22"/>
        </w:rPr>
        <w:t>This concern targets the manuscript's framing, which in the earlier version read as a design guide despite the 'Critical Review' title. The revised manuscript now distinguishes evidence strength, source/reporting limitations, system-boundary differences, corporate self-reporting, geographic transferability, cost comparability, and requirements for site-specific validation. The seven-component framework is explicitly described as a preliminary screening and decision-support structure.</w:t>
      </w:r>
    </w:p>
    <w:p>
      <w:pPr>
        <w:pStyle w:val="Heading4"/>
      </w:pPr>
      <w:r>
        <w:t>Reviewer Comment</w:t>
      </w:r>
    </w:p>
    <w:p>
      <w:pPr>
        <w:spacing w:after="160" w:line="360" w:lineRule="auto"/>
        <w:ind w:left="283" w:right="0"/>
        <w:pBdr>
          <w:left w:val="single" w:sz="12" w:space="8" w:color="A0A0A0"/>
        </w:pBdr>
      </w:pPr>
      <w:r>
        <w:rPr>
          <w:b w:val="0"/>
          <w:i/>
          <w:sz w:val="20"/>
        </w:rPr>
        <w:t>The title promises a critical review but the manuscript reads as a design guide, with almost every cited finding reported approvingly. Please either add appraisal of where the evidence is weak and where studies disagree, or adjust the title.</w:t>
      </w:r>
    </w:p>
    <w:p>
      <w:pPr>
        <w:pStyle w:val="Heading4"/>
      </w:pPr>
      <w:r>
        <w:t>Resolution in the Revised Manuscript</w:t>
      </w:r>
    </w:p>
    <w:p>
      <w:pPr>
        <w:spacing w:after="160" w:line="360" w:lineRule="auto"/>
        <w:ind w:left="283"/>
        <w:pBdr>
          <w:left w:val="single" w:sz="12" w:space="8" w:color="A0A0A0"/>
        </w:pBdr>
      </w:pPr>
      <w:r>
        <w:rPr>
          <w:b w:val="0"/>
          <w:i w:val="0"/>
          <w:sz w:val="20"/>
        </w:rPr>
        <w:t xml:space="preserve">The critical-review framing has been strengthened throughout Sections 2.6, 7, 8, 10, 13, and 14. The manuscript now distinguishes evidence strength, source/reporting limitations, system-boundary differences, corporate self-reporting, geographic transferability, cost comparability, and requirements for site-specific validation. The seven-component framework is explicitly presented as a </w:t>
      </w:r>
      <w:r>
        <w:rPr>
          <w:b/>
          <w:i w:val="0"/>
          <w:sz w:val="20"/>
        </w:rPr>
        <w:t>screening and decision-support framework</w:t>
      </w:r>
      <w:r>
        <w:rPr>
          <w:b w:val="0"/>
          <w:i w:val="0"/>
          <w:sz w:val="20"/>
        </w:rPr>
        <w:t>, not a prescriptive design methodology.</w:t>
      </w:r>
    </w:p>
    <w:p>
      <w:pPr>
        <w:pStyle w:val="Heading4"/>
      </w:pPr>
      <w:r>
        <w:t>Submission-Ready Response</w:t>
      </w:r>
    </w:p>
    <w:p>
      <w:pPr>
        <w:spacing w:after="160" w:line="360" w:lineRule="auto"/>
        <w:ind w:left="283" w:right="0"/>
        <w:pBdr>
          <w:left w:val="single" w:sz="12" w:space="8" w:color="A0A0A0"/>
        </w:pBdr>
      </w:pPr>
      <w:r>
        <w:rPr>
          <w:b w:val="0"/>
          <w:i/>
          <w:sz w:val="20"/>
        </w:rPr>
        <w:t>We retained the “critical review” title and revised the manuscript to make the critical-appraisal function explicit. Section 2.6 now compares the strengths, blind spots, implementation barriers, and transferability limitations of major evidence categories. The economic sections distinguish non-equivalent cost boundaries and identify where published values cannot be compared directly. The corporate case studies are treated as illustrative, self-reported evidence rather than validation. Section 13 now states the geographic, methodological, reporting, commercial-source, and site-validation limitations. Finally, the seven-component framework is explicitly described as a preliminary screening and decision-support structure rather than a prescriptive design guide or a site-specific optimization result. The revised manuscript therefore retains the critical-review title while making the limitations, disagreements, and evidence gaps integral to the analysis.</w:t>
      </w:r>
    </w:p>
    <w:p>
      <w:pPr>
        <w:spacing w:after="160" w:line="360" w:lineRule="auto"/>
        <w:ind w:left="283" w:right="0"/>
        <w:pBdr>
          <w:left w:val="single" w:sz="12" w:space="8" w:color="A0A0A0"/>
        </w:pBdr>
      </w:pPr>
      <w:r>
        <w:rPr>
          <w:b w:val="0"/>
          <w:i/>
          <w:sz w:val="20"/>
        </w:rPr>
        <w:t>Final defensive close for Reviewer #2</w:t>
      </w:r>
    </w:p>
    <w:p>
      <w:pPr>
        <w:spacing w:after="160" w:line="360" w:lineRule="auto"/>
        <w:ind w:left="283" w:right="0"/>
        <w:pBdr>
          <w:left w:val="single" w:sz="12" w:space="8" w:color="A0A0A0"/>
        </w:pBdr>
      </w:pPr>
      <w:r>
        <w:rPr>
          <w:b w:val="0"/>
          <w:i/>
          <w:sz w:val="20"/>
        </w:rPr>
        <w:t>We thank the reviewer for the detailed technical comments. The revision has been used not only to correct individual statements but also to clarify the methodological and engineering boundaries of the paper. The final manuscript consistently distinguishes literature synthesis from project-specific modeling, availability from LOLE, battery-pack price from installed BESS cost, generation-only LCOE from firm delivered electricity, and technical workload flexibility from commercially dispatchable flexibility. It also documents the review methodology, source provenance, framework decision logic, limitations, and data/reporting boundaries more explicitly. We believe these revisions preserve the intended scope of the paper as a critical review while substantially improving reproducibility, traceability, and technical precision.</w:t>
      </w:r>
    </w:p>
    <w:p>
      <w:pPr>
        <w:pStyle w:val="Heading3"/>
      </w:pPr>
      <w:r>
        <w:t>Summary of Resolution Patterns</w:t>
      </w:r>
    </w:p>
    <w:p>
      <w:pPr>
        <w:spacing w:line="360" w:lineRule="auto" w:after="120"/>
      </w:pPr>
      <w:r>
        <w:rPr>
          <w:b w:val="0"/>
          <w:i w:val="0"/>
          <w:sz w:val="22"/>
        </w:rPr>
        <w:t>Across the 29 comments, six resolution patterns recur and together constitute the substantive revision of the manuscript. Pattern 1 (removal of unsupported universal numerical claims) is the resolution for Comments 2.3, 2.6, 2.12, and 2.15: the manuscript removes the 720 MWh baseline, the &gt;90% storage-reduction claim, the Pareto-frontier figure, the generalized payback ranges, and the USD 500,000/h downtime claim rather than attempting to defend them without a documented model. Pattern 2 (standardization of headline numbers) is the resolution for Comments 2.2, 2.8, 2.11, 2.13, and 2.9: the manuscript reports 178 sources consistently, uses 7.5% real WACC as the central assumption with 5–12% real as the sensitivity range, identifies USD 108/kWh as the BNEF 2025 battery-pack price, treats 99.99% annual availability as distinct from LOLE, and keeps capacity prices in USD/MW-day. Pattern 3 (distinguishing conflated engineering and economic concepts) is the resolution for Comments 2.4, 2.5, 2.7, 2.8, 2.10, and 2.21: the manuscript distinguishes availability from LOLE, battery-pack price from installed BESS cost, generation-only LCOE from firm delivered electricity, and technical workload flexibility from commercially dispatchable flexibility. Pattern 4 (adding missing methodological and reporting infrastructure) is the resolution for Comments 2.1, 2.16, 2.17, 2.18, 2.19, 2.20, 2.22, 2.23, and 2.28: the manuscript adds the PRISMA 2020-informed methodology, Table 1 citations, framework component inputs/outputs, MCDA criteria and weights, modelling tool selection criteria, WUE/water-energy discussion, review boundaries, figure and table source lines, and the CRediT/COI/Funding/Data Availability/GenAI declarations. Pattern 5 (document-wide proofreading) is the resolution for Comments 2.25, 2.26, and 2.27: the manuscript removes the corrupted phrase, corrects the named typographical errors, standardizes currency formatting and US/UK spellings, and removes incomplete editing-note text. Pattern 6 (critical-review framing) is the resolution for Comment 2.29 and the closing defensive summary: the manuscript now distinguishes evidence strength, source/reporting limitations, system-boundary differences, corporate self-reporting, geographic transferability, cost comparability, and requirements for site-specific validation, and the seven-component framework is explicitly described as a preliminary screening and decision-support structure rather than a prescriptive design guide.</w:t>
      </w:r>
    </w:p>
    <w:p>
      <w:pPr>
        <w:spacing w:line="360" w:lineRule="auto" w:after="200"/>
      </w:pPr>
      <w:r>
        <w:rPr>
          <w:b w:val="0"/>
          <w:i/>
          <w:sz w:val="22"/>
        </w:rPr>
        <w:t>These six patterns are mutually reinforcing. Pattern 1 (removing unsupported claims) and Pattern 2 (standardizing headline numbers) together resolve the quantitative-consistency concerns. Pattern 3 (distinguishing conflated concepts) and Pattern 4 (adding methodological infrastructure) together resolve the engineering-formulation and framework-reproducibility concerns. Pattern 5 (proofreading) and Pattern 6 (critical-review framing) together resolve the source-provenance and critical-appraisal concerns. The 29 individual responses below should be read in light of these six patterns: each response is the specific manuscript-level instantiation of one or more of these patterns, and the patterns together constitute the substantive technical revision that supports the verdict of Recommend for Submission.</w:t>
      </w:r>
    </w:p>
    <w:p>
      <w:pPr>
        <w:pStyle w:val="Heading2"/>
      </w:pPr>
      <w:r>
        <w:t>Strengths</w:t>
      </w:r>
    </w:p>
    <w:p>
      <w:pPr>
        <w:spacing w:line="360" w:lineRule="auto" w:after="120"/>
      </w:pPr>
      <w:r>
        <w:rPr>
          <w:b w:val="0"/>
          <w:i w:val="0"/>
          <w:sz w:val="22"/>
        </w:rPr>
        <w:t>The revised manuscript exhibits seven concrete strengths that together support the verdict of Recommend for Submission. Each strength is anchored to a specific manuscript section and is supported by quoted resolution text from the MD file.</w:t>
      </w:r>
    </w:p>
    <w:p>
      <w:pPr>
        <w:pStyle w:val="ListNumber"/>
        <w:spacing w:line="360" w:lineRule="auto" w:after="80"/>
      </w:pPr>
      <w:r>
        <w:rPr>
          <w:b w:val="0"/>
          <w:i w:val="0"/>
          <w:sz w:val="22"/>
        </w:rPr>
        <w:t>The revision removed all unsupported site-specific modelling outputs (720 MWh baseline, &gt;90% storage-reduction claim, Pareto-frontier figure, generalized payback ranges) rather than attempting to present them without a reproducible model. This is the most defensible resolution to Comment 2.3. Quoted resolution: 'The unsupported site-specific outputs have been removed. Section 5.3 now labels the mathematical expressions as a generic literature-synthesized formulation and explicitly states that they were not executed to produce site-specific numerical results.'</w:t>
      </w:r>
    </w:p>
    <w:p>
      <w:pPr>
        <w:pStyle w:val="ListNumber"/>
        <w:spacing w:line="360" w:lineRule="auto" w:after="80"/>
      </w:pPr>
      <w:r>
        <w:rPr>
          <w:b w:val="0"/>
          <w:i w:val="0"/>
          <w:sz w:val="22"/>
        </w:rPr>
        <w:t>The PRISMA 2020-informed methodology (Section 1.6) reports the search strategy, eligibility criteria, and screening counts transparently, with Figure 2 showing the complete flow and the final inclusion count of 178 sources — resolving Comment 2.1. Quoted resolution: 'Section 1.6 Review Methodology and Sections 1.6.1–1.6.3 now provide the review protocol. The manuscript identifies Scopus, Web of Science Core Collection, and IEEE Xplore as the principal bibliographic databases... Figure 2 reports the identification, duplicate-removal, screening, full-text assessment, exclusion, and final inclusion counts leading to n = 178.'</w:t>
      </w:r>
    </w:p>
    <w:p>
      <w:pPr>
        <w:pStyle w:val="ListNumber"/>
        <w:spacing w:line="360" w:lineRule="auto" w:after="80"/>
      </w:pPr>
      <w:r>
        <w:rPr>
          <w:b w:val="0"/>
          <w:i w:val="0"/>
          <w:sz w:val="22"/>
        </w:rPr>
        <w:t>Equations (1) and (2) are now dimensionally correct. Equation (1) is a maximum over discrete deficit events with the energy shortfall accumulated over the chronological intervals of each event; Equation (2) accumulates the duration of shortfall intervals without the incorrect 1/8760 normalization — resolving Comments 2.4 and 2.5. Quoted resolution (2.4): 'The factor of 1/8760 has been removed from the LOLE expression. Equation (2) now sums the duration of each shortfall interval directly, returning an expectation in hours per year (h/yr) rather than a dimensionless probability.'</w:t>
      </w:r>
    </w:p>
    <w:p>
      <w:pPr>
        <w:pStyle w:val="ListNumber"/>
        <w:spacing w:line="360" w:lineRule="auto" w:after="80"/>
      </w:pPr>
      <w:r>
        <w:rPr>
          <w:b w:val="0"/>
          <w:i w:val="0"/>
          <w:sz w:val="22"/>
        </w:rPr>
        <w:t>The 178-source count is consistent across the abstract, Section 1.6.3, Figure 2, and the bibliography (which ends at [178]) — resolving Comment 2.2. Quoted resolution: 'The final evidence-base count has been standardized to 178 sources throughout the abstract, Section 1.6.3, Figure 2, the discussion of the evidence base, and the reviewer response. Figure 2 classifies the 178-source corpus as 90 peer-reviewed journal articles, 19 conference papers, 13 standards/patent documents, 36 agency/institutional reports, and 20 corporate/other grey-literature sources, totaling 178.'</w:t>
      </w:r>
    </w:p>
    <w:p>
      <w:pPr>
        <w:pStyle w:val="ListNumber"/>
        <w:spacing w:line="360" w:lineRule="auto" w:after="80"/>
      </w:pPr>
      <w:r>
        <w:rPr>
          <w:b w:val="0"/>
          <w:i w:val="0"/>
          <w:sz w:val="22"/>
        </w:rPr>
        <w:t>Battery capital costs are now reported in USD/kWh with explicit identification of the cell, pack, or installed-system boundary; the USD 108/kWh value is identified as a BNEF battery-pack benchmark — resolving Comment 2.7. Quoted resolution: 'Battery cost is reported in USD/kWh throughout, with the boundary (cell, pack, or installed system) explicitly labelled. The USD 108/kWh value is identified as a BloombergNEF 2025 volume-weighted pack-level price benchmark, not an installed BESS cost.'</w:t>
      </w:r>
    </w:p>
    <w:p>
      <w:pPr>
        <w:pStyle w:val="ListNumber"/>
        <w:spacing w:line="360" w:lineRule="auto" w:after="80"/>
      </w:pPr>
      <w:r>
        <w:rPr>
          <w:b w:val="0"/>
          <w:i w:val="0"/>
          <w:sz w:val="22"/>
        </w:rPr>
        <w:t>Capacity prices are kept in their native USD/MW-day units; an illustrative conversion is shown only to demonstrate the dimensional treatment — resolving Comment 2.9. Quoted resolution: 'Capacity prices remain in their native USD/MW-day units in Tables 7 and 9. An illustrative conversion to USD/MWh is shown only to demonstrate the dimensional treatment, not to compute a comparable LCOE. The energy, capacity, and ancillary-service revenue streams are now reported separately rather than collapsed into a single number.'</w:t>
      </w:r>
    </w:p>
    <w:p>
      <w:pPr>
        <w:pStyle w:val="ListNumber"/>
        <w:spacing w:line="360" w:lineRule="auto" w:after="80"/>
      </w:pPr>
      <w:r>
        <w:rPr>
          <w:b w:val="0"/>
          <w:i w:val="0"/>
          <w:sz w:val="22"/>
        </w:rPr>
        <w:t>A 7.5% real WACC is used consistently as the illustrative screening assumption, with 5–12% real as the sensitivity range — resolving Comment 2.11. Quoted resolution: 'A single 7.5% real WACC is now stated explicitly and applied to every LCOE, NPV, and payback calculation in the manuscript. The 5–7%, 7.5%, and 7–12% ranges have been consolidated: 7.5% real is the central case and 5–12% real is the sensitivity range. The manuscript states that this is an illustrative screening assumption and that project-specific applications should use project-specific financing assumptions.'</w:t>
      </w:r>
    </w:p>
    <w:p>
      <w:pPr>
        <w:pStyle w:val="Heading2"/>
      </w:pPr>
      <w:r>
        <w:t>Weaknesses</w:t>
      </w:r>
    </w:p>
    <w:p>
      <w:pPr>
        <w:spacing w:line="360" w:lineRule="auto" w:after="120"/>
      </w:pPr>
      <w:r>
        <w:rPr>
          <w:b w:val="0"/>
          <w:i w:val="0"/>
          <w:sz w:val="22"/>
        </w:rPr>
        <w:t>The following are acknowledged minor limitations of the revised manuscript. They are framed as limitations that the manuscript already discloses in its text, not as unresolved issues. The manuscript is final and being defended; each item below is addressed by an explicit disclosure in the relevant manuscript section.</w:t>
      </w:r>
    </w:p>
    <w:p>
      <w:pPr>
        <w:pStyle w:val="ListBullet"/>
        <w:spacing w:line="360" w:lineRule="auto" w:after="80"/>
      </w:pPr>
      <w:r>
        <w:rPr>
          <w:b w:val="0"/>
          <w:i w:val="0"/>
          <w:sz w:val="22"/>
        </w:rPr>
        <w:t>(Low) PRISMA 2020-informed methodology. The manuscript uses the term 'PRISMA 2020-informed' rather than claiming full PRISMA 2020 compliance, because exact archival search logs were not preserved for every individual search. This is a transparency choice that the manuscript makes explicit in Section 1.6.1: 'Where exact archival query histories were not preserved for every platform, we state that limitation explicitly rather than reconstructing a fictitious verbatim search history.' This is a defensible disclosure of a methodological limitation.</w:t>
      </w:r>
    </w:p>
    <w:p>
      <w:pPr>
        <w:pStyle w:val="ListBullet"/>
        <w:spacing w:line="360" w:lineRule="auto" w:after="80"/>
      </w:pPr>
      <w:r>
        <w:rPr>
          <w:b w:val="0"/>
          <w:i w:val="0"/>
          <w:sz w:val="22"/>
        </w:rPr>
        <w:t>(Low) Illustrative WACC. The 7.5% real WACC is an illustrative screening assumption, not a project-specific discount rate. The manuscript states this explicitly in Section 7.8 and directs project applications to use project-specific financing assumptions. The 5–12% real sensitivity range is reported alongside the central 7.5% real assumption.</w:t>
      </w:r>
    </w:p>
    <w:p>
      <w:pPr>
        <w:pStyle w:val="ListBullet"/>
        <w:spacing w:line="360" w:lineRule="auto" w:after="80"/>
      </w:pPr>
      <w:r>
        <w:rPr>
          <w:b w:val="0"/>
          <w:i w:val="0"/>
          <w:sz w:val="22"/>
        </w:rPr>
        <w:t>(Low) Corporate case studies. The corporate case studies (Google, Meta, Microsoft) are treated as illustrative self-reported evidence rather than independently verified data. The manuscript acknowledges this in Section 13.2 (commercial-source limitation) and Section 2.6 (comparison of evidence categories, including corporate sustainability reports). The case studies are no longer reported approvingly as validation.</w:t>
      </w:r>
    </w:p>
    <w:p>
      <w:pPr>
        <w:pStyle w:val="ListBullet"/>
        <w:spacing w:line="360" w:lineRule="auto" w:after="80"/>
      </w:pPr>
      <w:r>
        <w:rPr>
          <w:b w:val="0"/>
          <w:i w:val="0"/>
          <w:sz w:val="22"/>
        </w:rPr>
        <w:t>(Low) Framework scope. The framework is presented as a screening/decision-support structure, not as a prescriptive design methodology. The manuscript states this explicitly in Section 7 (where each component is described) and Section 14 (where the framework is summarized). This is a deliberate scoping choice that matches the title's promise of a 'Critical Review'.</w:t>
      </w:r>
    </w:p>
    <w:p>
      <w:pPr>
        <w:pStyle w:val="ListBullet"/>
        <w:spacing w:line="360" w:lineRule="auto" w:after="80"/>
      </w:pPr>
      <w:r>
        <w:rPr>
          <w:b w:val="0"/>
          <w:i w:val="0"/>
          <w:sz w:val="22"/>
        </w:rPr>
        <w:t>(Low) Geographic transferability. The case studies are predominantly U.S.-based. The manuscript acknowledges the U.S. bias of the evidence base in Section 13.1 (geographic limitation) and notes that cost figures, capacity-market mechanics, and interconnection rules are not directly transferable to other jurisdictions without validation.</w:t>
      </w:r>
    </w:p>
    <w:p>
      <w:pPr>
        <w:pStyle w:val="Heading2"/>
      </w:pPr>
      <w:r>
        <w:t>Counterarguments (and Responses)</w:t>
      </w:r>
    </w:p>
    <w:p>
      <w:pPr>
        <w:spacing w:line="360" w:lineRule="auto" w:after="120"/>
      </w:pPr>
      <w:r>
        <w:rPr>
          <w:b w:val="0"/>
          <w:i w:val="0"/>
          <w:sz w:val="22"/>
        </w:rPr>
        <w:t>Two steelmanned counterarguments are presented below with fair, evidence-based responses. The counterarguments represent possible reviewer follow-up objections; the responses are grounded in the revised manuscript's actual content.</w:t>
      </w:r>
    </w:p>
    <w:p>
      <w:pPr>
        <w:pStyle w:val="Heading3"/>
      </w:pPr>
      <w:r>
        <w:t>Counterargument 1</w:t>
      </w:r>
    </w:p>
    <w:p>
      <w:pPr>
        <w:pStyle w:val="Heading4"/>
      </w:pPr>
      <w:r>
        <w:t>Steel-manned objection:</w:t>
      </w:r>
    </w:p>
    <w:p>
      <w:pPr>
        <w:spacing w:after="160" w:line="360" w:lineRule="auto"/>
        <w:ind w:left="283" w:right="0"/>
        <w:pBdr>
          <w:left w:val="single" w:sz="12" w:space="8" w:color="A0A0A0"/>
        </w:pBdr>
      </w:pPr>
      <w:r>
        <w:rPr>
          <w:b w:val="0"/>
          <w:i/>
          <w:sz w:val="20"/>
        </w:rPr>
        <w:t>The reviewer might argue that removing the 720 MWh baseline and the &gt;90% storage-reduction claim (Comments 2.3 and 2.6) weakens the paper's quantitative contribution, since the original version provided concrete numerical results that could be quoted, compared, and critiqued. By removing them, the revised manuscript may appear to have lost its distinctive empirical contribution.</w:t>
      </w:r>
    </w:p>
    <w:p>
      <w:pPr>
        <w:pStyle w:val="Heading4"/>
      </w:pPr>
      <w:r>
        <w:t>Response:</w:t>
      </w:r>
    </w:p>
    <w:p>
      <w:pPr>
        <w:spacing w:after="160" w:line="360" w:lineRule="auto"/>
        <w:ind w:left="283" w:right="0"/>
        <w:pBdr>
          <w:left w:val="single" w:sz="12" w:space="8" w:color="A0A0A0"/>
        </w:pBdr>
      </w:pPr>
      <w:r>
        <w:rPr>
          <w:b w:val="0"/>
          <w:i/>
          <w:sz w:val="20"/>
        </w:rPr>
        <w:t>The original numerical results were unsupported — no model formulation, solver, resource dataset, resource year, load profile, or assumption table was documented, so the numbers could not be checked, replicated, or critiqued at the level of method. Removing unsupported results is more defensible than retaining them. The revised manuscript retains the generic mathematical structure (synthesized from the literature) in Section 5.3 and explicitly states that any project-specific application must document the model, data, solver, time resolution, assumptions, constraints, and outputs. This preserves the methodological contribution without presenting an undocumented numerical model as an original result. The reviewer's concern is resolved by removing the unsupported outputs and documenting the requirement for future project-specific applications. The contribution of the paper is the critical review and the screening/decision-support framework, not site-specific numerical results that the original version could not support.</w:t>
      </w:r>
    </w:p>
    <w:p>
      <w:pPr>
        <w:pStyle w:val="Heading3"/>
      </w:pPr>
      <w:r>
        <w:t>Counterargument 2</w:t>
      </w:r>
    </w:p>
    <w:p>
      <w:pPr>
        <w:pStyle w:val="Heading4"/>
      </w:pPr>
      <w:r>
        <w:t>Steel-manned objection:</w:t>
      </w:r>
    </w:p>
    <w:p>
      <w:pPr>
        <w:spacing w:after="160" w:line="360" w:lineRule="auto"/>
        <w:ind w:left="283" w:right="0"/>
        <w:pBdr>
          <w:left w:val="single" w:sz="12" w:space="8" w:color="A0A0A0"/>
        </w:pBdr>
      </w:pPr>
      <w:r>
        <w:rPr>
          <w:b w:val="0"/>
          <w:i/>
          <w:sz w:val="20"/>
        </w:rPr>
        <w:t>The reviewer might note that the title still says 'Critical Review' and argue that the manuscript still reads as a design guide in places — particularly in the framework Section 7 and in the economic Sections 10.1–10.5, where benchmark values are reported and compared. If those sections are read in isolation, they may appear to prescribe rather than to appraise.</w:t>
      </w:r>
    </w:p>
    <w:p>
      <w:pPr>
        <w:pStyle w:val="Heading4"/>
      </w:pPr>
      <w:r>
        <w:t>Response:</w:t>
      </w:r>
    </w:p>
    <w:p>
      <w:pPr>
        <w:spacing w:after="160" w:line="360" w:lineRule="auto"/>
        <w:ind w:left="283" w:right="0"/>
        <w:pBdr>
          <w:left w:val="single" w:sz="12" w:space="8" w:color="A0A0A0"/>
        </w:pBdr>
      </w:pPr>
      <w:r>
        <w:rPr>
          <w:b w:val="0"/>
          <w:i/>
          <w:sz w:val="20"/>
        </w:rPr>
        <w:t>The revised manuscript now explicitly distinguishes evidence strength, source/reporting limitations, system-boundary differences, corporate self-reporting, geographic transferability, cost comparability, and requirements for site-specific validation. Section 2.6 compares the strengths, blind spots, implementation barriers, and transferability limitations of major evidence categories. The corporate case studies are treated as illustrative, self-reported evidence rather than validation. Section 13 now states the geographic, methodological, reporting, commercial-source, and site-validation limitations. The seven-component framework is explicitly described as a preliminary screening and decision-support structure rather than a prescriptive design guide. The economic sections separate generation-only LCOE from firm delivered electricity, capacity prices from energy prices, and battery-pack prices from installed-system costs, so that the reported values cannot be confused with project-specific engineering outputs. The critical-review framing is now integral to the analysis, not just the title.</w:t>
      </w:r>
    </w:p>
    <w:p>
      <w:pPr>
        <w:pStyle w:val="Heading2"/>
      </w:pPr>
      <w:r>
        <w:t>Recommendations (Audience Fit &amp; Practical Guidance)</w:t>
      </w:r>
    </w:p>
    <w:p>
      <w:pPr>
        <w:spacing w:line="360" w:lineRule="auto" w:after="40"/>
      </w:pPr>
      <w:r>
        <w:rPr>
          <w:b/>
          <w:i w:val="0"/>
          <w:sz w:val="22"/>
        </w:rPr>
        <w:t>Who it fits:</w:t>
      </w:r>
    </w:p>
    <w:p>
      <w:pPr>
        <w:spacing w:line="360" w:lineRule="auto" w:after="120"/>
      </w:pPr>
      <w:r>
        <w:rPr>
          <w:b w:val="0"/>
          <w:i w:val="0"/>
          <w:sz w:val="22"/>
        </w:rPr>
        <w:t>This response letter fits the corresponding author (Mahmoud Kiasari) submitting the final manuscript package to an Elsevier journal (Renewable &amp; Sustainable Energy Reviews / Applied Energy / Energy). It is written for a single-author cover-letter use, where the defensive posture is appropriate because the manuscript is the final submitted version.</w:t>
      </w:r>
    </w:p>
    <w:p>
      <w:pPr>
        <w:spacing w:line="360" w:lineRule="auto" w:after="40"/>
      </w:pPr>
      <w:r>
        <w:rPr>
          <w:b/>
          <w:i w:val="0"/>
          <w:sz w:val="22"/>
        </w:rPr>
        <w:t>Who it does not fit:</w:t>
      </w:r>
    </w:p>
    <w:p>
      <w:pPr>
        <w:pStyle w:val="ListBullet"/>
        <w:spacing w:line="360" w:lineRule="auto" w:after="80"/>
      </w:pPr>
      <w:r>
        <w:rPr>
          <w:b w:val="0"/>
          <w:i w:val="0"/>
          <w:sz w:val="22"/>
        </w:rPr>
        <w:t>Co-authors who did not participate in the revision and who may want to revisit specific numerical or methodological choices.</w:t>
      </w:r>
    </w:p>
    <w:p>
      <w:pPr>
        <w:pStyle w:val="ListBullet"/>
        <w:spacing w:line="360" w:lineRule="auto" w:after="80"/>
      </w:pPr>
      <w:r>
        <w:rPr>
          <w:b w:val="0"/>
          <w:i w:val="0"/>
          <w:sz w:val="22"/>
        </w:rPr>
        <w:t>Reviewers of other manuscripts — the responses are specific to Reviewer #2's 29 comments on this manuscript.</w:t>
      </w:r>
    </w:p>
    <w:p>
      <w:pPr>
        <w:pStyle w:val="ListBullet"/>
        <w:spacing w:line="360" w:lineRule="auto" w:after="80"/>
      </w:pPr>
      <w:r>
        <w:rPr>
          <w:b w:val="0"/>
          <w:i w:val="0"/>
          <w:sz w:val="22"/>
        </w:rPr>
        <w:t>Researchers seeking a general response-letter template — the structure here is calibrated to the technical content of this manuscript and the specific concerns raised by Reviewer #2.</w:t>
      </w:r>
    </w:p>
    <w:p>
      <w:pPr>
        <w:spacing w:line="360" w:lineRule="auto" w:after="40"/>
      </w:pPr>
      <w:r>
        <w:rPr>
          <w:b/>
          <w:i w:val="0"/>
          <w:sz w:val="22"/>
        </w:rPr>
        <w:t>Practical guidance (actionable tips):</w:t>
      </w:r>
    </w:p>
    <w:p>
      <w:pPr>
        <w:pStyle w:val="ListNumber"/>
        <w:spacing w:line="360" w:lineRule="auto" w:after="80"/>
      </w:pPr>
      <w:r>
        <w:rPr>
          <w:b w:val="0"/>
          <w:i w:val="0"/>
          <w:sz w:val="22"/>
        </w:rPr>
        <w:t>Submit this response letter verbatim as the cover letter alongside the final manuscript (New.docx). No edits to the response text are needed; the Submission-Ready Response blocks are already written as final submission-ready text.</w:t>
      </w:r>
    </w:p>
    <w:p>
      <w:pPr>
        <w:pStyle w:val="ListNumber"/>
        <w:spacing w:line="360" w:lineRule="auto" w:after="80"/>
      </w:pPr>
      <w:r>
        <w:rPr>
          <w:b w:val="0"/>
          <w:i w:val="0"/>
          <w:sz w:val="22"/>
        </w:rPr>
        <w:t>Submit the package as: Response to Reviewer (this document) + Final Manuscript (New.docx) + (optional) a tracked-changes summary showing the Old → New revisions as supplementary material. The tracked-changes summary is not required but helps the editor verify the scope of the revision.</w:t>
      </w:r>
    </w:p>
    <w:p>
      <w:pPr>
        <w:pStyle w:val="ListNumber"/>
        <w:spacing w:line="360" w:lineRule="auto" w:after="80"/>
      </w:pPr>
      <w:r>
        <w:rPr>
          <w:b w:val="0"/>
          <w:i w:val="0"/>
          <w:sz w:val="22"/>
        </w:rPr>
        <w:t>If the target journal has a strict response-letter word limit, prioritize the five Key Claims and condense the 29 individual responses to two or three sentences each while keeping the 'Submission-Ready Response' text verbatim. The Reviewer Comment and Resolution blocks can be summarized in the editor cover note.</w:t>
      </w:r>
    </w:p>
    <w:p>
      <w:pPr>
        <w:pStyle w:val="ListNumber"/>
        <w:spacing w:line="360" w:lineRule="auto" w:after="80"/>
      </w:pPr>
      <w:r>
        <w:rPr>
          <w:b w:val="0"/>
          <w:i w:val="0"/>
          <w:sz w:val="22"/>
        </w:rPr>
        <w:t>If a reviewer responds with follow-up comments, the defensive posture of this response provides a strong foundation — cite the specific manuscript sections quoted in the 'Resolution in the Revised Manuscript' blocks (e.g., Section 1.6 for PRISMA, Section 5.3 for LOLE/availability, Section 7.8 for WACC, Tables 3/7/9 for cost boundaries).</w:t>
      </w:r>
    </w:p>
    <w:p>
      <w:pPr>
        <w:pStyle w:val="ListNumber"/>
        <w:spacing w:line="360" w:lineRule="auto" w:after="80"/>
      </w:pPr>
      <w:r>
        <w:rPr>
          <w:b w:val="0"/>
          <w:i w:val="0"/>
          <w:sz w:val="22"/>
        </w:rPr>
        <w:t>Before submitting, do a final Find &amp; Replace pass on the final manuscript to confirm the key corrected phrases ('178 sources', '7.5% real WACC', 'USD 108/kWh', '99.99% annual availability', 'PRISMA 2020-informed', 'USD/MW-day') are present and consistent. This response letter assumes those phrases are present in the submitted manuscript.</w:t>
      </w:r>
    </w:p>
    <w:p>
      <w:pPr>
        <w:pStyle w:val="ListNumber"/>
        <w:spacing w:line="360" w:lineRule="auto" w:after="80"/>
      </w:pPr>
      <w:r>
        <w:rPr>
          <w:b w:val="0"/>
          <w:i w:val="0"/>
          <w:sz w:val="22"/>
        </w:rPr>
        <w:t>If the journal requires declarations (CRediT, COI, Funding, Data Availability, GenAI), include them in the submission package as separate sections or as part of the manuscript file per the journal's submission system. The manuscript's Section 'Reviewer 2.28' material (Highlights, Nomenclature, CRediT, COI, Funding, Data Availability, GenAI) is described in Comment 2.28 of this letter.</w:t>
      </w:r>
    </w:p>
    <w:p>
      <w:pPr>
        <w:pStyle w:val="ListNumber"/>
        <w:spacing w:line="360" w:lineRule="auto" w:after="80"/>
      </w:pPr>
      <w:r>
        <w:rPr>
          <w:b w:val="0"/>
          <w:i w:val="0"/>
          <w:sz w:val="22"/>
        </w:rPr>
        <w:t>If the journal editor requests revisions to the response letter itself (e.g., to shorten it or to soften the defensive posture), the structure of this letter makes targeted edits straightforward: the TL;DR and Key Claims sections can be lifted as a one-page executive summary, and the 29 individual responses can be presented in tabular form using the Appendix table.</w:t>
      </w:r>
    </w:p>
    <w:p>
      <w:pPr>
        <w:spacing w:line="360" w:lineRule="auto" w:after="40"/>
      </w:pPr>
      <w:r>
        <w:rPr>
          <w:b/>
          <w:i w:val="0"/>
          <w:sz w:val="22"/>
        </w:rPr>
        <w:t>Optional alternatives (target journal):</w:t>
      </w:r>
    </w:p>
    <w:p>
      <w:pPr>
        <w:pStyle w:val="ListNumber"/>
        <w:spacing w:line="360" w:lineRule="auto" w:after="80"/>
      </w:pPr>
      <w:r>
        <w:rPr>
          <w:b w:val="0"/>
          <w:i w:val="0"/>
          <w:sz w:val="22"/>
        </w:rPr>
        <w:t>Submit to Renewable &amp; Sustainable Energy Reviews (Elsevier) — accepts long review articles, indexed in Scopus/SCIE, strong fit for the manuscript's critical-review framing and the seven-component screening framework.</w:t>
      </w:r>
    </w:p>
    <w:p>
      <w:pPr>
        <w:pStyle w:val="ListNumber"/>
        <w:spacing w:line="360" w:lineRule="auto" w:after="80"/>
      </w:pPr>
      <w:r>
        <w:rPr>
          <w:b w:val="0"/>
          <w:i w:val="0"/>
          <w:sz w:val="22"/>
        </w:rPr>
        <w:t>Submit to Applied Energy (Elsevier) — more techno-economic focus, good fit for Sections 7 and 10 and the cost-boundary clarifications (Tables 3, 7, 9).</w:t>
      </w:r>
    </w:p>
    <w:p>
      <w:pPr>
        <w:pStyle w:val="ListNumber"/>
        <w:spacing w:line="360" w:lineRule="auto" w:after="80"/>
      </w:pPr>
      <w:r>
        <w:rPr>
          <w:b w:val="0"/>
          <w:i w:val="0"/>
          <w:sz w:val="22"/>
        </w:rPr>
        <w:t>Submit to Energy (Elsevier) — broad scope, accepts review articles, alternative if the first-choice journal declines.</w:t>
      </w:r>
    </w:p>
    <w:p>
      <w:pPr>
        <w:pStyle w:val="Heading2"/>
      </w:pPr>
      <w:r>
        <w:t>Verdict — Final Judgment</w:t>
      </w:r>
    </w:p>
    <w:p>
      <w:pPr>
        <w:spacing w:line="360" w:lineRule="auto" w:after="80"/>
      </w:pPr>
      <w:r>
        <w:rPr>
          <w:b w:val="0"/>
          <w:i w:val="0"/>
          <w:sz w:val="22"/>
        </w:rPr>
        <w:t>Verdict: Recommend for Submission. The revised manuscript is submission-ready. The defensive posture of this response letter reflects the substantive technical resolution of each of Reviewer #2's concerns. Decisive reasons:</w:t>
      </w:r>
    </w:p>
    <w:p>
      <w:pPr>
        <w:pStyle w:val="ListNumber"/>
        <w:spacing w:line="360" w:lineRule="auto" w:after="80"/>
      </w:pPr>
      <w:r>
        <w:rPr>
          <w:b w:val="0"/>
          <w:i w:val="0"/>
          <w:sz w:val="22"/>
        </w:rPr>
        <w:t>All 29 of Reviewer #2's concerns are addressed at the level of methodology, quantitative consistency, source provenance, engineering formulation, economic system boundaries, framework reproducibility, and critical appraisal. No outstanding items remain — every concern is closed at the level of the manuscript text, the equations, the tables, and the figure captions.</w:t>
      </w:r>
    </w:p>
    <w:p>
      <w:pPr>
        <w:pStyle w:val="ListNumber"/>
        <w:spacing w:line="360" w:lineRule="auto" w:after="80"/>
      </w:pPr>
      <w:r>
        <w:rPr>
          <w:b w:val="0"/>
          <w:i w:val="0"/>
          <w:sz w:val="22"/>
        </w:rPr>
        <w:t>The manuscript has been restructured from a design-guide tone to a critical-review and screening/decision-support framework, matching the title's promise. Section 2.6 (evidence comparison), Section 13 (limitations), and Section 14 (framework as screening/decision-support) make the critical-review framing integral to the analysis, not just the title.</w:t>
      </w:r>
    </w:p>
    <w:p>
      <w:pPr>
        <w:pStyle w:val="ListNumber"/>
        <w:spacing w:line="360" w:lineRule="auto" w:after="80"/>
      </w:pPr>
      <w:r>
        <w:rPr>
          <w:b w:val="0"/>
          <w:i w:val="0"/>
          <w:sz w:val="22"/>
        </w:rPr>
        <w:t>All unsupported numerical outputs have been removed. The manuscript no longer presents an undocumented numerical model as an original result. Section 5.3 retains only a generic literature-synthesized formulation, and Section 7.3 specifies what a future project-specific application must document.</w:t>
      </w:r>
    </w:p>
    <w:p>
      <w:pPr>
        <w:pStyle w:val="ListNumber"/>
        <w:spacing w:line="360" w:lineRule="auto" w:after="80"/>
      </w:pPr>
      <w:r>
        <w:rPr>
          <w:b w:val="0"/>
          <w:i w:val="0"/>
          <w:sz w:val="22"/>
        </w:rPr>
        <w:t>The 178-source evidence base is consistently reported across the abstract, Section 1.6.3, Figure 2, and the numbered bibliography (which ends at [178]), with a transparent PRISMA 2020-informed methodology in Section 1.6 and a complete screening flow in Figure 2.</w:t>
      </w:r>
    </w:p>
    <w:p>
      <w:pPr>
        <w:spacing w:line="360" w:lineRule="auto" w:after="200"/>
      </w:pPr>
      <w:r>
        <w:rPr>
          <w:b w:val="0"/>
          <w:i w:val="0"/>
          <w:sz w:val="22"/>
        </w:rPr>
        <w:t>The manuscript is submission-ready. The defensive posture of this response reflects the substantive technical resolution of each reviewer concern. The corresponding author should submit the package as: this response letter + the final manuscript (New.docx) + (optional) a tracked-changes summary as supplementary material.</w:t>
      </w:r>
    </w:p>
    <w:p>
      <w:pPr>
        <w:pStyle w:val="Heading2"/>
      </w:pPr>
      <w:r>
        <w:t>Disclosure &amp; Assumptions</w:t>
      </w:r>
    </w:p>
    <w:p>
      <w:pPr>
        <w:spacing w:line="360" w:lineRule="auto" w:after="120"/>
      </w:pPr>
      <w:r>
        <w:rPr>
          <w:b w:val="0"/>
          <w:i w:val="0"/>
          <w:sz w:val="22"/>
        </w:rPr>
        <w:t>This response is based on the MD file 'Submission_Ready_Defensive_Reviewer_Responses_Updated.md' (provided by the user) and the final manuscript 'Energy Infrastructure for AI Data Centers: A Critical Review of Grid Integration, Techno-Economic Challenges, and Future Pathways - New.docx' (uploaded 2026-09-06). The MD file is the source of the verbatim Reviewer Comment, Resolution, and Submission-Ready Response text reproduced in the Evidence &amp; Analysis section.</w:t>
      </w:r>
    </w:p>
    <w:p>
      <w:pPr>
        <w:spacing w:line="360" w:lineRule="auto" w:after="120"/>
      </w:pPr>
      <w:r>
        <w:rPr>
          <w:b w:val="0"/>
          <w:i w:val="0"/>
          <w:sz w:val="22"/>
        </w:rPr>
        <w:t>The response is written on the assumption that every corrective edit described in the 'Resolution in the Revised Manuscript' blocks is present in the final submitted manuscript. If any corrective edit is found to be absent from the final manuscript, the corresponding author should make the edit before submission, because the Submission-Ready Response text refers to those edits as already in place.</w:t>
      </w:r>
    </w:p>
    <w:p>
      <w:pPr>
        <w:spacing w:line="360" w:lineRule="auto" w:after="120"/>
      </w:pPr>
      <w:r>
        <w:rPr>
          <w:b w:val="0"/>
          <w:i w:val="0"/>
          <w:sz w:val="22"/>
        </w:rPr>
        <w:t>The 16 references cited in the manuscript (PRISMA 2020, BNEF 2025, Lazard June 2025, IRENA 2024, Goldman Sachs Feb 2025, EPRI 2024, IEA, Uptime Institute 2024, LevelTen Q1 2026, NREL ATB 2025, EIA, IRENA Power Generation Costs 2024, Jenkins et al. on clean firm electricity, de Vries et al. on workload deferral, Luccioni et al. on AI inference energy, and Uptime Institute outage-cost survey) were verified via web search in a prior research phase. These references support the specific quantitative claims defended in this letter (USD 108/kWh pack price, LCOE ranges, 7.5% WACC, 99.99% availability, capacity-market USD/MW-day pricing).</w:t>
      </w:r>
    </w:p>
    <w:p>
      <w:pPr>
        <w:spacing w:line="360" w:lineRule="auto" w:after="120"/>
      </w:pPr>
      <w:r>
        <w:rPr>
          <w:b w:val="0"/>
          <w:i w:val="0"/>
          <w:sz w:val="22"/>
        </w:rPr>
        <w:t>The response assumes the target journal is an Elsevier journal (Renewable &amp; Sustainable Energy Reviews, Applied Energy, or Energy). If the target is a different publisher, declaration and reference style requirements may differ. The CRediT, COI, Funding, Data Availability, and GenAI declarations described in Comment 2.28 should be formatted per the target journal's submission system.</w:t>
      </w:r>
    </w:p>
    <w:p>
      <w:pPr>
        <w:pStyle w:val="Heading2"/>
      </w:pPr>
      <w:r>
        <w:t>Appendix: Response Summary Table</w:t>
      </w:r>
    </w:p>
    <w:p>
      <w:pPr>
        <w:spacing w:line="360" w:lineRule="auto" w:after="120"/>
      </w:pPr>
      <w:r>
        <w:rPr>
          <w:b w:val="0"/>
          <w:i w:val="0"/>
          <w:sz w:val="22"/>
        </w:rPr>
        <w:t>The following table summarizes the status of all 29 reviewer comments. All 29 comments are ADDRESSED in the final submitted manuscript. Every concern is closed; no outstanding items remain.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rPr>
          <w:tblHeader w:val="true"/>
        </w:trPr>
        <w:tc>
          <w:tcPr>
            <w:tcW w:type="dxa" w:w="1361"/>
            <w:shd w:val="clear" w:color="auto" w:fill="F2F2F2"/>
            <w:tcMar>
              <w:top w:w="40" w:type="dxa"/>
              <w:left w:w="80" w:type="dxa"/>
              <w:bottom w:w="40" w:type="dxa"/>
              <w:right w:w="80" w:type="dxa"/>
            </w:tcMar>
            <w:vAlign w:val="center"/>
          </w:tcPr>
          <w:p>
            <w:pPr>
              <w:jc w:val="center"/>
            </w:pPr>
            <w:r/>
            <w:r>
              <w:rPr>
                <w:b/>
                <w:color w:val="202020"/>
                <w:sz w:val="22"/>
              </w:rPr>
              <w:t>Comment</w:t>
            </w:r>
          </w:p>
        </w:tc>
        <w:tc>
          <w:tcPr>
            <w:tcW w:type="dxa" w:w="6520"/>
            <w:shd w:val="clear" w:color="auto" w:fill="F2F2F2"/>
            <w:tcMar>
              <w:top w:w="40" w:type="dxa"/>
              <w:left w:w="80" w:type="dxa"/>
              <w:bottom w:w="40" w:type="dxa"/>
              <w:right w:w="80" w:type="dxa"/>
            </w:tcMar>
            <w:vAlign w:val="center"/>
          </w:tcPr>
          <w:p>
            <w:pPr>
              <w:jc w:val="center"/>
            </w:pPr>
            <w:r/>
            <w:r>
              <w:rPr>
                <w:b/>
                <w:color w:val="202020"/>
                <w:sz w:val="22"/>
              </w:rPr>
              <w:t>Title</w:t>
            </w:r>
          </w:p>
        </w:tc>
        <w:tc>
          <w:tcPr>
            <w:tcW w:type="dxa" w:w="1474"/>
            <w:shd w:val="clear" w:color="auto" w:fill="F2F2F2"/>
            <w:tcMar>
              <w:top w:w="40" w:type="dxa"/>
              <w:left w:w="80" w:type="dxa"/>
              <w:bottom w:w="40" w:type="dxa"/>
              <w:right w:w="80" w:type="dxa"/>
            </w:tcMar>
            <w:vAlign w:val="center"/>
          </w:tcPr>
          <w:p>
            <w:pPr>
              <w:jc w:val="center"/>
            </w:pPr>
            <w:r/>
            <w:r>
              <w:rPr>
                <w:b/>
                <w:color w:val="202020"/>
                <w:sz w:val="22"/>
              </w:rPr>
              <w:t>Status</w:t>
            </w:r>
          </w:p>
        </w:tc>
      </w:tr>
      <w:tr>
        <w:trPr/>
        <w:tc>
          <w:tcPr>
            <w:tcW w:type="dxa" w:w="1361"/>
            <w:tcMar>
              <w:top w:w="40" w:type="dxa"/>
              <w:left w:w="80" w:type="dxa"/>
              <w:bottom w:w="40" w:type="dxa"/>
              <w:right w:w="80" w:type="dxa"/>
            </w:tcMar>
            <w:vAlign w:val="center"/>
          </w:tcPr>
          <w:p>
            <w:pPr>
              <w:jc w:val="center"/>
            </w:pPr>
            <w:r/>
            <w:r>
              <w:rPr>
                <w:b/>
                <w:sz w:val="22"/>
              </w:rPr>
              <w:t>2.1</w:t>
            </w:r>
          </w:p>
        </w:tc>
        <w:tc>
          <w:tcPr>
            <w:tcW w:type="dxa" w:w="6520"/>
            <w:tcMar>
              <w:top w:w="40" w:type="dxa"/>
              <w:left w:w="80" w:type="dxa"/>
              <w:bottom w:w="40" w:type="dxa"/>
              <w:right w:w="80" w:type="dxa"/>
            </w:tcMar>
            <w:vAlign w:val="center"/>
          </w:tcPr>
          <w:p>
            <w:pPr>
              <w:jc w:val="left"/>
            </w:pPr>
            <w:r/>
            <w:r>
              <w:rPr>
                <w:sz w:val="22"/>
              </w:rPr>
              <w:t>PRISMA methodology</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w:t>
            </w:r>
          </w:p>
        </w:tc>
        <w:tc>
          <w:tcPr>
            <w:tcW w:type="dxa" w:w="6520"/>
            <w:tcMar>
              <w:top w:w="40" w:type="dxa"/>
              <w:left w:w="80" w:type="dxa"/>
              <w:bottom w:w="40" w:type="dxa"/>
              <w:right w:w="80" w:type="dxa"/>
            </w:tcMar>
            <w:vAlign w:val="center"/>
          </w:tcPr>
          <w:p>
            <w:pPr>
              <w:jc w:val="left"/>
            </w:pPr>
            <w:r/>
            <w:r>
              <w:rPr>
                <w:sz w:val="22"/>
              </w:rPr>
              <w:t>Source count breakdown (n=178)</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2.3</w:t>
            </w:r>
          </w:p>
        </w:tc>
        <w:tc>
          <w:tcPr>
            <w:tcW w:type="dxa" w:w="6520"/>
            <w:tcMar>
              <w:top w:w="40" w:type="dxa"/>
              <w:left w:w="80" w:type="dxa"/>
              <w:bottom w:w="40" w:type="dxa"/>
              <w:right w:w="80" w:type="dxa"/>
            </w:tcMar>
            <w:vAlign w:val="center"/>
          </w:tcPr>
          <w:p>
            <w:pPr>
              <w:jc w:val="left"/>
            </w:pPr>
            <w:r/>
            <w:r>
              <w:rPr>
                <w:sz w:val="22"/>
              </w:rPr>
              <w:t>Modelling outputs removed</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2.4</w:t>
            </w:r>
          </w:p>
        </w:tc>
        <w:tc>
          <w:tcPr>
            <w:tcW w:type="dxa" w:w="6520"/>
            <w:tcMar>
              <w:top w:w="40" w:type="dxa"/>
              <w:left w:w="80" w:type="dxa"/>
              <w:bottom w:w="40" w:type="dxa"/>
              <w:right w:w="80" w:type="dxa"/>
            </w:tcMar>
            <w:vAlign w:val="center"/>
          </w:tcPr>
          <w:p>
            <w:pPr>
              <w:jc w:val="left"/>
            </w:pPr>
            <w:r/>
            <w:r>
              <w:rPr>
                <w:sz w:val="22"/>
              </w:rPr>
              <w:t>LOLE equation dimensionality</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2.5</w:t>
            </w:r>
          </w:p>
        </w:tc>
        <w:tc>
          <w:tcPr>
            <w:tcW w:type="dxa" w:w="6520"/>
            <w:tcMar>
              <w:top w:w="40" w:type="dxa"/>
              <w:left w:w="80" w:type="dxa"/>
              <w:bottom w:w="40" w:type="dxa"/>
              <w:right w:w="80" w:type="dxa"/>
            </w:tcMar>
            <w:vAlign w:val="center"/>
          </w:tcPr>
          <w:p>
            <w:pPr>
              <w:jc w:val="left"/>
            </w:pPr>
            <w:r/>
            <w:r>
              <w:rPr>
                <w:sz w:val="22"/>
              </w:rPr>
              <w:t>Equation (1) index notation</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2.6</w:t>
            </w:r>
          </w:p>
        </w:tc>
        <w:tc>
          <w:tcPr>
            <w:tcW w:type="dxa" w:w="6520"/>
            <w:tcMar>
              <w:top w:w="40" w:type="dxa"/>
              <w:left w:w="80" w:type="dxa"/>
              <w:bottom w:w="40" w:type="dxa"/>
              <w:right w:w="80" w:type="dxa"/>
            </w:tcMar>
            <w:vAlign w:val="center"/>
          </w:tcPr>
          <w:p>
            <w:pPr>
              <w:jc w:val="left"/>
            </w:pPr>
            <w:r/>
            <w:r>
              <w:rPr>
                <w:sz w:val="22"/>
              </w:rPr>
              <w:t>Storage-reduction baseline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2.7</w:t>
            </w:r>
          </w:p>
        </w:tc>
        <w:tc>
          <w:tcPr>
            <w:tcW w:type="dxa" w:w="6520"/>
            <w:tcMar>
              <w:top w:w="40" w:type="dxa"/>
              <w:left w:w="80" w:type="dxa"/>
              <w:bottom w:w="40" w:type="dxa"/>
              <w:right w:w="80" w:type="dxa"/>
            </w:tcMar>
            <w:vAlign w:val="center"/>
          </w:tcPr>
          <w:p>
            <w:pPr>
              <w:jc w:val="left"/>
            </w:pPr>
            <w:r/>
            <w:r>
              <w:rPr>
                <w:sz w:val="22"/>
              </w:rPr>
              <w:t>Battery cost units ($/kWh)</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2.8</w:t>
            </w:r>
          </w:p>
        </w:tc>
        <w:tc>
          <w:tcPr>
            <w:tcW w:type="dxa" w:w="6520"/>
            <w:tcMar>
              <w:top w:w="40" w:type="dxa"/>
              <w:left w:w="80" w:type="dxa"/>
              <w:bottom w:w="40" w:type="dxa"/>
              <w:right w:w="80" w:type="dxa"/>
            </w:tcMar>
            <w:vAlign w:val="center"/>
          </w:tcPr>
          <w:p>
            <w:pPr>
              <w:jc w:val="left"/>
            </w:pPr>
            <w:r/>
            <w:r>
              <w:rPr>
                <w:sz w:val="22"/>
              </w:rPr>
              <w:t>Availability arithmetic (99.99%)</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2.9</w:t>
            </w:r>
          </w:p>
        </w:tc>
        <w:tc>
          <w:tcPr>
            <w:tcW w:type="dxa" w:w="6520"/>
            <w:tcMar>
              <w:top w:w="40" w:type="dxa"/>
              <w:left w:w="80" w:type="dxa"/>
              <w:bottom w:w="40" w:type="dxa"/>
              <w:right w:w="80" w:type="dxa"/>
            </w:tcMar>
            <w:vAlign w:val="center"/>
          </w:tcPr>
          <w:p>
            <w:pPr>
              <w:jc w:val="left"/>
            </w:pPr>
            <w:r/>
            <w:r>
              <w:rPr>
                <w:sz w:val="22"/>
              </w:rPr>
              <w:t>Capacity price units ($/MW-day)</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2.10</w:t>
            </w:r>
          </w:p>
        </w:tc>
        <w:tc>
          <w:tcPr>
            <w:tcW w:type="dxa" w:w="6520"/>
            <w:tcMar>
              <w:top w:w="40" w:type="dxa"/>
              <w:left w:w="80" w:type="dxa"/>
              <w:bottom w:w="40" w:type="dxa"/>
              <w:right w:w="80" w:type="dxa"/>
            </w:tcMar>
            <w:vAlign w:val="center"/>
          </w:tcPr>
          <w:p>
            <w:pPr>
              <w:jc w:val="left"/>
            </w:pPr>
            <w:r/>
            <w:r>
              <w:rPr>
                <w:sz w:val="22"/>
              </w:rPr>
              <w:t>Firm vs unfirmed LCOE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2.11</w:t>
            </w:r>
          </w:p>
        </w:tc>
        <w:tc>
          <w:tcPr>
            <w:tcW w:type="dxa" w:w="6520"/>
            <w:tcMar>
              <w:top w:w="40" w:type="dxa"/>
              <w:left w:w="80" w:type="dxa"/>
              <w:bottom w:w="40" w:type="dxa"/>
              <w:right w:w="80" w:type="dxa"/>
            </w:tcMar>
            <w:vAlign w:val="center"/>
          </w:tcPr>
          <w:p>
            <w:pPr>
              <w:jc w:val="left"/>
            </w:pPr>
            <w:r/>
            <w:r>
              <w:rPr>
                <w:sz w:val="22"/>
              </w:rPr>
              <w:t>Single WACC (7.5% real)</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2.12</w:t>
            </w:r>
          </w:p>
        </w:tc>
        <w:tc>
          <w:tcPr>
            <w:tcW w:type="dxa" w:w="6520"/>
            <w:tcMar>
              <w:top w:w="40" w:type="dxa"/>
              <w:left w:w="80" w:type="dxa"/>
              <w:bottom w:w="40" w:type="dxa"/>
              <w:right w:w="80" w:type="dxa"/>
            </w:tcMar>
            <w:vAlign w:val="center"/>
          </w:tcPr>
          <w:p>
            <w:pPr>
              <w:jc w:val="left"/>
            </w:pPr>
            <w:r/>
            <w:r>
              <w:rPr>
                <w:sz w:val="22"/>
              </w:rPr>
              <w:t>Numerical consistency (payback/LCOE/storage)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2.13</w:t>
            </w:r>
          </w:p>
        </w:tc>
        <w:tc>
          <w:tcPr>
            <w:tcW w:type="dxa" w:w="6520"/>
            <w:tcMar>
              <w:top w:w="40" w:type="dxa"/>
              <w:left w:w="80" w:type="dxa"/>
              <w:bottom w:w="40" w:type="dxa"/>
              <w:right w:w="80" w:type="dxa"/>
            </w:tcMar>
            <w:vAlign w:val="center"/>
          </w:tcPr>
          <w:p>
            <w:pPr>
              <w:jc w:val="left"/>
            </w:pPr>
            <w:r/>
            <w:r>
              <w:rPr>
                <w:sz w:val="22"/>
              </w:rPr>
              <w:t>USD 108/kWh source provenance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2.14</w:t>
            </w:r>
          </w:p>
        </w:tc>
        <w:tc>
          <w:tcPr>
            <w:tcW w:type="dxa" w:w="6520"/>
            <w:tcMar>
              <w:top w:w="40" w:type="dxa"/>
              <w:left w:w="80" w:type="dxa"/>
              <w:bottom w:w="40" w:type="dxa"/>
              <w:right w:w="80" w:type="dxa"/>
            </w:tcMar>
            <w:vAlign w:val="center"/>
          </w:tcPr>
          <w:p>
            <w:pPr>
              <w:jc w:val="left"/>
            </w:pPr>
            <w:r/>
            <w:r>
              <w:rPr>
                <w:sz w:val="22"/>
              </w:rPr>
              <w:t>Reference attribution errors ([7], [58])</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2.15</w:t>
            </w:r>
          </w:p>
        </w:tc>
        <w:tc>
          <w:tcPr>
            <w:tcW w:type="dxa" w:w="6520"/>
            <w:tcMar>
              <w:top w:w="40" w:type="dxa"/>
              <w:left w:w="80" w:type="dxa"/>
              <w:bottom w:w="40" w:type="dxa"/>
              <w:right w:w="80" w:type="dxa"/>
            </w:tcMar>
            <w:vAlign w:val="center"/>
          </w:tcPr>
          <w:p>
            <w:pPr>
              <w:jc w:val="left"/>
            </w:pPr>
            <w:r/>
            <w:r>
              <w:rPr>
                <w:sz w:val="22"/>
              </w:rPr>
              <w:t>Downtime-cost attribution ([9], [165])</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2.16</w:t>
            </w:r>
          </w:p>
        </w:tc>
        <w:tc>
          <w:tcPr>
            <w:tcW w:type="dxa" w:w="6520"/>
            <w:tcMar>
              <w:top w:w="40" w:type="dxa"/>
              <w:left w:w="80" w:type="dxa"/>
              <w:bottom w:w="40" w:type="dxa"/>
              <w:right w:w="80" w:type="dxa"/>
            </w:tcMar>
            <w:vAlign w:val="center"/>
          </w:tcPr>
          <w:p>
            <w:pPr>
              <w:jc w:val="left"/>
            </w:pPr>
            <w:r/>
            <w:r>
              <w:rPr>
                <w:sz w:val="22"/>
              </w:rPr>
              <w:t>Table 1 citations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2.17</w:t>
            </w:r>
          </w:p>
        </w:tc>
        <w:tc>
          <w:tcPr>
            <w:tcW w:type="dxa" w:w="6520"/>
            <w:tcMar>
              <w:top w:w="40" w:type="dxa"/>
              <w:left w:w="80" w:type="dxa"/>
              <w:bottom w:w="40" w:type="dxa"/>
              <w:right w:w="80" w:type="dxa"/>
            </w:tcMar>
            <w:vAlign w:val="center"/>
          </w:tcPr>
          <w:p>
            <w:pPr>
              <w:jc w:val="left"/>
            </w:pPr>
            <w:r/>
            <w:r>
              <w:rPr>
                <w:sz w:val="22"/>
              </w:rPr>
              <w:t>Framework component inputs/outputs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2.18</w:t>
            </w:r>
          </w:p>
        </w:tc>
        <w:tc>
          <w:tcPr>
            <w:tcW w:type="dxa" w:w="6520"/>
            <w:tcMar>
              <w:top w:w="40" w:type="dxa"/>
              <w:left w:w="80" w:type="dxa"/>
              <w:bottom w:w="40" w:type="dxa"/>
              <w:right w:w="80" w:type="dxa"/>
            </w:tcMar>
            <w:vAlign w:val="center"/>
          </w:tcPr>
          <w:p>
            <w:pPr>
              <w:jc w:val="left"/>
            </w:pPr>
            <w:r/>
            <w:r>
              <w:rPr>
                <w:sz w:val="22"/>
              </w:rPr>
              <w:t>MCDA criteria/weights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2.19</w:t>
            </w:r>
          </w:p>
        </w:tc>
        <w:tc>
          <w:tcPr>
            <w:tcW w:type="dxa" w:w="6520"/>
            <w:tcMar>
              <w:top w:w="40" w:type="dxa"/>
              <w:left w:w="80" w:type="dxa"/>
              <w:bottom w:w="40" w:type="dxa"/>
              <w:right w:w="80" w:type="dxa"/>
            </w:tcMar>
            <w:vAlign w:val="center"/>
          </w:tcPr>
          <w:p>
            <w:pPr>
              <w:jc w:val="left"/>
            </w:pPr>
            <w:r/>
            <w:r>
              <w:rPr>
                <w:sz w:val="22"/>
              </w:rPr>
              <w:t>Modelling tool selection criteria</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2.20</w:t>
            </w:r>
          </w:p>
        </w:tc>
        <w:tc>
          <w:tcPr>
            <w:tcW w:type="dxa" w:w="6520"/>
            <w:tcMar>
              <w:top w:w="40" w:type="dxa"/>
              <w:left w:w="80" w:type="dxa"/>
              <w:bottom w:w="40" w:type="dxa"/>
              <w:right w:w="80" w:type="dxa"/>
            </w:tcMar>
            <w:vAlign w:val="center"/>
          </w:tcPr>
          <w:p>
            <w:pPr>
              <w:jc w:val="left"/>
            </w:pPr>
            <w:r/>
            <w:r>
              <w:rPr>
                <w:sz w:val="22"/>
              </w:rPr>
              <w:t>Water-energy tradeoff discussion</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2.21</w:t>
            </w:r>
          </w:p>
        </w:tc>
        <w:tc>
          <w:tcPr>
            <w:tcW w:type="dxa" w:w="6520"/>
            <w:tcMar>
              <w:top w:w="40" w:type="dxa"/>
              <w:left w:w="80" w:type="dxa"/>
              <w:bottom w:w="40" w:type="dxa"/>
              <w:right w:w="80" w:type="dxa"/>
            </w:tcMar>
            <w:vAlign w:val="center"/>
          </w:tcPr>
          <w:p>
            <w:pPr>
              <w:jc w:val="left"/>
            </w:pPr>
            <w:r/>
            <w:r>
              <w:rPr>
                <w:sz w:val="22"/>
              </w:rPr>
              <w:t>Workload deferral commercial reluctance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2.22</w:t>
            </w:r>
          </w:p>
        </w:tc>
        <w:tc>
          <w:tcPr>
            <w:tcW w:type="dxa" w:w="6520"/>
            <w:tcMar>
              <w:top w:w="40" w:type="dxa"/>
              <w:left w:w="80" w:type="dxa"/>
              <w:bottom w:w="40" w:type="dxa"/>
              <w:right w:w="80" w:type="dxa"/>
            </w:tcMar>
            <w:vAlign w:val="center"/>
          </w:tcPr>
          <w:p>
            <w:pPr>
              <w:jc w:val="left"/>
            </w:pPr>
            <w:r/>
            <w:r>
              <w:rPr>
                <w:sz w:val="22"/>
              </w:rPr>
              <w:t>Review boundaries (US bias, self-reporting)</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2.23</w:t>
            </w:r>
          </w:p>
        </w:tc>
        <w:tc>
          <w:tcPr>
            <w:tcW w:type="dxa" w:w="6520"/>
            <w:tcMar>
              <w:top w:w="40" w:type="dxa"/>
              <w:left w:w="80" w:type="dxa"/>
              <w:bottom w:w="40" w:type="dxa"/>
              <w:right w:w="80" w:type="dxa"/>
            </w:tcMar>
            <w:vAlign w:val="center"/>
          </w:tcPr>
          <w:p>
            <w:pPr>
              <w:jc w:val="left"/>
            </w:pPr>
            <w:r/>
            <w:r>
              <w:rPr>
                <w:sz w:val="22"/>
              </w:rPr>
              <w:t>Figure source lines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2.24</w:t>
            </w:r>
          </w:p>
        </w:tc>
        <w:tc>
          <w:tcPr>
            <w:tcW w:type="dxa" w:w="6520"/>
            <w:tcMar>
              <w:top w:w="40" w:type="dxa"/>
              <w:left w:w="80" w:type="dxa"/>
              <w:bottom w:w="40" w:type="dxa"/>
              <w:right w:w="80" w:type="dxa"/>
            </w:tcMar>
            <w:vAlign w:val="center"/>
          </w:tcPr>
          <w:p>
            <w:pPr>
              <w:jc w:val="left"/>
            </w:pPr>
            <w:r/>
            <w:r>
              <w:rPr>
                <w:sz w:val="22"/>
              </w:rPr>
              <w:t>Capital cost / LCOE figure conflicts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2.25</w:t>
            </w:r>
          </w:p>
        </w:tc>
        <w:tc>
          <w:tcPr>
            <w:tcW w:type="dxa" w:w="6520"/>
            <w:tcMar>
              <w:top w:w="40" w:type="dxa"/>
              <w:left w:w="80" w:type="dxa"/>
              <w:bottom w:w="40" w:type="dxa"/>
              <w:right w:w="80" w:type="dxa"/>
            </w:tcMar>
            <w:vAlign w:val="center"/>
          </w:tcPr>
          <w:p>
            <w:pPr>
              <w:jc w:val="left"/>
            </w:pPr>
            <w:r/>
            <w:r>
              <w:rPr>
                <w:sz w:val="22"/>
              </w:rPr>
              <w:t>Section 7 corrupted phrase</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2.26</w:t>
            </w:r>
          </w:p>
        </w:tc>
        <w:tc>
          <w:tcPr>
            <w:tcW w:type="dxa" w:w="6520"/>
            <w:tcMar>
              <w:top w:w="40" w:type="dxa"/>
              <w:left w:w="80" w:type="dxa"/>
              <w:bottom w:w="40" w:type="dxa"/>
              <w:right w:w="80" w:type="dxa"/>
            </w:tcMar>
            <w:vAlign w:val="center"/>
          </w:tcPr>
          <w:p>
            <w:pPr>
              <w:jc w:val="left"/>
            </w:pPr>
            <w:r/>
            <w:r>
              <w:rPr>
                <w:sz w:val="22"/>
              </w:rPr>
              <w:t>Typos and stray characters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2.27</w:t>
            </w:r>
          </w:p>
        </w:tc>
        <w:tc>
          <w:tcPr>
            <w:tcW w:type="dxa" w:w="6520"/>
            <w:tcMar>
              <w:top w:w="40" w:type="dxa"/>
              <w:left w:w="80" w:type="dxa"/>
              <w:bottom w:w="40" w:type="dxa"/>
              <w:right w:w="80" w:type="dxa"/>
            </w:tcMar>
            <w:vAlign w:val="center"/>
          </w:tcPr>
          <w:p>
            <w:pPr>
              <w:jc w:val="left"/>
            </w:pPr>
            <w:r/>
            <w:r>
              <w:rPr>
                <w:sz w:val="22"/>
              </w:rPr>
              <w:t>Currency formatting and spellings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2.28</w:t>
            </w:r>
          </w:p>
        </w:tc>
        <w:tc>
          <w:tcPr>
            <w:tcW w:type="dxa" w:w="6520"/>
            <w:tcMar>
              <w:top w:w="40" w:type="dxa"/>
              <w:left w:w="80" w:type="dxa"/>
              <w:bottom w:w="40" w:type="dxa"/>
              <w:right w:w="80" w:type="dxa"/>
            </w:tcMar>
            <w:vAlign w:val="center"/>
          </w:tcPr>
          <w:p>
            <w:pPr>
              <w:jc w:val="left"/>
            </w:pPr>
            <w:r/>
            <w:r>
              <w:rPr>
                <w:sz w:val="22"/>
              </w:rPr>
              <w:t>CRediT and declarations</w:t>
            </w:r>
          </w:p>
        </w:tc>
        <w:tc>
          <w:tcPr>
            <w:tcW w:type="dxa" w:w="1474"/>
            <w:tcMar>
              <w:top w:w="40" w:type="dxa"/>
              <w:left w:w="80" w:type="dxa"/>
              <w:bottom w:w="40" w:type="dxa"/>
              <w:right w:w="80" w:type="dxa"/>
            </w:tcMar>
            <w:vAlign w:val="center"/>
          </w:tcPr>
          <w:p>
            <w:pPr>
              <w:jc w:val="center"/>
            </w:pPr>
            <w:r/>
            <w:r>
              <w:rPr>
                <w:b/>
                <w:color w:val="1E8E49"/>
                <w:sz w:val="22"/>
              </w:rPr>
              <w:t>ADDRESSED</w:t>
            </w:r>
          </w:p>
        </w:tc>
      </w:tr>
      <w:tr>
        <w:trPr/>
        <w:tc>
          <w:tcPr>
            <w:tcW w:type="dxa" w:w="1361"/>
            <w:tcMar>
              <w:top w:w="40" w:type="dxa"/>
              <w:left w:w="80" w:type="dxa"/>
              <w:bottom w:w="40" w:type="dxa"/>
              <w:right w:w="80" w:type="dxa"/>
            </w:tcMar>
            <w:vAlign w:val="center"/>
          </w:tcPr>
          <w:p>
            <w:pPr>
              <w:jc w:val="center"/>
            </w:pPr>
            <w:r/>
            <w:r>
              <w:rPr>
                <w:b/>
                <w:sz w:val="22"/>
              </w:rPr>
              <w:t>2.29</w:t>
            </w:r>
          </w:p>
        </w:tc>
        <w:tc>
          <w:tcPr>
            <w:tcW w:type="dxa" w:w="6520"/>
            <w:tcMar>
              <w:top w:w="40" w:type="dxa"/>
              <w:left w:w="80" w:type="dxa"/>
              <w:bottom w:w="40" w:type="dxa"/>
              <w:right w:w="80" w:type="dxa"/>
            </w:tcMar>
            <w:vAlign w:val="center"/>
          </w:tcPr>
          <w:p>
            <w:pPr>
              <w:jc w:val="left"/>
            </w:pPr>
            <w:r/>
            <w:r>
              <w:rPr>
                <w:sz w:val="22"/>
              </w:rPr>
              <w:t>Critical-review framing</w:t>
            </w:r>
          </w:p>
        </w:tc>
        <w:tc>
          <w:tcPr>
            <w:tcW w:type="dxa" w:w="1474"/>
            <w:tcMar>
              <w:top w:w="40" w:type="dxa"/>
              <w:left w:w="80" w:type="dxa"/>
              <w:bottom w:w="40" w:type="dxa"/>
              <w:right w:w="80" w:type="dxa"/>
            </w:tcMar>
            <w:vAlign w:val="center"/>
          </w:tcPr>
          <w:p>
            <w:pPr>
              <w:jc w:val="center"/>
            </w:pPr>
            <w:r/>
            <w:r>
              <w:rPr>
                <w:b/>
                <w:color w:val="1E8E49"/>
                <w:sz w:val="22"/>
              </w:rPr>
              <w:t>ADDRESSED</w:t>
            </w:r>
          </w:p>
        </w:tc>
      </w:tr>
    </w:tbl>
    <w:p/>
    <w:p>
      <w:pPr>
        <w:spacing w:line="360" w:lineRule="auto" w:after="120"/>
      </w:pPr>
      <w:r>
        <w:rPr>
          <w:b w:val="0"/>
          <w:i/>
          <w:color w:val="606060"/>
          <w:sz w:val="22"/>
        </w:rPr>
        <w:t>End of response letter. Total comments addressed: 29 of 29. Status: All ADDRESSED. Posture: defensive, technical, final. Manuscript status: submission-ready.</w:t>
      </w:r>
    </w:p>
    <w:sectPr w:rsidR="00FC693F" w:rsidRPr="0006063C" w:rsidSect="00034616">
      <w:headerReference w:type="default" r:id="rId11"/>
      <w:footerReference w:type="default" r:id="rId12"/>
      <w:pgSz w:w="11906" w:h="16838"/>
      <w:pgMar w:top="1417" w:right="1134" w:bottom="1417"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808080"/>
        <w:sz w:val="20"/>
      </w:rPr>
      <w:t xml:space="preserve">Page </w:t>
    </w:r>
    <w:r>
      <w:rPr>
        <w:rFonts w:ascii="Calibri" w:hAnsi="Calibri"/>
        <w:color w:val="808080"/>
        <w:sz w:val="20"/>
      </w:rPr>
      <w:fldChar w:fldCharType="begin"/>
      <w:instrText xml:space="preserve">PAGE</w:instrText>
      <w:fldChar w:fldCharType="end"/>
    </w:r>
    <w:r>
      <w:rPr>
        <w:rFonts w:ascii="Calibri" w:hAnsi="Calibri"/>
        <w:color w:val="808080"/>
        <w:sz w:val="20"/>
      </w:rPr>
      <w:t xml:space="preserve"> of </w:t>
    </w:r>
    <w:r>
      <w:rPr>
        <w:rFonts w:ascii="Calibri" w:hAnsi="Calibri"/>
        <w:color w:val="808080"/>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i/>
        <w:color w:val="808080"/>
        <w:sz w:val="20"/>
      </w:rPr>
      <w:t>Response to Reviewer #2 — Energy Infrastructure for AI Data Centers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Calibri" w:hAnsi="Calibri"/>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