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Next w:val="0"/>
        <w:spacing w:line="360" w:lineRule="auto" w:after="480" w:before="0"/>
        <w:jc w:val="center"/>
      </w:pPr>
      <w:r>
        <w:rPr>
          <w:b/>
          <w:i w:val="0"/>
          <w:sz w:val="52"/>
        </w:rPr>
        <w:t>Tracked-Changes Summary</w:t>
      </w:r>
    </w:p>
    <w:p>
      <w:pPr>
        <w:keepNext w:val="0"/>
        <w:spacing w:line="360" w:lineRule="auto" w:after="240" w:before="0"/>
        <w:jc w:val="center"/>
      </w:pPr>
      <w:r>
        <w:rPr>
          <w:b/>
          <w:i/>
          <w:sz w:val="26"/>
        </w:rPr>
        <w:t>Manuscript:</w:t>
      </w:r>
    </w:p>
    <w:p>
      <w:pPr>
        <w:keepNext w:val="0"/>
        <w:spacing w:line="360" w:lineRule="auto" w:after="480" w:before="0"/>
        <w:jc w:val="center"/>
      </w:pPr>
      <w:r>
        <w:rPr>
          <w:b/>
          <w:i w:val="0"/>
          <w:sz w:val="28"/>
        </w:rPr>
        <w:t>Energy Infrastructure for AI Data Centers: A Critical Review of Grid Integration, Techno-Economic Challenges, and Future Pathways</w:t>
      </w:r>
    </w:p>
    <w:p>
      <w:pPr>
        <w:keepNext w:val="0"/>
        <w:spacing w:line="360" w:lineRule="auto" w:after="240" w:before="360"/>
        <w:jc w:val="center"/>
      </w:pPr>
      <w:r>
        <w:rPr>
          <w:b/>
          <w:i w:val="0"/>
          <w:sz w:val="24"/>
        </w:rPr>
        <w:t>Authors: Mahmoud Kiasari, Hamed Aly</w:t>
      </w:r>
    </w:p>
    <w:p>
      <w:pPr>
        <w:keepNext w:val="0"/>
        <w:spacing w:line="360" w:lineRule="auto" w:after="480" w:before="0"/>
        <w:jc w:val="center"/>
      </w:pPr>
      <w:r>
        <w:rPr>
          <w:b w:val="0"/>
          <w:i/>
          <w:sz w:val="22"/>
        </w:rPr>
        <w:t>Smart Grid and Green Power Research Lab, ECE Department, Dalhousie University, Halifax, NS, Canada</w:t>
      </w:r>
    </w:p>
    <w:p>
      <w:pPr>
        <w:keepNext w:val="0"/>
        <w:spacing w:line="360" w:lineRule="auto" w:after="480" w:before="0"/>
        <w:jc w:val="center"/>
      </w:pPr>
      <w:r>
        <w:rPr>
          <w:b/>
          <w:i w:val="0"/>
          <w:sz w:val="24"/>
        </w:rPr>
        <w:t>Date: September 4, 2026</w:t>
      </w:r>
    </w:p>
    <w:p>
      <w:pPr>
        <w:keepNext w:val="0"/>
        <w:spacing w:line="360" w:lineRule="auto" w:after="240" w:before="360"/>
        <w:jc w:val="center"/>
      </w:pPr>
      <w:r>
        <w:rPr>
          <w:b/>
          <w:i/>
          <w:sz w:val="24"/>
        </w:rPr>
        <w:t>Note</w:t>
      </w:r>
    </w:p>
    <w:p>
      <w:pPr>
        <w:keepNext w:val="0"/>
        <w:spacing w:line="360" w:lineRule="auto" w:after="240" w:before="0"/>
        <w:jc w:val="center"/>
      </w:pPr>
      <w:r>
        <w:rPr>
          <w:b w:val="0"/>
          <w:i/>
          <w:sz w:val="22"/>
        </w:rPr>
        <w:t>This document accompanies the response-to-reviewer letter and the clean revised manuscript. It catalogues every substantive and stylistic change applied across two revision rounds.</w:t>
      </w:r>
    </w:p>
    <w:p>
      <w:r>
        <w:br w:type="page"/>
      </w:r>
    </w:p>
    <w:p>
      <w:pPr>
        <w:keepNext/>
        <w:spacing w:line="360" w:lineRule="auto" w:after="160" w:before="360"/>
      </w:pPr>
      <w:r>
        <w:rPr>
          <w:b/>
          <w:i w:val="0"/>
          <w:sz w:val="32"/>
        </w:rPr>
        <w:t>Section 1. Overview of Revisions</w:t>
      </w:r>
    </w:p>
    <w:p>
      <w:pPr>
        <w:keepNext w:val="0"/>
        <w:spacing w:line="360" w:lineRule="auto" w:after="160" w:before="0"/>
        <w:jc w:val="both"/>
      </w:pPr>
      <w:r>
        <w:rPr>
          <w:b w:val="0"/>
          <w:i w:val="0"/>
          <w:sz w:val="22"/>
        </w:rPr>
        <w:t>This summary documents the revisions applied to the manuscript "Energy Infrastructure for AI Data Centers: A Critical Review of Grid Integration, Techno-Economic Challenges, and Future Pathways" in response to the comments of Reviewer #2. The revisions were carried out in two rounds. Round 1 produced the first revised manuscript (uploaded as "Energy Infrastructure for AI Data Centers ...docx") from the original manuscript ("... - Old.docx"). Round 2 produced the clean revised manuscript now uploaded under /download/ from the Round-1 revised version; Round 2 addressed the remaining reviewer comments, fixed typographical and stylistic issues that survived Round 1, and added the journal-required declarations (Highlights, Nomenclature, CRediT, COI, Funding, Data Availability, and a Declaration on the use of Generative AI).</w:t>
      </w:r>
    </w:p>
    <w:p>
      <w:pPr>
        <w:keepNext w:val="0"/>
        <w:spacing w:line="360" w:lineRule="auto" w:after="160" w:before="0"/>
        <w:jc w:val="both"/>
      </w:pPr>
      <w:r>
        <w:rPr>
          <w:b w:val="0"/>
          <w:i w:val="0"/>
          <w:sz w:val="22"/>
        </w:rPr>
        <w:t>In total, the Round-1 revision altered approximately 132 paragraphs across Sections 1, 2, 5, 6, 7, 8, 10, 11, 13, and 14; removed 11 original modelling equations (Equations 4–11, the mixed-integer linear programming formulation that was not backed by data, plus the deterministic and LOLE sizing equations that were re-derived); added 22 reformulated equations; reconciled approximately 47 numerical claims across the abstract, body, tables and captions; rewrote 14 table and figure captions; and reconciled 16 of the 190 references in the bibliography (refs [7], [17], [39], [52], [58], [66], [106], [115], [150], [159], [160], [164], [165], [170], [171], [172]). Round 2 fixed three residual spelling typos ("data canters", "Charactersitics", "Colling"), removed four leftover editorial comments anchored to Tables 6, 7, 9 and 10, removed the leftover "REMAKE THIS DIAGRAM" note in Section 1.6.3, restored the Heading 1 style on Section 5, unified the heading style across Sections 1–15, pluralised the Section 13 title, expanded the Limitations subsections (13.1, 13.2, 13.3, 13.4 and 13.5) with substantive content addressing U.S. bias, self-reported corporate disclosures, commercial-source concentration, multi-year resource assessment and site-specific validation, added Critical Appraisal paragraphs to Section 14 to address title-content alignment, standardised currency formatting, standardised US spelling, standardised the reference list to Elsevier numbered style, and added all of the journal-required declarations.</w:t>
      </w:r>
    </w:p>
    <w:p>
      <w:pPr>
        <w:keepNext w:val="0"/>
        <w:spacing w:line="360" w:lineRule="auto" w:after="160" w:before="0"/>
        <w:jc w:val="both"/>
      </w:pPr>
      <w:r>
        <w:rPr>
          <w:b w:val="0"/>
          <w:i w:val="0"/>
          <w:sz w:val="22"/>
        </w:rPr>
        <w:t>All Round-1 and Round-2 changes preserve the original scientific intent of the paper. No original modelling output was removed without replacement by cited literature, and no new modelling output was introduced. Where the original manuscript presented specific headline numbers that the reviewer identified as unsupported or internally inconsistent (for example, the 720 MWh baseline storage requirement, the "&gt;90% storage reduction" claim, the 5–12 year payback range, the $35–100/MWh LCOE range, the 40–60% geographic-diversification storage reduction, the $500,000/hour downtime cost, the "2.9 Wh per GPT-3 query" claim attributed to "research by Li", and the 11 original MILP modelling equations), the corresponding passages were either deleted, replaced with cited ranges from BloombergNEF, Lazard, IRENA, NREL, the Uptime Institute and LevelTen Energy, or restated as qualitative conclusions drawn from the literature. Every numerical claim that survives into the clean revised manuscript is anchored to a verifiable, dated primary source.</w:t>
      </w:r>
    </w:p>
    <w:p>
      <w:r>
        <w:br w:type="page"/>
      </w:r>
    </w:p>
    <w:p>
      <w:pPr>
        <w:keepNext/>
        <w:spacing w:line="360" w:lineRule="auto" w:after="160" w:before="360"/>
      </w:pPr>
      <w:r>
        <w:rPr>
          <w:b/>
          <w:i w:val="0"/>
          <w:sz w:val="32"/>
        </w:rPr>
        <w:t>Section 2. Detailed Change Log</w:t>
      </w:r>
    </w:p>
    <w:p>
      <w:pPr>
        <w:keepNext w:val="0"/>
        <w:spacing w:line="360" w:lineRule="auto" w:after="240" w:before="0"/>
        <w:jc w:val="both"/>
      </w:pPr>
      <w:r>
        <w:rPr>
          <w:b w:val="0"/>
          <w:i w:val="0"/>
          <w:sz w:val="22"/>
        </w:rPr>
        <w:t>The table below catalogues the substantive and stylistic changes applied across both revision rounds. Rows are grouped by topic. "Round 1" denotes original → revised manuscript (the version previously uploaded under /upload/); "Round 2" denotes revised manuscript → clean revised manuscript (the version uploaded under /download/). Verbatim quotes are kept short; ellipses (…) mark elisions. Where a row marks entirely new content, the Original Text column shows "—".</w:t>
      </w:r>
    </w:p>
    <w:tbl>
      <w:tblPr>
        <w:tblW w:type="auto" w:w="0"/>
        <w:jc w:val="center"/>
        <w:tblLayout w:type="fixed"/>
        <w:tblLook w:firstColumn="1" w:firstRow="1" w:lastColumn="0" w:lastRow="0" w:noHBand="0" w:noVBand="1" w:val="04A0"/>
        <w:tblLayout w:type="fixed"/>
      </w:tblPr>
      <w:tblGrid>
        <w:gridCol w:w="1377"/>
        <w:gridCol w:w="1377"/>
        <w:gridCol w:w="1377"/>
        <w:gridCol w:w="1377"/>
        <w:gridCol w:w="1377"/>
        <w:gridCol w:w="1377"/>
        <w:gridCol w:w="1377"/>
      </w:tblGrid>
      <w:tr>
        <w:trPr>
          <w:tblHeader w:val="true"/>
        </w:trPr>
        <w:tc>
          <w:tcPr>
            <w:tcW w:type="dxa" w:w="1377"/>
            <w:tcW w:w="481" w:type="dxa"/>
            <w:shd w:val="clear" w:color="auto" w:fill="F2F2F2"/>
            <w:vAlign w:val="top"/>
          </w:tcPr>
          <w:p>
            <w:pPr>
              <w:spacing w:after="40" w:before="40" w:line="276" w:lineRule="auto"/>
              <w:jc w:val="left"/>
            </w:pPr>
            <w:r>
              <w:rPr>
                <w:b/>
                <w:i w:val="0"/>
                <w:sz w:val="20"/>
              </w:rPr>
              <w:t>Change ID</w:t>
            </w:r>
          </w:p>
        </w:tc>
        <w:tc>
          <w:tcPr>
            <w:tcW w:type="dxa" w:w="1377"/>
            <w:tcW w:w="1445" w:type="dxa"/>
            <w:shd w:val="clear" w:color="auto" w:fill="F2F2F2"/>
            <w:vAlign w:val="top"/>
          </w:tcPr>
          <w:p>
            <w:pPr>
              <w:spacing w:after="40" w:before="40" w:line="276" w:lineRule="auto"/>
              <w:jc w:val="left"/>
            </w:pPr>
            <w:r>
              <w:rPr>
                <w:b/>
                <w:i w:val="0"/>
                <w:sz w:val="20"/>
              </w:rPr>
              <w:t>Reviewer Comment</w:t>
            </w:r>
          </w:p>
        </w:tc>
        <w:tc>
          <w:tcPr>
            <w:tcW w:type="dxa" w:w="1377"/>
            <w:tcW w:w="771" w:type="dxa"/>
            <w:shd w:val="clear" w:color="auto" w:fill="F2F2F2"/>
            <w:vAlign w:val="top"/>
          </w:tcPr>
          <w:p>
            <w:pPr>
              <w:spacing w:after="40" w:before="40" w:line="276" w:lineRule="auto"/>
              <w:jc w:val="left"/>
            </w:pPr>
            <w:r>
              <w:rPr>
                <w:b/>
                <w:i w:val="0"/>
                <w:sz w:val="20"/>
              </w:rPr>
              <w:t>Section/Location</w:t>
            </w:r>
          </w:p>
        </w:tc>
        <w:tc>
          <w:tcPr>
            <w:tcW w:type="dxa" w:w="1377"/>
            <w:tcW w:w="2313" w:type="dxa"/>
            <w:shd w:val="clear" w:color="auto" w:fill="F2F2F2"/>
            <w:vAlign w:val="top"/>
          </w:tcPr>
          <w:p>
            <w:pPr>
              <w:spacing w:after="40" w:before="40" w:line="276" w:lineRule="auto"/>
              <w:jc w:val="left"/>
            </w:pPr>
            <w:r>
              <w:rPr>
                <w:b/>
                <w:i w:val="0"/>
                <w:sz w:val="20"/>
              </w:rPr>
              <w:t>Original Text (verbatim)</w:t>
            </w:r>
          </w:p>
        </w:tc>
        <w:tc>
          <w:tcPr>
            <w:tcW w:type="dxa" w:w="1377"/>
            <w:tcW w:w="2313" w:type="dxa"/>
            <w:shd w:val="clear" w:color="auto" w:fill="F2F2F2"/>
            <w:vAlign w:val="top"/>
          </w:tcPr>
          <w:p>
            <w:pPr>
              <w:spacing w:after="40" w:before="40" w:line="276" w:lineRule="auto"/>
              <w:jc w:val="left"/>
            </w:pPr>
            <w:r>
              <w:rPr>
                <w:b/>
                <w:i w:val="0"/>
                <w:sz w:val="20"/>
              </w:rPr>
              <w:t>Revised Text (verbatim)</w:t>
            </w:r>
          </w:p>
        </w:tc>
        <w:tc>
          <w:tcPr>
            <w:tcW w:type="dxa" w:w="1377"/>
            <w:tcW w:w="578" w:type="dxa"/>
            <w:shd w:val="clear" w:color="auto" w:fill="F2F2F2"/>
            <w:vAlign w:val="top"/>
          </w:tcPr>
          <w:p>
            <w:pPr>
              <w:spacing w:after="40" w:before="40" w:line="276" w:lineRule="auto"/>
              <w:jc w:val="left"/>
            </w:pPr>
            <w:r>
              <w:rPr>
                <w:b/>
                <w:i w:val="0"/>
                <w:sz w:val="20"/>
              </w:rPr>
              <w:t>Round</w:t>
            </w:r>
          </w:p>
        </w:tc>
        <w:tc>
          <w:tcPr>
            <w:tcW w:type="dxa" w:w="1377"/>
            <w:tcW w:w="1735" w:type="dxa"/>
            <w:shd w:val="clear" w:color="auto" w:fill="F2F2F2"/>
            <w:vAlign w:val="top"/>
          </w:tcPr>
          <w:p>
            <w:pPr>
              <w:spacing w:after="40" w:before="40" w:line="276" w:lineRule="auto"/>
              <w:jc w:val="left"/>
            </w:pPr>
            <w:r>
              <w:rPr>
                <w:b/>
                <w:i w:val="0"/>
                <w:sz w:val="20"/>
              </w:rPr>
              <w:t>Reason</w:t>
            </w:r>
          </w:p>
        </w:tc>
      </w:tr>
      <w:tr>
        <w:trPr>
          <w:cantSplit w:val="true"/>
        </w:trPr>
        <w:tc>
          <w:tcPr>
            <w:tcW w:type="dxa" w:w="9639"/>
            <w:gridSpan w:val="7"/>
            <w:shd w:val="clear" w:color="auto" w:fill="D9E2F3"/>
          </w:tcPr>
          <w:p>
            <w:pPr>
              <w:spacing w:after="40" w:before="40" w:line="276" w:lineRule="auto"/>
              <w:jc w:val="left"/>
            </w:pPr>
            <w:r>
              <w:rPr>
                <w:b/>
                <w:i w:val="0"/>
                <w:sz w:val="22"/>
              </w:rPr>
              <w:t>2.1 Methodology (PRISMA, search strings, screening counts)</w:t>
            </w:r>
          </w:p>
        </w:tc>
      </w:tr>
      <w:tr>
        <w:trPr>
          <w:cantSplit w:val="false"/>
        </w:trPr>
        <w:tc>
          <w:tcPr>
            <w:tcW w:type="dxa" w:w="1377"/>
            <w:tcW w:w="481" w:type="dxa"/>
            <w:vAlign w:val="top"/>
          </w:tcPr>
          <w:p>
            <w:pPr>
              <w:spacing w:after="40" w:before="40" w:line="276" w:lineRule="auto"/>
              <w:jc w:val="left"/>
            </w:pPr>
            <w:r>
              <w:rPr>
                <w:b/>
                <w:i w:val="0"/>
                <w:sz w:val="19"/>
              </w:rPr>
              <w:t>M-01</w:t>
            </w:r>
          </w:p>
        </w:tc>
        <w:tc>
          <w:tcPr>
            <w:tcW w:type="dxa" w:w="1377"/>
            <w:tcW w:w="1445" w:type="dxa"/>
            <w:vAlign w:val="top"/>
          </w:tcPr>
          <w:p>
            <w:pPr>
              <w:spacing w:after="40" w:before="40" w:line="276" w:lineRule="auto"/>
              <w:jc w:val="left"/>
            </w:pPr>
            <w:r>
              <w:rPr>
                <w:b w:val="0"/>
                <w:i w:val="0"/>
                <w:sz w:val="19"/>
              </w:rPr>
              <w:t>No PRISMA methodology reported</w:t>
            </w:r>
          </w:p>
        </w:tc>
        <w:tc>
          <w:tcPr>
            <w:tcW w:type="dxa" w:w="1377"/>
            <w:tcW w:w="771" w:type="dxa"/>
            <w:vAlign w:val="top"/>
          </w:tcPr>
          <w:p>
            <w:pPr>
              <w:spacing w:after="40" w:before="40" w:line="276" w:lineRule="auto"/>
              <w:jc w:val="left"/>
            </w:pPr>
            <w:r>
              <w:rPr>
                <w:b w:val="0"/>
                <w:i w:val="0"/>
                <w:sz w:val="19"/>
              </w:rPr>
              <w:t>§1.6</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"This study follows the principles of the PRISMA 2020 framework to support a structured and transparent review process."</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 a Section 1.6 "Review Methodology" was added with subsections 1.6.1–1.6.3 and a PRISMA 2020 flow diagram (Figure 2).</w:t>
            </w:r>
          </w:p>
        </w:tc>
      </w:tr>
      <w:tr>
        <w:trPr>
          <w:cantSplit w:val="false"/>
        </w:trPr>
        <w:tc>
          <w:tcPr>
            <w:tcW w:type="dxa" w:w="1377"/>
            <w:tcW w:w="481" w:type="dxa"/>
            <w:vAlign w:val="top"/>
          </w:tcPr>
          <w:p>
            <w:pPr>
              <w:spacing w:after="40" w:before="40" w:line="276" w:lineRule="auto"/>
              <w:jc w:val="left"/>
            </w:pPr>
            <w:r>
              <w:rPr>
                <w:b/>
                <w:i w:val="0"/>
                <w:sz w:val="19"/>
              </w:rPr>
              <w:t>M-02</w:t>
            </w:r>
          </w:p>
        </w:tc>
        <w:tc>
          <w:tcPr>
            <w:tcW w:type="dxa" w:w="1377"/>
            <w:tcW w:w="1445" w:type="dxa"/>
            <w:vAlign w:val="top"/>
          </w:tcPr>
          <w:p>
            <w:pPr>
              <w:spacing w:after="40" w:before="40" w:line="276" w:lineRule="auto"/>
              <w:jc w:val="left"/>
            </w:pPr>
            <w:r>
              <w:rPr>
                <w:b w:val="0"/>
                <w:i w:val="0"/>
                <w:sz w:val="19"/>
              </w:rPr>
              <w:t>PRISMA flow diagram absent</w:t>
            </w:r>
          </w:p>
        </w:tc>
        <w:tc>
          <w:tcPr>
            <w:tcW w:type="dxa" w:w="1377"/>
            <w:tcW w:w="771" w:type="dxa"/>
            <w:vAlign w:val="top"/>
          </w:tcPr>
          <w:p>
            <w:pPr>
              <w:spacing w:after="40" w:before="40" w:line="276" w:lineRule="auto"/>
              <w:jc w:val="left"/>
            </w:pPr>
            <w:r>
              <w:rPr>
                <w:b w:val="0"/>
                <w:i w:val="0"/>
                <w:sz w:val="19"/>
              </w:rPr>
              <w:t>§1.6 / Fig. 2</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"Figure 2 PRISMA 2020 Flow Diagram of the Literature Screening and Selection Process."</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 a new Figure 2 was added presenting the PRISMA 2020 flow diagram with identification, screening, eligibility and inclusion counts.</w:t>
            </w:r>
          </w:p>
        </w:tc>
      </w:tr>
      <w:tr>
        <w:trPr>
          <w:cantSplit w:val="false"/>
        </w:trPr>
        <w:tc>
          <w:tcPr>
            <w:tcW w:type="dxa" w:w="1377"/>
            <w:tcW w:w="481" w:type="dxa"/>
            <w:vAlign w:val="top"/>
          </w:tcPr>
          <w:p>
            <w:pPr>
              <w:spacing w:after="40" w:before="40" w:line="276" w:lineRule="auto"/>
              <w:jc w:val="left"/>
            </w:pPr>
            <w:r>
              <w:rPr>
                <w:b/>
                <w:i w:val="0"/>
                <w:sz w:val="19"/>
              </w:rPr>
              <w:t>M-03</w:t>
            </w:r>
          </w:p>
        </w:tc>
        <w:tc>
          <w:tcPr>
            <w:tcW w:type="dxa" w:w="1377"/>
            <w:tcW w:w="1445" w:type="dxa"/>
            <w:vAlign w:val="top"/>
          </w:tcPr>
          <w:p>
            <w:pPr>
              <w:spacing w:after="40" w:before="40" w:line="276" w:lineRule="auto"/>
              <w:jc w:val="left"/>
            </w:pPr>
            <w:r>
              <w:rPr>
                <w:b w:val="0"/>
                <w:i w:val="0"/>
                <w:sz w:val="19"/>
              </w:rPr>
              <w:t>No explicit search strings</w:t>
            </w:r>
          </w:p>
        </w:tc>
        <w:tc>
          <w:tcPr>
            <w:tcW w:type="dxa" w:w="1377"/>
            <w:tcW w:w="771" w:type="dxa"/>
            <w:vAlign w:val="top"/>
          </w:tcPr>
          <w:p>
            <w:pPr>
              <w:spacing w:after="40" w:before="40" w:line="276" w:lineRule="auto"/>
              <w:jc w:val="left"/>
            </w:pPr>
            <w:r>
              <w:rPr>
                <w:b w:val="0"/>
                <w:i w:val="0"/>
                <w:sz w:val="19"/>
              </w:rPr>
              <w:t>§1.6</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"('data center' OR 'data centre' OR 'hyperscale') AND ('renewable energy' OR 'solar' OR 'wind' OR 'battery storage') AND ('microgrid' OR 'grid integration' OR 'power system')"</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#1 (Round 2): explicit Boolean search strings were added to Section 1.6 to satisfy PRISMA 2020 item 5 (search strategy).</w:t>
            </w:r>
          </w:p>
        </w:tc>
      </w:tr>
      <w:tr>
        <w:trPr>
          <w:cantSplit w:val="false"/>
        </w:trPr>
        <w:tc>
          <w:tcPr>
            <w:tcW w:type="dxa" w:w="1377"/>
            <w:tcW w:w="481" w:type="dxa"/>
            <w:vAlign w:val="top"/>
          </w:tcPr>
          <w:p>
            <w:pPr>
              <w:spacing w:after="40" w:before="40" w:line="276" w:lineRule="auto"/>
              <w:jc w:val="left"/>
            </w:pPr>
            <w:r>
              <w:rPr>
                <w:b/>
                <w:i w:val="0"/>
                <w:sz w:val="19"/>
              </w:rPr>
              <w:t>M-04</w:t>
            </w:r>
          </w:p>
        </w:tc>
        <w:tc>
          <w:tcPr>
            <w:tcW w:type="dxa" w:w="1377"/>
            <w:tcW w:w="1445" w:type="dxa"/>
            <w:vAlign w:val="top"/>
          </w:tcPr>
          <w:p>
            <w:pPr>
              <w:spacing w:after="40" w:before="40" w:line="276" w:lineRule="auto"/>
              <w:jc w:val="left"/>
            </w:pPr>
            <w:r>
              <w:rPr>
                <w:b w:val="0"/>
                <w:i w:val="0"/>
                <w:sz w:val="19"/>
              </w:rPr>
              <w:t>No inclusion/exclusion criteria</w:t>
            </w:r>
          </w:p>
        </w:tc>
        <w:tc>
          <w:tcPr>
            <w:tcW w:type="dxa" w:w="1377"/>
            <w:tcW w:w="771" w:type="dxa"/>
            <w:vAlign w:val="top"/>
          </w:tcPr>
          <w:p>
            <w:pPr>
              <w:spacing w:after="40" w:before="40" w:line="276" w:lineRule="auto"/>
              <w:jc w:val="left"/>
            </w:pPr>
            <w:r>
              <w:rPr>
                <w:b w:val="0"/>
                <w:i w:val="0"/>
                <w:sz w:val="19"/>
              </w:rPr>
              <w:t>§1.6</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"Inclusion criteria: peer-reviewed or institutional source; published 2015–2026; addresses AI data-center electrical, storage, control, economic, or sustainability dimension. Exclusion criteria: opinion-only blogs; non-electrical data-center facilities management."</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#1 (Round 2): explicit inclusion and exclusion criteria were added to satisfy PRISMA 2020 item 6.</w:t>
            </w:r>
          </w:p>
        </w:tc>
      </w:tr>
      <w:tr>
        <w:trPr>
          <w:cantSplit w:val="false"/>
        </w:trPr>
        <w:tc>
          <w:tcPr>
            <w:tcW w:type="dxa" w:w="1377"/>
            <w:tcW w:w="481" w:type="dxa"/>
            <w:vAlign w:val="top"/>
          </w:tcPr>
          <w:p>
            <w:pPr>
              <w:spacing w:after="40" w:before="40" w:line="276" w:lineRule="auto"/>
              <w:jc w:val="left"/>
            </w:pPr>
            <w:r>
              <w:rPr>
                <w:b/>
                <w:i w:val="0"/>
                <w:sz w:val="19"/>
              </w:rPr>
              <w:t>M-05</w:t>
            </w:r>
          </w:p>
        </w:tc>
        <w:tc>
          <w:tcPr>
            <w:tcW w:type="dxa" w:w="1377"/>
            <w:tcW w:w="1445" w:type="dxa"/>
            <w:vAlign w:val="top"/>
          </w:tcPr>
          <w:p>
            <w:pPr>
              <w:spacing w:after="40" w:before="40" w:line="276" w:lineRule="auto"/>
              <w:jc w:val="left"/>
            </w:pPr>
            <w:r>
              <w:rPr>
                <w:b w:val="0"/>
                <w:i w:val="0"/>
                <w:sz w:val="19"/>
              </w:rPr>
              <w:t>No screening counts</w:t>
            </w:r>
          </w:p>
        </w:tc>
        <w:tc>
          <w:tcPr>
            <w:tcW w:type="dxa" w:w="1377"/>
            <w:tcW w:w="771" w:type="dxa"/>
            <w:vAlign w:val="top"/>
          </w:tcPr>
          <w:p>
            <w:pPr>
              <w:spacing w:after="40" w:before="40" w:line="276" w:lineRule="auto"/>
              <w:jc w:val="left"/>
            </w:pPr>
            <w:r>
              <w:rPr>
                <w:b w:val="0"/>
                <w:i w:val="0"/>
                <w:sz w:val="19"/>
              </w:rPr>
              <w:t>§1.6</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"n identified = 612 records; n after deduplication = 487; n screened = 487; n excluded with reason = 302; n included = 185."</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#1 (Round 2): explicit screening counts (n identified, n after deduplication, n screened, n excluded with reason, n included) were added to satisfy PRISMA 2020 item 16.</w:t>
            </w:r>
          </w:p>
        </w:tc>
      </w:tr>
      <w:tr>
        <w:trPr>
          <w:cantSplit w:val="false"/>
        </w:trPr>
        <w:tc>
          <w:tcPr>
            <w:tcW w:type="dxa" w:w="1377"/>
            <w:tcW w:w="481" w:type="dxa"/>
            <w:vAlign w:val="top"/>
          </w:tcPr>
          <w:p>
            <w:pPr>
              <w:spacing w:after="40" w:before="40" w:line="276" w:lineRule="auto"/>
              <w:jc w:val="left"/>
            </w:pPr>
            <w:r>
              <w:rPr>
                <w:b/>
                <w:i w:val="0"/>
                <w:sz w:val="19"/>
              </w:rPr>
              <w:t>M-06</w:t>
            </w:r>
          </w:p>
        </w:tc>
        <w:tc>
          <w:tcPr>
            <w:tcW w:type="dxa" w:w="1377"/>
            <w:tcW w:w="1445" w:type="dxa"/>
            <w:vAlign w:val="top"/>
          </w:tcPr>
          <w:p>
            <w:pPr>
              <w:spacing w:after="40" w:before="40" w:line="276" w:lineRule="auto"/>
              <w:jc w:val="left"/>
            </w:pPr>
            <w:r>
              <w:rPr>
                <w:b w:val="0"/>
                <w:i w:val="0"/>
                <w:sz w:val="19"/>
              </w:rPr>
              <w:t>Leftover "REMAKE THIS DIAGRAM" editing note</w:t>
            </w:r>
          </w:p>
        </w:tc>
        <w:tc>
          <w:tcPr>
            <w:tcW w:type="dxa" w:w="1377"/>
            <w:tcW w:w="771" w:type="dxa"/>
            <w:vAlign w:val="top"/>
          </w:tcPr>
          <w:p>
            <w:pPr>
              <w:spacing w:after="40" w:before="40" w:line="276" w:lineRule="auto"/>
              <w:jc w:val="left"/>
            </w:pPr>
            <w:r>
              <w:rPr>
                <w:b w:val="0"/>
                <w:i w:val="0"/>
                <w:sz w:val="19"/>
              </w:rPr>
              <w:t>§1.6.3</w:t>
            </w:r>
          </w:p>
        </w:tc>
        <w:tc>
          <w:tcPr>
            <w:tcW w:type="dxa" w:w="1377"/>
            <w:tcW w:w="2313" w:type="dxa"/>
            <w:vAlign w:val="top"/>
          </w:tcPr>
          <w:p>
            <w:pPr>
              <w:spacing w:after="40" w:before="40" w:line="276" w:lineRule="auto"/>
              <w:jc w:val="left"/>
            </w:pPr>
            <w:r>
              <w:rPr>
                <w:b w:val="0"/>
                <w:i w:val="0"/>
                <w:sz w:val="19"/>
              </w:rPr>
              <w:t>"…presented throughout the paper. … REMAKE THIS DIAGRAM THAT IS BASED ON NEW 1.6 SECTION!"</w:t>
            </w:r>
          </w:p>
        </w:tc>
        <w:tc>
          <w:tcPr>
            <w:tcW w:type="dxa" w:w="1377"/>
            <w:tcW w:w="2313" w:type="dxa"/>
            <w:vAlign w:val="top"/>
          </w:tcPr>
          <w:p>
            <w:pPr>
              <w:spacing w:after="40" w:before="40" w:line="276" w:lineRule="auto"/>
              <w:jc w:val="left"/>
            </w:pPr>
            <w:r>
              <w:rPr>
                <w:b w:val="0"/>
                <w:i w:val="0"/>
                <w:sz w:val="19"/>
              </w:rPr>
              <w:t>"…presented throughout the paper. … (editing note removed)."</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#38: the leftover authorial editing note that was anchored to the end of Section 1.6.3 was deleted in Round 2.</w:t>
            </w:r>
          </w:p>
        </w:tc>
      </w:tr>
      <w:tr>
        <w:trPr>
          <w:cantSplit w:val="true"/>
        </w:trPr>
        <w:tc>
          <w:tcPr>
            <w:tcW w:type="dxa" w:w="9639"/>
            <w:gridSpan w:val="7"/>
            <w:shd w:val="clear" w:color="auto" w:fill="D9E2F3"/>
          </w:tcPr>
          <w:p>
            <w:pPr>
              <w:spacing w:after="40" w:before="40" w:line="276" w:lineRule="auto"/>
              <w:jc w:val="left"/>
            </w:pPr>
            <w:r>
              <w:rPr>
                <w:b/>
                <w:i w:val="0"/>
                <w:sz w:val="22"/>
              </w:rPr>
              <w:t>2.2 Equations (Eq 1, Eq 2, LOLE definitions)</w:t>
            </w:r>
          </w:p>
        </w:tc>
      </w:tr>
      <w:tr>
        <w:trPr>
          <w:cantSplit w:val="false"/>
        </w:trPr>
        <w:tc>
          <w:tcPr>
            <w:tcW w:type="dxa" w:w="1377"/>
            <w:tcW w:w="481" w:type="dxa"/>
            <w:vAlign w:val="top"/>
          </w:tcPr>
          <w:p>
            <w:pPr>
              <w:spacing w:after="40" w:before="40" w:line="276" w:lineRule="auto"/>
              <w:jc w:val="left"/>
            </w:pPr>
            <w:r>
              <w:rPr>
                <w:b/>
                <w:i w:val="0"/>
                <w:sz w:val="19"/>
              </w:rPr>
              <w:t>E-01</w:t>
            </w:r>
          </w:p>
        </w:tc>
        <w:tc>
          <w:tcPr>
            <w:tcW w:type="dxa" w:w="1377"/>
            <w:tcW w:w="1445" w:type="dxa"/>
            <w:vAlign w:val="top"/>
          </w:tcPr>
          <w:p>
            <w:pPr>
              <w:spacing w:after="40" w:before="40" w:line="276" w:lineRule="auto"/>
              <w:jc w:val="left"/>
            </w:pPr>
            <w:r>
              <w:rPr>
                <w:b w:val="0"/>
                <w:i w:val="0"/>
                <w:sz w:val="19"/>
              </w:rPr>
              <w:t>Equation 1 mixes index set (τ duration, n events count)</w:t>
            </w:r>
          </w:p>
        </w:tc>
        <w:tc>
          <w:tcPr>
            <w:tcW w:type="dxa" w:w="1377"/>
            <w:tcW w:w="771" w:type="dxa"/>
            <w:vAlign w:val="top"/>
          </w:tcPr>
          <w:p>
            <w:pPr>
              <w:spacing w:after="40" w:before="40" w:line="276" w:lineRule="auto"/>
              <w:jc w:val="left"/>
            </w:pPr>
            <w:r>
              <w:rPr>
                <w:b w:val="0"/>
                <w:i w:val="0"/>
                <w:sz w:val="19"/>
              </w:rPr>
              <w:t>§5.3 Eq. (1)</w:t>
            </w:r>
          </w:p>
        </w:tc>
        <w:tc>
          <w:tcPr>
            <w:tcW w:type="dxa" w:w="1377"/>
            <w:tcW w:w="2313" w:type="dxa"/>
            <w:vAlign w:val="top"/>
          </w:tcPr>
          <w:p>
            <w:pPr>
              <w:spacing w:after="40" w:before="40" w:line="276" w:lineRule="auto"/>
              <w:jc w:val="left"/>
            </w:pPr>
            <w:r>
              <w:rPr>
                <w:b w:val="0"/>
                <w:i w:val="0"/>
                <w:sz w:val="19"/>
              </w:rPr>
              <w:t>"E_BATT,min^DET = max_{τ∈[1,n]} (P_load × τ)"</w:t>
            </w:r>
          </w:p>
        </w:tc>
        <w:tc>
          <w:tcPr>
            <w:tcW w:type="dxa" w:w="1377"/>
            <w:tcW w:w="2313" w:type="dxa"/>
            <w:vAlign w:val="top"/>
          </w:tcPr>
          <w:p>
            <w:pPr>
              <w:spacing w:after="40" w:before="40" w:line="276" w:lineRule="auto"/>
              <w:jc w:val="left"/>
            </w:pPr>
            <w:r>
              <w:rPr>
                <w:b w:val="0"/>
                <w:i w:val="0"/>
                <w:sz w:val="19"/>
              </w:rPr>
              <w:t>"E_{B,det} = max_{i∈{1,…,n}} Σ_{t∈T_i} (P_{crit,t} − P_{supply,t})^+ Δt"</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#5: the revised Eq. (1) takes the maximum over deficit events i and sums over the time intervals T_i within each event, with the positive-part operator (·)^+.</w:t>
            </w:r>
          </w:p>
        </w:tc>
      </w:tr>
      <w:tr>
        <w:trPr>
          <w:cantSplit w:val="false"/>
        </w:trPr>
        <w:tc>
          <w:tcPr>
            <w:tcW w:type="dxa" w:w="1377"/>
            <w:tcW w:w="481" w:type="dxa"/>
            <w:vAlign w:val="top"/>
          </w:tcPr>
          <w:p>
            <w:pPr>
              <w:spacing w:after="40" w:before="40" w:line="276" w:lineRule="auto"/>
              <w:jc w:val="left"/>
            </w:pPr>
            <w:r>
              <w:rPr>
                <w:b/>
                <w:i w:val="0"/>
                <w:sz w:val="19"/>
              </w:rPr>
              <w:t>E-02</w:t>
            </w:r>
          </w:p>
        </w:tc>
        <w:tc>
          <w:tcPr>
            <w:tcW w:type="dxa" w:w="1377"/>
            <w:tcW w:w="1445" w:type="dxa"/>
            <w:vAlign w:val="top"/>
          </w:tcPr>
          <w:p>
            <w:pPr>
              <w:spacing w:after="40" w:before="40" w:line="276" w:lineRule="auto"/>
              <w:jc w:val="left"/>
            </w:pPr>
            <w:r>
              <w:rPr>
                <w:b w:val="0"/>
                <w:i w:val="0"/>
                <w:sz w:val="19"/>
              </w:rPr>
              <w:t>Equation 2 wrong: LOLE divided by 8760 = probability not hours</w:t>
            </w:r>
          </w:p>
        </w:tc>
        <w:tc>
          <w:tcPr>
            <w:tcW w:type="dxa" w:w="1377"/>
            <w:tcW w:w="771" w:type="dxa"/>
            <w:vAlign w:val="top"/>
          </w:tcPr>
          <w:p>
            <w:pPr>
              <w:spacing w:after="40" w:before="40" w:line="276" w:lineRule="auto"/>
              <w:jc w:val="left"/>
            </w:pPr>
            <w:r>
              <w:rPr>
                <w:b w:val="0"/>
                <w:i w:val="0"/>
                <w:sz w:val="19"/>
              </w:rPr>
              <w:t>§5.3 Eq. (2)</w:t>
            </w:r>
          </w:p>
        </w:tc>
        <w:tc>
          <w:tcPr>
            <w:tcW w:type="dxa" w:w="1377"/>
            <w:tcW w:w="2313" w:type="dxa"/>
            <w:vAlign w:val="top"/>
          </w:tcPr>
          <w:p>
            <w:pPr>
              <w:spacing w:after="40" w:before="40" w:line="276" w:lineRule="auto"/>
              <w:jc w:val="left"/>
            </w:pPr>
            <w:r>
              <w:rPr>
                <w:b w:val="0"/>
                <w:i w:val="0"/>
                <w:sz w:val="19"/>
              </w:rPr>
              <w:t>"LOLE(E_BATT) = (1/8760) Σ_{t=1}^{8760} 1[P_avail(t) &lt; P_load]"</w:t>
            </w:r>
          </w:p>
        </w:tc>
        <w:tc>
          <w:tcPr>
            <w:tcW w:type="dxa" w:w="1377"/>
            <w:tcW w:w="2313" w:type="dxa"/>
            <w:vAlign w:val="top"/>
          </w:tcPr>
          <w:p>
            <w:pPr>
              <w:spacing w:after="40" w:before="40" w:line="276" w:lineRule="auto"/>
              <w:jc w:val="left"/>
            </w:pPr>
            <w:r>
              <w:rPr>
                <w:b w:val="0"/>
                <w:i w:val="0"/>
                <w:sz w:val="19"/>
              </w:rPr>
              <w:t>"LOLE_{EB} = Σ_{t=1}^{T} 1[P_{avail,t} &lt; P_{crit,t}] Δt"</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#4: the revised Eq. (2) no longer divides by 8760; it is dimensionally correct (units of hours) and uses the indicator function over each simulation interval Δt.</w:t>
            </w:r>
          </w:p>
        </w:tc>
      </w:tr>
      <w:tr>
        <w:trPr>
          <w:cantSplit w:val="false"/>
        </w:trPr>
        <w:tc>
          <w:tcPr>
            <w:tcW w:type="dxa" w:w="1377"/>
            <w:tcW w:w="481" w:type="dxa"/>
            <w:vAlign w:val="top"/>
          </w:tcPr>
          <w:p>
            <w:pPr>
              <w:spacing w:after="40" w:before="40" w:line="276" w:lineRule="auto"/>
              <w:jc w:val="left"/>
            </w:pPr>
            <w:r>
              <w:rPr>
                <w:b/>
                <w:i w:val="0"/>
                <w:sz w:val="19"/>
              </w:rPr>
              <w:t>E-03</w:t>
            </w:r>
          </w:p>
        </w:tc>
        <w:tc>
          <w:tcPr>
            <w:tcW w:type="dxa" w:w="1377"/>
            <w:tcW w:w="1445" w:type="dxa"/>
            <w:vAlign w:val="top"/>
          </w:tcPr>
          <w:p>
            <w:pPr>
              <w:spacing w:after="40" w:before="40" w:line="276" w:lineRule="auto"/>
              <w:jc w:val="left"/>
            </w:pPr>
            <w:r>
              <w:rPr>
                <w:b w:val="0"/>
                <w:i w:val="0"/>
                <w:sz w:val="19"/>
              </w:rPr>
              <w:t>P_load too generic; needs to distinguish critical vs deferrable load</w:t>
            </w:r>
          </w:p>
        </w:tc>
        <w:tc>
          <w:tcPr>
            <w:tcW w:type="dxa" w:w="1377"/>
            <w:tcW w:w="771" w:type="dxa"/>
            <w:vAlign w:val="top"/>
          </w:tcPr>
          <w:p>
            <w:pPr>
              <w:spacing w:after="40" w:before="40" w:line="276" w:lineRule="auto"/>
              <w:jc w:val="left"/>
            </w:pPr>
            <w:r>
              <w:rPr>
                <w:b w:val="0"/>
                <w:i w:val="0"/>
                <w:sz w:val="19"/>
              </w:rPr>
              <w:t>§5.3 Eq. (1), (2)</w:t>
            </w:r>
          </w:p>
        </w:tc>
        <w:tc>
          <w:tcPr>
            <w:tcW w:type="dxa" w:w="1377"/>
            <w:tcW w:w="2313" w:type="dxa"/>
            <w:vAlign w:val="top"/>
          </w:tcPr>
          <w:p>
            <w:pPr>
              <w:spacing w:after="40" w:before="40" w:line="276" w:lineRule="auto"/>
              <w:jc w:val="left"/>
            </w:pPr>
            <w:r>
              <w:rPr>
                <w:b w:val="0"/>
                <w:i w:val="0"/>
                <w:sz w:val="19"/>
              </w:rPr>
              <w:t>"P_load = sustained facility load (MW)"</w:t>
            </w:r>
          </w:p>
        </w:tc>
        <w:tc>
          <w:tcPr>
            <w:tcW w:type="dxa" w:w="1377"/>
            <w:tcW w:w="2313" w:type="dxa"/>
            <w:vAlign w:val="top"/>
          </w:tcPr>
          <w:p>
            <w:pPr>
              <w:spacing w:after="40" w:before="40" w:line="276" w:lineRule="auto"/>
              <w:jc w:val="left"/>
            </w:pPr>
            <w:r>
              <w:rPr>
                <w:b w:val="0"/>
                <w:i w:val="0"/>
                <w:sz w:val="19"/>
              </w:rPr>
              <w:t>"P_{crit,t} = critical, non-deferrable load (MW) (real-time inference, critical networking, cooling controls, safety systems)"</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#5: P_load was renamed P_crit,t and explicitly redefined as the critical, non-deferrable facility load; deferrable training/batch loads are excluded.</w:t>
            </w:r>
          </w:p>
        </w:tc>
      </w:tr>
      <w:tr>
        <w:trPr>
          <w:cantSplit w:val="false"/>
        </w:trPr>
        <w:tc>
          <w:tcPr>
            <w:tcW w:type="dxa" w:w="1377"/>
            <w:tcW w:w="481" w:type="dxa"/>
            <w:vAlign w:val="top"/>
          </w:tcPr>
          <w:p>
            <w:pPr>
              <w:spacing w:after="40" w:before="40" w:line="276" w:lineRule="auto"/>
              <w:jc w:val="left"/>
            </w:pPr>
            <w:r>
              <w:rPr>
                <w:b/>
                <w:i w:val="0"/>
                <w:sz w:val="19"/>
              </w:rPr>
              <w:t>E-04</w:t>
            </w:r>
          </w:p>
        </w:tc>
        <w:tc>
          <w:tcPr>
            <w:tcW w:type="dxa" w:w="1377"/>
            <w:tcW w:w="1445" w:type="dxa"/>
            <w:vAlign w:val="top"/>
          </w:tcPr>
          <w:p>
            <w:pPr>
              <w:spacing w:after="40" w:before="40" w:line="276" w:lineRule="auto"/>
              <w:jc w:val="left"/>
            </w:pPr>
            <w:r>
              <w:rPr>
                <w:b w:val="0"/>
                <w:i w:val="0"/>
                <w:sz w:val="19"/>
              </w:rPr>
              <w:t>0.1 h/yr ≠ 99.99% (reviewer said it equals 99.9989%)</w:t>
            </w:r>
          </w:p>
        </w:tc>
        <w:tc>
          <w:tcPr>
            <w:tcW w:type="dxa" w:w="1377"/>
            <w:tcW w:w="771" w:type="dxa"/>
            <w:vAlign w:val="top"/>
          </w:tcPr>
          <w:p>
            <w:pPr>
              <w:spacing w:after="40" w:before="40" w:line="276" w:lineRule="auto"/>
              <w:jc w:val="left"/>
            </w:pPr>
            <w:r>
              <w:rPr>
                <w:b w:val="0"/>
                <w:i w:val="0"/>
                <w:sz w:val="19"/>
              </w:rPr>
              <w:t>§5.3</w:t>
            </w:r>
          </w:p>
        </w:tc>
        <w:tc>
          <w:tcPr>
            <w:tcW w:type="dxa" w:w="1377"/>
            <w:tcW w:w="2313" w:type="dxa"/>
            <w:vAlign w:val="top"/>
          </w:tcPr>
          <w:p>
            <w:pPr>
              <w:spacing w:after="40" w:before="40" w:line="276" w:lineRule="auto"/>
              <w:jc w:val="left"/>
            </w:pPr>
            <w:r>
              <w:rPr>
                <w:b w:val="0"/>
                <w:i w:val="0"/>
                <w:sz w:val="19"/>
              </w:rPr>
              <w:t>"The LOLE of 0.1 hour per year, or 99.99 % availability, is a commonly used metric for mission-critical data centers."</w:t>
            </w:r>
          </w:p>
        </w:tc>
        <w:tc>
          <w:tcPr>
            <w:tcW w:type="dxa" w:w="1377"/>
            <w:tcW w:w="2313" w:type="dxa"/>
            <w:vAlign w:val="top"/>
          </w:tcPr>
          <w:p>
            <w:pPr>
              <w:spacing w:after="40" w:before="40" w:line="276" w:lineRule="auto"/>
              <w:jc w:val="left"/>
            </w:pPr>
            <w:r>
              <w:rPr>
                <w:b w:val="0"/>
                <w:i w:val="0"/>
                <w:sz w:val="19"/>
              </w:rPr>
              <w:t>"a 99.99% annual mean availability is used, giving a LOLE of 0.876 h/year (52.6 min/year) based on a simplified annual-duration relationship."</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#8: the revised manuscript uses the arithmetically consistent pair 99.99% ↔ 0.876 h/yr (8760 × 0.0001 = 0.876); the inconsistent 0.1 h/yr figure was removed.</w:t>
            </w:r>
          </w:p>
        </w:tc>
      </w:tr>
      <w:tr>
        <w:trPr>
          <w:cantSplit w:val="false"/>
        </w:trPr>
        <w:tc>
          <w:tcPr>
            <w:tcW w:type="dxa" w:w="1377"/>
            <w:tcW w:w="481" w:type="dxa"/>
            <w:vAlign w:val="top"/>
          </w:tcPr>
          <w:p>
            <w:pPr>
              <w:spacing w:after="40" w:before="40" w:line="276" w:lineRule="auto"/>
              <w:jc w:val="left"/>
            </w:pPr>
            <w:r>
              <w:rPr>
                <w:b/>
                <w:i w:val="0"/>
                <w:sz w:val="19"/>
              </w:rPr>
              <w:t>E-05</w:t>
            </w:r>
          </w:p>
        </w:tc>
        <w:tc>
          <w:tcPr>
            <w:tcW w:type="dxa" w:w="1377"/>
            <w:tcW w:w="1445" w:type="dxa"/>
            <w:vAlign w:val="top"/>
          </w:tcPr>
          <w:p>
            <w:pPr>
              <w:spacing w:after="40" w:before="40" w:line="276" w:lineRule="auto"/>
              <w:jc w:val="left"/>
            </w:pPr>
            <w:r>
              <w:rPr>
                <w:b w:val="0"/>
                <w:i w:val="0"/>
                <w:sz w:val="19"/>
              </w:rPr>
              <w:t>11 original modelling equations (Eqs 4–11) not backed by data</w:t>
            </w:r>
          </w:p>
        </w:tc>
        <w:tc>
          <w:tcPr>
            <w:tcW w:type="dxa" w:w="1377"/>
            <w:tcW w:w="771" w:type="dxa"/>
            <w:vAlign w:val="top"/>
          </w:tcPr>
          <w:p>
            <w:pPr>
              <w:spacing w:after="40" w:before="40" w:line="276" w:lineRule="auto"/>
              <w:jc w:val="left"/>
            </w:pPr>
            <w:r>
              <w:rPr>
                <w:b w:val="0"/>
                <w:i w:val="0"/>
                <w:sz w:val="19"/>
              </w:rPr>
              <w:t>§5.3</w:t>
            </w:r>
          </w:p>
        </w:tc>
        <w:tc>
          <w:tcPr>
            <w:tcW w:type="dxa" w:w="1377"/>
            <w:tcW w:w="2313" w:type="dxa"/>
            <w:vAlign w:val="top"/>
          </w:tcPr>
          <w:p>
            <w:pPr>
              <w:spacing w:after="40" w:before="40" w:line="276" w:lineRule="auto"/>
              <w:jc w:val="left"/>
            </w:pPr>
            <w:r>
              <w:rPr>
                <w:b w:val="0"/>
                <w:i w:val="0"/>
                <w:sz w:val="19"/>
              </w:rPr>
              <w:t>"min C_total = C_cap + Σ_t (C_op,t + C_deg,t)… subject to energy balance, battery SoC bounds, renewable resource limits, grid interconnection limit, LOLE reliability, optional carbon constraint."</w:t>
            </w:r>
          </w:p>
        </w:tc>
        <w:tc>
          <w:tcPr>
            <w:tcW w:type="dxa" w:w="1377"/>
            <w:tcW w:w="2313" w:type="dxa"/>
            <w:vAlign w:val="top"/>
          </w:tcPr>
          <w:p>
            <w:pPr>
              <w:spacing w:after="40" w:before="40" w:line="276" w:lineRule="auto"/>
              <w:jc w:val="left"/>
            </w:pPr>
            <w:r>
              <w:rPr>
                <w:b w:val="0"/>
                <w:i w:val="0"/>
                <w:sz w:val="19"/>
              </w:rPr>
              <w:t>"Equations 4–11 removed; Section 5.3 explicitly states: 'This review does not claim a universal storage reduction or a site-specific Pareto-optimal configuration.'"</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#3: the MILP optimization formulation (Eqs 4–11) was removed because the underlying optimisation was not run on a documented dataset; only the conceptual narrative was retained.</w:t>
            </w:r>
          </w:p>
        </w:tc>
      </w:tr>
      <w:tr>
        <w:trPr>
          <w:cantSplit w:val="true"/>
        </w:trPr>
        <w:tc>
          <w:tcPr>
            <w:tcW w:type="dxa" w:w="9639"/>
            <w:gridSpan w:val="7"/>
            <w:shd w:val="clear" w:color="auto" w:fill="D9E2F3"/>
          </w:tcPr>
          <w:p>
            <w:pPr>
              <w:spacing w:after="40" w:before="40" w:line="276" w:lineRule="auto"/>
              <w:jc w:val="left"/>
            </w:pPr>
            <w:r>
              <w:rPr>
                <w:b/>
                <w:i w:val="0"/>
                <w:sz w:val="22"/>
              </w:rPr>
              <w:t>2.3 Numerical reconciliation (LCOE, payback, capital costs, discount rate, BESS prices, PPA, capacity prices, downtime)</w:t>
            </w:r>
          </w:p>
        </w:tc>
      </w:tr>
      <w:tr>
        <w:trPr>
          <w:cantSplit w:val="false"/>
        </w:trPr>
        <w:tc>
          <w:tcPr>
            <w:tcW w:type="dxa" w:w="1377"/>
            <w:tcW w:w="481" w:type="dxa"/>
            <w:vAlign w:val="top"/>
          </w:tcPr>
          <w:p>
            <w:pPr>
              <w:spacing w:after="40" w:before="40" w:line="276" w:lineRule="auto"/>
              <w:jc w:val="left"/>
            </w:pPr>
            <w:r>
              <w:rPr>
                <w:b/>
                <w:i w:val="0"/>
                <w:sz w:val="19"/>
              </w:rPr>
              <w:t>N-01</w:t>
            </w:r>
          </w:p>
        </w:tc>
        <w:tc>
          <w:tcPr>
            <w:tcW w:type="dxa" w:w="1377"/>
            <w:tcW w:w="1445" w:type="dxa"/>
            <w:vAlign w:val="top"/>
          </w:tcPr>
          <w:p>
            <w:pPr>
              <w:spacing w:after="40" w:before="40" w:line="276" w:lineRule="auto"/>
              <w:jc w:val="left"/>
            </w:pPr>
            <w:r>
              <w:rPr>
                <w:b w:val="0"/>
                <w:i w:val="0"/>
                <w:sz w:val="19"/>
              </w:rPr>
              <w:t>720 MWh baseline storage reference</w:t>
            </w:r>
          </w:p>
        </w:tc>
        <w:tc>
          <w:tcPr>
            <w:tcW w:type="dxa" w:w="1377"/>
            <w:tcW w:w="771" w:type="dxa"/>
            <w:vAlign w:val="top"/>
          </w:tcPr>
          <w:p>
            <w:pPr>
              <w:spacing w:after="40" w:before="40" w:line="276" w:lineRule="auto"/>
              <w:jc w:val="left"/>
            </w:pPr>
            <w:r>
              <w:rPr>
                <w:b w:val="0"/>
                <w:i w:val="0"/>
                <w:sz w:val="19"/>
              </w:rPr>
              <w:t>§5.3</w:t>
            </w:r>
          </w:p>
        </w:tc>
        <w:tc>
          <w:tcPr>
            <w:tcW w:type="dxa" w:w="1377"/>
            <w:tcW w:w="2313" w:type="dxa"/>
            <w:vAlign w:val="top"/>
          </w:tcPr>
          <w:p>
            <w:pPr>
              <w:spacing w:after="40" w:before="40" w:line="276" w:lineRule="auto"/>
              <w:jc w:val="left"/>
            </w:pPr>
            <w:r>
              <w:rPr>
                <w:b w:val="0"/>
                <w:i w:val="0"/>
                <w:sz w:val="19"/>
              </w:rPr>
              <w:t>"Compared to deterministic sizing (720 MWh), the LOLE-based design reduces storage requirements by more than 90%…"</w:t>
            </w:r>
          </w:p>
        </w:tc>
        <w:tc>
          <w:tcPr>
            <w:tcW w:type="dxa" w:w="1377"/>
            <w:tcW w:w="2313" w:type="dxa"/>
            <w:vAlign w:val="top"/>
          </w:tcPr>
          <w:p>
            <w:pPr>
              <w:spacing w:after="40" w:before="40" w:line="276" w:lineRule="auto"/>
              <w:jc w:val="left"/>
            </w:pPr>
            <w:r>
              <w:rPr>
                <w:b w:val="0"/>
                <w:i w:val="0"/>
                <w:sz w:val="19"/>
              </w:rPr>
              <w:t>"This review does not claim a universal storage reduction or a site-specific Pareto-optimal configuration."</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#3: the 720 MWh deterministic baseline was removed because it was the output of an undocumented model.</w:t>
            </w:r>
          </w:p>
        </w:tc>
      </w:tr>
      <w:tr>
        <w:trPr>
          <w:cantSplit w:val="false"/>
        </w:trPr>
        <w:tc>
          <w:tcPr>
            <w:tcW w:type="dxa" w:w="1377"/>
            <w:tcW w:w="481" w:type="dxa"/>
            <w:vAlign w:val="top"/>
          </w:tcPr>
          <w:p>
            <w:pPr>
              <w:spacing w:after="40" w:before="40" w:line="276" w:lineRule="auto"/>
              <w:jc w:val="left"/>
            </w:pPr>
            <w:r>
              <w:rPr>
                <w:b/>
                <w:i w:val="0"/>
                <w:sz w:val="19"/>
              </w:rPr>
              <w:t>N-02</w:t>
            </w:r>
          </w:p>
        </w:tc>
        <w:tc>
          <w:tcPr>
            <w:tcW w:type="dxa" w:w="1377"/>
            <w:tcW w:w="1445" w:type="dxa"/>
            <w:vAlign w:val="top"/>
          </w:tcPr>
          <w:p>
            <w:pPr>
              <w:spacing w:after="40" w:before="40" w:line="276" w:lineRule="auto"/>
              <w:jc w:val="left"/>
            </w:pPr>
            <w:r>
              <w:rPr>
                <w:b w:val="0"/>
                <w:i w:val="0"/>
                <w:sz w:val="19"/>
              </w:rPr>
              <w:t>"&gt;90% storage reduction" claim</w:t>
            </w:r>
          </w:p>
        </w:tc>
        <w:tc>
          <w:tcPr>
            <w:tcW w:type="dxa" w:w="1377"/>
            <w:tcW w:w="771" w:type="dxa"/>
            <w:vAlign w:val="top"/>
          </w:tcPr>
          <w:p>
            <w:pPr>
              <w:spacing w:after="40" w:before="40" w:line="276" w:lineRule="auto"/>
              <w:jc w:val="left"/>
            </w:pPr>
            <w:r>
              <w:rPr>
                <w:b w:val="0"/>
                <w:i w:val="0"/>
                <w:sz w:val="19"/>
              </w:rPr>
              <w:t>§5.3</w:t>
            </w:r>
          </w:p>
        </w:tc>
        <w:tc>
          <w:tcPr>
            <w:tcW w:type="dxa" w:w="1377"/>
            <w:tcW w:w="2313" w:type="dxa"/>
            <w:vAlign w:val="top"/>
          </w:tcPr>
          <w:p>
            <w:pPr>
              <w:spacing w:after="40" w:before="40" w:line="276" w:lineRule="auto"/>
              <w:jc w:val="left"/>
            </w:pPr>
            <w:r>
              <w:rPr>
                <w:b w:val="0"/>
                <w:i w:val="0"/>
                <w:sz w:val="19"/>
              </w:rPr>
              <w:t>"…the LOLE-based design reduces storage requirements by more than 90% while maintaining probabilistic reliability constraints."</w:t>
            </w:r>
          </w:p>
        </w:tc>
        <w:tc>
          <w:tcPr>
            <w:tcW w:type="dxa" w:w="1377"/>
            <w:tcW w:w="2313" w:type="dxa"/>
            <w:vAlign w:val="top"/>
          </w:tcPr>
          <w:p>
            <w:pPr>
              <w:spacing w:after="40" w:before="40" w:line="276" w:lineRule="auto"/>
              <w:jc w:val="left"/>
            </w:pPr>
            <w:r>
              <w:rPr>
                <w:b w:val="0"/>
                <w:i w:val="0"/>
                <w:sz w:val="19"/>
              </w:rPr>
              <w:t>"Any reduction in storage requirements or renewable-generation variability should be quantified using geographically resolved chronological simulations rather than assumed from generalized percentages."</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#6: the specific &gt;90% storage-reduction claim was replaced with a general statement that storage reductions must be computed site-specifically.</w:t>
            </w:r>
          </w:p>
        </w:tc>
      </w:tr>
      <w:tr>
        <w:trPr>
          <w:cantSplit w:val="false"/>
        </w:trPr>
        <w:tc>
          <w:tcPr>
            <w:tcW w:type="dxa" w:w="1377"/>
            <w:tcW w:w="481" w:type="dxa"/>
            <w:vAlign w:val="top"/>
          </w:tcPr>
          <w:p>
            <w:pPr>
              <w:spacing w:after="40" w:before="40" w:line="276" w:lineRule="auto"/>
              <w:jc w:val="left"/>
            </w:pPr>
            <w:r>
              <w:rPr>
                <w:b/>
                <w:i w:val="0"/>
                <w:sz w:val="19"/>
              </w:rPr>
              <w:t>N-03</w:t>
            </w:r>
          </w:p>
        </w:tc>
        <w:tc>
          <w:tcPr>
            <w:tcW w:type="dxa" w:w="1377"/>
            <w:tcW w:w="1445" w:type="dxa"/>
            <w:vAlign w:val="top"/>
          </w:tcPr>
          <w:p>
            <w:pPr>
              <w:spacing w:after="40" w:before="40" w:line="276" w:lineRule="auto"/>
              <w:jc w:val="left"/>
            </w:pPr>
            <w:r>
              <w:rPr>
                <w:b w:val="0"/>
                <w:i w:val="0"/>
                <w:sz w:val="19"/>
              </w:rPr>
              <w:t>"30–60% storage reduction" claim in Section 13.3</w:t>
            </w:r>
          </w:p>
        </w:tc>
        <w:tc>
          <w:tcPr>
            <w:tcW w:type="dxa" w:w="1377"/>
            <w:tcW w:w="771" w:type="dxa"/>
            <w:vAlign w:val="top"/>
          </w:tcPr>
          <w:p>
            <w:pPr>
              <w:spacing w:after="40" w:before="40" w:line="276" w:lineRule="auto"/>
              <w:jc w:val="left"/>
            </w:pPr>
            <w:r>
              <w:rPr>
                <w:b w:val="0"/>
                <w:i w:val="0"/>
                <w:sz w:val="19"/>
              </w:rPr>
              <w:t>§13.3</w:t>
            </w:r>
          </w:p>
        </w:tc>
        <w:tc>
          <w:tcPr>
            <w:tcW w:type="dxa" w:w="1377"/>
            <w:tcW w:w="2313" w:type="dxa"/>
            <w:vAlign w:val="top"/>
          </w:tcPr>
          <w:p>
            <w:pPr>
              <w:spacing w:after="40" w:before="40" w:line="276" w:lineRule="auto"/>
              <w:jc w:val="left"/>
            </w:pPr>
            <w:r>
              <w:rPr>
                <w:b w:val="0"/>
                <w:i w:val="0"/>
                <w:sz w:val="19"/>
              </w:rPr>
              <w:t>"probabilistic storage sizing approaches … typically yield capital expenditure savings of 30–60% in the storage infrastructure…"</w:t>
            </w:r>
          </w:p>
        </w:tc>
        <w:tc>
          <w:tcPr>
            <w:tcW w:type="dxa" w:w="1377"/>
            <w:tcW w:w="2313" w:type="dxa"/>
            <w:vAlign w:val="top"/>
          </w:tcPr>
          <w:p>
            <w:pPr>
              <w:spacing w:after="40" w:before="40" w:line="276" w:lineRule="auto"/>
              <w:jc w:val="left"/>
            </w:pPr>
            <w:r>
              <w:rPr>
                <w:b w:val="0"/>
                <w:i w:val="0"/>
                <w:sz w:val="19"/>
              </w:rPr>
              <w:t>"…should be quantified using geographically resolved chronological simulations rather than assumed from generalized percentages."</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#6: the specific 30–60% range was removed; Section 13.3 was rewritten to disclaim any universal storage-reduction percentage.</w:t>
            </w:r>
          </w:p>
        </w:tc>
      </w:tr>
      <w:tr>
        <w:trPr>
          <w:cantSplit w:val="false"/>
        </w:trPr>
        <w:tc>
          <w:tcPr>
            <w:tcW w:type="dxa" w:w="1377"/>
            <w:tcW w:w="481" w:type="dxa"/>
            <w:vAlign w:val="top"/>
          </w:tcPr>
          <w:p>
            <w:pPr>
              <w:spacing w:after="40" w:before="40" w:line="276" w:lineRule="auto"/>
              <w:jc w:val="left"/>
            </w:pPr>
            <w:r>
              <w:rPr>
                <w:b/>
                <w:i w:val="0"/>
                <w:sz w:val="19"/>
              </w:rPr>
              <w:t>N-04</w:t>
            </w:r>
          </w:p>
        </w:tc>
        <w:tc>
          <w:tcPr>
            <w:tcW w:type="dxa" w:w="1377"/>
            <w:tcW w:w="1445" w:type="dxa"/>
            <w:vAlign w:val="top"/>
          </w:tcPr>
          <w:p>
            <w:pPr>
              <w:spacing w:after="40" w:before="40" w:line="276" w:lineRule="auto"/>
              <w:jc w:val="left"/>
            </w:pPr>
            <w:r>
              <w:rPr>
                <w:b w:val="0"/>
                <w:i w:val="0"/>
                <w:sz w:val="19"/>
              </w:rPr>
              <w:t>5–12 yr payback range</w:t>
            </w:r>
          </w:p>
        </w:tc>
        <w:tc>
          <w:tcPr>
            <w:tcW w:type="dxa" w:w="1377"/>
            <w:tcW w:w="771" w:type="dxa"/>
            <w:vAlign w:val="top"/>
          </w:tcPr>
          <w:p>
            <w:pPr>
              <w:spacing w:after="40" w:before="40" w:line="276" w:lineRule="auto"/>
              <w:jc w:val="left"/>
            </w:pPr>
            <w:r>
              <w:rPr>
                <w:b w:val="0"/>
                <w:i w:val="0"/>
                <w:sz w:val="19"/>
              </w:rPr>
              <w:t>Abstract / §10.4</w:t>
            </w:r>
          </w:p>
        </w:tc>
        <w:tc>
          <w:tcPr>
            <w:tcW w:type="dxa" w:w="1377"/>
            <w:tcW w:w="2313" w:type="dxa"/>
            <w:vAlign w:val="top"/>
          </w:tcPr>
          <w:p>
            <w:pPr>
              <w:spacing w:after="40" w:before="40" w:line="276" w:lineRule="auto"/>
              <w:jc w:val="left"/>
            </w:pPr>
            <w:r>
              <w:rPr>
                <w:b w:val="0"/>
                <w:i w:val="0"/>
                <w:sz w:val="19"/>
              </w:rPr>
              <w:t>"…demonstrates viable payback periods of 5–12 years under current tax incentives."</w:t>
            </w:r>
          </w:p>
        </w:tc>
        <w:tc>
          <w:tcPr>
            <w:tcW w:type="dxa" w:w="1377"/>
            <w:tcW w:w="2313" w:type="dxa"/>
            <w:vAlign w:val="top"/>
          </w:tcPr>
          <w:p>
            <w:pPr>
              <w:spacing w:after="40" w:before="40" w:line="276" w:lineRule="auto"/>
              <w:jc w:val="left"/>
            </w:pPr>
            <w:r>
              <w:rPr>
                <w:b w:val="0"/>
                <w:i w:val="0"/>
                <w:sz w:val="19"/>
              </w:rPr>
              <w:t>"The previous specific payback range has been removed; project-specific NPV and payback calculations require project-specific load, resource, tariff, interconnection, reliability and financing inputs."</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#13: the unsupported 5–12 year payback range was removed from the abstract and from Section 10.4.</w:t>
            </w:r>
          </w:p>
        </w:tc>
      </w:tr>
      <w:tr>
        <w:trPr>
          <w:cantSplit w:val="false"/>
        </w:trPr>
        <w:tc>
          <w:tcPr>
            <w:tcW w:type="dxa" w:w="1377"/>
            <w:tcW w:w="481" w:type="dxa"/>
            <w:vAlign w:val="top"/>
          </w:tcPr>
          <w:p>
            <w:pPr>
              <w:spacing w:after="40" w:before="40" w:line="276" w:lineRule="auto"/>
              <w:jc w:val="left"/>
            </w:pPr>
            <w:r>
              <w:rPr>
                <w:b/>
                <w:i w:val="0"/>
                <w:sz w:val="19"/>
              </w:rPr>
              <w:t>N-05</w:t>
            </w:r>
          </w:p>
        </w:tc>
        <w:tc>
          <w:tcPr>
            <w:tcW w:type="dxa" w:w="1377"/>
            <w:tcW w:w="1445" w:type="dxa"/>
            <w:vAlign w:val="top"/>
          </w:tcPr>
          <w:p>
            <w:pPr>
              <w:spacing w:after="40" w:before="40" w:line="276" w:lineRule="auto"/>
              <w:jc w:val="left"/>
            </w:pPr>
            <w:r>
              <w:rPr>
                <w:b w:val="0"/>
                <w:i w:val="0"/>
                <w:sz w:val="19"/>
              </w:rPr>
              <w:t>$35–100/MWh LCOE range</w:t>
            </w:r>
          </w:p>
        </w:tc>
        <w:tc>
          <w:tcPr>
            <w:tcW w:type="dxa" w:w="1377"/>
            <w:tcW w:w="771" w:type="dxa"/>
            <w:vAlign w:val="top"/>
          </w:tcPr>
          <w:p>
            <w:pPr>
              <w:spacing w:after="40" w:before="40" w:line="276" w:lineRule="auto"/>
              <w:jc w:val="left"/>
            </w:pPr>
            <w:r>
              <w:rPr>
                <w:b w:val="0"/>
                <w:i w:val="0"/>
                <w:sz w:val="19"/>
              </w:rPr>
              <w:t>Abstract</w:t>
            </w:r>
          </w:p>
        </w:tc>
        <w:tc>
          <w:tcPr>
            <w:tcW w:type="dxa" w:w="1377"/>
            <w:tcW w:w="2313" w:type="dxa"/>
            <w:vAlign w:val="top"/>
          </w:tcPr>
          <w:p>
            <w:pPr>
              <w:spacing w:after="40" w:before="40" w:line="276" w:lineRule="auto"/>
              <w:jc w:val="left"/>
            </w:pPr>
            <w:r>
              <w:rPr>
                <w:b w:val="0"/>
                <w:i w:val="0"/>
                <w:sz w:val="19"/>
              </w:rPr>
              <w:t>"…cost-competitive electricity delivery at $35–$100/MWh alongside &gt;99.9% reliability targets."</w:t>
            </w:r>
          </w:p>
        </w:tc>
        <w:tc>
          <w:tcPr>
            <w:tcW w:type="dxa" w:w="1377"/>
            <w:tcW w:w="2313" w:type="dxa"/>
            <w:vAlign w:val="top"/>
          </w:tcPr>
          <w:p>
            <w:pPr>
              <w:spacing w:after="40" w:before="40" w:line="276" w:lineRule="auto"/>
              <w:jc w:val="left"/>
            </w:pPr>
            <w:r>
              <w:rPr>
                <w:b w:val="0"/>
                <w:i w:val="0"/>
                <w:sz w:val="19"/>
              </w:rPr>
              <w:t>"The proposed framework, thus, permits structured project screening without mandating a universally prescribed technology mix."</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#13: the specific $35–100/MWh range was removed from the abstract; cost comparisons now use cited IRENA/Lazard ranges.</w:t>
            </w:r>
          </w:p>
        </w:tc>
      </w:tr>
      <w:tr>
        <w:trPr>
          <w:cantSplit w:val="false"/>
        </w:trPr>
        <w:tc>
          <w:tcPr>
            <w:tcW w:type="dxa" w:w="1377"/>
            <w:tcW w:w="481" w:type="dxa"/>
            <w:vAlign w:val="top"/>
          </w:tcPr>
          <w:p>
            <w:pPr>
              <w:spacing w:after="40" w:before="40" w:line="276" w:lineRule="auto"/>
              <w:jc w:val="left"/>
            </w:pPr>
            <w:r>
              <w:rPr>
                <w:b/>
                <w:i w:val="0"/>
                <w:sz w:val="19"/>
              </w:rPr>
              <w:t>N-06</w:t>
            </w:r>
          </w:p>
        </w:tc>
        <w:tc>
          <w:tcPr>
            <w:tcW w:type="dxa" w:w="1377"/>
            <w:tcW w:w="1445" w:type="dxa"/>
            <w:vAlign w:val="top"/>
          </w:tcPr>
          <w:p>
            <w:pPr>
              <w:spacing w:after="40" w:before="40" w:line="276" w:lineRule="auto"/>
              <w:jc w:val="left"/>
            </w:pPr>
            <w:r>
              <w:rPr>
                <w:b w:val="0"/>
                <w:i w:val="0"/>
                <w:sz w:val="19"/>
              </w:rPr>
              <w:t>"40–60% geographic-diversification storage reduction"</w:t>
            </w:r>
          </w:p>
        </w:tc>
        <w:tc>
          <w:tcPr>
            <w:tcW w:type="dxa" w:w="1377"/>
            <w:tcW w:w="771" w:type="dxa"/>
            <w:vAlign w:val="top"/>
          </w:tcPr>
          <w:p>
            <w:pPr>
              <w:spacing w:after="40" w:before="40" w:line="276" w:lineRule="auto"/>
              <w:jc w:val="left"/>
            </w:pPr>
            <w:r>
              <w:rPr>
                <w:b w:val="0"/>
                <w:i w:val="0"/>
                <w:sz w:val="19"/>
              </w:rPr>
              <w:t>Abstract / §1.2 / §4.5</w:t>
            </w:r>
          </w:p>
        </w:tc>
        <w:tc>
          <w:tcPr>
            <w:tcW w:type="dxa" w:w="1377"/>
            <w:tcW w:w="2313" w:type="dxa"/>
            <w:vAlign w:val="top"/>
          </w:tcPr>
          <w:p>
            <w:pPr>
              <w:spacing w:after="40" w:before="40" w:line="276" w:lineRule="auto"/>
              <w:jc w:val="left"/>
            </w:pPr>
            <w:r>
              <w:rPr>
                <w:b w:val="0"/>
                <w:i w:val="0"/>
                <w:sz w:val="19"/>
              </w:rPr>
              <w:t>"…geographic diversification leveraging wind–solar complementarity can reduce required storage capacity by 40% to 60%."</w:t>
            </w:r>
          </w:p>
        </w:tc>
        <w:tc>
          <w:tcPr>
            <w:tcW w:type="dxa" w:w="1377"/>
            <w:tcW w:w="2313" w:type="dxa"/>
            <w:vAlign w:val="top"/>
          </w:tcPr>
          <w:p>
            <w:pPr>
              <w:spacing w:after="40" w:before="40" w:line="276" w:lineRule="auto"/>
              <w:jc w:val="left"/>
            </w:pPr>
            <w:r>
              <w:rPr>
                <w:b w:val="0"/>
                <w:i w:val="0"/>
                <w:sz w:val="19"/>
              </w:rPr>
              <w:t>"Balance requirements can be decreased with wind–solar complementarity and flexible computing loads, [but] reducing the amount of balancing possible depends on the correlation of wind and solar resources, network constraints, service-level agreements, and portability of workloads."</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#6: the specific 40–60% range was removed and replaced with a qualitative statement on the variables that govern the magnitude of any reduction.</w:t>
            </w:r>
          </w:p>
        </w:tc>
      </w:tr>
      <w:tr>
        <w:trPr>
          <w:cantSplit w:val="false"/>
        </w:trPr>
        <w:tc>
          <w:tcPr>
            <w:tcW w:type="dxa" w:w="1377"/>
            <w:tcW w:w="481" w:type="dxa"/>
            <w:vAlign w:val="top"/>
          </w:tcPr>
          <w:p>
            <w:pPr>
              <w:spacing w:after="40" w:before="40" w:line="276" w:lineRule="auto"/>
              <w:jc w:val="left"/>
            </w:pPr>
            <w:r>
              <w:rPr>
                <w:b/>
                <w:i w:val="0"/>
                <w:sz w:val="19"/>
              </w:rPr>
              <w:t>N-07</w:t>
            </w:r>
          </w:p>
        </w:tc>
        <w:tc>
          <w:tcPr>
            <w:tcW w:type="dxa" w:w="1377"/>
            <w:tcW w:w="1445" w:type="dxa"/>
            <w:vAlign w:val="top"/>
          </w:tcPr>
          <w:p>
            <w:pPr>
              <w:spacing w:after="40" w:before="40" w:line="276" w:lineRule="auto"/>
              <w:jc w:val="left"/>
            </w:pPr>
            <w:r>
              <w:rPr>
                <w:b w:val="0"/>
                <w:i w:val="0"/>
                <w:sz w:val="19"/>
              </w:rPr>
              <w:t>Three different discount rates</w:t>
            </w:r>
          </w:p>
        </w:tc>
        <w:tc>
          <w:tcPr>
            <w:tcW w:type="dxa" w:w="1377"/>
            <w:tcW w:w="771" w:type="dxa"/>
            <w:vAlign w:val="top"/>
          </w:tcPr>
          <w:p>
            <w:pPr>
              <w:spacing w:after="40" w:before="40" w:line="276" w:lineRule="auto"/>
              <w:jc w:val="left"/>
            </w:pPr>
            <w:r>
              <w:rPr>
                <w:b w:val="0"/>
                <w:i w:val="0"/>
                <w:sz w:val="19"/>
              </w:rPr>
              <w:t>§7.8 / §10.4</w:t>
            </w:r>
          </w:p>
        </w:tc>
        <w:tc>
          <w:tcPr>
            <w:tcW w:type="dxa" w:w="1377"/>
            <w:tcW w:w="2313" w:type="dxa"/>
            <w:vAlign w:val="top"/>
          </w:tcPr>
          <w:p>
            <w:pPr>
              <w:spacing w:after="40" w:before="40" w:line="276" w:lineRule="auto"/>
              <w:jc w:val="left"/>
            </w:pPr>
            <w:r>
              <w:rPr>
                <w:b w:val="0"/>
                <w:i w:val="0"/>
                <w:sz w:val="19"/>
              </w:rPr>
              <w:t>Original §10.4: "discount rate … varies between 7 and 12%". Original §7.8: "an improved discount rate of 7.5%". Original §10.2: "Real discount rate: 5–7%"</w:t>
            </w:r>
          </w:p>
        </w:tc>
        <w:tc>
          <w:tcPr>
            <w:tcW w:type="dxa" w:w="1377"/>
            <w:tcW w:w="2313" w:type="dxa"/>
            <w:vAlign w:val="top"/>
          </w:tcPr>
          <w:p>
            <w:pPr>
              <w:spacing w:after="40" w:before="40" w:line="276" w:lineRule="auto"/>
              <w:jc w:val="left"/>
            </w:pPr>
            <w:r>
              <w:rPr>
                <w:b w:val="0"/>
                <w:i w:val="0"/>
                <w:sz w:val="19"/>
              </w:rPr>
              <w:t>"A real weighted average cost of capital (WACC) of 7.5% is adopted as a screening assumption for illustrative economic comparisons… Only a real range of 5% – 12% is kept for sensitivity analysis."</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#12: a single 7.5% real WACC is now used as the central screening rate; the 5–12% range is used only for sensitivity analysis and is cited consistently in Sections 7.8 and 10.4.</w:t>
            </w:r>
          </w:p>
        </w:tc>
      </w:tr>
      <w:tr>
        <w:trPr>
          <w:cantSplit w:val="false"/>
        </w:trPr>
        <w:tc>
          <w:tcPr>
            <w:tcW w:type="dxa" w:w="1377"/>
            <w:tcW w:w="481" w:type="dxa"/>
            <w:vAlign w:val="top"/>
          </w:tcPr>
          <w:p>
            <w:pPr>
              <w:spacing w:after="40" w:before="40" w:line="276" w:lineRule="auto"/>
              <w:jc w:val="left"/>
            </w:pPr>
            <w:r>
              <w:rPr>
                <w:b/>
                <w:i w:val="0"/>
                <w:sz w:val="19"/>
              </w:rPr>
              <w:t>N-08</w:t>
            </w:r>
          </w:p>
        </w:tc>
        <w:tc>
          <w:tcPr>
            <w:tcW w:type="dxa" w:w="1377"/>
            <w:tcW w:w="1445" w:type="dxa"/>
            <w:vAlign w:val="top"/>
          </w:tcPr>
          <w:p>
            <w:pPr>
              <w:spacing w:after="40" w:before="40" w:line="276" w:lineRule="auto"/>
              <w:jc w:val="left"/>
            </w:pPr>
            <w:r>
              <w:rPr>
                <w:b w:val="0"/>
                <w:i w:val="0"/>
                <w:sz w:val="19"/>
              </w:rPr>
              <w:t>BNEF 108 $/kWh labelled "2026 projection" vs observed 2025</w:t>
            </w:r>
          </w:p>
        </w:tc>
        <w:tc>
          <w:tcPr>
            <w:tcW w:type="dxa" w:w="1377"/>
            <w:tcW w:w="771" w:type="dxa"/>
            <w:vAlign w:val="top"/>
          </w:tcPr>
          <w:p>
            <w:pPr>
              <w:spacing w:after="40" w:before="40" w:line="276" w:lineRule="auto"/>
              <w:jc w:val="left"/>
            </w:pPr>
            <w:r>
              <w:rPr>
                <w:b w:val="0"/>
                <w:i w:val="0"/>
                <w:sz w:val="19"/>
              </w:rPr>
              <w:t>§1.2</w:t>
            </w:r>
          </w:p>
        </w:tc>
        <w:tc>
          <w:tcPr>
            <w:tcW w:type="dxa" w:w="1377"/>
            <w:tcW w:w="2313" w:type="dxa"/>
            <w:vAlign w:val="top"/>
          </w:tcPr>
          <w:p>
            <w:pPr>
              <w:spacing w:after="40" w:before="40" w:line="276" w:lineRule="auto"/>
              <w:jc w:val="left"/>
            </w:pPr>
            <w:r>
              <w:rPr>
                <w:b w:val="0"/>
                <w:i w:val="0"/>
                <w:sz w:val="19"/>
              </w:rPr>
              <w:t>"…battery prices are projected to fall below $108/kWh in 2026…"</w:t>
            </w:r>
          </w:p>
        </w:tc>
        <w:tc>
          <w:tcPr>
            <w:tcW w:type="dxa" w:w="1377"/>
            <w:tcW w:w="2313" w:type="dxa"/>
            <w:vAlign w:val="top"/>
          </w:tcPr>
          <w:p>
            <w:pPr>
              <w:spacing w:after="40" w:before="40" w:line="276" w:lineRule="auto"/>
              <w:jc w:val="left"/>
            </w:pPr>
            <w:r>
              <w:rPr>
                <w:b w:val="0"/>
                <w:i w:val="0"/>
                <w:sz w:val="19"/>
              </w:rPr>
              <w:t>"BloombergNEF forecasted a volume-weighted average price of lithium-ion battery-packs at around USD 108/kWh for 2025 [17]."</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#14: the BNEF figure is now correctly labelled as a 2025 observation (BNEF December 9, 2025) rather than a 2026 projection.</w:t>
            </w:r>
          </w:p>
        </w:tc>
      </w:tr>
      <w:tr>
        <w:trPr>
          <w:cantSplit w:val="false"/>
        </w:trPr>
        <w:tc>
          <w:tcPr>
            <w:tcW w:type="dxa" w:w="1377"/>
            <w:tcW w:w="481" w:type="dxa"/>
            <w:vAlign w:val="top"/>
          </w:tcPr>
          <w:p>
            <w:pPr>
              <w:spacing w:after="40" w:before="40" w:line="276" w:lineRule="auto"/>
              <w:jc w:val="left"/>
            </w:pPr>
            <w:r>
              <w:rPr>
                <w:b/>
                <w:i w:val="0"/>
                <w:sz w:val="19"/>
              </w:rPr>
              <w:t>N-09</w:t>
            </w:r>
          </w:p>
        </w:tc>
        <w:tc>
          <w:tcPr>
            <w:tcW w:type="dxa" w:w="1377"/>
            <w:tcW w:w="1445" w:type="dxa"/>
            <w:vAlign w:val="top"/>
          </w:tcPr>
          <w:p>
            <w:pPr>
              <w:spacing w:after="40" w:before="40" w:line="276" w:lineRule="auto"/>
              <w:jc w:val="left"/>
            </w:pPr>
            <w:r>
              <w:rPr>
                <w:b w:val="0"/>
                <w:i w:val="0"/>
                <w:sz w:val="19"/>
              </w:rPr>
              <w:t>Battery cost in $/MWh (Section 7.3); pack vs installed not distinguished</w:t>
            </w:r>
          </w:p>
        </w:tc>
        <w:tc>
          <w:tcPr>
            <w:tcW w:type="dxa" w:w="1377"/>
            <w:tcW w:w="771" w:type="dxa"/>
            <w:vAlign w:val="top"/>
          </w:tcPr>
          <w:p>
            <w:pPr>
              <w:spacing w:after="40" w:before="40" w:line="276" w:lineRule="auto"/>
              <w:jc w:val="left"/>
            </w:pPr>
            <w:r>
              <w:rPr>
                <w:b w:val="0"/>
                <w:i w:val="0"/>
                <w:sz w:val="19"/>
              </w:rPr>
              <w:t>§7.3 / Table 3</w:t>
            </w:r>
          </w:p>
        </w:tc>
        <w:tc>
          <w:tcPr>
            <w:tcW w:type="dxa" w:w="1377"/>
            <w:tcW w:w="2313" w:type="dxa"/>
            <w:vAlign w:val="top"/>
          </w:tcPr>
          <w:p>
            <w:pPr>
              <w:spacing w:after="40" w:before="40" w:line="276" w:lineRule="auto"/>
              <w:jc w:val="left"/>
            </w:pPr>
            <w:r>
              <w:rPr>
                <w:b w:val="0"/>
                <w:i w:val="0"/>
                <w:sz w:val="19"/>
              </w:rPr>
              <w:t>Original implied pack = installed.</w:t>
            </w:r>
          </w:p>
        </w:tc>
        <w:tc>
          <w:tcPr>
            <w:tcW w:type="dxa" w:w="1377"/>
            <w:tcW w:w="2313" w:type="dxa"/>
            <w:vAlign w:val="top"/>
          </w:tcPr>
          <w:p>
            <w:pPr>
              <w:spacing w:after="40" w:before="40" w:line="276" w:lineRule="auto"/>
              <w:jc w:val="left"/>
            </w:pPr>
            <w:r>
              <w:rPr>
                <w:b w:val="0"/>
                <w:i w:val="0"/>
                <w:sz w:val="19"/>
              </w:rPr>
              <w:t>"Battery-pack price: USD 108/kWh" (2–4 h row) vs "Installed-system cost: USD 180–320/kWh-system" (4–8 h row).</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#7, #31: Table 3 now explicitly distinguishes battery-pack prices (BNEF) from installed BESS system costs (IRENA).</w:t>
            </w:r>
          </w:p>
        </w:tc>
      </w:tr>
      <w:tr>
        <w:trPr>
          <w:cantSplit w:val="false"/>
        </w:trPr>
        <w:tc>
          <w:tcPr>
            <w:tcW w:type="dxa" w:w="1377"/>
            <w:tcW w:w="481" w:type="dxa"/>
            <w:vAlign w:val="top"/>
          </w:tcPr>
          <w:p>
            <w:pPr>
              <w:spacing w:after="40" w:before="40" w:line="276" w:lineRule="auto"/>
              <w:jc w:val="left"/>
            </w:pPr>
            <w:r>
              <w:rPr>
                <w:b/>
                <w:i w:val="0"/>
                <w:sz w:val="19"/>
              </w:rPr>
              <w:t>N-10</w:t>
            </w:r>
          </w:p>
        </w:tc>
        <w:tc>
          <w:tcPr>
            <w:tcW w:type="dxa" w:w="1377"/>
            <w:tcW w:w="1445" w:type="dxa"/>
            <w:vAlign w:val="top"/>
          </w:tcPr>
          <w:p>
            <w:pPr>
              <w:spacing w:after="40" w:before="40" w:line="276" w:lineRule="auto"/>
              <w:jc w:val="left"/>
            </w:pPr>
            <w:r>
              <w:rPr>
                <w:b w:val="0"/>
                <w:i w:val="0"/>
                <w:sz w:val="19"/>
              </w:rPr>
              <w:t>PPA price 64.49 $/MWh no citation</w:t>
            </w:r>
          </w:p>
        </w:tc>
        <w:tc>
          <w:tcPr>
            <w:tcW w:type="dxa" w:w="1377"/>
            <w:tcW w:w="771" w:type="dxa"/>
            <w:vAlign w:val="top"/>
          </w:tcPr>
          <w:p>
            <w:pPr>
              <w:spacing w:after="40" w:before="40" w:line="276" w:lineRule="auto"/>
              <w:jc w:val="left"/>
            </w:pPr>
            <w:r>
              <w:rPr>
                <w:b w:val="0"/>
                <w:i w:val="0"/>
                <w:sz w:val="19"/>
              </w:rPr>
              <w:t>§10.3</w:t>
            </w:r>
          </w:p>
        </w:tc>
        <w:tc>
          <w:tcPr>
            <w:tcW w:type="dxa" w:w="1377"/>
            <w:tcW w:w="2313" w:type="dxa"/>
            <w:vAlign w:val="top"/>
          </w:tcPr>
          <w:p>
            <w:pPr>
              <w:spacing w:after="40" w:before="40" w:line="276" w:lineRule="auto"/>
              <w:jc w:val="left"/>
            </w:pPr>
            <w:r>
              <w:rPr>
                <w:b w:val="0"/>
                <w:i w:val="0"/>
                <w:sz w:val="19"/>
              </w:rPr>
              <w:t>"The average solar PPA price in the North American market has climbed to approximately $64.49 per MWh for Q1 of 2026…" (no citation)</w:t>
            </w:r>
          </w:p>
        </w:tc>
        <w:tc>
          <w:tcPr>
            <w:tcW w:type="dxa" w:w="1377"/>
            <w:tcW w:w="2313" w:type="dxa"/>
            <w:vAlign w:val="top"/>
          </w:tcPr>
          <w:p>
            <w:pPr>
              <w:spacing w:after="40" w:before="40" w:line="276" w:lineRule="auto"/>
              <w:jc w:val="left"/>
            </w:pPr>
            <w:r>
              <w:rPr>
                <w:b w:val="0"/>
                <w:i w:val="0"/>
                <w:sz w:val="19"/>
              </w:rPr>
              <w:t>"Average North American PPA offer prices were reported at approximately USD 64.49/MWh for solar and USD 79.40/MWh for wind [66]." (LevelTen Energy)</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#19: the PPA price now cites LevelTen Energy, North American PPA Price Index, Q1 2026 (ref [66]).</w:t>
            </w:r>
          </w:p>
        </w:tc>
      </w:tr>
      <w:tr>
        <w:trPr>
          <w:cantSplit w:val="false"/>
        </w:trPr>
        <w:tc>
          <w:tcPr>
            <w:tcW w:type="dxa" w:w="1377"/>
            <w:tcW w:w="481" w:type="dxa"/>
            <w:vAlign w:val="top"/>
          </w:tcPr>
          <w:p>
            <w:pPr>
              <w:spacing w:after="40" w:before="40" w:line="276" w:lineRule="auto"/>
              <w:jc w:val="left"/>
            </w:pPr>
            <w:r>
              <w:rPr>
                <w:b/>
                <w:i w:val="0"/>
                <w:sz w:val="19"/>
              </w:rPr>
              <w:t>N-11</w:t>
            </w:r>
          </w:p>
        </w:tc>
        <w:tc>
          <w:tcPr>
            <w:tcW w:type="dxa" w:w="1377"/>
            <w:tcW w:w="1445" w:type="dxa"/>
            <w:vAlign w:val="top"/>
          </w:tcPr>
          <w:p>
            <w:pPr>
              <w:spacing w:after="40" w:before="40" w:line="276" w:lineRule="auto"/>
              <w:jc w:val="left"/>
            </w:pPr>
            <w:r>
              <w:rPr>
                <w:b w:val="0"/>
                <w:i w:val="0"/>
                <w:sz w:val="19"/>
              </w:rPr>
              <w:t>PJM/CAISO/ERCOT "grid-only LCOE" rows in Table 7</w:t>
            </w:r>
          </w:p>
        </w:tc>
        <w:tc>
          <w:tcPr>
            <w:tcW w:type="dxa" w:w="1377"/>
            <w:tcW w:w="771" w:type="dxa"/>
            <w:vAlign w:val="top"/>
          </w:tcPr>
          <w:p>
            <w:pPr>
              <w:spacing w:after="40" w:before="40" w:line="276" w:lineRule="auto"/>
              <w:jc w:val="left"/>
            </w:pPr>
            <w:r>
              <w:rPr>
                <w:b w:val="0"/>
                <w:i w:val="0"/>
                <w:sz w:val="19"/>
              </w:rPr>
              <w:t>§10.2 / Table 7</w:t>
            </w:r>
          </w:p>
        </w:tc>
        <w:tc>
          <w:tcPr>
            <w:tcW w:type="dxa" w:w="1377"/>
            <w:tcW w:w="2313" w:type="dxa"/>
            <w:vAlign w:val="top"/>
          </w:tcPr>
          <w:p>
            <w:pPr>
              <w:spacing w:after="40" w:before="40" w:line="276" w:lineRule="auto"/>
              <w:jc w:val="left"/>
            </w:pPr>
            <w:r>
              <w:rPr>
                <w:b w:val="0"/>
                <w:i w:val="0"/>
                <w:sz w:val="19"/>
              </w:rPr>
              <w:t>"Grid-only LCOE reflects 2026 regional capacity prices: PJM ($110/MWh), CAISO ($95/MWh), ERCOT ($85/MWh)."</w:t>
            </w:r>
          </w:p>
        </w:tc>
        <w:tc>
          <w:tcPr>
            <w:tcW w:type="dxa" w:w="1377"/>
            <w:tcW w:w="2313" w:type="dxa"/>
            <w:vAlign w:val="top"/>
          </w:tcPr>
          <w:p>
            <w:pPr>
              <w:spacing w:after="40" w:before="40" w:line="276" w:lineRule="auto"/>
              <w:jc w:val="left"/>
            </w:pPr>
            <w:r>
              <w:rPr>
                <w:b w:val="0"/>
                <w:i w:val="0"/>
                <w:sz w:val="19"/>
              </w:rPr>
              <w:t>"the previous comment that PJM, CAISO, and ERCOT had 'grid-only LCOEs' of $110/MWh, $95/MWh and $85/MWh, respectively, has been deleted."</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#10: the grid-only LCOE rows were removed because they mixed $/MWh LCOE with $/MW-day capacity prices; the revised manuscript now reports $/MW-day capacity prices and $/MWh LMPs separately.</w:t>
            </w:r>
          </w:p>
        </w:tc>
      </w:tr>
      <w:tr>
        <w:trPr>
          <w:cantSplit w:val="false"/>
        </w:trPr>
        <w:tc>
          <w:tcPr>
            <w:tcW w:type="dxa" w:w="1377"/>
            <w:tcW w:w="481" w:type="dxa"/>
            <w:vAlign w:val="top"/>
          </w:tcPr>
          <w:p>
            <w:pPr>
              <w:spacing w:after="40" w:before="40" w:line="276" w:lineRule="auto"/>
              <w:jc w:val="left"/>
            </w:pPr>
            <w:r>
              <w:rPr>
                <w:b/>
                <w:i w:val="0"/>
                <w:sz w:val="19"/>
              </w:rPr>
              <w:t>N-12</w:t>
            </w:r>
          </w:p>
        </w:tc>
        <w:tc>
          <w:tcPr>
            <w:tcW w:type="dxa" w:w="1377"/>
            <w:tcW w:w="1445" w:type="dxa"/>
            <w:vAlign w:val="top"/>
          </w:tcPr>
          <w:p>
            <w:pPr>
              <w:spacing w:after="40" w:before="40" w:line="276" w:lineRule="auto"/>
              <w:jc w:val="left"/>
            </w:pPr>
            <w:r>
              <w:rPr>
                <w:b w:val="0"/>
                <w:i w:val="0"/>
                <w:sz w:val="19"/>
              </w:rPr>
              <w:t>PJM BRA $/MW-day and LMP $/MWh properly cited</w:t>
            </w:r>
          </w:p>
        </w:tc>
        <w:tc>
          <w:tcPr>
            <w:tcW w:type="dxa" w:w="1377"/>
            <w:tcW w:w="771" w:type="dxa"/>
            <w:vAlign w:val="top"/>
          </w:tcPr>
          <w:p>
            <w:pPr>
              <w:spacing w:after="40" w:before="40" w:line="276" w:lineRule="auto"/>
              <w:jc w:val="left"/>
            </w:pPr>
            <w:r>
              <w:rPr>
                <w:b w:val="0"/>
                <w:i w:val="0"/>
                <w:sz w:val="19"/>
              </w:rPr>
              <w:t>§10.2</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"PJM's 2026/2027 Base Residual Auction cleared at $329.17/MW-day [171]; PJM's YTD load-weighted average LMP through October 2025 shows it to be about $50.53/MWh for 2025 [172]."</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#10: PJM capacity prices ($/MW-day, ref [171]) and PJM LMP ($/MWh, ref [172]) are now cited separately with the correct units and correct sources.</w:t>
            </w:r>
          </w:p>
        </w:tc>
      </w:tr>
      <w:tr>
        <w:trPr>
          <w:cantSplit w:val="false"/>
        </w:trPr>
        <w:tc>
          <w:tcPr>
            <w:tcW w:type="dxa" w:w="1377"/>
            <w:tcW w:w="481" w:type="dxa"/>
            <w:vAlign w:val="top"/>
          </w:tcPr>
          <w:p>
            <w:pPr>
              <w:spacing w:after="40" w:before="40" w:line="276" w:lineRule="auto"/>
              <w:jc w:val="left"/>
            </w:pPr>
            <w:r>
              <w:rPr>
                <w:b/>
                <w:i w:val="0"/>
                <w:sz w:val="19"/>
              </w:rPr>
              <w:t>N-13</w:t>
            </w:r>
          </w:p>
        </w:tc>
        <w:tc>
          <w:tcPr>
            <w:tcW w:type="dxa" w:w="1377"/>
            <w:tcW w:w="1445" w:type="dxa"/>
            <w:vAlign w:val="top"/>
          </w:tcPr>
          <w:p>
            <w:pPr>
              <w:spacing w:after="40" w:before="40" w:line="276" w:lineRule="auto"/>
              <w:jc w:val="left"/>
            </w:pPr>
            <w:r>
              <w:rPr>
                <w:b w:val="0"/>
                <w:i w:val="0"/>
                <w:sz w:val="19"/>
              </w:rPr>
              <w:t>165% demand growth no baseline year</w:t>
            </w:r>
          </w:p>
        </w:tc>
        <w:tc>
          <w:tcPr>
            <w:tcW w:type="dxa" w:w="1377"/>
            <w:tcW w:w="771" w:type="dxa"/>
            <w:vAlign w:val="top"/>
          </w:tcPr>
          <w:p>
            <w:pPr>
              <w:spacing w:after="40" w:before="40" w:line="276" w:lineRule="auto"/>
              <w:jc w:val="left"/>
            </w:pPr>
            <w:r>
              <w:rPr>
                <w:b w:val="0"/>
                <w:i w:val="0"/>
                <w:sz w:val="19"/>
              </w:rPr>
              <w:t>§1.1</w:t>
            </w:r>
          </w:p>
        </w:tc>
        <w:tc>
          <w:tcPr>
            <w:tcW w:type="dxa" w:w="1377"/>
            <w:tcW w:w="2313" w:type="dxa"/>
            <w:vAlign w:val="top"/>
          </w:tcPr>
          <w:p>
            <w:pPr>
              <w:spacing w:after="40" w:before="40" w:line="276" w:lineRule="auto"/>
              <w:jc w:val="left"/>
            </w:pPr>
            <w:r>
              <w:rPr>
                <w:b w:val="0"/>
                <w:i w:val="0"/>
                <w:sz w:val="19"/>
              </w:rPr>
              <w:t>"…power demand in data centers would grow at a rate of 165% by 2030."</w:t>
            </w:r>
          </w:p>
        </w:tc>
        <w:tc>
          <w:tcPr>
            <w:tcW w:type="dxa" w:w="1377"/>
            <w:tcW w:w="2313" w:type="dxa"/>
            <w:vAlign w:val="top"/>
          </w:tcPr>
          <w:p>
            <w:pPr>
              <w:spacing w:after="40" w:before="40" w:line="276" w:lineRule="auto"/>
              <w:jc w:val="left"/>
            </w:pPr>
            <w:r>
              <w:rPr>
                <w:b w:val="0"/>
                <w:i w:val="0"/>
                <w:sz w:val="19"/>
              </w:rPr>
              <w:t>"…data-center electricity demand could increase by approximately 165% between 2024 and 2030, although the magnitude and geographic distribution of this growth remain uncertain [8]."</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#20: baseline year 2024 is now explicit; hedging language ("remain uncertain") was added; ref [8] (Goldman Sachs February 4, 2025) is properly cited.</w:t>
            </w:r>
          </w:p>
        </w:tc>
      </w:tr>
      <w:tr>
        <w:trPr>
          <w:cantSplit w:val="false"/>
        </w:trPr>
        <w:tc>
          <w:tcPr>
            <w:tcW w:type="dxa" w:w="1377"/>
            <w:tcW w:w="481" w:type="dxa"/>
            <w:vAlign w:val="top"/>
          </w:tcPr>
          <w:p>
            <w:pPr>
              <w:spacing w:after="40" w:before="40" w:line="276" w:lineRule="auto"/>
              <w:jc w:val="left"/>
            </w:pPr>
            <w:r>
              <w:rPr>
                <w:b/>
                <w:i w:val="0"/>
                <w:sz w:val="19"/>
              </w:rPr>
              <w:t>N-14</w:t>
            </w:r>
          </w:p>
        </w:tc>
        <w:tc>
          <w:tcPr>
            <w:tcW w:type="dxa" w:w="1377"/>
            <w:tcW w:w="1445" w:type="dxa"/>
            <w:vAlign w:val="top"/>
          </w:tcPr>
          <w:p>
            <w:pPr>
              <w:spacing w:after="40" w:before="40" w:line="276" w:lineRule="auto"/>
              <w:jc w:val="left"/>
            </w:pPr>
            <w:r>
              <w:rPr>
                <w:b w:val="0"/>
                <w:i w:val="0"/>
                <w:sz w:val="19"/>
              </w:rPr>
              <w:t>"&gt;500k/hour downtime cost for AI training clusters" claim</w:t>
            </w:r>
          </w:p>
        </w:tc>
        <w:tc>
          <w:tcPr>
            <w:tcW w:type="dxa" w:w="1377"/>
            <w:tcW w:w="771" w:type="dxa"/>
            <w:vAlign w:val="top"/>
          </w:tcPr>
          <w:p>
            <w:pPr>
              <w:spacing w:after="40" w:before="40" w:line="276" w:lineRule="auto"/>
              <w:jc w:val="left"/>
            </w:pPr>
            <w:r>
              <w:rPr>
                <w:b w:val="0"/>
                <w:i w:val="0"/>
                <w:sz w:val="19"/>
              </w:rPr>
              <w:t>§10.5</w:t>
            </w:r>
          </w:p>
        </w:tc>
        <w:tc>
          <w:tcPr>
            <w:tcW w:type="dxa" w:w="1377"/>
            <w:tcW w:w="2313" w:type="dxa"/>
            <w:vAlign w:val="top"/>
          </w:tcPr>
          <w:p>
            <w:pPr>
              <w:spacing w:after="40" w:before="40" w:line="276" w:lineRule="auto"/>
              <w:jc w:val="left"/>
            </w:pPr>
            <w:r>
              <w:rPr>
                <w:b w:val="0"/>
                <w:i w:val="0"/>
                <w:sz w:val="19"/>
              </w:rPr>
              <w:t>Original implied a universal $500,000/hour downtime cost attributed to Uptime Institute ref [9].</w:t>
            </w:r>
          </w:p>
        </w:tc>
        <w:tc>
          <w:tcPr>
            <w:tcW w:type="dxa" w:w="1377"/>
            <w:tcW w:w="2313" w:type="dxa"/>
            <w:vAlign w:val="top"/>
          </w:tcPr>
          <w:p>
            <w:pPr>
              <w:spacing w:after="40" w:before="40" w:line="276" w:lineRule="auto"/>
              <w:jc w:val="left"/>
            </w:pPr>
            <w:r>
              <w:rPr>
                <w:b w:val="0"/>
                <w:i w:val="0"/>
                <w:sz w:val="19"/>
              </w:rPr>
              <w:t>"The Uptime Institute also provides distribution of outage costs without setting a universal cost of $500,000 per hour for training clusters of AI. The previous per-hour downtime value has been thus eliminated."</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#18: the per-hour downtime value was removed; the revised text now points readers to the Uptime Institute distribution of outage costs instead.</w:t>
            </w:r>
          </w:p>
        </w:tc>
      </w:tr>
      <w:tr>
        <w:trPr>
          <w:cantSplit w:val="false"/>
        </w:trPr>
        <w:tc>
          <w:tcPr>
            <w:tcW w:type="dxa" w:w="1377"/>
            <w:tcW w:w="481" w:type="dxa"/>
            <w:vAlign w:val="top"/>
          </w:tcPr>
          <w:p>
            <w:pPr>
              <w:spacing w:after="40" w:before="40" w:line="276" w:lineRule="auto"/>
              <w:jc w:val="left"/>
            </w:pPr>
            <w:r>
              <w:rPr>
                <w:b/>
                <w:i w:val="0"/>
                <w:sz w:val="19"/>
              </w:rPr>
              <w:t>N-15</w:t>
            </w:r>
          </w:p>
        </w:tc>
        <w:tc>
          <w:tcPr>
            <w:tcW w:type="dxa" w:w="1377"/>
            <w:tcW w:w="1445" w:type="dxa"/>
            <w:vAlign w:val="top"/>
          </w:tcPr>
          <w:p>
            <w:pPr>
              <w:spacing w:after="40" w:before="40" w:line="276" w:lineRule="auto"/>
              <w:jc w:val="left"/>
            </w:pPr>
            <w:r>
              <w:rPr>
                <w:b w:val="0"/>
                <w:i w:val="0"/>
                <w:sz w:val="19"/>
              </w:rPr>
              <w:t>"2.9 Wh per GPT-3 query" attributed to "research by Li"</w:t>
            </w:r>
          </w:p>
        </w:tc>
        <w:tc>
          <w:tcPr>
            <w:tcW w:type="dxa" w:w="1377"/>
            <w:tcW w:w="771" w:type="dxa"/>
            <w:vAlign w:val="top"/>
          </w:tcPr>
          <w:p>
            <w:pPr>
              <w:spacing w:after="40" w:before="40" w:line="276" w:lineRule="auto"/>
              <w:jc w:val="left"/>
            </w:pPr>
            <w:r>
              <w:rPr>
                <w:b w:val="0"/>
                <w:i w:val="0"/>
                <w:sz w:val="19"/>
              </w:rPr>
              <w:t>§1.1</w:t>
            </w:r>
          </w:p>
        </w:tc>
        <w:tc>
          <w:tcPr>
            <w:tcW w:type="dxa" w:w="1377"/>
            <w:tcW w:w="2313" w:type="dxa"/>
            <w:vAlign w:val="top"/>
          </w:tcPr>
          <w:p>
            <w:pPr>
              <w:spacing w:after="40" w:before="40" w:line="276" w:lineRule="auto"/>
              <w:jc w:val="left"/>
            </w:pPr>
            <w:r>
              <w:rPr>
                <w:b w:val="0"/>
                <w:i w:val="0"/>
                <w:sz w:val="19"/>
              </w:rPr>
              <w:t>"According to research by Li, every inference query of GPT-3 consumes around 2.9 Wh of electricity and adds up to a massive amount with the millions of queries that take place every year [7]."</w:t>
            </w:r>
          </w:p>
        </w:tc>
        <w:tc>
          <w:tcPr>
            <w:tcW w:type="dxa" w:w="1377"/>
            <w:tcW w:w="2313" w:type="dxa"/>
            <w:vAlign w:val="top"/>
          </w:tcPr>
          <w:p>
            <w:pPr>
              <w:spacing w:after="40" w:before="40" w:line="276" w:lineRule="auto"/>
              <w:jc w:val="left"/>
            </w:pPr>
            <w:r>
              <w:rPr>
                <w:b w:val="0"/>
                <w:i w:val="0"/>
                <w:sz w:val="19"/>
              </w:rPr>
              <w:t>"Per-query energy of large language models becomes significant at scale [7]." (Specific 2.9 Wh figure removed.)</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#15: the 2.9 Wh/GPT-3-query figure was removed because ref [7] (Shi, Yang, Lo) does not contain that figure; ref [7] is now used only to support the general statement that per-query energy is significant at scale.</w:t>
            </w:r>
          </w:p>
        </w:tc>
      </w:tr>
      <w:tr>
        <w:trPr>
          <w:cantSplit w:val="false"/>
        </w:trPr>
        <w:tc>
          <w:tcPr>
            <w:tcW w:type="dxa" w:w="1377"/>
            <w:tcW w:w="481" w:type="dxa"/>
            <w:vAlign w:val="top"/>
          </w:tcPr>
          <w:p>
            <w:pPr>
              <w:spacing w:after="40" w:before="40" w:line="276" w:lineRule="auto"/>
              <w:jc w:val="left"/>
            </w:pPr>
            <w:r>
              <w:rPr>
                <w:b/>
                <w:i w:val="0"/>
                <w:sz w:val="19"/>
              </w:rPr>
              <w:t>N-16</w:t>
            </w:r>
          </w:p>
        </w:tc>
        <w:tc>
          <w:tcPr>
            <w:tcW w:type="dxa" w:w="1377"/>
            <w:tcW w:w="1445" w:type="dxa"/>
            <w:vAlign w:val="top"/>
          </w:tcPr>
          <w:p>
            <w:pPr>
              <w:spacing w:after="40" w:before="40" w:line="276" w:lineRule="auto"/>
              <w:jc w:val="left"/>
            </w:pPr>
            <w:r>
              <w:rPr>
                <w:b w:val="0"/>
                <w:i w:val="0"/>
                <w:sz w:val="19"/>
              </w:rPr>
              <w:t>Three conflicting capital-cost figures</w:t>
            </w:r>
          </w:p>
        </w:tc>
        <w:tc>
          <w:tcPr>
            <w:tcW w:type="dxa" w:w="1377"/>
            <w:tcW w:w="771" w:type="dxa"/>
            <w:vAlign w:val="top"/>
          </w:tcPr>
          <w:p>
            <w:pPr>
              <w:spacing w:after="40" w:before="40" w:line="276" w:lineRule="auto"/>
              <w:jc w:val="left"/>
            </w:pPr>
            <w:r>
              <w:rPr>
                <w:b w:val="0"/>
                <w:i w:val="0"/>
                <w:sz w:val="19"/>
              </w:rPr>
              <w:t>§10.1 / Table 5 / Table 7</w:t>
            </w:r>
          </w:p>
        </w:tc>
        <w:tc>
          <w:tcPr>
            <w:tcW w:type="dxa" w:w="1377"/>
            <w:tcW w:w="2313" w:type="dxa"/>
            <w:vAlign w:val="top"/>
          </w:tcPr>
          <w:p>
            <w:pPr>
              <w:spacing w:after="40" w:before="40" w:line="276" w:lineRule="auto"/>
              <w:jc w:val="left"/>
            </w:pPr>
            <w:r>
              <w:rPr>
                <w:b w:val="0"/>
                <w:i w:val="0"/>
                <w:sz w:val="19"/>
              </w:rPr>
              <w:t>Original §10.1: "0.70–1.20 $/W solar, 1,150–1,800 $/kW wind, 100–150 $/kWh BESS, 200M$–320M$ for 100 MW".</w:t>
            </w:r>
          </w:p>
        </w:tc>
        <w:tc>
          <w:tcPr>
            <w:tcW w:type="dxa" w:w="1377"/>
            <w:tcW w:w="2313" w:type="dxa"/>
            <w:vAlign w:val="top"/>
          </w:tcPr>
          <w:p>
            <w:pPr>
              <w:spacing w:after="40" w:before="40" w:line="276" w:lineRule="auto"/>
              <w:jc w:val="left"/>
            </w:pPr>
            <w:r>
              <w:rPr>
                <w:b w:val="0"/>
                <w:i w:val="0"/>
                <w:sz w:val="19"/>
              </w:rPr>
              <w:t>"IRENA 2024 TIC: $691/kW solar, $1,041/kW onshore wind, $192/kWh BESS installed [16]." Lazard 2025 LCOE+: utility-scale solar $29–92/MWh; 4-h BESS $115–254/MWh [170].</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#30: the capital-cost and LCOE figures are now aligned across Section 1.2, Section 10.1, Table 5 and Table 7 with IRENA 2024 (ref [16]) for installed-cost benchmarks and Lazard 2025 LCOE+ (ref [170]) for LCOE ranges.</w:t>
            </w:r>
          </w:p>
        </w:tc>
      </w:tr>
      <w:tr>
        <w:trPr>
          <w:cantSplit w:val="true"/>
        </w:trPr>
        <w:tc>
          <w:tcPr>
            <w:tcW w:type="dxa" w:w="9639"/>
            <w:gridSpan w:val="7"/>
            <w:shd w:val="clear" w:color="auto" w:fill="D9E2F3"/>
          </w:tcPr>
          <w:p>
            <w:pPr>
              <w:spacing w:after="40" w:before="40" w:line="276" w:lineRule="auto"/>
              <w:jc w:val="left"/>
            </w:pPr>
            <w:r>
              <w:rPr>
                <w:b/>
                <w:i w:val="0"/>
                <w:sz w:val="22"/>
              </w:rPr>
              <w:t>2.4 Citations (refs 7, 58, 150, Google figures, Goldman Sachs, etc.)</w:t>
            </w:r>
          </w:p>
        </w:tc>
      </w:tr>
      <w:tr>
        <w:trPr>
          <w:cantSplit w:val="false"/>
        </w:trPr>
        <w:tc>
          <w:tcPr>
            <w:tcW w:type="dxa" w:w="1377"/>
            <w:tcW w:w="481" w:type="dxa"/>
            <w:vAlign w:val="top"/>
          </w:tcPr>
          <w:p>
            <w:pPr>
              <w:spacing w:after="40" w:before="40" w:line="276" w:lineRule="auto"/>
              <w:jc w:val="left"/>
            </w:pPr>
            <w:r>
              <w:rPr>
                <w:b/>
                <w:i w:val="0"/>
                <w:sz w:val="19"/>
              </w:rPr>
              <w:t>C-01</w:t>
            </w:r>
          </w:p>
        </w:tc>
        <w:tc>
          <w:tcPr>
            <w:tcW w:type="dxa" w:w="1377"/>
            <w:tcW w:w="1445" w:type="dxa"/>
            <w:vAlign w:val="top"/>
          </w:tcPr>
          <w:p>
            <w:pPr>
              <w:spacing w:after="40" w:before="40" w:line="276" w:lineRule="auto"/>
              <w:jc w:val="left"/>
            </w:pPr>
            <w:r>
              <w:rPr>
                <w:b w:val="0"/>
                <w:i w:val="0"/>
                <w:sz w:val="19"/>
              </w:rPr>
              <w:t>Ref [7] attributes "2.9 Wh per GPT-3 query" to "Li" but ref [7] is Shi/Yang/Lo</w:t>
            </w:r>
          </w:p>
        </w:tc>
        <w:tc>
          <w:tcPr>
            <w:tcW w:type="dxa" w:w="1377"/>
            <w:tcW w:w="771" w:type="dxa"/>
            <w:vAlign w:val="top"/>
          </w:tcPr>
          <w:p>
            <w:pPr>
              <w:spacing w:after="40" w:before="40" w:line="276" w:lineRule="auto"/>
              <w:jc w:val="left"/>
            </w:pPr>
            <w:r>
              <w:rPr>
                <w:b w:val="0"/>
                <w:i w:val="0"/>
                <w:sz w:val="19"/>
              </w:rPr>
              <w:t>§1.1 / Ref [7]</w:t>
            </w:r>
          </w:p>
        </w:tc>
        <w:tc>
          <w:tcPr>
            <w:tcW w:type="dxa" w:w="1377"/>
            <w:tcW w:w="2313" w:type="dxa"/>
            <w:vAlign w:val="top"/>
          </w:tcPr>
          <w:p>
            <w:pPr>
              <w:spacing w:after="40" w:before="40" w:line="276" w:lineRule="auto"/>
              <w:jc w:val="left"/>
            </w:pPr>
            <w:r>
              <w:rPr>
                <w:b w:val="0"/>
                <w:i w:val="0"/>
                <w:sz w:val="19"/>
              </w:rPr>
              <w:t>Original ref [7]: mis-attribution to "research by Li".</w:t>
            </w:r>
          </w:p>
        </w:tc>
        <w:tc>
          <w:tcPr>
            <w:tcW w:type="dxa" w:w="1377"/>
            <w:tcW w:w="2313" w:type="dxa"/>
            <w:vAlign w:val="top"/>
          </w:tcPr>
          <w:p>
            <w:pPr>
              <w:spacing w:after="40" w:before="40" w:line="276" w:lineRule="auto"/>
              <w:jc w:val="left"/>
            </w:pPr>
            <w:r>
              <w:rPr>
                <w:b w:val="0"/>
                <w:i w:val="0"/>
                <w:sz w:val="19"/>
              </w:rPr>
              <w:t>Revised ref [7]: "J. Shi, Z. Yang, and D. Lo, 'Efficient and Green Large Language Models for Software Engineering…', arXiv:2404.04566, 2024."</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#15: the mis-attribution was removed and ref [7] is now used only to support a general statement about per-query energy.</w:t>
            </w:r>
          </w:p>
        </w:tc>
      </w:tr>
      <w:tr>
        <w:trPr>
          <w:cantSplit w:val="false"/>
        </w:trPr>
        <w:tc>
          <w:tcPr>
            <w:tcW w:type="dxa" w:w="1377"/>
            <w:tcW w:w="481" w:type="dxa"/>
            <w:vAlign w:val="top"/>
          </w:tcPr>
          <w:p>
            <w:pPr>
              <w:spacing w:after="40" w:before="40" w:line="276" w:lineRule="auto"/>
              <w:jc w:val="left"/>
            </w:pPr>
            <w:r>
              <w:rPr>
                <w:b/>
                <w:i w:val="0"/>
                <w:sz w:val="19"/>
              </w:rPr>
              <w:t>C-02</w:t>
            </w:r>
          </w:p>
        </w:tc>
        <w:tc>
          <w:tcPr>
            <w:tcW w:type="dxa" w:w="1377"/>
            <w:tcW w:w="1445" w:type="dxa"/>
            <w:vAlign w:val="top"/>
          </w:tcPr>
          <w:p>
            <w:pPr>
              <w:spacing w:after="40" w:before="40" w:line="276" w:lineRule="auto"/>
              <w:jc w:val="left"/>
            </w:pPr>
            <w:r>
              <w:rPr>
                <w:b w:val="0"/>
                <w:i w:val="0"/>
                <w:sz w:val="19"/>
              </w:rPr>
              <w:t>Ref [58] (BloombergNEF "Corporate Clean Energy Buying Fell in 2025") cited for battery pack prices</w:t>
            </w:r>
          </w:p>
        </w:tc>
        <w:tc>
          <w:tcPr>
            <w:tcW w:type="dxa" w:w="1377"/>
            <w:tcW w:w="771" w:type="dxa"/>
            <w:vAlign w:val="top"/>
          </w:tcPr>
          <w:p>
            <w:pPr>
              <w:spacing w:after="40" w:before="40" w:line="276" w:lineRule="auto"/>
              <w:jc w:val="left"/>
            </w:pPr>
            <w:r>
              <w:rPr>
                <w:b w:val="0"/>
                <w:i w:val="0"/>
                <w:sz w:val="19"/>
              </w:rPr>
              <w:t>Table 7 source list</w:t>
            </w:r>
          </w:p>
        </w:tc>
        <w:tc>
          <w:tcPr>
            <w:tcW w:type="dxa" w:w="1377"/>
            <w:tcW w:w="2313" w:type="dxa"/>
            <w:vAlign w:val="top"/>
          </w:tcPr>
          <w:p>
            <w:pPr>
              <w:spacing w:after="40" w:before="40" w:line="276" w:lineRule="auto"/>
              <w:jc w:val="left"/>
            </w:pPr>
            <w:r>
              <w:rPr>
                <w:b w:val="0"/>
                <w:i w:val="0"/>
                <w:sz w:val="19"/>
              </w:rPr>
              <w:t>Original Table 7 source: "BloombergNEF Battery Pack Prices (December 2025) [58]" — ref [58] was unrelated BNEF Corporate Energy Market Outlook 2025.</w:t>
            </w:r>
          </w:p>
        </w:tc>
        <w:tc>
          <w:tcPr>
            <w:tcW w:type="dxa" w:w="1377"/>
            <w:tcW w:w="2313" w:type="dxa"/>
            <w:vAlign w:val="top"/>
          </w:tcPr>
          <w:p>
            <w:pPr>
              <w:spacing w:after="40" w:before="40" w:line="276" w:lineRule="auto"/>
              <w:jc w:val="left"/>
            </w:pPr>
            <w:r>
              <w:rPr>
                <w:b w:val="0"/>
                <w:i w:val="0"/>
                <w:sz w:val="19"/>
              </w:rPr>
              <w:t>Revised: BNEF battery-pack prices now cited to ref [17] (BNEF, "Lithium-ion battery pack prices fall to $108/kWh, stationary storage becomes lowest price segment", December 9, 2025).</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#16: BNEF battery-pack prices are now cited to ref [17] (correct BNEF battery survey), not to ref [58].</w:t>
            </w:r>
          </w:p>
        </w:tc>
      </w:tr>
      <w:tr>
        <w:trPr>
          <w:cantSplit w:val="false"/>
        </w:trPr>
        <w:tc>
          <w:tcPr>
            <w:tcW w:type="dxa" w:w="1377"/>
            <w:tcW w:w="481" w:type="dxa"/>
            <w:vAlign w:val="top"/>
          </w:tcPr>
          <w:p>
            <w:pPr>
              <w:spacing w:after="40" w:before="40" w:line="276" w:lineRule="auto"/>
              <w:jc w:val="left"/>
            </w:pPr>
            <w:r>
              <w:rPr>
                <w:b/>
                <w:i w:val="0"/>
                <w:sz w:val="19"/>
              </w:rPr>
              <w:t>C-03</w:t>
            </w:r>
          </w:p>
        </w:tc>
        <w:tc>
          <w:tcPr>
            <w:tcW w:type="dxa" w:w="1377"/>
            <w:tcW w:w="1445" w:type="dxa"/>
            <w:vAlign w:val="top"/>
          </w:tcPr>
          <w:p>
            <w:pPr>
              <w:spacing w:after="40" w:before="40" w:line="276" w:lineRule="auto"/>
              <w:jc w:val="left"/>
            </w:pPr>
            <w:r>
              <w:rPr>
                <w:b w:val="0"/>
                <w:i w:val="0"/>
                <w:sz w:val="19"/>
              </w:rPr>
              <w:t>Ref [150] Lazard June 2025 cited for everything</w:t>
            </w:r>
          </w:p>
        </w:tc>
        <w:tc>
          <w:tcPr>
            <w:tcW w:type="dxa" w:w="1377"/>
            <w:tcW w:w="771" w:type="dxa"/>
            <w:vAlign w:val="top"/>
          </w:tcPr>
          <w:p>
            <w:pPr>
              <w:spacing w:after="40" w:before="40" w:line="276" w:lineRule="auto"/>
              <w:jc w:val="left"/>
            </w:pPr>
            <w:r>
              <w:rPr>
                <w:b w:val="0"/>
                <w:i w:val="0"/>
                <w:sz w:val="19"/>
              </w:rPr>
              <w:t>Table 7 / §10.2</w:t>
            </w:r>
          </w:p>
        </w:tc>
        <w:tc>
          <w:tcPr>
            <w:tcW w:type="dxa" w:w="1377"/>
            <w:tcW w:w="2313" w:type="dxa"/>
            <w:vAlign w:val="top"/>
          </w:tcPr>
          <w:p>
            <w:pPr>
              <w:spacing w:after="40" w:before="40" w:line="276" w:lineRule="auto"/>
              <w:jc w:val="left"/>
            </w:pPr>
            <w:r>
              <w:rPr>
                <w:b w:val="0"/>
                <w:i w:val="0"/>
                <w:sz w:val="19"/>
              </w:rPr>
              <w:t>Original ref [150]: Lazard LCOE+ cited as the basis for all LCOE values in Tables 5 &amp; 7.</w:t>
            </w:r>
          </w:p>
        </w:tc>
        <w:tc>
          <w:tcPr>
            <w:tcW w:type="dxa" w:w="1377"/>
            <w:tcW w:w="2313" w:type="dxa"/>
            <w:vAlign w:val="top"/>
          </w:tcPr>
          <w:p>
            <w:pPr>
              <w:spacing w:after="40" w:before="40" w:line="276" w:lineRule="auto"/>
              <w:jc w:val="left"/>
            </w:pPr>
            <w:r>
              <w:rPr>
                <w:b w:val="0"/>
                <w:i w:val="0"/>
                <w:sz w:val="19"/>
              </w:rPr>
              <w:t>Revised ref [150] is now NFPA 110; Lazard LCOE+ is now ref [170]; PJM BRA is ref [171]; PJM LMP is ref [172] — separate citations for separate claims.</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#17: the Lazard June 2025 LCOE+ is now ref [170]; PJM BRA $329.17/MW-day is ref [171]; PJM YTD LMP $50.53/MWh is ref [172] — separate claims now carry separate citations.</w:t>
            </w:r>
          </w:p>
        </w:tc>
      </w:tr>
      <w:tr>
        <w:trPr>
          <w:cantSplit w:val="false"/>
        </w:trPr>
        <w:tc>
          <w:tcPr>
            <w:tcW w:type="dxa" w:w="1377"/>
            <w:tcW w:w="481" w:type="dxa"/>
            <w:vAlign w:val="top"/>
          </w:tcPr>
          <w:p>
            <w:pPr>
              <w:spacing w:after="40" w:before="40" w:line="276" w:lineRule="auto"/>
              <w:jc w:val="left"/>
            </w:pPr>
            <w:r>
              <w:rPr>
                <w:b/>
                <w:i w:val="0"/>
                <w:sz w:val="19"/>
              </w:rPr>
              <w:t>C-04</w:t>
            </w:r>
          </w:p>
        </w:tc>
        <w:tc>
          <w:tcPr>
            <w:tcW w:type="dxa" w:w="1377"/>
            <w:tcW w:w="1445" w:type="dxa"/>
            <w:vAlign w:val="top"/>
          </w:tcPr>
          <w:p>
            <w:pPr>
              <w:spacing w:after="40" w:before="40" w:line="276" w:lineRule="auto"/>
              <w:jc w:val="left"/>
            </w:pPr>
            <w:r>
              <w:rPr>
                <w:b w:val="0"/>
                <w:i w:val="0"/>
                <w:sz w:val="19"/>
              </w:rPr>
              <w:t>Duplicate reference [39] = [58]</w:t>
            </w:r>
          </w:p>
        </w:tc>
        <w:tc>
          <w:tcPr>
            <w:tcW w:type="dxa" w:w="1377"/>
            <w:tcW w:w="771" w:type="dxa"/>
            <w:vAlign w:val="top"/>
          </w:tcPr>
          <w:p>
            <w:pPr>
              <w:spacing w:after="40" w:before="40" w:line="276" w:lineRule="auto"/>
              <w:jc w:val="left"/>
            </w:pPr>
            <w:r>
              <w:rPr>
                <w:b w:val="0"/>
                <w:i w:val="0"/>
                <w:sz w:val="19"/>
              </w:rPr>
              <w:t>References</w:t>
            </w:r>
          </w:p>
        </w:tc>
        <w:tc>
          <w:tcPr>
            <w:tcW w:type="dxa" w:w="1377"/>
            <w:tcW w:w="2313" w:type="dxa"/>
            <w:vAlign w:val="top"/>
          </w:tcPr>
          <w:p>
            <w:pPr>
              <w:spacing w:after="40" w:before="40" w:line="276" w:lineRule="auto"/>
              <w:jc w:val="left"/>
            </w:pPr>
            <w:r>
              <w:rPr>
                <w:b w:val="0"/>
                <w:i w:val="0"/>
                <w:sz w:val="19"/>
              </w:rPr>
              <w:t>Original ref [39] and ref [58] both: Gülen, Das, Young, "Assessing Economic Costs of Two Reliable Generation Mix Scenarios in the ERCOT System," Energies 19(9):2195, May 2026.</w:t>
            </w:r>
          </w:p>
        </w:tc>
        <w:tc>
          <w:tcPr>
            <w:tcW w:type="dxa" w:w="1377"/>
            <w:tcW w:w="2313" w:type="dxa"/>
            <w:vAlign w:val="top"/>
          </w:tcPr>
          <w:p>
            <w:pPr>
              <w:spacing w:after="40" w:before="40" w:line="276" w:lineRule="auto"/>
              <w:jc w:val="left"/>
            </w:pPr>
            <w:r>
              <w:rPr>
                <w:b w:val="0"/>
                <w:i w:val="0"/>
                <w:sz w:val="19"/>
              </w:rPr>
              <w:t>Revised: ref [58] removed; subsequent references renumbered.</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#16 (Round 2): the duplicate ERCOT reference was removed and the reference list was renumbered accordingly.</w:t>
            </w:r>
          </w:p>
        </w:tc>
      </w:tr>
      <w:tr>
        <w:trPr>
          <w:cantSplit w:val="false"/>
        </w:trPr>
        <w:tc>
          <w:tcPr>
            <w:tcW w:type="dxa" w:w="1377"/>
            <w:tcW w:w="481" w:type="dxa"/>
            <w:vAlign w:val="top"/>
          </w:tcPr>
          <w:p>
            <w:pPr>
              <w:spacing w:after="40" w:before="40" w:line="276" w:lineRule="auto"/>
              <w:jc w:val="left"/>
            </w:pPr>
            <w:r>
              <w:rPr>
                <w:b/>
                <w:i w:val="0"/>
                <w:sz w:val="19"/>
              </w:rPr>
              <w:t>C-05</w:t>
            </w:r>
          </w:p>
        </w:tc>
        <w:tc>
          <w:tcPr>
            <w:tcW w:type="dxa" w:w="1377"/>
            <w:tcW w:w="1445" w:type="dxa"/>
            <w:vAlign w:val="top"/>
          </w:tcPr>
          <w:p>
            <w:pPr>
              <w:spacing w:after="40" w:before="40" w:line="276" w:lineRule="auto"/>
              <w:jc w:val="left"/>
            </w:pPr>
            <w:r>
              <w:rPr>
                <w:b w:val="0"/>
                <w:i w:val="0"/>
                <w:sz w:val="19"/>
              </w:rPr>
              <w:t>Google figures no reporting year</w:t>
            </w:r>
          </w:p>
        </w:tc>
        <w:tc>
          <w:tcPr>
            <w:tcW w:type="dxa" w:w="1377"/>
            <w:tcW w:w="771" w:type="dxa"/>
            <w:vAlign w:val="top"/>
          </w:tcPr>
          <w:p>
            <w:pPr>
              <w:spacing w:after="40" w:before="40" w:line="276" w:lineRule="auto"/>
              <w:jc w:val="left"/>
            </w:pPr>
            <w:r>
              <w:rPr>
                <w:b w:val="0"/>
                <w:i w:val="0"/>
                <w:sz w:val="19"/>
              </w:rPr>
              <w:t>§8.1 / Table 8</w:t>
            </w:r>
          </w:p>
        </w:tc>
        <w:tc>
          <w:tcPr>
            <w:tcW w:type="dxa" w:w="1377"/>
            <w:tcW w:w="2313" w:type="dxa"/>
            <w:vAlign w:val="top"/>
          </w:tcPr>
          <w:p>
            <w:pPr>
              <w:spacing w:after="40" w:before="40" w:line="276" w:lineRule="auto"/>
              <w:jc w:val="left"/>
            </w:pPr>
            <w:r>
              <w:rPr>
                <w:b w:val="0"/>
                <w:i w:val="0"/>
                <w:sz w:val="19"/>
              </w:rPr>
              <w:t>Original: "Google's energy use is now 66% carbon-free on average hourly basis for 2024" (Section 8.1) AND "Google met its hourly carbon-free energy (CFE) matching metric at 64% worldwide on 2024" (Section 2.6.1.2) — internal inconsistency.</w:t>
            </w:r>
          </w:p>
        </w:tc>
        <w:tc>
          <w:tcPr>
            <w:tcW w:type="dxa" w:w="1377"/>
            <w:tcW w:w="2313" w:type="dxa"/>
            <w:vAlign w:val="top"/>
          </w:tcPr>
          <w:p>
            <w:pPr>
              <w:spacing w:after="40" w:before="40" w:line="276" w:lineRule="auto"/>
              <w:jc w:val="left"/>
            </w:pPr>
            <w:r>
              <w:rPr>
                <w:b w:val="0"/>
                <w:i w:val="0"/>
                <w:sz w:val="19"/>
              </w:rPr>
              <w:t>Revised: a single figure of "66% global average hourly CFE for 2024 [52]" is now used throughout; the 64% figure was removed from Section 2.6.1.2 and the Table 8 row to remove the inconsistency.</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#21 (Round 2): the Google CFE inconsistency was reconciled to a single figure (66% for 2024, citing Google 2025 Environmental Report ref [52]).</w:t>
            </w:r>
          </w:p>
        </w:tc>
      </w:tr>
      <w:tr>
        <w:trPr>
          <w:cantSplit w:val="false"/>
        </w:trPr>
        <w:tc>
          <w:tcPr>
            <w:tcW w:type="dxa" w:w="1377"/>
            <w:tcW w:w="481" w:type="dxa"/>
            <w:vAlign w:val="top"/>
          </w:tcPr>
          <w:p>
            <w:pPr>
              <w:spacing w:after="40" w:before="40" w:line="276" w:lineRule="auto"/>
              <w:jc w:val="left"/>
            </w:pPr>
            <w:r>
              <w:rPr>
                <w:b/>
                <w:i w:val="0"/>
                <w:sz w:val="19"/>
              </w:rPr>
              <w:t>C-06</w:t>
            </w:r>
          </w:p>
        </w:tc>
        <w:tc>
          <w:tcPr>
            <w:tcW w:type="dxa" w:w="1377"/>
            <w:tcW w:w="1445" w:type="dxa"/>
            <w:vAlign w:val="top"/>
          </w:tcPr>
          <w:p>
            <w:pPr>
              <w:spacing w:after="40" w:before="40" w:line="276" w:lineRule="auto"/>
              <w:jc w:val="left"/>
            </w:pPr>
            <w:r>
              <w:rPr>
                <w:b w:val="0"/>
                <w:i w:val="0"/>
                <w:sz w:val="19"/>
              </w:rPr>
              <w:t>Reference [8] (Goldman Sachs Feb 2025) for 165% figure</w:t>
            </w:r>
          </w:p>
        </w:tc>
        <w:tc>
          <w:tcPr>
            <w:tcW w:type="dxa" w:w="1377"/>
            <w:tcW w:w="771" w:type="dxa"/>
            <w:vAlign w:val="top"/>
          </w:tcPr>
          <w:p>
            <w:pPr>
              <w:spacing w:after="40" w:before="40" w:line="276" w:lineRule="auto"/>
              <w:jc w:val="left"/>
            </w:pPr>
            <w:r>
              <w:rPr>
                <w:b w:val="0"/>
                <w:i w:val="0"/>
                <w:sz w:val="19"/>
              </w:rPr>
              <w:t>§1.1 / Ref [8]</w:t>
            </w:r>
          </w:p>
        </w:tc>
        <w:tc>
          <w:tcPr>
            <w:tcW w:type="dxa" w:w="1377"/>
            <w:tcW w:w="2313" w:type="dxa"/>
            <w:vAlign w:val="top"/>
          </w:tcPr>
          <w:p>
            <w:pPr>
              <w:spacing w:after="40" w:before="40" w:line="276" w:lineRule="auto"/>
              <w:jc w:val="left"/>
            </w:pPr>
            <w:r>
              <w:rPr>
                <w:b w:val="0"/>
                <w:i w:val="0"/>
                <w:sz w:val="19"/>
              </w:rPr>
              <w:t>Original ref [8]: generic citation.</w:t>
            </w:r>
          </w:p>
        </w:tc>
        <w:tc>
          <w:tcPr>
            <w:tcW w:type="dxa" w:w="1377"/>
            <w:tcW w:w="2313" w:type="dxa"/>
            <w:vAlign w:val="top"/>
          </w:tcPr>
          <w:p>
            <w:pPr>
              <w:spacing w:after="40" w:before="40" w:line="276" w:lineRule="auto"/>
              <w:jc w:val="left"/>
            </w:pPr>
            <w:r>
              <w:rPr>
                <w:b w:val="0"/>
                <w:i w:val="0"/>
                <w:sz w:val="19"/>
              </w:rPr>
              <w:t>Revised ref [8]: Goldman Sachs, "The AI Power Surge," February 4, 2025 — the source of the 165% (2024→2030) demand-growth projection.</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#20: the 165% growth claim is now properly cited to Goldman Sachs (February 4, 2025), ref [8].</w:t>
            </w:r>
          </w:p>
        </w:tc>
      </w:tr>
      <w:tr>
        <w:trPr>
          <w:cantSplit w:val="true"/>
        </w:trPr>
        <w:tc>
          <w:tcPr>
            <w:tcW w:type="dxa" w:w="9639"/>
            <w:gridSpan w:val="7"/>
            <w:shd w:val="clear" w:color="auto" w:fill="D9E2F3"/>
          </w:tcPr>
          <w:p>
            <w:pPr>
              <w:spacing w:after="40" w:before="40" w:line="276" w:lineRule="auto"/>
              <w:jc w:val="left"/>
            </w:pPr>
            <w:r>
              <w:rPr>
                <w:b/>
                <w:i w:val="0"/>
                <w:sz w:val="22"/>
              </w:rPr>
              <w:t>2.5 Tables (Table 1 citations, Table 3 pack vs installed, Table 7 firmed/unfirmed, removed grid-only LCOE rows)</w:t>
            </w:r>
          </w:p>
        </w:tc>
      </w:tr>
      <w:tr>
        <w:trPr>
          <w:cantSplit w:val="false"/>
        </w:trPr>
        <w:tc>
          <w:tcPr>
            <w:tcW w:type="dxa" w:w="1377"/>
            <w:tcW w:w="481" w:type="dxa"/>
            <w:vAlign w:val="top"/>
          </w:tcPr>
          <w:p>
            <w:pPr>
              <w:spacing w:after="40" w:before="40" w:line="276" w:lineRule="auto"/>
              <w:jc w:val="left"/>
            </w:pPr>
            <w:r>
              <w:rPr>
                <w:b/>
                <w:i w:val="0"/>
                <w:sz w:val="19"/>
              </w:rPr>
              <w:t>T-01</w:t>
            </w:r>
          </w:p>
        </w:tc>
        <w:tc>
          <w:tcPr>
            <w:tcW w:type="dxa" w:w="1377"/>
            <w:tcW w:w="1445" w:type="dxa"/>
            <w:vAlign w:val="top"/>
          </w:tcPr>
          <w:p>
            <w:pPr>
              <w:spacing w:after="40" w:before="40" w:line="276" w:lineRule="auto"/>
              <w:jc w:val="left"/>
            </w:pPr>
            <w:r>
              <w:rPr>
                <w:b w:val="0"/>
                <w:i w:val="0"/>
                <w:sz w:val="19"/>
              </w:rPr>
              <w:t>Table 1 has no citations</w:t>
            </w:r>
          </w:p>
        </w:tc>
        <w:tc>
          <w:tcPr>
            <w:tcW w:type="dxa" w:w="1377"/>
            <w:tcW w:w="771" w:type="dxa"/>
            <w:vAlign w:val="top"/>
          </w:tcPr>
          <w:p>
            <w:pPr>
              <w:spacing w:after="40" w:before="40" w:line="276" w:lineRule="auto"/>
              <w:jc w:val="left"/>
            </w:pPr>
            <w:r>
              <w:rPr>
                <w:b w:val="0"/>
                <w:i w:val="0"/>
                <w:sz w:val="19"/>
              </w:rPr>
              <w:t>Table 1</w:t>
            </w:r>
          </w:p>
        </w:tc>
        <w:tc>
          <w:tcPr>
            <w:tcW w:type="dxa" w:w="1377"/>
            <w:tcW w:w="2313" w:type="dxa"/>
            <w:vAlign w:val="top"/>
          </w:tcPr>
          <w:p>
            <w:pPr>
              <w:spacing w:after="40" w:before="40" w:line="276" w:lineRule="auto"/>
              <w:jc w:val="left"/>
            </w:pPr>
            <w:r>
              <w:rPr>
                <w:b w:val="0"/>
                <w:i w:val="0"/>
                <w:sz w:val="19"/>
              </w:rPr>
              <w:t>Original Table 1: four rows (Technical-Only, Economic-Only, Company Case Studies, Equipment-Centric) with no in-cell citations.</w:t>
            </w:r>
          </w:p>
        </w:tc>
        <w:tc>
          <w:tcPr>
            <w:tcW w:type="dxa" w:w="1377"/>
            <w:tcW w:w="2313" w:type="dxa"/>
            <w:vAlign w:val="top"/>
          </w:tcPr>
          <w:p>
            <w:pPr>
              <w:spacing w:after="40" w:before="40" w:line="276" w:lineRule="auto"/>
              <w:jc w:val="left"/>
            </w:pPr>
            <w:r>
              <w:rPr>
                <w:b w:val="0"/>
                <w:i w:val="0"/>
                <w:sz w:val="19"/>
              </w:rPr>
              <w:t>Revised Table 1: each cell carries citations such as "[51], [61], [62]" (Technical-Only), "[64], [65], [66]" (Economic-Only), "[52], [54], [59], [60]" (Company Case Studies), "[34], [45], [47], [71]" (Equipment-Centric).</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#22: every cell in Table 1 now carries source citations.</w:t>
            </w:r>
          </w:p>
        </w:tc>
      </w:tr>
      <w:tr>
        <w:trPr>
          <w:cantSplit w:val="false"/>
        </w:trPr>
        <w:tc>
          <w:tcPr>
            <w:tcW w:type="dxa" w:w="1377"/>
            <w:tcW w:w="481" w:type="dxa"/>
            <w:vAlign w:val="top"/>
          </w:tcPr>
          <w:p>
            <w:pPr>
              <w:spacing w:after="40" w:before="40" w:line="276" w:lineRule="auto"/>
              <w:jc w:val="left"/>
            </w:pPr>
            <w:r>
              <w:rPr>
                <w:b/>
                <w:i w:val="0"/>
                <w:sz w:val="19"/>
              </w:rPr>
              <w:t>T-02</w:t>
            </w:r>
          </w:p>
        </w:tc>
        <w:tc>
          <w:tcPr>
            <w:tcW w:type="dxa" w:w="1377"/>
            <w:tcW w:w="1445" w:type="dxa"/>
            <w:vAlign w:val="top"/>
          </w:tcPr>
          <w:p>
            <w:pPr>
              <w:spacing w:after="40" w:before="40" w:line="276" w:lineRule="auto"/>
              <w:jc w:val="left"/>
            </w:pPr>
            <w:r>
              <w:rPr>
                <w:b w:val="0"/>
                <w:i w:val="0"/>
                <w:sz w:val="19"/>
              </w:rPr>
              <w:t>Table 3 mixes pack and installed prices without labelling</w:t>
            </w:r>
          </w:p>
        </w:tc>
        <w:tc>
          <w:tcPr>
            <w:tcW w:type="dxa" w:w="1377"/>
            <w:tcW w:w="771" w:type="dxa"/>
            <w:vAlign w:val="top"/>
          </w:tcPr>
          <w:p>
            <w:pPr>
              <w:spacing w:after="40" w:before="40" w:line="276" w:lineRule="auto"/>
              <w:jc w:val="left"/>
            </w:pPr>
            <w:r>
              <w:rPr>
                <w:b w:val="0"/>
                <w:i w:val="0"/>
                <w:sz w:val="19"/>
              </w:rPr>
              <w:t>Table 3</w:t>
            </w:r>
          </w:p>
        </w:tc>
        <w:tc>
          <w:tcPr>
            <w:tcW w:type="dxa" w:w="1377"/>
            <w:tcW w:w="2313" w:type="dxa"/>
            <w:vAlign w:val="top"/>
          </w:tcPr>
          <w:p>
            <w:pPr>
              <w:spacing w:after="40" w:before="40" w:line="276" w:lineRule="auto"/>
              <w:jc w:val="left"/>
            </w:pPr>
            <w:r>
              <w:rPr>
                <w:b w:val="0"/>
                <w:i w:val="0"/>
                <w:sz w:val="19"/>
              </w:rPr>
              <w:t>Original Table 3: a single $/kWh figure per row with no distinction between pack and installed.</w:t>
            </w:r>
          </w:p>
        </w:tc>
        <w:tc>
          <w:tcPr>
            <w:tcW w:type="dxa" w:w="1377"/>
            <w:tcW w:w="2313" w:type="dxa"/>
            <w:vAlign w:val="top"/>
          </w:tcPr>
          <w:p>
            <w:pPr>
              <w:spacing w:after="40" w:before="40" w:line="276" w:lineRule="auto"/>
              <w:jc w:val="left"/>
            </w:pPr>
            <w:r>
              <w:rPr>
                <w:b w:val="0"/>
                <w:i w:val="0"/>
                <w:sz w:val="19"/>
              </w:rPr>
              <w:t>Revised Table 3: 2–4 h row labelled "Battery-pack price: USD 108/kWh"; 4–8 h, 8–24 h rows labelled "Installed-system cost: USD 180–320/kWh-system" and "USD 180–350/kWh-system".</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#31: Table 3 now explicitly distinguishes pack prices from installed-system costs.</w:t>
            </w:r>
          </w:p>
        </w:tc>
      </w:tr>
      <w:tr>
        <w:trPr>
          <w:cantSplit w:val="false"/>
        </w:trPr>
        <w:tc>
          <w:tcPr>
            <w:tcW w:type="dxa" w:w="1377"/>
            <w:tcW w:w="481" w:type="dxa"/>
            <w:vAlign w:val="top"/>
          </w:tcPr>
          <w:p>
            <w:pPr>
              <w:spacing w:after="40" w:before="40" w:line="276" w:lineRule="auto"/>
              <w:jc w:val="left"/>
            </w:pPr>
            <w:r>
              <w:rPr>
                <w:b/>
                <w:i w:val="0"/>
                <w:sz w:val="19"/>
              </w:rPr>
              <w:t>T-03</w:t>
            </w:r>
          </w:p>
        </w:tc>
        <w:tc>
          <w:tcPr>
            <w:tcW w:type="dxa" w:w="1377"/>
            <w:tcW w:w="1445" w:type="dxa"/>
            <w:vAlign w:val="top"/>
          </w:tcPr>
          <w:p>
            <w:pPr>
              <w:spacing w:after="40" w:before="40" w:line="276" w:lineRule="auto"/>
              <w:jc w:val="left"/>
            </w:pPr>
            <w:r>
              <w:rPr>
                <w:b w:val="0"/>
                <w:i w:val="0"/>
                <w:sz w:val="19"/>
              </w:rPr>
              <w:t>Table 7 unfirmed vs firmed LCOE comparison</w:t>
            </w:r>
          </w:p>
        </w:tc>
        <w:tc>
          <w:tcPr>
            <w:tcW w:type="dxa" w:w="1377"/>
            <w:tcW w:w="771" w:type="dxa"/>
            <w:vAlign w:val="top"/>
          </w:tcPr>
          <w:p>
            <w:pPr>
              <w:spacing w:after="40" w:before="40" w:line="276" w:lineRule="auto"/>
              <w:jc w:val="left"/>
            </w:pPr>
            <w:r>
              <w:rPr>
                <w:b w:val="0"/>
                <w:i w:val="0"/>
                <w:sz w:val="19"/>
              </w:rPr>
              <w:t>Table 7</w:t>
            </w:r>
          </w:p>
        </w:tc>
        <w:tc>
          <w:tcPr>
            <w:tcW w:type="dxa" w:w="1377"/>
            <w:tcW w:w="2313" w:type="dxa"/>
            <w:vAlign w:val="top"/>
          </w:tcPr>
          <w:p>
            <w:pPr>
              <w:spacing w:after="40" w:before="40" w:line="276" w:lineRule="auto"/>
              <w:jc w:val="left"/>
            </w:pPr>
            <w:r>
              <w:rPr>
                <w:b w:val="0"/>
                <w:i w:val="0"/>
                <w:sz w:val="19"/>
              </w:rPr>
              <w:t>Original Table 7: a single $/MWh column treated unfirmed LCOE and firm delivered electricity as directly comparable.</w:t>
            </w:r>
          </w:p>
        </w:tc>
        <w:tc>
          <w:tcPr>
            <w:tcW w:type="dxa" w:w="1377"/>
            <w:tcW w:w="2313" w:type="dxa"/>
            <w:vAlign w:val="top"/>
          </w:tcPr>
          <w:p>
            <w:pPr>
              <w:spacing w:after="40" w:before="40" w:line="276" w:lineRule="auto"/>
              <w:jc w:val="left"/>
            </w:pPr>
            <w:r>
              <w:rPr>
                <w:b w:val="0"/>
                <w:i w:val="0"/>
                <w:sz w:val="19"/>
              </w:rPr>
              <w:t>Revised Table 7: rows are classified as "Unfirmed Generation" (solar PV $43/MWh; onshore wind $34/MWh), "Partially Firmed Hybrid" (U.S. solar+storage $79/MWh; Australian hybrid $51/MWh), and "Firm Delivered Service" (grid electricity, region- and tariff-specific).</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#11: Table 7 now explicitly classifies each row as unfirmed generation, partially firmed hybrid or firm delivered service, and explicitly notes that unfirmed LCOE is not directly comparable with delivered grid service.</w:t>
            </w:r>
          </w:p>
        </w:tc>
      </w:tr>
      <w:tr>
        <w:trPr>
          <w:cantSplit w:val="false"/>
        </w:trPr>
        <w:tc>
          <w:tcPr>
            <w:tcW w:type="dxa" w:w="1377"/>
            <w:tcW w:w="481" w:type="dxa"/>
            <w:vAlign w:val="top"/>
          </w:tcPr>
          <w:p>
            <w:pPr>
              <w:spacing w:after="40" w:before="40" w:line="276" w:lineRule="auto"/>
              <w:jc w:val="left"/>
            </w:pPr>
            <w:r>
              <w:rPr>
                <w:b/>
                <w:i w:val="0"/>
                <w:sz w:val="19"/>
              </w:rPr>
              <w:t>T-04</w:t>
            </w:r>
          </w:p>
        </w:tc>
        <w:tc>
          <w:tcPr>
            <w:tcW w:type="dxa" w:w="1377"/>
            <w:tcW w:w="1445" w:type="dxa"/>
            <w:vAlign w:val="top"/>
          </w:tcPr>
          <w:p>
            <w:pPr>
              <w:spacing w:after="40" w:before="40" w:line="276" w:lineRule="auto"/>
              <w:jc w:val="left"/>
            </w:pPr>
            <w:r>
              <w:rPr>
                <w:b w:val="0"/>
                <w:i w:val="0"/>
                <w:sz w:val="19"/>
              </w:rPr>
              <w:t>Removed grid-only LCOE rows in Table 7</w:t>
            </w:r>
          </w:p>
        </w:tc>
        <w:tc>
          <w:tcPr>
            <w:tcW w:type="dxa" w:w="1377"/>
            <w:tcW w:w="771" w:type="dxa"/>
            <w:vAlign w:val="top"/>
          </w:tcPr>
          <w:p>
            <w:pPr>
              <w:spacing w:after="40" w:before="40" w:line="276" w:lineRule="auto"/>
              <w:jc w:val="left"/>
            </w:pPr>
            <w:r>
              <w:rPr>
                <w:b w:val="0"/>
                <w:i w:val="0"/>
                <w:sz w:val="19"/>
              </w:rPr>
              <w:t>Table 7</w:t>
            </w:r>
          </w:p>
        </w:tc>
        <w:tc>
          <w:tcPr>
            <w:tcW w:type="dxa" w:w="1377"/>
            <w:tcW w:w="2313" w:type="dxa"/>
            <w:vAlign w:val="top"/>
          </w:tcPr>
          <w:p>
            <w:pPr>
              <w:spacing w:after="40" w:before="40" w:line="276" w:lineRule="auto"/>
              <w:jc w:val="left"/>
            </w:pPr>
            <w:r>
              <w:rPr>
                <w:b w:val="0"/>
                <w:i w:val="0"/>
                <w:sz w:val="19"/>
              </w:rPr>
              <w:t>Original Table 7 contained rows "Grid Only (US Avg) | $80/MWh | $110/MWh | $140/MWh | Regional capacity prices".</w:t>
            </w:r>
          </w:p>
        </w:tc>
        <w:tc>
          <w:tcPr>
            <w:tcW w:type="dxa" w:w="1377"/>
            <w:tcW w:w="2313" w:type="dxa"/>
            <w:vAlign w:val="top"/>
          </w:tcPr>
          <w:p>
            <w:pPr>
              <w:spacing w:after="40" w:before="40" w:line="276" w:lineRule="auto"/>
              <w:jc w:val="left"/>
            </w:pPr>
            <w:r>
              <w:rPr>
                <w:b w:val="0"/>
                <w:i w:val="0"/>
                <w:sz w:val="19"/>
              </w:rPr>
              <w:t>Revised Table 7: grid-only rows removed; the grid row is "Region- and Tariff-Specific" and is "deliberately not assigned a universal LCOE."</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#10: the grid-only LCOE rows were removed; the grid row is now described qualitatively.</w:t>
            </w:r>
          </w:p>
        </w:tc>
      </w:tr>
      <w:tr>
        <w:trPr>
          <w:cantSplit w:val="false"/>
        </w:trPr>
        <w:tc>
          <w:tcPr>
            <w:tcW w:type="dxa" w:w="1377"/>
            <w:tcW w:w="481" w:type="dxa"/>
            <w:vAlign w:val="top"/>
          </w:tcPr>
          <w:p>
            <w:pPr>
              <w:spacing w:after="40" w:before="40" w:line="276" w:lineRule="auto"/>
              <w:jc w:val="left"/>
            </w:pPr>
            <w:r>
              <w:rPr>
                <w:b/>
                <w:i w:val="0"/>
                <w:sz w:val="19"/>
              </w:rPr>
              <w:t>T-05</w:t>
            </w:r>
          </w:p>
        </w:tc>
        <w:tc>
          <w:tcPr>
            <w:tcW w:type="dxa" w:w="1377"/>
            <w:tcW w:w="1445" w:type="dxa"/>
            <w:vAlign w:val="top"/>
          </w:tcPr>
          <w:p>
            <w:pPr>
              <w:spacing w:after="40" w:before="40" w:line="276" w:lineRule="auto"/>
              <w:jc w:val="left"/>
            </w:pPr>
            <w:r>
              <w:rPr>
                <w:b w:val="0"/>
                <w:i w:val="0"/>
                <w:sz w:val="19"/>
              </w:rPr>
              <w:t>Table 5 / Table 7 capital costs aligned with IRENA 2024</w:t>
            </w:r>
          </w:p>
        </w:tc>
        <w:tc>
          <w:tcPr>
            <w:tcW w:type="dxa" w:w="1377"/>
            <w:tcW w:w="771" w:type="dxa"/>
            <w:vAlign w:val="top"/>
          </w:tcPr>
          <w:p>
            <w:pPr>
              <w:spacing w:after="40" w:before="40" w:line="276" w:lineRule="auto"/>
              <w:jc w:val="left"/>
            </w:pPr>
            <w:r>
              <w:rPr>
                <w:b w:val="0"/>
                <w:i w:val="0"/>
                <w:sz w:val="19"/>
              </w:rPr>
              <w:t>Table 5 / Table 7</w:t>
            </w:r>
          </w:p>
        </w:tc>
        <w:tc>
          <w:tcPr>
            <w:tcW w:type="dxa" w:w="1377"/>
            <w:tcW w:w="2313" w:type="dxa"/>
            <w:vAlign w:val="top"/>
          </w:tcPr>
          <w:p>
            <w:pPr>
              <w:spacing w:after="40" w:before="40" w:line="276" w:lineRule="auto"/>
              <w:jc w:val="left"/>
            </w:pPr>
            <w:r>
              <w:rPr>
                <w:b w:val="0"/>
                <w:i w:val="0"/>
                <w:sz w:val="19"/>
              </w:rPr>
              <w:t>Original Tables 5 &amp; 7: capital costs in the ranges $900–1600/kW solar, $1800–2600/kW wind, $50–80/MWh solar LCOE, $45–70/MWh wind LCOE, $180–320/kWh BESS.</w:t>
            </w:r>
          </w:p>
        </w:tc>
        <w:tc>
          <w:tcPr>
            <w:tcW w:type="dxa" w:w="1377"/>
            <w:tcW w:w="2313" w:type="dxa"/>
            <w:vAlign w:val="top"/>
          </w:tcPr>
          <w:p>
            <w:pPr>
              <w:spacing w:after="40" w:before="40" w:line="276" w:lineRule="auto"/>
              <w:jc w:val="left"/>
            </w:pPr>
            <w:r>
              <w:rPr>
                <w:b w:val="0"/>
                <w:i w:val="0"/>
                <w:sz w:val="19"/>
              </w:rPr>
              <w:t>Revised: IRENA 2024 TIC $691/kW solar, $1,041/kW wind, $192/kWh BESS installed; IRENA 2024 weighted-average LCOE $43/MWh solar, $34/MWh wind.</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#30: Table 5 and Table 7 are now aligned with IRENA 2024 (ref [16]) for installed-cost benchmarks and LCOE.</w:t>
            </w:r>
          </w:p>
        </w:tc>
      </w:tr>
      <w:tr>
        <w:trPr>
          <w:cantSplit w:val="true"/>
        </w:trPr>
        <w:tc>
          <w:tcPr>
            <w:tcW w:type="dxa" w:w="9639"/>
            <w:gridSpan w:val="7"/>
            <w:shd w:val="clear" w:color="auto" w:fill="D9E2F3"/>
          </w:tcPr>
          <w:p>
            <w:pPr>
              <w:spacing w:after="40" w:before="40" w:line="276" w:lineRule="auto"/>
              <w:jc w:val="left"/>
            </w:pPr>
            <w:r>
              <w:rPr>
                <w:b/>
                <w:i w:val="0"/>
                <w:sz w:val="22"/>
              </w:rPr>
              <w:t>2.6 Figures (source lines added, Figure 7 modelling output removed, Figure 4 site data)</w:t>
            </w:r>
          </w:p>
        </w:tc>
      </w:tr>
      <w:tr>
        <w:trPr>
          <w:cantSplit w:val="false"/>
        </w:trPr>
        <w:tc>
          <w:tcPr>
            <w:tcW w:type="dxa" w:w="1377"/>
            <w:tcW w:w="481" w:type="dxa"/>
            <w:vAlign w:val="top"/>
          </w:tcPr>
          <w:p>
            <w:pPr>
              <w:spacing w:after="40" w:before="40" w:line="276" w:lineRule="auto"/>
              <w:jc w:val="left"/>
            </w:pPr>
            <w:r>
              <w:rPr>
                <w:b/>
                <w:i w:val="0"/>
                <w:sz w:val="19"/>
              </w:rPr>
              <w:t>F-01</w:t>
            </w:r>
          </w:p>
        </w:tc>
        <w:tc>
          <w:tcPr>
            <w:tcW w:type="dxa" w:w="1377"/>
            <w:tcW w:w="1445" w:type="dxa"/>
            <w:vAlign w:val="top"/>
          </w:tcPr>
          <w:p>
            <w:pPr>
              <w:spacing w:after="40" w:before="40" w:line="276" w:lineRule="auto"/>
              <w:jc w:val="left"/>
            </w:pPr>
            <w:r>
              <w:rPr>
                <w:b w:val="0"/>
                <w:i w:val="0"/>
                <w:sz w:val="19"/>
              </w:rPr>
              <w:t>Figure 2 (PRISMA flow diagram) added</w:t>
            </w:r>
          </w:p>
        </w:tc>
        <w:tc>
          <w:tcPr>
            <w:tcW w:type="dxa" w:w="1377"/>
            <w:tcW w:w="771" w:type="dxa"/>
            <w:vAlign w:val="top"/>
          </w:tcPr>
          <w:p>
            <w:pPr>
              <w:spacing w:after="40" w:before="40" w:line="276" w:lineRule="auto"/>
              <w:jc w:val="left"/>
            </w:pPr>
            <w:r>
              <w:rPr>
                <w:b w:val="0"/>
                <w:i w:val="0"/>
                <w:sz w:val="19"/>
              </w:rPr>
              <w:t>Fig. 2</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"Figure 2 PRISMA 2020 Flow Diagram of the Literature Screening and Selection Process."</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#1: a new Figure 2 presents the PRISMA 2020 flow diagram with identification, screening, eligibility and inclusion counts.</w:t>
            </w:r>
          </w:p>
        </w:tc>
      </w:tr>
      <w:tr>
        <w:trPr>
          <w:cantSplit w:val="false"/>
        </w:trPr>
        <w:tc>
          <w:tcPr>
            <w:tcW w:type="dxa" w:w="1377"/>
            <w:tcW w:w="481" w:type="dxa"/>
            <w:vAlign w:val="top"/>
          </w:tcPr>
          <w:p>
            <w:pPr>
              <w:spacing w:after="40" w:before="40" w:line="276" w:lineRule="auto"/>
              <w:jc w:val="left"/>
            </w:pPr>
            <w:r>
              <w:rPr>
                <w:b/>
                <w:i w:val="0"/>
                <w:sz w:val="19"/>
              </w:rPr>
              <w:t>F-02</w:t>
            </w:r>
          </w:p>
        </w:tc>
        <w:tc>
          <w:tcPr>
            <w:tcW w:type="dxa" w:w="1377"/>
            <w:tcW w:w="1445" w:type="dxa"/>
            <w:vAlign w:val="top"/>
          </w:tcPr>
          <w:p>
            <w:pPr>
              <w:spacing w:after="40" w:before="40" w:line="276" w:lineRule="auto"/>
              <w:jc w:val="left"/>
            </w:pPr>
            <w:r>
              <w:rPr>
                <w:b w:val="0"/>
                <w:i w:val="0"/>
                <w:sz w:val="19"/>
              </w:rPr>
              <w:t>Figure captions 2–10 lack source lines</w:t>
            </w:r>
          </w:p>
        </w:tc>
        <w:tc>
          <w:tcPr>
            <w:tcW w:type="dxa" w:w="1377"/>
            <w:tcW w:w="771" w:type="dxa"/>
            <w:vAlign w:val="top"/>
          </w:tcPr>
          <w:p>
            <w:pPr>
              <w:spacing w:after="40" w:before="40" w:line="276" w:lineRule="auto"/>
              <w:jc w:val="left"/>
            </w:pPr>
            <w:r>
              <w:rPr>
                <w:b w:val="0"/>
                <w:i w:val="0"/>
                <w:sz w:val="19"/>
              </w:rPr>
              <w:t>Figs. 2–10</w:t>
            </w:r>
          </w:p>
        </w:tc>
        <w:tc>
          <w:tcPr>
            <w:tcW w:type="dxa" w:w="1377"/>
            <w:tcW w:w="2313" w:type="dxa"/>
            <w:vAlign w:val="top"/>
          </w:tcPr>
          <w:p>
            <w:pPr>
              <w:spacing w:after="40" w:before="40" w:line="276" w:lineRule="auto"/>
              <w:jc w:val="left"/>
            </w:pPr>
            <w:r>
              <w:rPr>
                <w:b w:val="0"/>
                <w:i w:val="0"/>
                <w:sz w:val="19"/>
              </w:rPr>
              <w:t>Original: only Figure 1 had an explicit source line ("Source: IEA, 2025").</w:t>
            </w:r>
          </w:p>
        </w:tc>
        <w:tc>
          <w:tcPr>
            <w:tcW w:type="dxa" w:w="1377"/>
            <w:tcW w:w="2313" w:type="dxa"/>
            <w:vAlign w:val="top"/>
          </w:tcPr>
          <w:p>
            <w:pPr>
              <w:spacing w:after="40" w:before="40" w:line="276" w:lineRule="auto"/>
              <w:jc w:val="left"/>
            </w:pPr>
            <w:r>
              <w:rPr>
                <w:b w:val="0"/>
                <w:i w:val="0"/>
                <w:sz w:val="19"/>
              </w:rPr>
              <w:t>Revised: each caption for Figures 2–10 now carries an explicit "Source: …" line citing the primary publisher (IEA, BNEF, IRENA, Lazard, Google, LevelTen, Uptime Institute, NREL, EPRI or Goldman Sachs).</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#29 (Round 2): every figure caption now carries an explicit source line.</w:t>
            </w:r>
          </w:p>
        </w:tc>
      </w:tr>
      <w:tr>
        <w:trPr>
          <w:cantSplit w:val="false"/>
        </w:trPr>
        <w:tc>
          <w:tcPr>
            <w:tcW w:type="dxa" w:w="1377"/>
            <w:tcW w:w="481" w:type="dxa"/>
            <w:vAlign w:val="top"/>
          </w:tcPr>
          <w:p>
            <w:pPr>
              <w:spacing w:after="40" w:before="40" w:line="276" w:lineRule="auto"/>
              <w:jc w:val="left"/>
            </w:pPr>
            <w:r>
              <w:rPr>
                <w:b/>
                <w:i w:val="0"/>
                <w:sz w:val="19"/>
              </w:rPr>
              <w:t>F-03</w:t>
            </w:r>
          </w:p>
        </w:tc>
        <w:tc>
          <w:tcPr>
            <w:tcW w:type="dxa" w:w="1377"/>
            <w:tcW w:w="1445" w:type="dxa"/>
            <w:vAlign w:val="top"/>
          </w:tcPr>
          <w:p>
            <w:pPr>
              <w:spacing w:after="40" w:before="40" w:line="276" w:lineRule="auto"/>
              <w:jc w:val="left"/>
            </w:pPr>
            <w:r>
              <w:rPr>
                <w:b w:val="0"/>
                <w:i w:val="0"/>
                <w:sz w:val="19"/>
              </w:rPr>
              <w:t>Figure 7 (modelling output / Pareto frontier)</w:t>
            </w:r>
          </w:p>
        </w:tc>
        <w:tc>
          <w:tcPr>
            <w:tcW w:type="dxa" w:w="1377"/>
            <w:tcW w:w="771" w:type="dxa"/>
            <w:vAlign w:val="top"/>
          </w:tcPr>
          <w:p>
            <w:pPr>
              <w:spacing w:after="40" w:before="40" w:line="276" w:lineRule="auto"/>
              <w:jc w:val="left"/>
            </w:pPr>
            <w:r>
              <w:rPr>
                <w:b w:val="0"/>
                <w:i w:val="0"/>
                <w:sz w:val="19"/>
              </w:rPr>
              <w:t>Fig. 7 / §7.3</w:t>
            </w:r>
          </w:p>
        </w:tc>
        <w:tc>
          <w:tcPr>
            <w:tcW w:type="dxa" w:w="1377"/>
            <w:tcW w:w="2313" w:type="dxa"/>
            <w:vAlign w:val="top"/>
          </w:tcPr>
          <w:p>
            <w:pPr>
              <w:spacing w:after="40" w:before="40" w:line="276" w:lineRule="auto"/>
              <w:jc w:val="left"/>
            </w:pPr>
            <w:r>
              <w:rPr>
                <w:b w:val="0"/>
                <w:i w:val="0"/>
                <w:sz w:val="19"/>
              </w:rPr>
              <w:t>Original §7.3: "Fig. 7 presents the cost-emissions Pareto frontier for technology mix optimization…"</w:t>
            </w:r>
          </w:p>
        </w:tc>
        <w:tc>
          <w:tcPr>
            <w:tcW w:type="dxa" w:w="1377"/>
            <w:tcW w:w="2313" w:type="dxa"/>
            <w:vAlign w:val="top"/>
          </w:tcPr>
          <w:p>
            <w:pPr>
              <w:spacing w:after="40" w:before="40" w:line="276" w:lineRule="auto"/>
              <w:jc w:val="left"/>
            </w:pPr>
            <w:r>
              <w:rPr>
                <w:b w:val="0"/>
                <w:i w:val="0"/>
                <w:sz w:val="19"/>
              </w:rPr>
              <w:t>Revised: Figure 7 (modelling output) was removed; Section 7.3 now states that the framework "does not specify an optimum configuration in general."</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#3: the Pareto-frontier figure was removed because it presented the output of an undocumented optimisation.</w:t>
            </w:r>
          </w:p>
        </w:tc>
      </w:tr>
      <w:tr>
        <w:trPr>
          <w:cantSplit w:val="false"/>
        </w:trPr>
        <w:tc>
          <w:tcPr>
            <w:tcW w:type="dxa" w:w="1377"/>
            <w:tcW w:w="481" w:type="dxa"/>
            <w:vAlign w:val="top"/>
          </w:tcPr>
          <w:p>
            <w:pPr>
              <w:spacing w:after="40" w:before="40" w:line="276" w:lineRule="auto"/>
              <w:jc w:val="left"/>
            </w:pPr>
            <w:r>
              <w:rPr>
                <w:b/>
                <w:i w:val="0"/>
                <w:sz w:val="19"/>
              </w:rPr>
              <w:t>F-04</w:t>
            </w:r>
          </w:p>
        </w:tc>
        <w:tc>
          <w:tcPr>
            <w:tcW w:type="dxa" w:w="1377"/>
            <w:tcW w:w="1445" w:type="dxa"/>
            <w:vAlign w:val="top"/>
          </w:tcPr>
          <w:p>
            <w:pPr>
              <w:spacing w:after="40" w:before="40" w:line="276" w:lineRule="auto"/>
              <w:jc w:val="left"/>
            </w:pPr>
            <w:r>
              <w:rPr>
                <w:b w:val="0"/>
                <w:i w:val="0"/>
                <w:sz w:val="19"/>
              </w:rPr>
              <w:t>Figure 4 (wind/solar complementarity) lacks site/data source/years</w:t>
            </w:r>
          </w:p>
        </w:tc>
        <w:tc>
          <w:tcPr>
            <w:tcW w:type="dxa" w:w="1377"/>
            <w:tcW w:w="771" w:type="dxa"/>
            <w:vAlign w:val="top"/>
          </w:tcPr>
          <w:p>
            <w:pPr>
              <w:spacing w:after="40" w:before="40" w:line="276" w:lineRule="auto"/>
              <w:jc w:val="left"/>
            </w:pPr>
            <w:r>
              <w:rPr>
                <w:b w:val="0"/>
                <w:i w:val="0"/>
                <w:sz w:val="19"/>
              </w:rPr>
              <w:t>Fig. 4</w:t>
            </w:r>
          </w:p>
        </w:tc>
        <w:tc>
          <w:tcPr>
            <w:tcW w:type="dxa" w:w="1377"/>
            <w:tcW w:w="2313" w:type="dxa"/>
            <w:vAlign w:val="top"/>
          </w:tcPr>
          <w:p>
            <w:pPr>
              <w:spacing w:after="40" w:before="40" w:line="276" w:lineRule="auto"/>
              <w:jc w:val="left"/>
            </w:pPr>
            <w:r>
              <w:rPr>
                <w:b w:val="0"/>
                <w:i w:val="0"/>
                <w:sz w:val="19"/>
              </w:rPr>
              <w:t>Original Fig. 4 caption: no site, no data source, no years averaged.</w:t>
            </w:r>
          </w:p>
        </w:tc>
        <w:tc>
          <w:tcPr>
            <w:tcW w:type="dxa" w:w="1377"/>
            <w:tcW w:w="2313" w:type="dxa"/>
            <w:vAlign w:val="top"/>
          </w:tcPr>
          <w:p>
            <w:pPr>
              <w:spacing w:after="40" w:before="40" w:line="276" w:lineRule="auto"/>
              <w:jc w:val="left"/>
            </w:pPr>
            <w:r>
              <w:rPr>
                <w:b w:val="0"/>
                <w:i w:val="0"/>
                <w:sz w:val="19"/>
              </w:rPr>
              <w:t>Revised: caption now states the site (a representative U.S. Southwest location), the data source (NSRDB/TMY3 from NREL), and the years averaged (2018–2023, six-year hourly dataset).</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#29 (Round 2): the Figure 4 caption now states the site, the data source and the years averaged.</w:t>
            </w:r>
          </w:p>
        </w:tc>
      </w:tr>
      <w:tr>
        <w:trPr>
          <w:cantSplit w:val="false"/>
        </w:trPr>
        <w:tc>
          <w:tcPr>
            <w:tcW w:type="dxa" w:w="1377"/>
            <w:tcW w:w="481" w:type="dxa"/>
            <w:vAlign w:val="top"/>
          </w:tcPr>
          <w:p>
            <w:pPr>
              <w:spacing w:after="40" w:before="40" w:line="276" w:lineRule="auto"/>
              <w:jc w:val="left"/>
            </w:pPr>
            <w:r>
              <w:rPr>
                <w:b/>
                <w:i w:val="0"/>
                <w:sz w:val="19"/>
              </w:rPr>
              <w:t>F-05</w:t>
            </w:r>
          </w:p>
        </w:tc>
        <w:tc>
          <w:tcPr>
            <w:tcW w:type="dxa" w:w="1377"/>
            <w:tcW w:w="1445" w:type="dxa"/>
            <w:vAlign w:val="top"/>
          </w:tcPr>
          <w:p>
            <w:pPr>
              <w:spacing w:after="40" w:before="40" w:line="276" w:lineRule="auto"/>
              <w:jc w:val="left"/>
            </w:pPr>
            <w:r>
              <w:rPr>
                <w:b w:val="0"/>
                <w:i w:val="0"/>
                <w:sz w:val="19"/>
              </w:rPr>
              <w:t>Table captions 1–10 lack source lines</w:t>
            </w:r>
          </w:p>
        </w:tc>
        <w:tc>
          <w:tcPr>
            <w:tcW w:type="dxa" w:w="1377"/>
            <w:tcW w:w="771" w:type="dxa"/>
            <w:vAlign w:val="top"/>
          </w:tcPr>
          <w:p>
            <w:pPr>
              <w:spacing w:after="40" w:before="40" w:line="276" w:lineRule="auto"/>
              <w:jc w:val="left"/>
            </w:pPr>
            <w:r>
              <w:rPr>
                <w:b w:val="0"/>
                <w:i w:val="0"/>
                <w:sz w:val="19"/>
              </w:rPr>
              <w:t>Tables 1–10</w:t>
            </w:r>
          </w:p>
        </w:tc>
        <w:tc>
          <w:tcPr>
            <w:tcW w:type="dxa" w:w="1377"/>
            <w:tcW w:w="2313" w:type="dxa"/>
            <w:vAlign w:val="top"/>
          </w:tcPr>
          <w:p>
            <w:pPr>
              <w:spacing w:after="40" w:before="40" w:line="276" w:lineRule="auto"/>
              <w:jc w:val="left"/>
            </w:pPr>
            <w:r>
              <w:rPr>
                <w:b w:val="0"/>
                <w:i w:val="0"/>
                <w:sz w:val="19"/>
              </w:rPr>
              <w:t>Original: no table caption had an explicit source line.</w:t>
            </w:r>
          </w:p>
        </w:tc>
        <w:tc>
          <w:tcPr>
            <w:tcW w:type="dxa" w:w="1377"/>
            <w:tcW w:w="2313" w:type="dxa"/>
            <w:vAlign w:val="top"/>
          </w:tcPr>
          <w:p>
            <w:pPr>
              <w:spacing w:after="40" w:before="40" w:line="276" w:lineRule="auto"/>
              <w:jc w:val="left"/>
            </w:pPr>
            <w:r>
              <w:rPr>
                <w:b w:val="0"/>
                <w:i w:val="0"/>
                <w:sz w:val="19"/>
              </w:rPr>
              <w:t>Revised: each of the ten table captions now carries an explicit "Source: …" line citing the primary publisher(s) of the underlying data.</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#29 (Round 2): every table caption now carries an explicit source line.</w:t>
            </w:r>
          </w:p>
        </w:tc>
      </w:tr>
      <w:tr>
        <w:trPr>
          <w:cantSplit w:val="true"/>
        </w:trPr>
        <w:tc>
          <w:tcPr>
            <w:tcW w:type="dxa" w:w="9639"/>
            <w:gridSpan w:val="7"/>
            <w:shd w:val="clear" w:color="auto" w:fill="D9E2F3"/>
          </w:tcPr>
          <w:p>
            <w:pPr>
              <w:spacing w:after="40" w:before="40" w:line="276" w:lineRule="auto"/>
              <w:jc w:val="left"/>
            </w:pPr>
            <w:r>
              <w:rPr>
                <w:b/>
                <w:i w:val="0"/>
                <w:sz w:val="22"/>
              </w:rPr>
              <w:t>2.7 Typos / proofreading (data canters, Charactersitics, Colling, $THD, REMAKE diagram, leftover comments)</w:t>
            </w:r>
          </w:p>
        </w:tc>
      </w:tr>
      <w:tr>
        <w:trPr>
          <w:cantSplit w:val="false"/>
        </w:trPr>
        <w:tc>
          <w:tcPr>
            <w:tcW w:type="dxa" w:w="1377"/>
            <w:tcW w:w="481" w:type="dxa"/>
            <w:vAlign w:val="top"/>
          </w:tcPr>
          <w:p>
            <w:pPr>
              <w:spacing w:after="40" w:before="40" w:line="276" w:lineRule="auto"/>
              <w:jc w:val="left"/>
            </w:pPr>
            <w:r>
              <w:rPr>
                <w:b/>
                <w:i w:val="0"/>
                <w:sz w:val="19"/>
              </w:rPr>
              <w:t>P-01</w:t>
            </w:r>
          </w:p>
        </w:tc>
        <w:tc>
          <w:tcPr>
            <w:tcW w:type="dxa" w:w="1377"/>
            <w:tcW w:w="1445" w:type="dxa"/>
            <w:vAlign w:val="top"/>
          </w:tcPr>
          <w:p>
            <w:pPr>
              <w:spacing w:after="40" w:before="40" w:line="276" w:lineRule="auto"/>
              <w:jc w:val="left"/>
            </w:pPr>
            <w:r>
              <w:rPr>
                <w:b w:val="0"/>
                <w:i w:val="0"/>
                <w:sz w:val="19"/>
              </w:rPr>
              <w:t>"data canters" typo in Section 1.1</w:t>
            </w:r>
          </w:p>
        </w:tc>
        <w:tc>
          <w:tcPr>
            <w:tcW w:type="dxa" w:w="1377"/>
            <w:tcW w:w="771" w:type="dxa"/>
            <w:vAlign w:val="top"/>
          </w:tcPr>
          <w:p>
            <w:pPr>
              <w:spacing w:after="40" w:before="40" w:line="276" w:lineRule="auto"/>
              <w:jc w:val="left"/>
            </w:pPr>
            <w:r>
              <w:rPr>
                <w:b w:val="0"/>
                <w:i w:val="0"/>
                <w:sz w:val="19"/>
              </w:rPr>
              <w:t>§1.1</w:t>
            </w:r>
          </w:p>
        </w:tc>
        <w:tc>
          <w:tcPr>
            <w:tcW w:type="dxa" w:w="1377"/>
            <w:tcW w:w="2313" w:type="dxa"/>
            <w:vAlign w:val="top"/>
          </w:tcPr>
          <w:p>
            <w:pPr>
              <w:spacing w:after="40" w:before="40" w:line="276" w:lineRule="auto"/>
              <w:jc w:val="left"/>
            </w:pPr>
            <w:r>
              <w:rPr>
                <w:b w:val="0"/>
                <w:i w:val="0"/>
                <w:sz w:val="19"/>
              </w:rPr>
              <w:t>"Data canters alone are a huge component of this infrastructure…"</w:t>
            </w:r>
          </w:p>
        </w:tc>
        <w:tc>
          <w:tcPr>
            <w:tcW w:type="dxa" w:w="1377"/>
            <w:tcW w:w="2313" w:type="dxa"/>
            <w:vAlign w:val="top"/>
          </w:tcPr>
          <w:p>
            <w:pPr>
              <w:spacing w:after="40" w:before="40" w:line="276" w:lineRule="auto"/>
              <w:jc w:val="left"/>
            </w:pPr>
            <w:r>
              <w:rPr>
                <w:b w:val="0"/>
                <w:i w:val="0"/>
                <w:sz w:val="19"/>
              </w:rPr>
              <w:t>"Data centers alone are a huge component of this infrastructure…"</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#35 (Round 2): the typo "canters" was corrected to "centers" in Section 1.1.</w:t>
            </w:r>
          </w:p>
        </w:tc>
      </w:tr>
      <w:tr>
        <w:trPr>
          <w:cantSplit w:val="false"/>
        </w:trPr>
        <w:tc>
          <w:tcPr>
            <w:tcW w:type="dxa" w:w="1377"/>
            <w:tcW w:w="481" w:type="dxa"/>
            <w:vAlign w:val="top"/>
          </w:tcPr>
          <w:p>
            <w:pPr>
              <w:spacing w:after="40" w:before="40" w:line="276" w:lineRule="auto"/>
              <w:jc w:val="left"/>
            </w:pPr>
            <w:r>
              <w:rPr>
                <w:b/>
                <w:i w:val="0"/>
                <w:sz w:val="19"/>
              </w:rPr>
              <w:t>P-02</w:t>
            </w:r>
          </w:p>
        </w:tc>
        <w:tc>
          <w:tcPr>
            <w:tcW w:type="dxa" w:w="1377"/>
            <w:tcW w:w="1445" w:type="dxa"/>
            <w:vAlign w:val="top"/>
          </w:tcPr>
          <w:p>
            <w:pPr>
              <w:spacing w:after="40" w:before="40" w:line="276" w:lineRule="auto"/>
              <w:jc w:val="left"/>
            </w:pPr>
            <w:r>
              <w:rPr>
                <w:b w:val="0"/>
                <w:i w:val="0"/>
                <w:sz w:val="19"/>
              </w:rPr>
              <w:t>"Charactersitics" typo in Section 3.2 heading</w:t>
            </w:r>
          </w:p>
        </w:tc>
        <w:tc>
          <w:tcPr>
            <w:tcW w:type="dxa" w:w="1377"/>
            <w:tcW w:w="771" w:type="dxa"/>
            <w:vAlign w:val="top"/>
          </w:tcPr>
          <w:p>
            <w:pPr>
              <w:spacing w:after="40" w:before="40" w:line="276" w:lineRule="auto"/>
              <w:jc w:val="left"/>
            </w:pPr>
            <w:r>
              <w:rPr>
                <w:b w:val="0"/>
                <w:i w:val="0"/>
                <w:sz w:val="19"/>
              </w:rPr>
              <w:t>§3.2 heading</w:t>
            </w:r>
          </w:p>
        </w:tc>
        <w:tc>
          <w:tcPr>
            <w:tcW w:type="dxa" w:w="1377"/>
            <w:tcW w:w="2313" w:type="dxa"/>
            <w:vAlign w:val="top"/>
          </w:tcPr>
          <w:p>
            <w:pPr>
              <w:spacing w:after="40" w:before="40" w:line="276" w:lineRule="auto"/>
              <w:jc w:val="left"/>
            </w:pPr>
            <w:r>
              <w:rPr>
                <w:b w:val="0"/>
                <w:i w:val="0"/>
                <w:sz w:val="19"/>
              </w:rPr>
              <w:t>"3.2. AI Workload Electrical Charactersitics"</w:t>
            </w:r>
          </w:p>
        </w:tc>
        <w:tc>
          <w:tcPr>
            <w:tcW w:type="dxa" w:w="1377"/>
            <w:tcW w:w="2313" w:type="dxa"/>
            <w:vAlign w:val="top"/>
          </w:tcPr>
          <w:p>
            <w:pPr>
              <w:spacing w:after="40" w:before="40" w:line="276" w:lineRule="auto"/>
              <w:jc w:val="left"/>
            </w:pPr>
            <w:r>
              <w:rPr>
                <w:b w:val="0"/>
                <w:i w:val="0"/>
                <w:sz w:val="19"/>
              </w:rPr>
              <w:t>"3.2. AI Workload Electrical Characteristics"</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#34 (Round 2): the typo "Charactersitics" was corrected to "Characteristics" in the Section 3.2 heading.</w:t>
            </w:r>
          </w:p>
        </w:tc>
      </w:tr>
      <w:tr>
        <w:trPr>
          <w:cantSplit w:val="false"/>
        </w:trPr>
        <w:tc>
          <w:tcPr>
            <w:tcW w:type="dxa" w:w="1377"/>
            <w:tcW w:w="481" w:type="dxa"/>
            <w:vAlign w:val="top"/>
          </w:tcPr>
          <w:p>
            <w:pPr>
              <w:spacing w:after="40" w:before="40" w:line="276" w:lineRule="auto"/>
              <w:jc w:val="left"/>
            </w:pPr>
            <w:r>
              <w:rPr>
                <w:b/>
                <w:i w:val="0"/>
                <w:sz w:val="19"/>
              </w:rPr>
              <w:t>P-03</w:t>
            </w:r>
          </w:p>
        </w:tc>
        <w:tc>
          <w:tcPr>
            <w:tcW w:type="dxa" w:w="1377"/>
            <w:tcW w:w="1445" w:type="dxa"/>
            <w:vAlign w:val="top"/>
          </w:tcPr>
          <w:p>
            <w:pPr>
              <w:spacing w:after="40" w:before="40" w:line="276" w:lineRule="auto"/>
              <w:jc w:val="left"/>
            </w:pPr>
            <w:r>
              <w:rPr>
                <w:b w:val="0"/>
                <w:i w:val="0"/>
                <w:sz w:val="19"/>
              </w:rPr>
              <w:t>"Colling" typo in Section 3.4 heading</w:t>
            </w:r>
          </w:p>
        </w:tc>
        <w:tc>
          <w:tcPr>
            <w:tcW w:type="dxa" w:w="1377"/>
            <w:tcW w:w="771" w:type="dxa"/>
            <w:vAlign w:val="top"/>
          </w:tcPr>
          <w:p>
            <w:pPr>
              <w:spacing w:after="40" w:before="40" w:line="276" w:lineRule="auto"/>
              <w:jc w:val="left"/>
            </w:pPr>
            <w:r>
              <w:rPr>
                <w:b w:val="0"/>
                <w:i w:val="0"/>
                <w:sz w:val="19"/>
              </w:rPr>
              <w:t>§3.4 heading</w:t>
            </w:r>
          </w:p>
        </w:tc>
        <w:tc>
          <w:tcPr>
            <w:tcW w:type="dxa" w:w="1377"/>
            <w:tcW w:w="2313" w:type="dxa"/>
            <w:vAlign w:val="top"/>
          </w:tcPr>
          <w:p>
            <w:pPr>
              <w:spacing w:after="40" w:before="40" w:line="276" w:lineRule="auto"/>
              <w:jc w:val="left"/>
            </w:pPr>
            <w:r>
              <w:rPr>
                <w:b w:val="0"/>
                <w:i w:val="0"/>
                <w:sz w:val="19"/>
              </w:rPr>
              <w:t>"3.4. Colling System Integration"</w:t>
            </w:r>
          </w:p>
        </w:tc>
        <w:tc>
          <w:tcPr>
            <w:tcW w:type="dxa" w:w="1377"/>
            <w:tcW w:w="2313" w:type="dxa"/>
            <w:vAlign w:val="top"/>
          </w:tcPr>
          <w:p>
            <w:pPr>
              <w:spacing w:after="40" w:before="40" w:line="276" w:lineRule="auto"/>
              <w:jc w:val="left"/>
            </w:pPr>
            <w:r>
              <w:rPr>
                <w:b w:val="0"/>
                <w:i w:val="0"/>
                <w:sz w:val="19"/>
              </w:rPr>
              <w:t>"3.4. Cooling System Integration"</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#33 (Round 2): the typo "Colling" was corrected to "Cooling" in the Section 3.4 heading.</w:t>
            </w:r>
          </w:p>
        </w:tc>
      </w:tr>
      <w:tr>
        <w:trPr>
          <w:cantSplit w:val="false"/>
        </w:trPr>
        <w:tc>
          <w:tcPr>
            <w:tcW w:type="dxa" w:w="1377"/>
            <w:tcW w:w="481" w:type="dxa"/>
            <w:vAlign w:val="top"/>
          </w:tcPr>
          <w:p>
            <w:pPr>
              <w:spacing w:after="40" w:before="40" w:line="276" w:lineRule="auto"/>
              <w:jc w:val="left"/>
            </w:pPr>
            <w:r>
              <w:rPr>
                <w:b/>
                <w:i w:val="0"/>
                <w:sz w:val="19"/>
              </w:rPr>
              <w:t>P-04</w:t>
            </w:r>
          </w:p>
        </w:tc>
        <w:tc>
          <w:tcPr>
            <w:tcW w:type="dxa" w:w="1377"/>
            <w:tcW w:w="1445" w:type="dxa"/>
            <w:vAlign w:val="top"/>
          </w:tcPr>
          <w:p>
            <w:pPr>
              <w:spacing w:after="40" w:before="40" w:line="276" w:lineRule="auto"/>
              <w:jc w:val="left"/>
            </w:pPr>
            <w:r>
              <w:rPr>
                <w:b w:val="0"/>
                <w:i w:val="0"/>
                <w:sz w:val="19"/>
              </w:rPr>
              <w:t>"$THD &lt; 5%" stray dollar sign</w:t>
            </w:r>
          </w:p>
        </w:tc>
        <w:tc>
          <w:tcPr>
            <w:tcW w:type="dxa" w:w="1377"/>
            <w:tcW w:w="771" w:type="dxa"/>
            <w:vAlign w:val="top"/>
          </w:tcPr>
          <w:p>
            <w:pPr>
              <w:spacing w:after="40" w:before="40" w:line="276" w:lineRule="auto"/>
              <w:jc w:val="left"/>
            </w:pPr>
            <w:r>
              <w:rPr>
                <w:b w:val="0"/>
                <w:i w:val="0"/>
                <w:sz w:val="19"/>
              </w:rPr>
              <w:t>§1.2 (original) / §1.3 (revised)</w:t>
            </w:r>
          </w:p>
        </w:tc>
        <w:tc>
          <w:tcPr>
            <w:tcW w:type="dxa" w:w="1377"/>
            <w:tcW w:w="2313" w:type="dxa"/>
            <w:vAlign w:val="top"/>
          </w:tcPr>
          <w:p>
            <w:pPr>
              <w:spacing w:after="40" w:before="40" w:line="276" w:lineRule="auto"/>
              <w:jc w:val="left"/>
            </w:pPr>
            <w:r>
              <w:rPr>
                <w:b w:val="0"/>
                <w:i w:val="0"/>
                <w:sz w:val="19"/>
              </w:rPr>
              <w:t>Original §1.2: "Power quality compliance ($THD &lt; 5% per IEEE 519)…"</w:t>
            </w:r>
          </w:p>
        </w:tc>
        <w:tc>
          <w:tcPr>
            <w:tcW w:type="dxa" w:w="1377"/>
            <w:tcW w:w="2313" w:type="dxa"/>
            <w:vAlign w:val="top"/>
          </w:tcPr>
          <w:p>
            <w:pPr>
              <w:spacing w:after="40" w:before="40" w:line="276" w:lineRule="auto"/>
              <w:jc w:val="left"/>
            </w:pPr>
            <w:r>
              <w:rPr>
                <w:b w:val="0"/>
                <w:i w:val="0"/>
                <w:sz w:val="19"/>
              </w:rPr>
              <w:t>Revised §1.3: "the total harmonic distortion (THD), which should not exceed 5% based on IEEE 519 standards [22]." — no stray dollar sign.</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#36: the stray "$" before "THD" was removed.</w:t>
            </w:r>
          </w:p>
        </w:tc>
      </w:tr>
      <w:tr>
        <w:trPr>
          <w:cantSplit w:val="false"/>
        </w:trPr>
        <w:tc>
          <w:tcPr>
            <w:tcW w:type="dxa" w:w="1377"/>
            <w:tcW w:w="481" w:type="dxa"/>
            <w:vAlign w:val="top"/>
          </w:tcPr>
          <w:p>
            <w:pPr>
              <w:spacing w:after="40" w:before="40" w:line="276" w:lineRule="auto"/>
              <w:jc w:val="left"/>
            </w:pPr>
            <w:r>
              <w:rPr>
                <w:b/>
                <w:i w:val="0"/>
                <w:sz w:val="19"/>
              </w:rPr>
              <w:t>P-05</w:t>
            </w:r>
          </w:p>
        </w:tc>
        <w:tc>
          <w:tcPr>
            <w:tcW w:type="dxa" w:w="1377"/>
            <w:tcW w:w="1445" w:type="dxa"/>
            <w:vAlign w:val="top"/>
          </w:tcPr>
          <w:p>
            <w:pPr>
              <w:spacing w:after="40" w:before="40" w:line="276" w:lineRule="auto"/>
              <w:jc w:val="left"/>
            </w:pPr>
            <w:r>
              <w:rPr>
                <w:b w:val="0"/>
                <w:i w:val="0"/>
                <w:sz w:val="19"/>
              </w:rPr>
              <w:t>"workload flexModelling economic viability" corrupted phrase</w:t>
            </w:r>
          </w:p>
        </w:tc>
        <w:tc>
          <w:tcPr>
            <w:tcW w:type="dxa" w:w="1377"/>
            <w:tcW w:w="771" w:type="dxa"/>
            <w:vAlign w:val="top"/>
          </w:tcPr>
          <w:p>
            <w:pPr>
              <w:spacing w:after="40" w:before="40" w:line="276" w:lineRule="auto"/>
              <w:jc w:val="left"/>
            </w:pPr>
            <w:r>
              <w:rPr>
                <w:b w:val="0"/>
                <w:i w:val="0"/>
                <w:sz w:val="19"/>
              </w:rPr>
              <w:t>§7 opening</w:t>
            </w:r>
          </w:p>
        </w:tc>
        <w:tc>
          <w:tcPr>
            <w:tcW w:type="dxa" w:w="1377"/>
            <w:tcW w:w="2313" w:type="dxa"/>
            <w:vAlign w:val="top"/>
          </w:tcPr>
          <w:p>
            <w:pPr>
              <w:spacing w:after="40" w:before="40" w:line="276" w:lineRule="auto"/>
              <w:jc w:val="left"/>
            </w:pPr>
            <w:r>
              <w:rPr>
                <w:b w:val="0"/>
                <w:i w:val="0"/>
                <w:sz w:val="19"/>
              </w:rPr>
              <w:t>"…electrical integration, control strategy, workload flexModelling economic viability, and sustainability compliance…"</w:t>
            </w:r>
          </w:p>
        </w:tc>
        <w:tc>
          <w:tcPr>
            <w:tcW w:type="dxa" w:w="1377"/>
            <w:tcW w:w="2313" w:type="dxa"/>
            <w:vAlign w:val="top"/>
          </w:tcPr>
          <w:p>
            <w:pPr>
              <w:spacing w:after="40" w:before="40" w:line="276" w:lineRule="auto"/>
              <w:jc w:val="left"/>
            </w:pPr>
            <w:r>
              <w:rPr>
                <w:b w:val="0"/>
                <w:i w:val="0"/>
                <w:sz w:val="19"/>
              </w:rPr>
              <w:t>"…workload flexibility modeling, economic viability, and sustainability compliance…"</w:t>
            </w:r>
          </w:p>
        </w:tc>
        <w:tc>
          <w:tcPr>
            <w:tcW w:type="dxa" w:w="1377"/>
            <w:tcW w:w="578" w:type="dxa"/>
            <w:vAlign w:val="top"/>
          </w:tcPr>
          <w:p>
            <w:pPr>
              <w:spacing w:after="40" w:before="40" w:line="276" w:lineRule="auto"/>
              <w:jc w:val="left"/>
            </w:pPr>
            <w:r>
              <w:rPr>
                <w:b/>
                <w:i w:val="0"/>
                <w:sz w:val="19"/>
              </w:rPr>
              <w:t>R1</w:t>
            </w:r>
          </w:p>
        </w:tc>
        <w:tc>
          <w:tcPr>
            <w:tcW w:type="dxa" w:w="1377"/>
            <w:tcW w:w="1735" w:type="dxa"/>
            <w:vAlign w:val="top"/>
          </w:tcPr>
          <w:p>
            <w:pPr>
              <w:spacing w:after="40" w:before="40" w:line="276" w:lineRule="auto"/>
              <w:jc w:val="left"/>
            </w:pPr>
            <w:r>
              <w:rPr>
                <w:b w:val="0"/>
                <w:i w:val="0"/>
                <w:sz w:val="19"/>
              </w:rPr>
              <w:t>Reviewer Comment #32: the corrupted phrase was rewritten so that "workload flexibility modeling" and "economic viability" appear as two separate framework components.</w:t>
            </w:r>
          </w:p>
        </w:tc>
      </w:tr>
      <w:tr>
        <w:trPr>
          <w:cantSplit w:val="false"/>
        </w:trPr>
        <w:tc>
          <w:tcPr>
            <w:tcW w:type="dxa" w:w="1377"/>
            <w:tcW w:w="481" w:type="dxa"/>
            <w:vAlign w:val="top"/>
          </w:tcPr>
          <w:p>
            <w:pPr>
              <w:spacing w:after="40" w:before="40" w:line="276" w:lineRule="auto"/>
              <w:jc w:val="left"/>
            </w:pPr>
            <w:r>
              <w:rPr>
                <w:b/>
                <w:i w:val="0"/>
                <w:sz w:val="19"/>
              </w:rPr>
              <w:t>P-06</w:t>
            </w:r>
          </w:p>
        </w:tc>
        <w:tc>
          <w:tcPr>
            <w:tcW w:type="dxa" w:w="1377"/>
            <w:tcW w:w="1445" w:type="dxa"/>
            <w:vAlign w:val="top"/>
          </w:tcPr>
          <w:p>
            <w:pPr>
              <w:spacing w:after="40" w:before="40" w:line="276" w:lineRule="auto"/>
              <w:jc w:val="left"/>
            </w:pPr>
            <w:r>
              <w:rPr>
                <w:b w:val="0"/>
                <w:i w:val="0"/>
                <w:sz w:val="19"/>
              </w:rPr>
              <w:t>Four leftover editorial comments anchored to Tables 6, 7, 9, 10</w:t>
            </w:r>
          </w:p>
        </w:tc>
        <w:tc>
          <w:tcPr>
            <w:tcW w:type="dxa" w:w="1377"/>
            <w:tcW w:w="771" w:type="dxa"/>
            <w:vAlign w:val="top"/>
          </w:tcPr>
          <w:p>
            <w:pPr>
              <w:spacing w:after="40" w:before="40" w:line="276" w:lineRule="auto"/>
              <w:jc w:val="left"/>
            </w:pPr>
            <w:r>
              <w:rPr>
                <w:b w:val="0"/>
                <w:i w:val="0"/>
                <w:sz w:val="19"/>
              </w:rPr>
              <w:t>Tables 6, 7, 9, 10</w:t>
            </w:r>
          </w:p>
        </w:tc>
        <w:tc>
          <w:tcPr>
            <w:tcW w:type="dxa" w:w="1377"/>
            <w:tcW w:w="2313" w:type="dxa"/>
            <w:vAlign w:val="top"/>
          </w:tcPr>
          <w:p>
            <w:pPr>
              <w:spacing w:after="40" w:before="40" w:line="276" w:lineRule="auto"/>
              <w:jc w:val="left"/>
            </w:pPr>
            <w:r>
              <w:rPr>
                <w:b w:val="0"/>
                <w:i w:val="0"/>
                <w:sz w:val="19"/>
              </w:rPr>
              <w:t>Original revised manuscript: four unresolved comments from author Mahmoud Kiasari dated 2026-09-02: "Fix this" (Table 6), "Fix the sourcing" (Table 7), "Work on sourcing" (Table 9), "Fix this" (Table 10).</w:t>
            </w:r>
          </w:p>
        </w:tc>
        <w:tc>
          <w:tcPr>
            <w:tcW w:type="dxa" w:w="1377"/>
            <w:tcW w:w="2313" w:type="dxa"/>
            <w:vAlign w:val="top"/>
          </w:tcPr>
          <w:p>
            <w:pPr>
              <w:spacing w:after="40" w:before="40" w:line="276" w:lineRule="auto"/>
              <w:jc w:val="left"/>
            </w:pPr>
            <w:r>
              <w:rPr>
                <w:b w:val="0"/>
                <w:i w:val="0"/>
                <w:sz w:val="19"/>
              </w:rPr>
              <w:t>Revised: all four leftover editorial comments were resolved and removed; the underlying table sourcing was completed (see T-01, T-03, F-05, and the sourcing of Table 9 / Table 10).</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#38 (Round 2): all four leftover editorial comments were resolved and removed.</w:t>
            </w:r>
          </w:p>
        </w:tc>
      </w:tr>
      <w:tr>
        <w:trPr>
          <w:cantSplit w:val="true"/>
        </w:trPr>
        <w:tc>
          <w:tcPr>
            <w:tcW w:type="dxa" w:w="9639"/>
            <w:gridSpan w:val="7"/>
            <w:shd w:val="clear" w:color="auto" w:fill="D9E2F3"/>
          </w:tcPr>
          <w:p>
            <w:pPr>
              <w:spacing w:after="40" w:before="40" w:line="276" w:lineRule="auto"/>
              <w:jc w:val="left"/>
            </w:pPr>
            <w:r>
              <w:rPr>
                <w:b/>
                <w:i w:val="0"/>
                <w:sz w:val="22"/>
              </w:rPr>
              <w:t>2.8 New sections added (Highlights, Nomenclature, CRediT, COI, Funding, Data Availability, GenAI, Limitations expansion, Critical Appraisal)</w:t>
            </w:r>
          </w:p>
        </w:tc>
      </w:tr>
      <w:tr>
        <w:trPr>
          <w:cantSplit w:val="false"/>
        </w:trPr>
        <w:tc>
          <w:tcPr>
            <w:tcW w:type="dxa" w:w="1377"/>
            <w:tcW w:w="481" w:type="dxa"/>
            <w:vAlign w:val="top"/>
          </w:tcPr>
          <w:p>
            <w:pPr>
              <w:spacing w:after="40" w:before="40" w:line="276" w:lineRule="auto"/>
              <w:jc w:val="left"/>
            </w:pPr>
            <w:r>
              <w:rPr>
                <w:b/>
                <w:i w:val="0"/>
                <w:sz w:val="19"/>
              </w:rPr>
              <w:t>S-01</w:t>
            </w:r>
          </w:p>
        </w:tc>
        <w:tc>
          <w:tcPr>
            <w:tcW w:type="dxa" w:w="1377"/>
            <w:tcW w:w="1445" w:type="dxa"/>
            <w:vAlign w:val="top"/>
          </w:tcPr>
          <w:p>
            <w:pPr>
              <w:spacing w:after="40" w:before="40" w:line="276" w:lineRule="auto"/>
              <w:jc w:val="left"/>
            </w:pPr>
            <w:r>
              <w:rPr>
                <w:b w:val="0"/>
                <w:i w:val="0"/>
                <w:sz w:val="19"/>
              </w:rPr>
              <w:t>Highlights section missing</w:t>
            </w:r>
          </w:p>
        </w:tc>
        <w:tc>
          <w:tcPr>
            <w:tcW w:type="dxa" w:w="1377"/>
            <w:tcW w:w="771" w:type="dxa"/>
            <w:vAlign w:val="top"/>
          </w:tcPr>
          <w:p>
            <w:pPr>
              <w:spacing w:after="40" w:before="40" w:line="276" w:lineRule="auto"/>
              <w:jc w:val="left"/>
            </w:pPr>
            <w:r>
              <w:rPr>
                <w:b w:val="0"/>
                <w:i w:val="0"/>
                <w:sz w:val="19"/>
              </w:rPr>
              <w:t>Front matter</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"Highlights (5 bullets, ≤85 chars each): PRISMA 2020 review of 185 sources on renewable-powered AI data centers; Pack vs installed BESS prices and firmed vs unfirmed LCOE distinguished; Equations rewritten (LOLE without /8760; reliability 99.99% → 0.876 h/yr); All original modelling outputs removed; claims replaced with cited ranges; Adds CRediT, COI, Funding, Data Availability, GenAI, Highlights, Nomenclature."</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#42 (Round 2): a Highlights section was added.</w:t>
            </w:r>
          </w:p>
        </w:tc>
      </w:tr>
      <w:tr>
        <w:trPr>
          <w:cantSplit w:val="false"/>
        </w:trPr>
        <w:tc>
          <w:tcPr>
            <w:tcW w:type="dxa" w:w="1377"/>
            <w:tcW w:w="481" w:type="dxa"/>
            <w:vAlign w:val="top"/>
          </w:tcPr>
          <w:p>
            <w:pPr>
              <w:spacing w:after="40" w:before="40" w:line="276" w:lineRule="auto"/>
              <w:jc w:val="left"/>
            </w:pPr>
            <w:r>
              <w:rPr>
                <w:b/>
                <w:i w:val="0"/>
                <w:sz w:val="19"/>
              </w:rPr>
              <w:t>S-02</w:t>
            </w:r>
          </w:p>
        </w:tc>
        <w:tc>
          <w:tcPr>
            <w:tcW w:type="dxa" w:w="1377"/>
            <w:tcW w:w="1445" w:type="dxa"/>
            <w:vAlign w:val="top"/>
          </w:tcPr>
          <w:p>
            <w:pPr>
              <w:spacing w:after="40" w:before="40" w:line="276" w:lineRule="auto"/>
              <w:jc w:val="left"/>
            </w:pPr>
            <w:r>
              <w:rPr>
                <w:b w:val="0"/>
                <w:i w:val="0"/>
                <w:sz w:val="19"/>
              </w:rPr>
              <w:t>Nomenclature / Abbreviations section missing</w:t>
            </w:r>
          </w:p>
        </w:tc>
        <w:tc>
          <w:tcPr>
            <w:tcW w:type="dxa" w:w="1377"/>
            <w:tcW w:w="771" w:type="dxa"/>
            <w:vAlign w:val="top"/>
          </w:tcPr>
          <w:p>
            <w:pPr>
              <w:spacing w:after="40" w:before="40" w:line="276" w:lineRule="auto"/>
              <w:jc w:val="left"/>
            </w:pPr>
            <w:r>
              <w:rPr>
                <w:b w:val="0"/>
                <w:i w:val="0"/>
                <w:sz w:val="19"/>
              </w:rPr>
              <w:t>Front matter</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"Nomenclature section listing all abbreviations used in the paper, organised alphabetically (ADR, ATB, BESS, BNEF, CAES, CAISO, CAPEX, CFE, COI, CO2e, CRediT, CUE, DOI, EMT, EPRI, ERCOT, FERC, GHG, GW, H2, HJT, IBR, IEA, IEEE, IRENA, IRR, ITC, LCOE, LDES, LFP, Li-ion, LMP, LOLE, LOLP, MACRS, MILP, MPC, NCA, NERC, NMC, NPV, NREL, O&amp;M, OPEX, PFR, PJM, PPA, PTC, PUE, PV, PV-Tech, RoCoF, SCR, SLA, SMPS, THD, TOPCon, TRE, TWh, UPS, VRFB, VFD, WACC, WUE), each with definition and unit."</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#41 (Round 2): a Nomenclature / Abbreviations section was added.</w:t>
            </w:r>
          </w:p>
        </w:tc>
      </w:tr>
      <w:tr>
        <w:trPr>
          <w:cantSplit w:val="false"/>
        </w:trPr>
        <w:tc>
          <w:tcPr>
            <w:tcW w:type="dxa" w:w="1377"/>
            <w:tcW w:w="481" w:type="dxa"/>
            <w:vAlign w:val="top"/>
          </w:tcPr>
          <w:p>
            <w:pPr>
              <w:spacing w:after="40" w:before="40" w:line="276" w:lineRule="auto"/>
              <w:jc w:val="left"/>
            </w:pPr>
            <w:r>
              <w:rPr>
                <w:b/>
                <w:i w:val="0"/>
                <w:sz w:val="19"/>
              </w:rPr>
              <w:t>S-03</w:t>
            </w:r>
          </w:p>
        </w:tc>
        <w:tc>
          <w:tcPr>
            <w:tcW w:type="dxa" w:w="1377"/>
            <w:tcW w:w="1445" w:type="dxa"/>
            <w:vAlign w:val="top"/>
          </w:tcPr>
          <w:p>
            <w:pPr>
              <w:spacing w:after="40" w:before="40" w:line="276" w:lineRule="auto"/>
              <w:jc w:val="left"/>
            </w:pPr>
            <w:r>
              <w:rPr>
                <w:b w:val="0"/>
                <w:i w:val="0"/>
                <w:sz w:val="19"/>
              </w:rPr>
              <w:t>CRediT author contribution statement missing</w:t>
            </w:r>
          </w:p>
        </w:tc>
        <w:tc>
          <w:tcPr>
            <w:tcW w:type="dxa" w:w="1377"/>
            <w:tcW w:w="771" w:type="dxa"/>
            <w:vAlign w:val="top"/>
          </w:tcPr>
          <w:p>
            <w:pPr>
              <w:spacing w:after="40" w:before="40" w:line="276" w:lineRule="auto"/>
              <w:jc w:val="left"/>
            </w:pPr>
            <w:r>
              <w:rPr>
                <w:b w:val="0"/>
                <w:i w:val="0"/>
                <w:sz w:val="19"/>
              </w:rPr>
              <w:t>Front matter</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"CRediT statement: M. Kiasari — Conceptualization, Methodology, Investigation, Writing – original draft, Writing – review &amp; editing, Visualization. H. Aly — Conceptualization, Supervision, Writing – review &amp; editing, Project administration, Funding acquisition."</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#42 (Round 2): a CRediT author contribution statement was added.</w:t>
            </w:r>
          </w:p>
        </w:tc>
      </w:tr>
      <w:tr>
        <w:trPr>
          <w:cantSplit w:val="false"/>
        </w:trPr>
        <w:tc>
          <w:tcPr>
            <w:tcW w:type="dxa" w:w="1377"/>
            <w:tcW w:w="481" w:type="dxa"/>
            <w:vAlign w:val="top"/>
          </w:tcPr>
          <w:p>
            <w:pPr>
              <w:spacing w:after="40" w:before="40" w:line="276" w:lineRule="auto"/>
              <w:jc w:val="left"/>
            </w:pPr>
            <w:r>
              <w:rPr>
                <w:b/>
                <w:i w:val="0"/>
                <w:sz w:val="19"/>
              </w:rPr>
              <w:t>S-04</w:t>
            </w:r>
          </w:p>
        </w:tc>
        <w:tc>
          <w:tcPr>
            <w:tcW w:type="dxa" w:w="1377"/>
            <w:tcW w:w="1445" w:type="dxa"/>
            <w:vAlign w:val="top"/>
          </w:tcPr>
          <w:p>
            <w:pPr>
              <w:spacing w:after="40" w:before="40" w:line="276" w:lineRule="auto"/>
              <w:jc w:val="left"/>
            </w:pPr>
            <w:r>
              <w:rPr>
                <w:b w:val="0"/>
                <w:i w:val="0"/>
                <w:sz w:val="19"/>
              </w:rPr>
              <w:t>Declaration of competing interest missing</w:t>
            </w:r>
          </w:p>
        </w:tc>
        <w:tc>
          <w:tcPr>
            <w:tcW w:type="dxa" w:w="1377"/>
            <w:tcW w:w="771" w:type="dxa"/>
            <w:vAlign w:val="top"/>
          </w:tcPr>
          <w:p>
            <w:pPr>
              <w:spacing w:after="40" w:before="40" w:line="276" w:lineRule="auto"/>
              <w:jc w:val="left"/>
            </w:pPr>
            <w:r>
              <w:rPr>
                <w:b w:val="0"/>
                <w:i w:val="0"/>
                <w:sz w:val="19"/>
              </w:rPr>
              <w:t>Front matter</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"Declaration of competing interest: The authors declare that they have no known competing financial interests or personal relationships that could have appeared to influence the work reported in this paper."</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#42 (Round 2): a Declaration of Competing Interest was added.</w:t>
            </w:r>
          </w:p>
        </w:tc>
      </w:tr>
      <w:tr>
        <w:trPr>
          <w:cantSplit w:val="false"/>
        </w:trPr>
        <w:tc>
          <w:tcPr>
            <w:tcW w:type="dxa" w:w="1377"/>
            <w:tcW w:w="481" w:type="dxa"/>
            <w:vAlign w:val="top"/>
          </w:tcPr>
          <w:p>
            <w:pPr>
              <w:spacing w:after="40" w:before="40" w:line="276" w:lineRule="auto"/>
              <w:jc w:val="left"/>
            </w:pPr>
            <w:r>
              <w:rPr>
                <w:b/>
                <w:i w:val="0"/>
                <w:sz w:val="19"/>
              </w:rPr>
              <w:t>S-05</w:t>
            </w:r>
          </w:p>
        </w:tc>
        <w:tc>
          <w:tcPr>
            <w:tcW w:type="dxa" w:w="1377"/>
            <w:tcW w:w="1445" w:type="dxa"/>
            <w:vAlign w:val="top"/>
          </w:tcPr>
          <w:p>
            <w:pPr>
              <w:spacing w:after="40" w:before="40" w:line="276" w:lineRule="auto"/>
              <w:jc w:val="left"/>
            </w:pPr>
            <w:r>
              <w:rPr>
                <w:b w:val="0"/>
                <w:i w:val="0"/>
                <w:sz w:val="19"/>
              </w:rPr>
              <w:t>Funding statement missing</w:t>
            </w:r>
          </w:p>
        </w:tc>
        <w:tc>
          <w:tcPr>
            <w:tcW w:type="dxa" w:w="1377"/>
            <w:tcW w:w="771" w:type="dxa"/>
            <w:vAlign w:val="top"/>
          </w:tcPr>
          <w:p>
            <w:pPr>
              <w:spacing w:after="40" w:before="40" w:line="276" w:lineRule="auto"/>
              <w:jc w:val="left"/>
            </w:pPr>
            <w:r>
              <w:rPr>
                <w:b w:val="0"/>
                <w:i w:val="0"/>
                <w:sz w:val="19"/>
              </w:rPr>
              <w:t>Front matter</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"Funding: This research did not receive any specific grant from funding agencies in the public, commercial, or not-for-profit sectors. General laboratory support from the Smart Grid and Green Power Research Lab, ECE Department, Dalhousie University, is acknowledged."</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#42 (Round 2): a Funding statement was added.</w:t>
            </w:r>
          </w:p>
        </w:tc>
      </w:tr>
      <w:tr>
        <w:trPr>
          <w:cantSplit w:val="false"/>
        </w:trPr>
        <w:tc>
          <w:tcPr>
            <w:tcW w:type="dxa" w:w="1377"/>
            <w:tcW w:w="481" w:type="dxa"/>
            <w:vAlign w:val="top"/>
          </w:tcPr>
          <w:p>
            <w:pPr>
              <w:spacing w:after="40" w:before="40" w:line="276" w:lineRule="auto"/>
              <w:jc w:val="left"/>
            </w:pPr>
            <w:r>
              <w:rPr>
                <w:b/>
                <w:i w:val="0"/>
                <w:sz w:val="19"/>
              </w:rPr>
              <w:t>S-06</w:t>
            </w:r>
          </w:p>
        </w:tc>
        <w:tc>
          <w:tcPr>
            <w:tcW w:type="dxa" w:w="1377"/>
            <w:tcW w:w="1445" w:type="dxa"/>
            <w:vAlign w:val="top"/>
          </w:tcPr>
          <w:p>
            <w:pPr>
              <w:spacing w:after="40" w:before="40" w:line="276" w:lineRule="auto"/>
              <w:jc w:val="left"/>
            </w:pPr>
            <w:r>
              <w:rPr>
                <w:b w:val="0"/>
                <w:i w:val="0"/>
                <w:sz w:val="19"/>
              </w:rPr>
              <w:t>Data availability statement missing</w:t>
            </w:r>
          </w:p>
        </w:tc>
        <w:tc>
          <w:tcPr>
            <w:tcW w:type="dxa" w:w="1377"/>
            <w:tcW w:w="771" w:type="dxa"/>
            <w:vAlign w:val="top"/>
          </w:tcPr>
          <w:p>
            <w:pPr>
              <w:spacing w:after="40" w:before="40" w:line="276" w:lineRule="auto"/>
              <w:jc w:val="left"/>
            </w:pPr>
            <w:r>
              <w:rPr>
                <w:b w:val="0"/>
                <w:i w:val="0"/>
                <w:sz w:val="19"/>
              </w:rPr>
              <w:t>Front matter</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"Data availability: All data analysed in this review are drawn from the published sources cited in the reference list. No new datasets were generated. Re-analysis can be reproduced from the cited primary publishers (IEA, IRENA, BloombergNEF, Lazard, NREL, EPRI, Goldman Sachs, Uptime Institute, LevelTen Energy, Google).</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#42 (Round 2): a Data Availability statement was added.</w:t>
            </w:r>
          </w:p>
        </w:tc>
      </w:tr>
      <w:tr>
        <w:trPr>
          <w:cantSplit w:val="false"/>
        </w:trPr>
        <w:tc>
          <w:tcPr>
            <w:tcW w:type="dxa" w:w="1377"/>
            <w:tcW w:w="481" w:type="dxa"/>
            <w:vAlign w:val="top"/>
          </w:tcPr>
          <w:p>
            <w:pPr>
              <w:spacing w:after="40" w:before="40" w:line="276" w:lineRule="auto"/>
              <w:jc w:val="left"/>
            </w:pPr>
            <w:r>
              <w:rPr>
                <w:b/>
                <w:i w:val="0"/>
                <w:sz w:val="19"/>
              </w:rPr>
              <w:t>S-07</w:t>
            </w:r>
          </w:p>
        </w:tc>
        <w:tc>
          <w:tcPr>
            <w:tcW w:type="dxa" w:w="1377"/>
            <w:tcW w:w="1445" w:type="dxa"/>
            <w:vAlign w:val="top"/>
          </w:tcPr>
          <w:p>
            <w:pPr>
              <w:spacing w:after="40" w:before="40" w:line="276" w:lineRule="auto"/>
              <w:jc w:val="left"/>
            </w:pPr>
            <w:r>
              <w:rPr>
                <w:b w:val="0"/>
                <w:i w:val="0"/>
                <w:sz w:val="19"/>
              </w:rPr>
              <w:t>Declaration on the use of generative AI missing</w:t>
            </w:r>
          </w:p>
        </w:tc>
        <w:tc>
          <w:tcPr>
            <w:tcW w:type="dxa" w:w="1377"/>
            <w:tcW w:w="771" w:type="dxa"/>
            <w:vAlign w:val="top"/>
          </w:tcPr>
          <w:p>
            <w:pPr>
              <w:spacing w:after="40" w:before="40" w:line="276" w:lineRule="auto"/>
              <w:jc w:val="left"/>
            </w:pPr>
            <w:r>
              <w:rPr>
                <w:b w:val="0"/>
                <w:i w:val="0"/>
                <w:sz w:val="19"/>
              </w:rPr>
              <w:t>Front matter</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"Declaration on the use of generative AI: Generative AI tools were used for language polishing and reference formatting only. All scientific content, analysis and conclusions are the authors' own. The authors reviewed and accept full responsibility for all content in this manuscript."</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#42 (Round 2): a Declaration on the use of Generative AI was added.</w:t>
            </w:r>
          </w:p>
        </w:tc>
      </w:tr>
      <w:tr>
        <w:trPr>
          <w:cantSplit w:val="false"/>
        </w:trPr>
        <w:tc>
          <w:tcPr>
            <w:tcW w:type="dxa" w:w="1377"/>
            <w:tcW w:w="481" w:type="dxa"/>
            <w:vAlign w:val="top"/>
          </w:tcPr>
          <w:p>
            <w:pPr>
              <w:spacing w:after="40" w:before="40" w:line="276" w:lineRule="auto"/>
              <w:jc w:val="left"/>
            </w:pPr>
            <w:r>
              <w:rPr>
                <w:b/>
                <w:i w:val="0"/>
                <w:sz w:val="19"/>
              </w:rPr>
              <w:t>S-08</w:t>
            </w:r>
          </w:p>
        </w:tc>
        <w:tc>
          <w:tcPr>
            <w:tcW w:type="dxa" w:w="1377"/>
            <w:tcW w:w="1445" w:type="dxa"/>
            <w:vAlign w:val="top"/>
          </w:tcPr>
          <w:p>
            <w:pPr>
              <w:spacing w:after="40" w:before="40" w:line="276" w:lineRule="auto"/>
              <w:jc w:val="left"/>
            </w:pPr>
            <w:r>
              <w:rPr>
                <w:b w:val="0"/>
                <w:i w:val="0"/>
                <w:sz w:val="19"/>
              </w:rPr>
              <w:t>Section 13 Limitations: subsections 13.2, 13.3, 13.4, 13.5 thin / empty</w:t>
            </w:r>
          </w:p>
        </w:tc>
        <w:tc>
          <w:tcPr>
            <w:tcW w:type="dxa" w:w="1377"/>
            <w:tcW w:w="771" w:type="dxa"/>
            <w:vAlign w:val="top"/>
          </w:tcPr>
          <w:p>
            <w:pPr>
              <w:spacing w:after="40" w:before="40" w:line="276" w:lineRule="auto"/>
              <w:jc w:val="left"/>
            </w:pPr>
            <w:r>
              <w:rPr>
                <w:b w:val="0"/>
                <w:i w:val="0"/>
                <w:sz w:val="19"/>
              </w:rPr>
              <w:t>§13.1–§13.5</w:t>
            </w:r>
          </w:p>
        </w:tc>
        <w:tc>
          <w:tcPr>
            <w:tcW w:type="dxa" w:w="1377"/>
            <w:tcW w:w="2313" w:type="dxa"/>
            <w:vAlign w:val="top"/>
          </w:tcPr>
          <w:p>
            <w:pPr>
              <w:spacing w:after="40" w:before="40" w:line="276" w:lineRule="auto"/>
              <w:jc w:val="left"/>
            </w:pPr>
            <w:r>
              <w:rPr>
                <w:b w:val="0"/>
                <w:i w:val="0"/>
                <w:sz w:val="19"/>
              </w:rPr>
              <w:t>Original revised §13.2: empty heading; §13.3: two sentences only; §13.4: sentence-style heading with period; §13.5: empty heading.</w:t>
            </w:r>
          </w:p>
        </w:tc>
        <w:tc>
          <w:tcPr>
            <w:tcW w:type="dxa" w:w="1377"/>
            <w:tcW w:w="2313" w:type="dxa"/>
            <w:vAlign w:val="top"/>
          </w:tcPr>
          <w:p>
            <w:pPr>
              <w:spacing w:after="40" w:before="40" w:line="276" w:lineRule="auto"/>
              <w:jc w:val="left"/>
            </w:pPr>
            <w:r>
              <w:rPr>
                <w:b w:val="0"/>
                <w:i w:val="0"/>
                <w:sz w:val="19"/>
              </w:rPr>
              <w:t>Revised: §13.1 expanded on the U.S. bias of case studies (Google, Meta, Microsoft, Apple, Equinix); §13.2 expanded on reliance on self-reported corporate sustainability disclosures; §13.3 expanded on small number of commercial sources (BNEF, Lazard) behind cost data; §13.4 retitled "Absence of Site-Specific Validation" and expanded on multi-year resource assessment; §13.5 expanded on technology, policy and market uncertainty.</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#28 (Round 2): the Limitations subsections were substantially expanded to address U.S. bias, self-reported disclosures, commercial-source concentration, multi-year resource assessment and site-specific validation.</w:t>
            </w:r>
          </w:p>
        </w:tc>
      </w:tr>
      <w:tr>
        <w:trPr>
          <w:cantSplit w:val="false"/>
        </w:trPr>
        <w:tc>
          <w:tcPr>
            <w:tcW w:type="dxa" w:w="1377"/>
            <w:tcW w:w="481" w:type="dxa"/>
            <w:vAlign w:val="top"/>
          </w:tcPr>
          <w:p>
            <w:pPr>
              <w:spacing w:after="40" w:before="40" w:line="276" w:lineRule="auto"/>
              <w:jc w:val="left"/>
            </w:pPr>
            <w:r>
              <w:rPr>
                <w:b/>
                <w:i w:val="0"/>
                <w:sz w:val="19"/>
              </w:rPr>
              <w:t>S-09</w:t>
            </w:r>
          </w:p>
        </w:tc>
        <w:tc>
          <w:tcPr>
            <w:tcW w:type="dxa" w:w="1377"/>
            <w:tcW w:w="1445" w:type="dxa"/>
            <w:vAlign w:val="top"/>
          </w:tcPr>
          <w:p>
            <w:pPr>
              <w:spacing w:after="40" w:before="40" w:line="276" w:lineRule="auto"/>
              <w:jc w:val="left"/>
            </w:pPr>
            <w:r>
              <w:rPr>
                <w:b w:val="0"/>
                <w:i w:val="0"/>
                <w:sz w:val="19"/>
              </w:rPr>
              <w:t>Title "Critical Review" but content reads as design guide</w:t>
            </w:r>
          </w:p>
        </w:tc>
        <w:tc>
          <w:tcPr>
            <w:tcW w:type="dxa" w:w="1377"/>
            <w:tcW w:w="771" w:type="dxa"/>
            <w:vAlign w:val="top"/>
          </w:tcPr>
          <w:p>
            <w:pPr>
              <w:spacing w:after="40" w:before="40" w:line="276" w:lineRule="auto"/>
              <w:jc w:val="left"/>
            </w:pPr>
            <w:r>
              <w:rPr>
                <w:b w:val="0"/>
                <w:i w:val="0"/>
                <w:sz w:val="19"/>
              </w:rPr>
              <w:t>§14</w:t>
            </w:r>
          </w:p>
        </w:tc>
        <w:tc>
          <w:tcPr>
            <w:tcW w:type="dxa" w:w="1377"/>
            <w:tcW w:w="2313" w:type="dxa"/>
            <w:vAlign w:val="top"/>
          </w:tcPr>
          <w:p>
            <w:pPr>
              <w:spacing w:after="40" w:before="40" w:line="276" w:lineRule="auto"/>
              <w:jc w:val="left"/>
            </w:pPr>
            <w:r>
              <w:rPr>
                <w:b w:val="0"/>
                <w:i w:val="0"/>
                <w:sz w:val="19"/>
              </w:rPr>
              <w:t>—</w:t>
            </w:r>
          </w:p>
        </w:tc>
        <w:tc>
          <w:tcPr>
            <w:tcW w:type="dxa" w:w="1377"/>
            <w:tcW w:w="2313" w:type="dxa"/>
            <w:vAlign w:val="top"/>
          </w:tcPr>
          <w:p>
            <w:pPr>
              <w:spacing w:after="40" w:before="40" w:line="276" w:lineRule="auto"/>
              <w:jc w:val="left"/>
            </w:pPr>
            <w:r>
              <w:rPr>
                <w:b w:val="0"/>
                <w:i w:val="0"/>
                <w:sz w:val="19"/>
              </w:rPr>
              <w:t>Critical Appraisal paragraphs added to Section 14 explicitly stating that the manuscript is a critical review of the literature, not a design guide; the framework is presented as a screening tool, not a prescriptive design.</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#44 (Round 2): Critical Appraisal paragraphs were added to Section 14 to address the title-content alignment.</w:t>
            </w:r>
          </w:p>
        </w:tc>
      </w:tr>
      <w:tr>
        <w:trPr>
          <w:cantSplit w:val="true"/>
        </w:trPr>
        <w:tc>
          <w:tcPr>
            <w:tcW w:type="dxa" w:w="9639"/>
            <w:gridSpan w:val="7"/>
            <w:shd w:val="clear" w:color="auto" w:fill="D9E2F3"/>
          </w:tcPr>
          <w:p>
            <w:pPr>
              <w:spacing w:after="40" w:before="40" w:line="276" w:lineRule="auto"/>
              <w:jc w:val="left"/>
            </w:pPr>
            <w:r>
              <w:rPr>
                <w:b/>
                <w:i w:val="0"/>
                <w:sz w:val="22"/>
              </w:rPr>
              <w:t>2.9 Style / formatting (heading styles unified, currency standardised, US spelling standardised, Section 13 heading pluralised, etc.)</w:t>
            </w:r>
          </w:p>
        </w:tc>
      </w:tr>
      <w:tr>
        <w:trPr>
          <w:cantSplit w:val="false"/>
        </w:trPr>
        <w:tc>
          <w:tcPr>
            <w:tcW w:type="dxa" w:w="1377"/>
            <w:tcW w:w="481" w:type="dxa"/>
            <w:vAlign w:val="top"/>
          </w:tcPr>
          <w:p>
            <w:pPr>
              <w:spacing w:after="40" w:before="40" w:line="276" w:lineRule="auto"/>
              <w:jc w:val="left"/>
            </w:pPr>
            <w:r>
              <w:rPr>
                <w:b/>
                <w:i w:val="0"/>
                <w:sz w:val="19"/>
              </w:rPr>
              <w:t>Y-01</w:t>
            </w:r>
          </w:p>
        </w:tc>
        <w:tc>
          <w:tcPr>
            <w:tcW w:type="dxa" w:w="1377"/>
            <w:tcW w:w="1445" w:type="dxa"/>
            <w:vAlign w:val="top"/>
          </w:tcPr>
          <w:p>
            <w:pPr>
              <w:spacing w:after="40" w:before="40" w:line="276" w:lineRule="auto"/>
              <w:jc w:val="left"/>
            </w:pPr>
            <w:r>
              <w:rPr>
                <w:b w:val="0"/>
                <w:i w:val="0"/>
                <w:sz w:val="19"/>
              </w:rPr>
              <w:t>Section 5 styled as Normal rather than Heading 1</w:t>
            </w:r>
          </w:p>
        </w:tc>
        <w:tc>
          <w:tcPr>
            <w:tcW w:type="dxa" w:w="1377"/>
            <w:tcW w:w="771" w:type="dxa"/>
            <w:vAlign w:val="top"/>
          </w:tcPr>
          <w:p>
            <w:pPr>
              <w:spacing w:after="40" w:before="40" w:line="276" w:lineRule="auto"/>
              <w:jc w:val="left"/>
            </w:pPr>
            <w:r>
              <w:rPr>
                <w:b w:val="0"/>
                <w:i w:val="0"/>
                <w:sz w:val="19"/>
              </w:rPr>
              <w:t>§5</w:t>
            </w:r>
          </w:p>
        </w:tc>
        <w:tc>
          <w:tcPr>
            <w:tcW w:type="dxa" w:w="1377"/>
            <w:tcW w:w="2313" w:type="dxa"/>
            <w:vAlign w:val="top"/>
          </w:tcPr>
          <w:p>
            <w:pPr>
              <w:spacing w:after="40" w:before="40" w:line="276" w:lineRule="auto"/>
              <w:jc w:val="left"/>
            </w:pPr>
            <w:r>
              <w:rPr>
                <w:b w:val="0"/>
                <w:i w:val="0"/>
                <w:sz w:val="19"/>
              </w:rPr>
              <w:t>Original revised §5: style = "Normal".</w:t>
            </w:r>
          </w:p>
        </w:tc>
        <w:tc>
          <w:tcPr>
            <w:tcW w:type="dxa" w:w="1377"/>
            <w:tcW w:w="2313" w:type="dxa"/>
            <w:vAlign w:val="top"/>
          </w:tcPr>
          <w:p>
            <w:pPr>
              <w:spacing w:after="40" w:before="40" w:line="276" w:lineRule="auto"/>
              <w:jc w:val="left"/>
            </w:pPr>
            <w:r>
              <w:rPr>
                <w:b w:val="0"/>
                <w:i w:val="0"/>
                <w:sz w:val="19"/>
              </w:rPr>
              <w:t>Revised §5: style = "Heading 1".</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(consolidated_analysis.md item 8, Round 2): the Heading 1 style on Section 5 ("Energy Storage and Backup Systems") was restored.</w:t>
            </w:r>
          </w:p>
        </w:tc>
      </w:tr>
      <w:tr>
        <w:trPr>
          <w:cantSplit w:val="false"/>
        </w:trPr>
        <w:tc>
          <w:tcPr>
            <w:tcW w:type="dxa" w:w="1377"/>
            <w:tcW w:w="481" w:type="dxa"/>
            <w:vAlign w:val="top"/>
          </w:tcPr>
          <w:p>
            <w:pPr>
              <w:spacing w:after="40" w:before="40" w:line="276" w:lineRule="auto"/>
              <w:jc w:val="left"/>
            </w:pPr>
            <w:r>
              <w:rPr>
                <w:b/>
                <w:i w:val="0"/>
                <w:sz w:val="19"/>
              </w:rPr>
              <w:t>Y-02</w:t>
            </w:r>
          </w:p>
        </w:tc>
        <w:tc>
          <w:tcPr>
            <w:tcW w:type="dxa" w:w="1377"/>
            <w:tcW w:w="1445" w:type="dxa"/>
            <w:vAlign w:val="top"/>
          </w:tcPr>
          <w:p>
            <w:pPr>
              <w:spacing w:after="40" w:before="40" w:line="276" w:lineRule="auto"/>
              <w:jc w:val="left"/>
            </w:pPr>
            <w:r>
              <w:rPr>
                <w:b w:val="0"/>
                <w:i w:val="0"/>
                <w:sz w:val="19"/>
              </w:rPr>
              <w:t>Heading style name inconsistency ("Heading1" vs "Heading 1")</w:t>
            </w:r>
          </w:p>
        </w:tc>
        <w:tc>
          <w:tcPr>
            <w:tcW w:type="dxa" w:w="1377"/>
            <w:tcW w:w="771" w:type="dxa"/>
            <w:vAlign w:val="top"/>
          </w:tcPr>
          <w:p>
            <w:pPr>
              <w:spacing w:after="40" w:before="40" w:line="276" w:lineRule="auto"/>
              <w:jc w:val="left"/>
            </w:pPr>
            <w:r>
              <w:rPr>
                <w:b w:val="0"/>
                <w:i w:val="0"/>
                <w:sz w:val="19"/>
              </w:rPr>
              <w:t>§1–§15</w:t>
            </w:r>
          </w:p>
        </w:tc>
        <w:tc>
          <w:tcPr>
            <w:tcW w:type="dxa" w:w="1377"/>
            <w:tcW w:w="2313" w:type="dxa"/>
            <w:vAlign w:val="top"/>
          </w:tcPr>
          <w:p>
            <w:pPr>
              <w:spacing w:after="40" w:before="40" w:line="276" w:lineRule="auto"/>
              <w:jc w:val="left"/>
            </w:pPr>
            <w:r>
              <w:rPr>
                <w:b w:val="0"/>
                <w:i w:val="0"/>
                <w:sz w:val="19"/>
              </w:rPr>
              <w:t>Original revised: §1–§9 use "Heading1" (no space); §10–§15 use "Heading 1" (with space).</w:t>
            </w:r>
          </w:p>
        </w:tc>
        <w:tc>
          <w:tcPr>
            <w:tcW w:type="dxa" w:w="1377"/>
            <w:tcW w:w="2313" w:type="dxa"/>
            <w:vAlign w:val="top"/>
          </w:tcPr>
          <w:p>
            <w:pPr>
              <w:spacing w:after="40" w:before="40" w:line="276" w:lineRule="auto"/>
              <w:jc w:val="left"/>
            </w:pPr>
            <w:r>
              <w:rPr>
                <w:b w:val="0"/>
                <w:i w:val="0"/>
                <w:sz w:val="19"/>
              </w:rPr>
              <w:t>Revised: all 15 top-level sections now use "Heading 1" (with space) consistently.</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(consolidated_analysis.md item 9, Round 2): the heading style was unified across Sections 1–15.</w:t>
            </w:r>
          </w:p>
        </w:tc>
      </w:tr>
      <w:tr>
        <w:trPr>
          <w:cantSplit w:val="false"/>
        </w:trPr>
        <w:tc>
          <w:tcPr>
            <w:tcW w:type="dxa" w:w="1377"/>
            <w:tcW w:w="481" w:type="dxa"/>
            <w:vAlign w:val="top"/>
          </w:tcPr>
          <w:p>
            <w:pPr>
              <w:spacing w:after="40" w:before="40" w:line="276" w:lineRule="auto"/>
              <w:jc w:val="left"/>
            </w:pPr>
            <w:r>
              <w:rPr>
                <w:b/>
                <w:i w:val="0"/>
                <w:sz w:val="19"/>
              </w:rPr>
              <w:t>Y-03</w:t>
            </w:r>
          </w:p>
        </w:tc>
        <w:tc>
          <w:tcPr>
            <w:tcW w:type="dxa" w:w="1377"/>
            <w:tcW w:w="1445" w:type="dxa"/>
            <w:vAlign w:val="top"/>
          </w:tcPr>
          <w:p>
            <w:pPr>
              <w:spacing w:after="40" w:before="40" w:line="276" w:lineRule="auto"/>
              <w:jc w:val="left"/>
            </w:pPr>
            <w:r>
              <w:rPr>
                <w:b w:val="0"/>
                <w:i w:val="0"/>
                <w:sz w:val="19"/>
              </w:rPr>
              <w:t>Section 13 "Limitation" (singular) → "Limitations" (plural)</w:t>
            </w:r>
          </w:p>
        </w:tc>
        <w:tc>
          <w:tcPr>
            <w:tcW w:type="dxa" w:w="1377"/>
            <w:tcW w:w="771" w:type="dxa"/>
            <w:vAlign w:val="top"/>
          </w:tcPr>
          <w:p>
            <w:pPr>
              <w:spacing w:after="40" w:before="40" w:line="276" w:lineRule="auto"/>
              <w:jc w:val="left"/>
            </w:pPr>
            <w:r>
              <w:rPr>
                <w:b w:val="0"/>
                <w:i w:val="0"/>
                <w:sz w:val="19"/>
              </w:rPr>
              <w:t>§13 title</w:t>
            </w:r>
          </w:p>
        </w:tc>
        <w:tc>
          <w:tcPr>
            <w:tcW w:type="dxa" w:w="1377"/>
            <w:tcW w:w="2313" w:type="dxa"/>
            <w:vAlign w:val="top"/>
          </w:tcPr>
          <w:p>
            <w:pPr>
              <w:spacing w:after="40" w:before="40" w:line="276" w:lineRule="auto"/>
              <w:jc w:val="left"/>
            </w:pPr>
            <w:r>
              <w:rPr>
                <w:b w:val="0"/>
                <w:i w:val="0"/>
                <w:sz w:val="19"/>
              </w:rPr>
              <w:t>Original revised §13 title: "13. Limitation" (singular).</w:t>
            </w:r>
          </w:p>
        </w:tc>
        <w:tc>
          <w:tcPr>
            <w:tcW w:type="dxa" w:w="1377"/>
            <w:tcW w:w="2313" w:type="dxa"/>
            <w:vAlign w:val="top"/>
          </w:tcPr>
          <w:p>
            <w:pPr>
              <w:spacing w:after="40" w:before="40" w:line="276" w:lineRule="auto"/>
              <w:jc w:val="left"/>
            </w:pPr>
            <w:r>
              <w:rPr>
                <w:b w:val="0"/>
                <w:i w:val="0"/>
                <w:sz w:val="19"/>
              </w:rPr>
              <w:t>Revised §13 title: "13. Limitations" (plural).</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#28 (Round 2): the Section 13 title was pluralised to "Limitations".</w:t>
            </w:r>
          </w:p>
        </w:tc>
      </w:tr>
      <w:tr>
        <w:trPr>
          <w:cantSplit w:val="false"/>
        </w:trPr>
        <w:tc>
          <w:tcPr>
            <w:tcW w:type="dxa" w:w="1377"/>
            <w:tcW w:w="481" w:type="dxa"/>
            <w:vAlign w:val="top"/>
          </w:tcPr>
          <w:p>
            <w:pPr>
              <w:spacing w:after="40" w:before="40" w:line="276" w:lineRule="auto"/>
              <w:jc w:val="left"/>
            </w:pPr>
            <w:r>
              <w:rPr>
                <w:b/>
                <w:i w:val="0"/>
                <w:sz w:val="19"/>
              </w:rPr>
              <w:t>Y-04</w:t>
            </w:r>
          </w:p>
        </w:tc>
        <w:tc>
          <w:tcPr>
            <w:tcW w:type="dxa" w:w="1377"/>
            <w:tcW w:w="1445" w:type="dxa"/>
            <w:vAlign w:val="top"/>
          </w:tcPr>
          <w:p>
            <w:pPr>
              <w:spacing w:after="40" w:before="40" w:line="276" w:lineRule="auto"/>
              <w:jc w:val="left"/>
            </w:pPr>
            <w:r>
              <w:rPr>
                <w:b w:val="0"/>
                <w:i w:val="0"/>
                <w:sz w:val="19"/>
              </w:rPr>
              <w:t>Section 13.4 sentence-style heading</w:t>
            </w:r>
          </w:p>
        </w:tc>
        <w:tc>
          <w:tcPr>
            <w:tcW w:type="dxa" w:w="1377"/>
            <w:tcW w:w="771" w:type="dxa"/>
            <w:vAlign w:val="top"/>
          </w:tcPr>
          <w:p>
            <w:pPr>
              <w:spacing w:after="40" w:before="40" w:line="276" w:lineRule="auto"/>
              <w:jc w:val="left"/>
            </w:pPr>
            <w:r>
              <w:rPr>
                <w:b w:val="0"/>
                <w:i w:val="0"/>
                <w:sz w:val="19"/>
              </w:rPr>
              <w:t>§13.4</w:t>
            </w:r>
          </w:p>
        </w:tc>
        <w:tc>
          <w:tcPr>
            <w:tcW w:type="dxa" w:w="1377"/>
            <w:tcW w:w="2313" w:type="dxa"/>
            <w:vAlign w:val="top"/>
          </w:tcPr>
          <w:p>
            <w:pPr>
              <w:spacing w:after="40" w:before="40" w:line="276" w:lineRule="auto"/>
              <w:jc w:val="left"/>
            </w:pPr>
            <w:r>
              <w:rPr>
                <w:b w:val="0"/>
                <w:i w:val="0"/>
                <w:sz w:val="19"/>
              </w:rPr>
              <w:t>Original revised §13.4: "13.4 The absence of site-specific validation." (sentence-style, capital T, trailing period).</w:t>
            </w:r>
          </w:p>
        </w:tc>
        <w:tc>
          <w:tcPr>
            <w:tcW w:type="dxa" w:w="1377"/>
            <w:tcW w:w="2313" w:type="dxa"/>
            <w:vAlign w:val="top"/>
          </w:tcPr>
          <w:p>
            <w:pPr>
              <w:spacing w:after="40" w:before="40" w:line="276" w:lineRule="auto"/>
              <w:jc w:val="left"/>
            </w:pPr>
            <w:r>
              <w:rPr>
                <w:b w:val="0"/>
                <w:i w:val="0"/>
                <w:sz w:val="19"/>
              </w:rPr>
              <w:t>Revised §13.4: "13.4 Absence of Site-Specific Validation" (title case, no period).</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(consolidated_analysis.md item 4, Round 2): the Section 13.4 heading was reformatted to standard title-case style.</w:t>
            </w:r>
          </w:p>
        </w:tc>
      </w:tr>
      <w:tr>
        <w:trPr>
          <w:cantSplit w:val="false"/>
        </w:trPr>
        <w:tc>
          <w:tcPr>
            <w:tcW w:type="dxa" w:w="1377"/>
            <w:tcW w:w="481" w:type="dxa"/>
            <w:vAlign w:val="top"/>
          </w:tcPr>
          <w:p>
            <w:pPr>
              <w:spacing w:after="40" w:before="40" w:line="276" w:lineRule="auto"/>
              <w:jc w:val="left"/>
            </w:pPr>
            <w:r>
              <w:rPr>
                <w:b/>
                <w:i w:val="0"/>
                <w:sz w:val="19"/>
              </w:rPr>
              <w:t>Y-05</w:t>
            </w:r>
          </w:p>
        </w:tc>
        <w:tc>
          <w:tcPr>
            <w:tcW w:type="dxa" w:w="1377"/>
            <w:tcW w:w="1445" w:type="dxa"/>
            <w:vAlign w:val="top"/>
          </w:tcPr>
          <w:p>
            <w:pPr>
              <w:spacing w:after="40" w:before="40" w:line="276" w:lineRule="auto"/>
              <w:jc w:val="left"/>
            </w:pPr>
            <w:r>
              <w:rPr>
                <w:b w:val="0"/>
                <w:i w:val="0"/>
                <w:sz w:val="19"/>
              </w:rPr>
              <w:t>Currency format inconsistency ($35-80/MWh vs 35$ to 80$ vs 200M$ vs 20$)</w:t>
            </w:r>
          </w:p>
        </w:tc>
        <w:tc>
          <w:tcPr>
            <w:tcW w:type="dxa" w:w="1377"/>
            <w:tcW w:w="771" w:type="dxa"/>
            <w:vAlign w:val="top"/>
          </w:tcPr>
          <w:p>
            <w:pPr>
              <w:spacing w:after="40" w:before="40" w:line="276" w:lineRule="auto"/>
              <w:jc w:val="left"/>
            </w:pPr>
            <w:r>
              <w:rPr>
                <w:b w:val="0"/>
                <w:i w:val="0"/>
                <w:sz w:val="19"/>
              </w:rPr>
              <w:t>Throughout</w:t>
            </w:r>
          </w:p>
        </w:tc>
        <w:tc>
          <w:tcPr>
            <w:tcW w:type="dxa" w:w="1377"/>
            <w:tcW w:w="2313" w:type="dxa"/>
            <w:vAlign w:val="top"/>
          </w:tcPr>
          <w:p>
            <w:pPr>
              <w:spacing w:after="40" w:before="40" w:line="276" w:lineRule="auto"/>
              <w:jc w:val="left"/>
            </w:pPr>
            <w:r>
              <w:rPr>
                <w:b w:val="0"/>
                <w:i w:val="0"/>
                <w:sz w:val="19"/>
              </w:rPr>
              <w:t>Original: mixed currency formats including "35$ to 80$ per MWh", "200M$ to 320M$", "20$ per MWh".</w:t>
            </w:r>
          </w:p>
        </w:tc>
        <w:tc>
          <w:tcPr>
            <w:tcW w:type="dxa" w:w="1377"/>
            <w:tcW w:w="2313" w:type="dxa"/>
            <w:vAlign w:val="top"/>
          </w:tcPr>
          <w:p>
            <w:pPr>
              <w:spacing w:after="40" w:before="40" w:line="276" w:lineRule="auto"/>
              <w:jc w:val="left"/>
            </w:pPr>
            <w:r>
              <w:rPr>
                <w:b w:val="0"/>
                <w:i w:val="0"/>
                <w:sz w:val="19"/>
              </w:rPr>
              <w:t>Revised: standardised to "$X/MWh" (LCOE/LMP/PPA), "$X/kW" (installed capacity), "$X/kWh" (battery pack or installed system), "$X/MW-day" (capacity price) throughout.</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#39 (Round 2): the currency format was standardised.</w:t>
            </w:r>
          </w:p>
        </w:tc>
      </w:tr>
      <w:tr>
        <w:trPr>
          <w:cantSplit w:val="false"/>
        </w:trPr>
        <w:tc>
          <w:tcPr>
            <w:tcW w:type="dxa" w:w="1377"/>
            <w:tcW w:w="481" w:type="dxa"/>
            <w:vAlign w:val="top"/>
          </w:tcPr>
          <w:p>
            <w:pPr>
              <w:spacing w:after="40" w:before="40" w:line="276" w:lineRule="auto"/>
              <w:jc w:val="left"/>
            </w:pPr>
            <w:r>
              <w:rPr>
                <w:b/>
                <w:i w:val="0"/>
                <w:sz w:val="19"/>
              </w:rPr>
              <w:t>Y-06</w:t>
            </w:r>
          </w:p>
        </w:tc>
        <w:tc>
          <w:tcPr>
            <w:tcW w:type="dxa" w:w="1377"/>
            <w:tcW w:w="1445" w:type="dxa"/>
            <w:vAlign w:val="top"/>
          </w:tcPr>
          <w:p>
            <w:pPr>
              <w:spacing w:after="40" w:before="40" w:line="276" w:lineRule="auto"/>
              <w:jc w:val="left"/>
            </w:pPr>
            <w:r>
              <w:rPr>
                <w:b w:val="0"/>
                <w:i w:val="0"/>
                <w:sz w:val="19"/>
              </w:rPr>
              <w:t>US/UK spelling mixed ("modelling" vs "modeling")</w:t>
            </w:r>
          </w:p>
        </w:tc>
        <w:tc>
          <w:tcPr>
            <w:tcW w:type="dxa" w:w="1377"/>
            <w:tcW w:w="771" w:type="dxa"/>
            <w:vAlign w:val="top"/>
          </w:tcPr>
          <w:p>
            <w:pPr>
              <w:spacing w:after="40" w:before="40" w:line="276" w:lineRule="auto"/>
              <w:jc w:val="left"/>
            </w:pPr>
            <w:r>
              <w:rPr>
                <w:b w:val="0"/>
                <w:i w:val="0"/>
                <w:sz w:val="19"/>
              </w:rPr>
              <w:t>Throughout</w:t>
            </w:r>
          </w:p>
        </w:tc>
        <w:tc>
          <w:tcPr>
            <w:tcW w:type="dxa" w:w="1377"/>
            <w:tcW w:w="2313" w:type="dxa"/>
            <w:vAlign w:val="top"/>
          </w:tcPr>
          <w:p>
            <w:pPr>
              <w:spacing w:after="40" w:before="40" w:line="276" w:lineRule="auto"/>
              <w:jc w:val="left"/>
            </w:pPr>
            <w:r>
              <w:rPr>
                <w:b w:val="0"/>
                <w:i w:val="0"/>
                <w:sz w:val="19"/>
              </w:rPr>
              <w:t>Original revised: mixed "modelling" (UK) and "modeling" (US).</w:t>
            </w:r>
          </w:p>
        </w:tc>
        <w:tc>
          <w:tcPr>
            <w:tcW w:type="dxa" w:w="1377"/>
            <w:tcW w:w="2313" w:type="dxa"/>
            <w:vAlign w:val="top"/>
          </w:tcPr>
          <w:p>
            <w:pPr>
              <w:spacing w:after="40" w:before="40" w:line="276" w:lineRule="auto"/>
              <w:jc w:val="left"/>
            </w:pPr>
            <w:r>
              <w:rPr>
                <w:b w:val="0"/>
                <w:i w:val="0"/>
                <w:sz w:val="19"/>
              </w:rPr>
              <w:t>Revised: standardised to US spelling throughout ("modeling", "optimization", "scheduling").</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#40 (Round 2): US spelling was standardised throughout.</w:t>
            </w:r>
          </w:p>
        </w:tc>
      </w:tr>
      <w:tr>
        <w:trPr>
          <w:cantSplit w:val="false"/>
        </w:trPr>
        <w:tc>
          <w:tcPr>
            <w:tcW w:type="dxa" w:w="1377"/>
            <w:tcW w:w="481" w:type="dxa"/>
            <w:vAlign w:val="top"/>
          </w:tcPr>
          <w:p>
            <w:pPr>
              <w:spacing w:after="40" w:before="40" w:line="276" w:lineRule="auto"/>
              <w:jc w:val="left"/>
            </w:pPr>
            <w:r>
              <w:rPr>
                <w:b/>
                <w:i w:val="0"/>
                <w:sz w:val="19"/>
              </w:rPr>
              <w:t>Y-07</w:t>
            </w:r>
          </w:p>
        </w:tc>
        <w:tc>
          <w:tcPr>
            <w:tcW w:type="dxa" w:w="1377"/>
            <w:tcW w:w="1445" w:type="dxa"/>
            <w:vAlign w:val="top"/>
          </w:tcPr>
          <w:p>
            <w:pPr>
              <w:spacing w:after="40" w:before="40" w:line="276" w:lineRule="auto"/>
              <w:jc w:val="left"/>
            </w:pPr>
            <w:r>
              <w:rPr>
                <w:b w:val="0"/>
                <w:i w:val="0"/>
                <w:sz w:val="19"/>
              </w:rPr>
              <w:t>Reference list not in consistent Elsevier numbered style</w:t>
            </w:r>
          </w:p>
        </w:tc>
        <w:tc>
          <w:tcPr>
            <w:tcW w:type="dxa" w:w="1377"/>
            <w:tcW w:w="771" w:type="dxa"/>
            <w:vAlign w:val="top"/>
          </w:tcPr>
          <w:p>
            <w:pPr>
              <w:spacing w:after="40" w:before="40" w:line="276" w:lineRule="auto"/>
              <w:jc w:val="left"/>
            </w:pPr>
            <w:r>
              <w:rPr>
                <w:b w:val="0"/>
                <w:i w:val="0"/>
                <w:sz w:val="19"/>
              </w:rPr>
              <w:t>References</w:t>
            </w:r>
          </w:p>
        </w:tc>
        <w:tc>
          <w:tcPr>
            <w:tcW w:type="dxa" w:w="1377"/>
            <w:tcW w:w="2313" w:type="dxa"/>
            <w:vAlign w:val="top"/>
          </w:tcPr>
          <w:p>
            <w:pPr>
              <w:spacing w:after="40" w:before="40" w:line="276" w:lineRule="auto"/>
              <w:jc w:val="left"/>
            </w:pPr>
            <w:r>
              <w:rPr>
                <w:b w:val="0"/>
                <w:i w:val="0"/>
                <w:sz w:val="19"/>
              </w:rPr>
              <w:t>Original revised: 190 references in mixed styles; some entries missing volume/issue/pages/DOI.</w:t>
            </w:r>
          </w:p>
        </w:tc>
        <w:tc>
          <w:tcPr>
            <w:tcW w:type="dxa" w:w="1377"/>
            <w:tcW w:w="2313" w:type="dxa"/>
            <w:vAlign w:val="top"/>
          </w:tcPr>
          <w:p>
            <w:pPr>
              <w:spacing w:after="40" w:before="40" w:line="276" w:lineRule="auto"/>
              <w:jc w:val="left"/>
            </w:pPr>
            <w:r>
              <w:rPr>
                <w:b w:val="0"/>
                <w:i w:val="0"/>
                <w:sz w:val="19"/>
              </w:rPr>
              <w:t>Revised: reference list reformatted to Elsevier numbered style; every entry now carries volume, issue, pages and DOI where applicable; the duplicate ref [58] (same as ref [39]) was removed and the list renumbered.</w:t>
            </w:r>
          </w:p>
        </w:tc>
        <w:tc>
          <w:tcPr>
            <w:tcW w:type="dxa" w:w="1377"/>
            <w:tcW w:w="578" w:type="dxa"/>
            <w:vAlign w:val="top"/>
          </w:tcPr>
          <w:p>
            <w:pPr>
              <w:spacing w:after="40" w:before="40" w:line="276" w:lineRule="auto"/>
              <w:jc w:val="left"/>
            </w:pPr>
            <w:r>
              <w:rPr>
                <w:b/>
                <w:i w:val="0"/>
                <w:sz w:val="19"/>
              </w:rPr>
              <w:t>R2</w:t>
            </w:r>
          </w:p>
        </w:tc>
        <w:tc>
          <w:tcPr>
            <w:tcW w:type="dxa" w:w="1377"/>
            <w:tcW w:w="1735" w:type="dxa"/>
            <w:vAlign w:val="top"/>
          </w:tcPr>
          <w:p>
            <w:pPr>
              <w:spacing w:after="40" w:before="40" w:line="276" w:lineRule="auto"/>
              <w:jc w:val="left"/>
            </w:pPr>
            <w:r>
              <w:rPr>
                <w:b w:val="0"/>
                <w:i w:val="0"/>
                <w:sz w:val="19"/>
              </w:rPr>
              <w:t>Reviewer Comment #43 (Round 2): the reference list was reformatted to Elsevier numbered style.</w:t>
            </w:r>
          </w:p>
        </w:tc>
      </w:tr>
    </w:tbl>
    <w:p/>
    <w:p>
      <w:r>
        <w:br w:type="page"/>
      </w:r>
    </w:p>
    <w:p>
      <w:pPr>
        <w:keepNext/>
        <w:spacing w:line="360" w:lineRule="auto" w:after="160" w:before="360"/>
      </w:pPr>
      <w:r>
        <w:rPr>
          <w:b/>
          <w:i w:val="0"/>
          <w:sz w:val="32"/>
        </w:rPr>
        <w:t>Section 3. New Content Added in Round 2</w:t>
      </w:r>
    </w:p>
    <w:p>
      <w:pPr>
        <w:keepNext w:val="0"/>
        <w:spacing w:line="360" w:lineRule="auto" w:after="240" w:before="0"/>
        <w:jc w:val="both"/>
      </w:pPr>
      <w:r>
        <w:rPr>
          <w:b w:val="0"/>
          <w:i w:val="0"/>
          <w:sz w:val="22"/>
        </w:rPr>
        <w:t>The Round-2 revision adds the following content that was absent from the Round-1 revised manuscript. Each item is described with the rationale for the addition.</w:t>
      </w:r>
    </w:p>
    <w:p>
      <w:pPr>
        <w:keepNext/>
        <w:spacing w:line="360" w:lineRule="auto" w:after="120" w:before="240"/>
      </w:pPr>
      <w:r>
        <w:rPr>
          <w:b/>
          <w:i w:val="0"/>
          <w:sz w:val="28"/>
        </w:rPr>
        <w:t>3.1 Highlights</w:t>
      </w:r>
    </w:p>
    <w:p>
      <w:pPr>
        <w:keepNext w:val="0"/>
        <w:spacing w:line="360" w:lineRule="auto" w:after="120" w:before="0"/>
        <w:jc w:val="both"/>
      </w:pPr>
      <w:r>
        <w:rPr>
          <w:b w:val="0"/>
          <w:i w:val="0"/>
          <w:sz w:val="22"/>
        </w:rPr>
        <w:t>A Highlights section was added to the front matter, immediately after the abstract and keywords. Highlights are short, bulleted summaries of the key findings and contributions of the paper; they are required by the target journal for indexing and discoverability. Each bullet is limited to 85 characters (including spaces) and is written as a self-contained, declarative statement. The five highlights below collectively summarise the scope of the review (PRISMA 2020, 185 sources), the distinction drawn between pack and installed BESS prices and between unfirmed and firmed LCOE, the equation re-derivations, the removal of unsupported original modelling outputs, and the addition of the journal-required declarations. The Highlights section improves the visibility of the paper in search engines and indexing services and allows readers to grasp the contribution without reading the full abstract. The five bullets are:</w:t>
      </w:r>
    </w:p>
    <w:p>
      <w:pPr>
        <w:pStyle w:val="ListBullet"/>
        <w:keepNext w:val="0"/>
        <w:spacing w:line="360" w:lineRule="auto" w:after="80" w:before="0"/>
        <w:jc w:val="left"/>
      </w:pPr>
      <w:r>
        <w:rPr>
          <w:b w:val="0"/>
          <w:i w:val="0"/>
          <w:sz w:val="22"/>
        </w:rPr>
        <w:t>PRISMA 2020 review of 185 sources on renewable-powered AI data centers</w:t>
      </w:r>
      <w:r>
        <w:rPr>
          <w:b w:val="0"/>
          <w:i/>
          <w:sz w:val="18"/>
        </w:rPr>
        <w:t xml:space="preserve">  (70 chars)</w:t>
      </w:r>
    </w:p>
    <w:p>
      <w:pPr>
        <w:pStyle w:val="ListBullet"/>
        <w:keepNext w:val="0"/>
        <w:spacing w:line="360" w:lineRule="auto" w:after="80" w:before="0"/>
        <w:jc w:val="left"/>
      </w:pPr>
      <w:r>
        <w:rPr>
          <w:b w:val="0"/>
          <w:i w:val="0"/>
          <w:sz w:val="22"/>
        </w:rPr>
        <w:t>Pack vs installed BESS prices and firmed vs unfirmed LCOE distinguished</w:t>
      </w:r>
      <w:r>
        <w:rPr>
          <w:b w:val="0"/>
          <w:i/>
          <w:sz w:val="18"/>
        </w:rPr>
        <w:t xml:space="preserve">  (71 chars)</w:t>
      </w:r>
    </w:p>
    <w:p>
      <w:pPr>
        <w:pStyle w:val="ListBullet"/>
        <w:keepNext w:val="0"/>
        <w:spacing w:line="360" w:lineRule="auto" w:after="80" w:before="0"/>
        <w:jc w:val="left"/>
      </w:pPr>
      <w:r>
        <w:rPr>
          <w:b w:val="0"/>
          <w:i w:val="0"/>
          <w:sz w:val="22"/>
        </w:rPr>
        <w:t>Equations rewritten: LOLE without /8760; reliability 99.99% → 0.876 h/yr</w:t>
      </w:r>
      <w:r>
        <w:rPr>
          <w:b w:val="0"/>
          <w:i/>
          <w:sz w:val="18"/>
        </w:rPr>
        <w:t xml:space="preserve">  (72 chars)</w:t>
      </w:r>
    </w:p>
    <w:p>
      <w:pPr>
        <w:pStyle w:val="ListBullet"/>
        <w:keepNext w:val="0"/>
        <w:spacing w:line="360" w:lineRule="auto" w:after="80" w:before="0"/>
        <w:jc w:val="left"/>
      </w:pPr>
      <w:r>
        <w:rPr>
          <w:b w:val="0"/>
          <w:i w:val="0"/>
          <w:sz w:val="22"/>
        </w:rPr>
        <w:t>All original modelling outputs removed; claims replaced with cited ranges</w:t>
      </w:r>
      <w:r>
        <w:rPr>
          <w:b w:val="0"/>
          <w:i/>
          <w:sz w:val="18"/>
        </w:rPr>
        <w:t xml:space="preserve">  (73 chars)</w:t>
      </w:r>
    </w:p>
    <w:p>
      <w:pPr>
        <w:pStyle w:val="ListBullet"/>
        <w:keepNext w:val="0"/>
        <w:spacing w:line="360" w:lineRule="auto" w:after="80" w:before="0"/>
        <w:jc w:val="left"/>
      </w:pPr>
      <w:r>
        <w:rPr>
          <w:b w:val="0"/>
          <w:i w:val="0"/>
          <w:sz w:val="22"/>
        </w:rPr>
        <w:t>Adds CRediT, COI, Funding, Data Availability, GenAI, Highlights, Nomenclature</w:t>
      </w:r>
      <w:r>
        <w:rPr>
          <w:b w:val="0"/>
          <w:i/>
          <w:sz w:val="18"/>
        </w:rPr>
        <w:t xml:space="preserve">  (77 chars)</w:t>
      </w:r>
    </w:p>
    <w:p>
      <w:pPr>
        <w:keepNext/>
        <w:spacing w:line="360" w:lineRule="auto" w:after="120" w:before="240"/>
      </w:pPr>
      <w:r>
        <w:rPr>
          <w:b/>
          <w:i w:val="0"/>
          <w:sz w:val="28"/>
        </w:rPr>
        <w:t>3.2 Nomenclature / Abbreviations</w:t>
      </w:r>
    </w:p>
    <w:p>
      <w:pPr>
        <w:keepNext w:val="0"/>
        <w:spacing w:line="360" w:lineRule="auto" w:after="160" w:before="0"/>
        <w:jc w:val="both"/>
      </w:pPr>
      <w:r>
        <w:rPr>
          <w:b w:val="0"/>
          <w:i w:val="0"/>
          <w:sz w:val="22"/>
        </w:rPr>
        <w:t>A Nomenclature / Abbreviations section was added after the abstract, listing every abbreviation used in the paper. Abbreviations are organised alphabetically with definition and unit (where applicable). This responds to Reviewer Comment #41 (no nomenclature list) and improves the readability of the paper for readers from adjacent disciplines (electrical engineering, energy economics, computer science, environmental science) who may not be familiar with all of the domain-specific acronyms. The Nomenclature section also enables a quick check that every abbreviation is defined at first use in the body text. The full list of abbreviations added in Round 2 is reproduced in the table below.</w:t>
      </w:r>
    </w:p>
    <w:tbl>
      <w:tblPr>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3213"/>
            <w:tcW w:w="1417" w:type="dxa"/>
            <w:shd w:val="clear" w:color="auto" w:fill="F2F2F2"/>
          </w:tcPr>
          <w:p>
            <w:pPr>
              <w:spacing w:after="40" w:before="40" w:line="276" w:lineRule="auto"/>
              <w:jc w:val="left"/>
            </w:pPr>
            <w:r>
              <w:rPr>
                <w:b/>
                <w:i w:val="0"/>
                <w:sz w:val="20"/>
              </w:rPr>
              <w:t>Abbreviation</w:t>
            </w:r>
          </w:p>
        </w:tc>
        <w:tc>
          <w:tcPr>
            <w:tcW w:type="dxa" w:w="3213"/>
            <w:tcW w:w="6237" w:type="dxa"/>
            <w:shd w:val="clear" w:color="auto" w:fill="F2F2F2"/>
          </w:tcPr>
          <w:p>
            <w:pPr>
              <w:spacing w:after="40" w:before="40" w:line="276" w:lineRule="auto"/>
              <w:jc w:val="left"/>
            </w:pPr>
            <w:r>
              <w:rPr>
                <w:b/>
                <w:i w:val="0"/>
                <w:sz w:val="20"/>
              </w:rPr>
              <w:t>Definition</w:t>
            </w:r>
          </w:p>
        </w:tc>
        <w:tc>
          <w:tcPr>
            <w:tcW w:type="dxa" w:w="3213"/>
            <w:tcW w:w="1984" w:type="dxa"/>
            <w:shd w:val="clear" w:color="auto" w:fill="F2F2F2"/>
          </w:tcPr>
          <w:p>
            <w:pPr>
              <w:spacing w:after="40" w:before="40" w:line="276" w:lineRule="auto"/>
              <w:jc w:val="left"/>
            </w:pPr>
            <w:r>
              <w:rPr>
                <w:b/>
                <w:i w:val="0"/>
                <w:sz w:val="20"/>
              </w:rPr>
              <w:t>Unit</w:t>
            </w:r>
          </w:p>
        </w:tc>
      </w:tr>
      <w:tr>
        <w:trPr>
          <w:cantSplit w:val="false"/>
        </w:trPr>
        <w:tc>
          <w:tcPr>
            <w:tcW w:type="dxa" w:w="3213"/>
            <w:tcW w:w="1417" w:type="dxa"/>
            <w:vAlign w:val="top"/>
          </w:tcPr>
          <w:p>
            <w:pPr>
              <w:spacing w:after="40" w:before="40" w:line="276" w:lineRule="auto"/>
              <w:jc w:val="left"/>
            </w:pPr>
            <w:r>
              <w:rPr>
                <w:b/>
                <w:i w:val="0"/>
                <w:sz w:val="19"/>
              </w:rPr>
              <w:t>ADR</w:t>
            </w:r>
          </w:p>
        </w:tc>
        <w:tc>
          <w:tcPr>
            <w:tcW w:type="dxa" w:w="3213"/>
            <w:tcW w:w="6237" w:type="dxa"/>
            <w:vAlign w:val="top"/>
          </w:tcPr>
          <w:p>
            <w:pPr>
              <w:spacing w:after="40" w:before="40" w:line="276" w:lineRule="auto"/>
              <w:jc w:val="left"/>
            </w:pPr>
            <w:r>
              <w:rPr>
                <w:b w:val="0"/>
                <w:i w:val="0"/>
                <w:sz w:val="19"/>
              </w:rPr>
              <w:t>Automated Demand Response</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ATB</w:t>
            </w:r>
          </w:p>
        </w:tc>
        <w:tc>
          <w:tcPr>
            <w:tcW w:type="dxa" w:w="3213"/>
            <w:tcW w:w="6237" w:type="dxa"/>
            <w:vAlign w:val="top"/>
          </w:tcPr>
          <w:p>
            <w:pPr>
              <w:spacing w:after="40" w:before="40" w:line="276" w:lineRule="auto"/>
              <w:jc w:val="left"/>
            </w:pPr>
            <w:r>
              <w:rPr>
                <w:b w:val="0"/>
                <w:i w:val="0"/>
                <w:sz w:val="19"/>
              </w:rPr>
              <w:t>Annual Technology Baseline (NREL)</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BESS</w:t>
            </w:r>
          </w:p>
        </w:tc>
        <w:tc>
          <w:tcPr>
            <w:tcW w:type="dxa" w:w="3213"/>
            <w:tcW w:w="6237" w:type="dxa"/>
            <w:vAlign w:val="top"/>
          </w:tcPr>
          <w:p>
            <w:pPr>
              <w:spacing w:after="40" w:before="40" w:line="276" w:lineRule="auto"/>
              <w:jc w:val="left"/>
            </w:pPr>
            <w:r>
              <w:rPr>
                <w:b w:val="0"/>
                <w:i w:val="0"/>
                <w:sz w:val="19"/>
              </w:rPr>
              <w:t>Battery Energy Storage System</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BNEF</w:t>
            </w:r>
          </w:p>
        </w:tc>
        <w:tc>
          <w:tcPr>
            <w:tcW w:type="dxa" w:w="3213"/>
            <w:tcW w:w="6237" w:type="dxa"/>
            <w:vAlign w:val="top"/>
          </w:tcPr>
          <w:p>
            <w:pPr>
              <w:spacing w:after="40" w:before="40" w:line="276" w:lineRule="auto"/>
              <w:jc w:val="left"/>
            </w:pPr>
            <w:r>
              <w:rPr>
                <w:b w:val="0"/>
                <w:i w:val="0"/>
                <w:sz w:val="19"/>
              </w:rPr>
              <w:t>Bloomberg New Energy Finance</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CAES</w:t>
            </w:r>
          </w:p>
        </w:tc>
        <w:tc>
          <w:tcPr>
            <w:tcW w:type="dxa" w:w="3213"/>
            <w:tcW w:w="6237" w:type="dxa"/>
            <w:vAlign w:val="top"/>
          </w:tcPr>
          <w:p>
            <w:pPr>
              <w:spacing w:after="40" w:before="40" w:line="276" w:lineRule="auto"/>
              <w:jc w:val="left"/>
            </w:pPr>
            <w:r>
              <w:rPr>
                <w:b w:val="0"/>
                <w:i w:val="0"/>
                <w:sz w:val="19"/>
              </w:rPr>
              <w:t>Compressed Air Energy Storage</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CAISO</w:t>
            </w:r>
          </w:p>
        </w:tc>
        <w:tc>
          <w:tcPr>
            <w:tcW w:type="dxa" w:w="3213"/>
            <w:tcW w:w="6237" w:type="dxa"/>
            <w:vAlign w:val="top"/>
          </w:tcPr>
          <w:p>
            <w:pPr>
              <w:spacing w:after="40" w:before="40" w:line="276" w:lineRule="auto"/>
              <w:jc w:val="left"/>
            </w:pPr>
            <w:r>
              <w:rPr>
                <w:b w:val="0"/>
                <w:i w:val="0"/>
                <w:sz w:val="19"/>
              </w:rPr>
              <w:t>California Independent System Operator</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CAPEX</w:t>
            </w:r>
          </w:p>
        </w:tc>
        <w:tc>
          <w:tcPr>
            <w:tcW w:type="dxa" w:w="3213"/>
            <w:tcW w:w="6237" w:type="dxa"/>
            <w:vAlign w:val="top"/>
          </w:tcPr>
          <w:p>
            <w:pPr>
              <w:spacing w:after="40" w:before="40" w:line="276" w:lineRule="auto"/>
              <w:jc w:val="left"/>
            </w:pPr>
            <w:r>
              <w:rPr>
                <w:b w:val="0"/>
                <w:i w:val="0"/>
                <w:sz w:val="19"/>
              </w:rPr>
              <w:t>Capital Expenditure</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CFE</w:t>
            </w:r>
          </w:p>
        </w:tc>
        <w:tc>
          <w:tcPr>
            <w:tcW w:type="dxa" w:w="3213"/>
            <w:tcW w:w="6237" w:type="dxa"/>
            <w:vAlign w:val="top"/>
          </w:tcPr>
          <w:p>
            <w:pPr>
              <w:spacing w:after="40" w:before="40" w:line="276" w:lineRule="auto"/>
              <w:jc w:val="left"/>
            </w:pPr>
            <w:r>
              <w:rPr>
                <w:b w:val="0"/>
                <w:i w:val="0"/>
                <w:sz w:val="19"/>
              </w:rPr>
              <w:t>Carbon-Free Energy</w:t>
            </w:r>
          </w:p>
        </w:tc>
        <w:tc>
          <w:tcPr>
            <w:tcW w:type="dxa" w:w="3213"/>
            <w:tcW w:w="1984" w:type="dxa"/>
            <w:vAlign w:val="top"/>
          </w:tcPr>
          <w:p>
            <w:pPr>
              <w:spacing w:after="40" w:before="40" w:line="276" w:lineRule="auto"/>
              <w:jc w:val="left"/>
            </w:pPr>
            <w:r>
              <w:rPr>
                <w:b w:val="0"/>
                <w:i w:val="0"/>
                <w:sz w:val="19"/>
              </w:rPr>
              <w:t>% or fraction</w:t>
            </w:r>
          </w:p>
        </w:tc>
      </w:tr>
      <w:tr>
        <w:trPr>
          <w:cantSplit w:val="false"/>
        </w:trPr>
        <w:tc>
          <w:tcPr>
            <w:tcW w:type="dxa" w:w="3213"/>
            <w:tcW w:w="1417" w:type="dxa"/>
            <w:vAlign w:val="top"/>
          </w:tcPr>
          <w:p>
            <w:pPr>
              <w:spacing w:after="40" w:before="40" w:line="276" w:lineRule="auto"/>
              <w:jc w:val="left"/>
            </w:pPr>
            <w:r>
              <w:rPr>
                <w:b/>
                <w:i w:val="0"/>
                <w:sz w:val="19"/>
              </w:rPr>
              <w:t>COI</w:t>
            </w:r>
          </w:p>
        </w:tc>
        <w:tc>
          <w:tcPr>
            <w:tcW w:type="dxa" w:w="3213"/>
            <w:tcW w:w="6237" w:type="dxa"/>
            <w:vAlign w:val="top"/>
          </w:tcPr>
          <w:p>
            <w:pPr>
              <w:spacing w:after="40" w:before="40" w:line="276" w:lineRule="auto"/>
              <w:jc w:val="left"/>
            </w:pPr>
            <w:r>
              <w:rPr>
                <w:b w:val="0"/>
                <w:i w:val="0"/>
                <w:sz w:val="19"/>
              </w:rPr>
              <w:t>Conflict of Interest</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CO2e</w:t>
            </w:r>
          </w:p>
        </w:tc>
        <w:tc>
          <w:tcPr>
            <w:tcW w:type="dxa" w:w="3213"/>
            <w:tcW w:w="6237" w:type="dxa"/>
            <w:vAlign w:val="top"/>
          </w:tcPr>
          <w:p>
            <w:pPr>
              <w:spacing w:after="40" w:before="40" w:line="276" w:lineRule="auto"/>
              <w:jc w:val="left"/>
            </w:pPr>
            <w:r>
              <w:rPr>
                <w:b w:val="0"/>
                <w:i w:val="0"/>
                <w:sz w:val="19"/>
              </w:rPr>
              <w:t>Carbon Dioxide Equivalent</w:t>
            </w:r>
          </w:p>
        </w:tc>
        <w:tc>
          <w:tcPr>
            <w:tcW w:type="dxa" w:w="3213"/>
            <w:tcW w:w="1984" w:type="dxa"/>
            <w:vAlign w:val="top"/>
          </w:tcPr>
          <w:p>
            <w:pPr>
              <w:spacing w:after="40" w:before="40" w:line="276" w:lineRule="auto"/>
              <w:jc w:val="left"/>
            </w:pPr>
            <w:r>
              <w:rPr>
                <w:b w:val="0"/>
                <w:i w:val="0"/>
                <w:sz w:val="19"/>
              </w:rPr>
              <w:t>t</w:t>
            </w:r>
          </w:p>
        </w:tc>
      </w:tr>
      <w:tr>
        <w:trPr>
          <w:cantSplit w:val="false"/>
        </w:trPr>
        <w:tc>
          <w:tcPr>
            <w:tcW w:type="dxa" w:w="3213"/>
            <w:tcW w:w="1417" w:type="dxa"/>
            <w:vAlign w:val="top"/>
          </w:tcPr>
          <w:p>
            <w:pPr>
              <w:spacing w:after="40" w:before="40" w:line="276" w:lineRule="auto"/>
              <w:jc w:val="left"/>
            </w:pPr>
            <w:r>
              <w:rPr>
                <w:b/>
                <w:i w:val="0"/>
                <w:sz w:val="19"/>
              </w:rPr>
              <w:t>CRediT</w:t>
            </w:r>
          </w:p>
        </w:tc>
        <w:tc>
          <w:tcPr>
            <w:tcW w:type="dxa" w:w="3213"/>
            <w:tcW w:w="6237" w:type="dxa"/>
            <w:vAlign w:val="top"/>
          </w:tcPr>
          <w:p>
            <w:pPr>
              <w:spacing w:after="40" w:before="40" w:line="276" w:lineRule="auto"/>
              <w:jc w:val="left"/>
            </w:pPr>
            <w:r>
              <w:rPr>
                <w:b w:val="0"/>
                <w:i w:val="0"/>
                <w:sz w:val="19"/>
              </w:rPr>
              <w:t>Contributor Roles Taxonomy</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CUE</w:t>
            </w:r>
          </w:p>
        </w:tc>
        <w:tc>
          <w:tcPr>
            <w:tcW w:type="dxa" w:w="3213"/>
            <w:tcW w:w="6237" w:type="dxa"/>
            <w:vAlign w:val="top"/>
          </w:tcPr>
          <w:p>
            <w:pPr>
              <w:spacing w:after="40" w:before="40" w:line="276" w:lineRule="auto"/>
              <w:jc w:val="left"/>
            </w:pPr>
            <w:r>
              <w:rPr>
                <w:b w:val="0"/>
                <w:i w:val="0"/>
                <w:sz w:val="19"/>
              </w:rPr>
              <w:t>Carbon Usage Effectiveness</w:t>
            </w:r>
          </w:p>
        </w:tc>
        <w:tc>
          <w:tcPr>
            <w:tcW w:type="dxa" w:w="3213"/>
            <w:tcW w:w="1984" w:type="dxa"/>
            <w:vAlign w:val="top"/>
          </w:tcPr>
          <w:p>
            <w:pPr>
              <w:spacing w:after="40" w:before="40" w:line="276" w:lineRule="auto"/>
              <w:jc w:val="left"/>
            </w:pPr>
            <w:r>
              <w:rPr>
                <w:b w:val="0"/>
                <w:i w:val="0"/>
                <w:sz w:val="19"/>
              </w:rPr>
              <w:t>kg CO2e / kWh</w:t>
            </w:r>
          </w:p>
        </w:tc>
      </w:tr>
      <w:tr>
        <w:trPr>
          <w:cantSplit w:val="false"/>
        </w:trPr>
        <w:tc>
          <w:tcPr>
            <w:tcW w:type="dxa" w:w="3213"/>
            <w:tcW w:w="1417" w:type="dxa"/>
            <w:vAlign w:val="top"/>
          </w:tcPr>
          <w:p>
            <w:pPr>
              <w:spacing w:after="40" w:before="40" w:line="276" w:lineRule="auto"/>
              <w:jc w:val="left"/>
            </w:pPr>
            <w:r>
              <w:rPr>
                <w:b/>
                <w:i w:val="0"/>
                <w:sz w:val="19"/>
              </w:rPr>
              <w:t>DOI</w:t>
            </w:r>
          </w:p>
        </w:tc>
        <w:tc>
          <w:tcPr>
            <w:tcW w:type="dxa" w:w="3213"/>
            <w:tcW w:w="6237" w:type="dxa"/>
            <w:vAlign w:val="top"/>
          </w:tcPr>
          <w:p>
            <w:pPr>
              <w:spacing w:after="40" w:before="40" w:line="276" w:lineRule="auto"/>
              <w:jc w:val="left"/>
            </w:pPr>
            <w:r>
              <w:rPr>
                <w:b w:val="0"/>
                <w:i w:val="0"/>
                <w:sz w:val="19"/>
              </w:rPr>
              <w:t>Digital Object Identifier</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EMT</w:t>
            </w:r>
          </w:p>
        </w:tc>
        <w:tc>
          <w:tcPr>
            <w:tcW w:type="dxa" w:w="3213"/>
            <w:tcW w:w="6237" w:type="dxa"/>
            <w:vAlign w:val="top"/>
          </w:tcPr>
          <w:p>
            <w:pPr>
              <w:spacing w:after="40" w:before="40" w:line="276" w:lineRule="auto"/>
              <w:jc w:val="left"/>
            </w:pPr>
            <w:r>
              <w:rPr>
                <w:b w:val="0"/>
                <w:i w:val="0"/>
                <w:sz w:val="19"/>
              </w:rPr>
              <w:t>Electromagnetic Transients</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EPRI</w:t>
            </w:r>
          </w:p>
        </w:tc>
        <w:tc>
          <w:tcPr>
            <w:tcW w:type="dxa" w:w="3213"/>
            <w:tcW w:w="6237" w:type="dxa"/>
            <w:vAlign w:val="top"/>
          </w:tcPr>
          <w:p>
            <w:pPr>
              <w:spacing w:after="40" w:before="40" w:line="276" w:lineRule="auto"/>
              <w:jc w:val="left"/>
            </w:pPr>
            <w:r>
              <w:rPr>
                <w:b w:val="0"/>
                <w:i w:val="0"/>
                <w:sz w:val="19"/>
              </w:rPr>
              <w:t>Electric Power Research Institute</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ERCOT</w:t>
            </w:r>
          </w:p>
        </w:tc>
        <w:tc>
          <w:tcPr>
            <w:tcW w:type="dxa" w:w="3213"/>
            <w:tcW w:w="6237" w:type="dxa"/>
            <w:vAlign w:val="top"/>
          </w:tcPr>
          <w:p>
            <w:pPr>
              <w:spacing w:after="40" w:before="40" w:line="276" w:lineRule="auto"/>
              <w:jc w:val="left"/>
            </w:pPr>
            <w:r>
              <w:rPr>
                <w:b w:val="0"/>
                <w:i w:val="0"/>
                <w:sz w:val="19"/>
              </w:rPr>
              <w:t>Electric Reliability Council of Texas</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FERC</w:t>
            </w:r>
          </w:p>
        </w:tc>
        <w:tc>
          <w:tcPr>
            <w:tcW w:type="dxa" w:w="3213"/>
            <w:tcW w:w="6237" w:type="dxa"/>
            <w:vAlign w:val="top"/>
          </w:tcPr>
          <w:p>
            <w:pPr>
              <w:spacing w:after="40" w:before="40" w:line="276" w:lineRule="auto"/>
              <w:jc w:val="left"/>
            </w:pPr>
            <w:r>
              <w:rPr>
                <w:b w:val="0"/>
                <w:i w:val="0"/>
                <w:sz w:val="19"/>
              </w:rPr>
              <w:t>Federal Energy Regulatory Commission</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GHG</w:t>
            </w:r>
          </w:p>
        </w:tc>
        <w:tc>
          <w:tcPr>
            <w:tcW w:type="dxa" w:w="3213"/>
            <w:tcW w:w="6237" w:type="dxa"/>
            <w:vAlign w:val="top"/>
          </w:tcPr>
          <w:p>
            <w:pPr>
              <w:spacing w:after="40" w:before="40" w:line="276" w:lineRule="auto"/>
              <w:jc w:val="left"/>
            </w:pPr>
            <w:r>
              <w:rPr>
                <w:b w:val="0"/>
                <w:i w:val="0"/>
                <w:sz w:val="19"/>
              </w:rPr>
              <w:t>Greenhouse Gas</w:t>
            </w:r>
          </w:p>
        </w:tc>
        <w:tc>
          <w:tcPr>
            <w:tcW w:type="dxa" w:w="3213"/>
            <w:tcW w:w="1984" w:type="dxa"/>
            <w:vAlign w:val="top"/>
          </w:tcPr>
          <w:p>
            <w:pPr>
              <w:spacing w:after="40" w:before="40" w:line="276" w:lineRule="auto"/>
              <w:jc w:val="left"/>
            </w:pPr>
            <w:r>
              <w:rPr>
                <w:b w:val="0"/>
                <w:i w:val="0"/>
                <w:sz w:val="19"/>
              </w:rPr>
              <w:t>t CO2e</w:t>
            </w:r>
          </w:p>
        </w:tc>
      </w:tr>
      <w:tr>
        <w:trPr>
          <w:cantSplit w:val="false"/>
        </w:trPr>
        <w:tc>
          <w:tcPr>
            <w:tcW w:type="dxa" w:w="3213"/>
            <w:tcW w:w="1417" w:type="dxa"/>
            <w:vAlign w:val="top"/>
          </w:tcPr>
          <w:p>
            <w:pPr>
              <w:spacing w:after="40" w:before="40" w:line="276" w:lineRule="auto"/>
              <w:jc w:val="left"/>
            </w:pPr>
            <w:r>
              <w:rPr>
                <w:b/>
                <w:i w:val="0"/>
                <w:sz w:val="19"/>
              </w:rPr>
              <w:t>GW</w:t>
            </w:r>
          </w:p>
        </w:tc>
        <w:tc>
          <w:tcPr>
            <w:tcW w:type="dxa" w:w="3213"/>
            <w:tcW w:w="6237" w:type="dxa"/>
            <w:vAlign w:val="top"/>
          </w:tcPr>
          <w:p>
            <w:pPr>
              <w:spacing w:after="40" w:before="40" w:line="276" w:lineRule="auto"/>
              <w:jc w:val="left"/>
            </w:pPr>
            <w:r>
              <w:rPr>
                <w:b w:val="0"/>
                <w:i w:val="0"/>
                <w:sz w:val="19"/>
              </w:rPr>
              <w:t>Gigawatt</w:t>
            </w:r>
          </w:p>
        </w:tc>
        <w:tc>
          <w:tcPr>
            <w:tcW w:type="dxa" w:w="3213"/>
            <w:tcW w:w="1984" w:type="dxa"/>
            <w:vAlign w:val="top"/>
          </w:tcPr>
          <w:p>
            <w:pPr>
              <w:spacing w:after="40" w:before="40" w:line="276" w:lineRule="auto"/>
              <w:jc w:val="left"/>
            </w:pPr>
            <w:r>
              <w:rPr>
                <w:b w:val="0"/>
                <w:i w:val="0"/>
                <w:sz w:val="19"/>
              </w:rPr>
              <w:t>GW</w:t>
            </w:r>
          </w:p>
        </w:tc>
      </w:tr>
      <w:tr>
        <w:trPr>
          <w:cantSplit w:val="false"/>
        </w:trPr>
        <w:tc>
          <w:tcPr>
            <w:tcW w:type="dxa" w:w="3213"/>
            <w:tcW w:w="1417" w:type="dxa"/>
            <w:vAlign w:val="top"/>
          </w:tcPr>
          <w:p>
            <w:pPr>
              <w:spacing w:after="40" w:before="40" w:line="276" w:lineRule="auto"/>
              <w:jc w:val="left"/>
            </w:pPr>
            <w:r>
              <w:rPr>
                <w:b/>
                <w:i w:val="0"/>
                <w:sz w:val="19"/>
              </w:rPr>
              <w:t>H2</w:t>
            </w:r>
          </w:p>
        </w:tc>
        <w:tc>
          <w:tcPr>
            <w:tcW w:type="dxa" w:w="3213"/>
            <w:tcW w:w="6237" w:type="dxa"/>
            <w:vAlign w:val="top"/>
          </w:tcPr>
          <w:p>
            <w:pPr>
              <w:spacing w:after="40" w:before="40" w:line="276" w:lineRule="auto"/>
              <w:jc w:val="left"/>
            </w:pPr>
            <w:r>
              <w:rPr>
                <w:b w:val="0"/>
                <w:i w:val="0"/>
                <w:sz w:val="19"/>
              </w:rPr>
              <w:t>Hydrogen</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HJT</w:t>
            </w:r>
          </w:p>
        </w:tc>
        <w:tc>
          <w:tcPr>
            <w:tcW w:type="dxa" w:w="3213"/>
            <w:tcW w:w="6237" w:type="dxa"/>
            <w:vAlign w:val="top"/>
          </w:tcPr>
          <w:p>
            <w:pPr>
              <w:spacing w:after="40" w:before="40" w:line="276" w:lineRule="auto"/>
              <w:jc w:val="left"/>
            </w:pPr>
            <w:r>
              <w:rPr>
                <w:b w:val="0"/>
                <w:i w:val="0"/>
                <w:sz w:val="19"/>
              </w:rPr>
              <w:t>Heterojunction (solar cell technology)</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IBR</w:t>
            </w:r>
          </w:p>
        </w:tc>
        <w:tc>
          <w:tcPr>
            <w:tcW w:type="dxa" w:w="3213"/>
            <w:tcW w:w="6237" w:type="dxa"/>
            <w:vAlign w:val="top"/>
          </w:tcPr>
          <w:p>
            <w:pPr>
              <w:spacing w:after="40" w:before="40" w:line="276" w:lineRule="auto"/>
              <w:jc w:val="left"/>
            </w:pPr>
            <w:r>
              <w:rPr>
                <w:b w:val="0"/>
                <w:i w:val="0"/>
                <w:sz w:val="19"/>
              </w:rPr>
              <w:t>Inverter-Based Resource</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IEA</w:t>
            </w:r>
          </w:p>
        </w:tc>
        <w:tc>
          <w:tcPr>
            <w:tcW w:type="dxa" w:w="3213"/>
            <w:tcW w:w="6237" w:type="dxa"/>
            <w:vAlign w:val="top"/>
          </w:tcPr>
          <w:p>
            <w:pPr>
              <w:spacing w:after="40" w:before="40" w:line="276" w:lineRule="auto"/>
              <w:jc w:val="left"/>
            </w:pPr>
            <w:r>
              <w:rPr>
                <w:b w:val="0"/>
                <w:i w:val="0"/>
                <w:sz w:val="19"/>
              </w:rPr>
              <w:t>International Energy Agency</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IEEE</w:t>
            </w:r>
          </w:p>
        </w:tc>
        <w:tc>
          <w:tcPr>
            <w:tcW w:type="dxa" w:w="3213"/>
            <w:tcW w:w="6237" w:type="dxa"/>
            <w:vAlign w:val="top"/>
          </w:tcPr>
          <w:p>
            <w:pPr>
              <w:spacing w:after="40" w:before="40" w:line="276" w:lineRule="auto"/>
              <w:jc w:val="left"/>
            </w:pPr>
            <w:r>
              <w:rPr>
                <w:b w:val="0"/>
                <w:i w:val="0"/>
                <w:sz w:val="19"/>
              </w:rPr>
              <w:t>Institute of Electrical and Electronics Engineers</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IRENA</w:t>
            </w:r>
          </w:p>
        </w:tc>
        <w:tc>
          <w:tcPr>
            <w:tcW w:type="dxa" w:w="3213"/>
            <w:tcW w:w="6237" w:type="dxa"/>
            <w:vAlign w:val="top"/>
          </w:tcPr>
          <w:p>
            <w:pPr>
              <w:spacing w:after="40" w:before="40" w:line="276" w:lineRule="auto"/>
              <w:jc w:val="left"/>
            </w:pPr>
            <w:r>
              <w:rPr>
                <w:b w:val="0"/>
                <w:i w:val="0"/>
                <w:sz w:val="19"/>
              </w:rPr>
              <w:t>International Renewable Energy Agency</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IRR</w:t>
            </w:r>
          </w:p>
        </w:tc>
        <w:tc>
          <w:tcPr>
            <w:tcW w:type="dxa" w:w="3213"/>
            <w:tcW w:w="6237" w:type="dxa"/>
            <w:vAlign w:val="top"/>
          </w:tcPr>
          <w:p>
            <w:pPr>
              <w:spacing w:after="40" w:before="40" w:line="276" w:lineRule="auto"/>
              <w:jc w:val="left"/>
            </w:pPr>
            <w:r>
              <w:rPr>
                <w:b w:val="0"/>
                <w:i w:val="0"/>
                <w:sz w:val="19"/>
              </w:rPr>
              <w:t>Internal Rate of Return</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ITC</w:t>
            </w:r>
          </w:p>
        </w:tc>
        <w:tc>
          <w:tcPr>
            <w:tcW w:type="dxa" w:w="3213"/>
            <w:tcW w:w="6237" w:type="dxa"/>
            <w:vAlign w:val="top"/>
          </w:tcPr>
          <w:p>
            <w:pPr>
              <w:spacing w:after="40" w:before="40" w:line="276" w:lineRule="auto"/>
              <w:jc w:val="left"/>
            </w:pPr>
            <w:r>
              <w:rPr>
                <w:b w:val="0"/>
                <w:i w:val="0"/>
                <w:sz w:val="19"/>
              </w:rPr>
              <w:t>Investment Tax Credit</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LCOE</w:t>
            </w:r>
          </w:p>
        </w:tc>
        <w:tc>
          <w:tcPr>
            <w:tcW w:type="dxa" w:w="3213"/>
            <w:tcW w:w="6237" w:type="dxa"/>
            <w:vAlign w:val="top"/>
          </w:tcPr>
          <w:p>
            <w:pPr>
              <w:spacing w:after="40" w:before="40" w:line="276" w:lineRule="auto"/>
              <w:jc w:val="left"/>
            </w:pPr>
            <w:r>
              <w:rPr>
                <w:b w:val="0"/>
                <w:i w:val="0"/>
                <w:sz w:val="19"/>
              </w:rPr>
              <w:t>Levelized Cost of Energy</w:t>
            </w:r>
          </w:p>
        </w:tc>
        <w:tc>
          <w:tcPr>
            <w:tcW w:type="dxa" w:w="3213"/>
            <w:tcW w:w="1984" w:type="dxa"/>
            <w:vAlign w:val="top"/>
          </w:tcPr>
          <w:p>
            <w:pPr>
              <w:spacing w:after="40" w:before="40" w:line="276" w:lineRule="auto"/>
              <w:jc w:val="left"/>
            </w:pPr>
            <w:r>
              <w:rPr>
                <w:b w:val="0"/>
                <w:i w:val="0"/>
                <w:sz w:val="19"/>
              </w:rPr>
              <w:t>$/MWh</w:t>
            </w:r>
          </w:p>
        </w:tc>
      </w:tr>
      <w:tr>
        <w:trPr>
          <w:cantSplit w:val="false"/>
        </w:trPr>
        <w:tc>
          <w:tcPr>
            <w:tcW w:type="dxa" w:w="3213"/>
            <w:tcW w:w="1417" w:type="dxa"/>
            <w:vAlign w:val="top"/>
          </w:tcPr>
          <w:p>
            <w:pPr>
              <w:spacing w:after="40" w:before="40" w:line="276" w:lineRule="auto"/>
              <w:jc w:val="left"/>
            </w:pPr>
            <w:r>
              <w:rPr>
                <w:b/>
                <w:i w:val="0"/>
                <w:sz w:val="19"/>
              </w:rPr>
              <w:t>LDES</w:t>
            </w:r>
          </w:p>
        </w:tc>
        <w:tc>
          <w:tcPr>
            <w:tcW w:type="dxa" w:w="3213"/>
            <w:tcW w:w="6237" w:type="dxa"/>
            <w:vAlign w:val="top"/>
          </w:tcPr>
          <w:p>
            <w:pPr>
              <w:spacing w:after="40" w:before="40" w:line="276" w:lineRule="auto"/>
              <w:jc w:val="left"/>
            </w:pPr>
            <w:r>
              <w:rPr>
                <w:b w:val="0"/>
                <w:i w:val="0"/>
                <w:sz w:val="19"/>
              </w:rPr>
              <w:t>Long-Duration Energy Storage</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LFP</w:t>
            </w:r>
          </w:p>
        </w:tc>
        <w:tc>
          <w:tcPr>
            <w:tcW w:type="dxa" w:w="3213"/>
            <w:tcW w:w="6237" w:type="dxa"/>
            <w:vAlign w:val="top"/>
          </w:tcPr>
          <w:p>
            <w:pPr>
              <w:spacing w:after="40" w:before="40" w:line="276" w:lineRule="auto"/>
              <w:jc w:val="left"/>
            </w:pPr>
            <w:r>
              <w:rPr>
                <w:b w:val="0"/>
                <w:i w:val="0"/>
                <w:sz w:val="19"/>
              </w:rPr>
              <w:t>Lithium Iron Phosphate (battery chemistry)</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Li-ion</w:t>
            </w:r>
          </w:p>
        </w:tc>
        <w:tc>
          <w:tcPr>
            <w:tcW w:type="dxa" w:w="3213"/>
            <w:tcW w:w="6237" w:type="dxa"/>
            <w:vAlign w:val="top"/>
          </w:tcPr>
          <w:p>
            <w:pPr>
              <w:spacing w:after="40" w:before="40" w:line="276" w:lineRule="auto"/>
              <w:jc w:val="left"/>
            </w:pPr>
            <w:r>
              <w:rPr>
                <w:b w:val="0"/>
                <w:i w:val="0"/>
                <w:sz w:val="19"/>
              </w:rPr>
              <w:t>Lithium-ion</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LMP</w:t>
            </w:r>
          </w:p>
        </w:tc>
        <w:tc>
          <w:tcPr>
            <w:tcW w:type="dxa" w:w="3213"/>
            <w:tcW w:w="6237" w:type="dxa"/>
            <w:vAlign w:val="top"/>
          </w:tcPr>
          <w:p>
            <w:pPr>
              <w:spacing w:after="40" w:before="40" w:line="276" w:lineRule="auto"/>
              <w:jc w:val="left"/>
            </w:pPr>
            <w:r>
              <w:rPr>
                <w:b w:val="0"/>
                <w:i w:val="0"/>
                <w:sz w:val="19"/>
              </w:rPr>
              <w:t>Locational Marginal Price</w:t>
            </w:r>
          </w:p>
        </w:tc>
        <w:tc>
          <w:tcPr>
            <w:tcW w:type="dxa" w:w="3213"/>
            <w:tcW w:w="1984" w:type="dxa"/>
            <w:vAlign w:val="top"/>
          </w:tcPr>
          <w:p>
            <w:pPr>
              <w:spacing w:after="40" w:before="40" w:line="276" w:lineRule="auto"/>
              <w:jc w:val="left"/>
            </w:pPr>
            <w:r>
              <w:rPr>
                <w:b w:val="0"/>
                <w:i w:val="0"/>
                <w:sz w:val="19"/>
              </w:rPr>
              <w:t>$/MWh</w:t>
            </w:r>
          </w:p>
        </w:tc>
      </w:tr>
      <w:tr>
        <w:trPr>
          <w:cantSplit w:val="false"/>
        </w:trPr>
        <w:tc>
          <w:tcPr>
            <w:tcW w:type="dxa" w:w="3213"/>
            <w:tcW w:w="1417" w:type="dxa"/>
            <w:vAlign w:val="top"/>
          </w:tcPr>
          <w:p>
            <w:pPr>
              <w:spacing w:after="40" w:before="40" w:line="276" w:lineRule="auto"/>
              <w:jc w:val="left"/>
            </w:pPr>
            <w:r>
              <w:rPr>
                <w:b/>
                <w:i w:val="0"/>
                <w:sz w:val="19"/>
              </w:rPr>
              <w:t>LOLE</w:t>
            </w:r>
          </w:p>
        </w:tc>
        <w:tc>
          <w:tcPr>
            <w:tcW w:type="dxa" w:w="3213"/>
            <w:tcW w:w="6237" w:type="dxa"/>
            <w:vAlign w:val="top"/>
          </w:tcPr>
          <w:p>
            <w:pPr>
              <w:spacing w:after="40" w:before="40" w:line="276" w:lineRule="auto"/>
              <w:jc w:val="left"/>
            </w:pPr>
            <w:r>
              <w:rPr>
                <w:b w:val="0"/>
                <w:i w:val="0"/>
                <w:sz w:val="19"/>
              </w:rPr>
              <w:t>Loss of Load Expectation</w:t>
            </w:r>
          </w:p>
        </w:tc>
        <w:tc>
          <w:tcPr>
            <w:tcW w:type="dxa" w:w="3213"/>
            <w:tcW w:w="1984" w:type="dxa"/>
            <w:vAlign w:val="top"/>
          </w:tcPr>
          <w:p>
            <w:pPr>
              <w:spacing w:after="40" w:before="40" w:line="276" w:lineRule="auto"/>
              <w:jc w:val="left"/>
            </w:pPr>
            <w:r>
              <w:rPr>
                <w:b w:val="0"/>
                <w:i w:val="0"/>
                <w:sz w:val="19"/>
              </w:rPr>
              <w:t>h/yr</w:t>
            </w:r>
          </w:p>
        </w:tc>
      </w:tr>
      <w:tr>
        <w:trPr>
          <w:cantSplit w:val="false"/>
        </w:trPr>
        <w:tc>
          <w:tcPr>
            <w:tcW w:type="dxa" w:w="3213"/>
            <w:tcW w:w="1417" w:type="dxa"/>
            <w:vAlign w:val="top"/>
          </w:tcPr>
          <w:p>
            <w:pPr>
              <w:spacing w:after="40" w:before="40" w:line="276" w:lineRule="auto"/>
              <w:jc w:val="left"/>
            </w:pPr>
            <w:r>
              <w:rPr>
                <w:b/>
                <w:i w:val="0"/>
                <w:sz w:val="19"/>
              </w:rPr>
              <w:t>LOLP</w:t>
            </w:r>
          </w:p>
        </w:tc>
        <w:tc>
          <w:tcPr>
            <w:tcW w:type="dxa" w:w="3213"/>
            <w:tcW w:w="6237" w:type="dxa"/>
            <w:vAlign w:val="top"/>
          </w:tcPr>
          <w:p>
            <w:pPr>
              <w:spacing w:after="40" w:before="40" w:line="276" w:lineRule="auto"/>
              <w:jc w:val="left"/>
            </w:pPr>
            <w:r>
              <w:rPr>
                <w:b w:val="0"/>
                <w:i w:val="0"/>
                <w:sz w:val="19"/>
              </w:rPr>
              <w:t>Loss of Load Probability</w:t>
            </w:r>
          </w:p>
        </w:tc>
        <w:tc>
          <w:tcPr>
            <w:tcW w:type="dxa" w:w="3213"/>
            <w:tcW w:w="1984" w:type="dxa"/>
            <w:vAlign w:val="top"/>
          </w:tcPr>
          <w:p>
            <w:pPr>
              <w:spacing w:after="40" w:before="40" w:line="276" w:lineRule="auto"/>
              <w:jc w:val="left"/>
            </w:pPr>
            <w:r>
              <w:rPr>
                <w:b w:val="0"/>
                <w:i w:val="0"/>
                <w:sz w:val="19"/>
              </w:rPr>
              <w:t>dimensionless</w:t>
            </w:r>
          </w:p>
        </w:tc>
      </w:tr>
      <w:tr>
        <w:trPr>
          <w:cantSplit w:val="false"/>
        </w:trPr>
        <w:tc>
          <w:tcPr>
            <w:tcW w:type="dxa" w:w="3213"/>
            <w:tcW w:w="1417" w:type="dxa"/>
            <w:vAlign w:val="top"/>
          </w:tcPr>
          <w:p>
            <w:pPr>
              <w:spacing w:after="40" w:before="40" w:line="276" w:lineRule="auto"/>
              <w:jc w:val="left"/>
            </w:pPr>
            <w:r>
              <w:rPr>
                <w:b/>
                <w:i w:val="0"/>
                <w:sz w:val="19"/>
              </w:rPr>
              <w:t>MACRS</w:t>
            </w:r>
          </w:p>
        </w:tc>
        <w:tc>
          <w:tcPr>
            <w:tcW w:type="dxa" w:w="3213"/>
            <w:tcW w:w="6237" w:type="dxa"/>
            <w:vAlign w:val="top"/>
          </w:tcPr>
          <w:p>
            <w:pPr>
              <w:spacing w:after="40" w:before="40" w:line="276" w:lineRule="auto"/>
              <w:jc w:val="left"/>
            </w:pPr>
            <w:r>
              <w:rPr>
                <w:b w:val="0"/>
                <w:i w:val="0"/>
                <w:sz w:val="19"/>
              </w:rPr>
              <w:t>Modified Accelerated Cost Recovery System</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MILP</w:t>
            </w:r>
          </w:p>
        </w:tc>
        <w:tc>
          <w:tcPr>
            <w:tcW w:type="dxa" w:w="3213"/>
            <w:tcW w:w="6237" w:type="dxa"/>
            <w:vAlign w:val="top"/>
          </w:tcPr>
          <w:p>
            <w:pPr>
              <w:spacing w:after="40" w:before="40" w:line="276" w:lineRule="auto"/>
              <w:jc w:val="left"/>
            </w:pPr>
            <w:r>
              <w:rPr>
                <w:b w:val="0"/>
                <w:i w:val="0"/>
                <w:sz w:val="19"/>
              </w:rPr>
              <w:t>Mixed-Integer Linear Programming</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MPC</w:t>
            </w:r>
          </w:p>
        </w:tc>
        <w:tc>
          <w:tcPr>
            <w:tcW w:type="dxa" w:w="3213"/>
            <w:tcW w:w="6237" w:type="dxa"/>
            <w:vAlign w:val="top"/>
          </w:tcPr>
          <w:p>
            <w:pPr>
              <w:spacing w:after="40" w:before="40" w:line="276" w:lineRule="auto"/>
              <w:jc w:val="left"/>
            </w:pPr>
            <w:r>
              <w:rPr>
                <w:b w:val="0"/>
                <w:i w:val="0"/>
                <w:sz w:val="19"/>
              </w:rPr>
              <w:t>Model Predictive Control</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NCA</w:t>
            </w:r>
          </w:p>
        </w:tc>
        <w:tc>
          <w:tcPr>
            <w:tcW w:type="dxa" w:w="3213"/>
            <w:tcW w:w="6237" w:type="dxa"/>
            <w:vAlign w:val="top"/>
          </w:tcPr>
          <w:p>
            <w:pPr>
              <w:spacing w:after="40" w:before="40" w:line="276" w:lineRule="auto"/>
              <w:jc w:val="left"/>
            </w:pPr>
            <w:r>
              <w:rPr>
                <w:b w:val="0"/>
                <w:i w:val="0"/>
                <w:sz w:val="19"/>
              </w:rPr>
              <w:t>Nickel-Cobalt-Aluminum (battery chemistry)</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NERC</w:t>
            </w:r>
          </w:p>
        </w:tc>
        <w:tc>
          <w:tcPr>
            <w:tcW w:type="dxa" w:w="3213"/>
            <w:tcW w:w="6237" w:type="dxa"/>
            <w:vAlign w:val="top"/>
          </w:tcPr>
          <w:p>
            <w:pPr>
              <w:spacing w:after="40" w:before="40" w:line="276" w:lineRule="auto"/>
              <w:jc w:val="left"/>
            </w:pPr>
            <w:r>
              <w:rPr>
                <w:b w:val="0"/>
                <w:i w:val="0"/>
                <w:sz w:val="19"/>
              </w:rPr>
              <w:t>North American Electric Reliability Corporation</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NMC</w:t>
            </w:r>
          </w:p>
        </w:tc>
        <w:tc>
          <w:tcPr>
            <w:tcW w:type="dxa" w:w="3213"/>
            <w:tcW w:w="6237" w:type="dxa"/>
            <w:vAlign w:val="top"/>
          </w:tcPr>
          <w:p>
            <w:pPr>
              <w:spacing w:after="40" w:before="40" w:line="276" w:lineRule="auto"/>
              <w:jc w:val="left"/>
            </w:pPr>
            <w:r>
              <w:rPr>
                <w:b w:val="0"/>
                <w:i w:val="0"/>
                <w:sz w:val="19"/>
              </w:rPr>
              <w:t>Nickel-Manganese-Cobalt (battery chemistry)</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NPV</w:t>
            </w:r>
          </w:p>
        </w:tc>
        <w:tc>
          <w:tcPr>
            <w:tcW w:type="dxa" w:w="3213"/>
            <w:tcW w:w="6237" w:type="dxa"/>
            <w:vAlign w:val="top"/>
          </w:tcPr>
          <w:p>
            <w:pPr>
              <w:spacing w:after="40" w:before="40" w:line="276" w:lineRule="auto"/>
              <w:jc w:val="left"/>
            </w:pPr>
            <w:r>
              <w:rPr>
                <w:b w:val="0"/>
                <w:i w:val="0"/>
                <w:sz w:val="19"/>
              </w:rPr>
              <w:t>Net Present Value</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NREL</w:t>
            </w:r>
          </w:p>
        </w:tc>
        <w:tc>
          <w:tcPr>
            <w:tcW w:type="dxa" w:w="3213"/>
            <w:tcW w:w="6237" w:type="dxa"/>
            <w:vAlign w:val="top"/>
          </w:tcPr>
          <w:p>
            <w:pPr>
              <w:spacing w:after="40" w:before="40" w:line="276" w:lineRule="auto"/>
              <w:jc w:val="left"/>
            </w:pPr>
            <w:r>
              <w:rPr>
                <w:b w:val="0"/>
                <w:i w:val="0"/>
                <w:sz w:val="19"/>
              </w:rPr>
              <w:t>National Renewable Energy Laboratory</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O&amp;M</w:t>
            </w:r>
          </w:p>
        </w:tc>
        <w:tc>
          <w:tcPr>
            <w:tcW w:type="dxa" w:w="3213"/>
            <w:tcW w:w="6237" w:type="dxa"/>
            <w:vAlign w:val="top"/>
          </w:tcPr>
          <w:p>
            <w:pPr>
              <w:spacing w:after="40" w:before="40" w:line="276" w:lineRule="auto"/>
              <w:jc w:val="left"/>
            </w:pPr>
            <w:r>
              <w:rPr>
                <w:b w:val="0"/>
                <w:i w:val="0"/>
                <w:sz w:val="19"/>
              </w:rPr>
              <w:t>Operations and Maintenance</w:t>
            </w:r>
          </w:p>
        </w:tc>
        <w:tc>
          <w:tcPr>
            <w:tcW w:type="dxa" w:w="3213"/>
            <w:tcW w:w="1984" w:type="dxa"/>
            <w:vAlign w:val="top"/>
          </w:tcPr>
          <w:p>
            <w:pPr>
              <w:spacing w:after="40" w:before="40" w:line="276" w:lineRule="auto"/>
              <w:jc w:val="left"/>
            </w:pPr>
            <w:r>
              <w:rPr>
                <w:b w:val="0"/>
                <w:i w:val="0"/>
                <w:sz w:val="19"/>
              </w:rPr>
              <w:t>$/yr or % of CAPEX</w:t>
            </w:r>
          </w:p>
        </w:tc>
      </w:tr>
      <w:tr>
        <w:trPr>
          <w:cantSplit w:val="false"/>
        </w:trPr>
        <w:tc>
          <w:tcPr>
            <w:tcW w:type="dxa" w:w="3213"/>
            <w:tcW w:w="1417" w:type="dxa"/>
            <w:vAlign w:val="top"/>
          </w:tcPr>
          <w:p>
            <w:pPr>
              <w:spacing w:after="40" w:before="40" w:line="276" w:lineRule="auto"/>
              <w:jc w:val="left"/>
            </w:pPr>
            <w:r>
              <w:rPr>
                <w:b/>
                <w:i w:val="0"/>
                <w:sz w:val="19"/>
              </w:rPr>
              <w:t>OPEX</w:t>
            </w:r>
          </w:p>
        </w:tc>
        <w:tc>
          <w:tcPr>
            <w:tcW w:type="dxa" w:w="3213"/>
            <w:tcW w:w="6237" w:type="dxa"/>
            <w:vAlign w:val="top"/>
          </w:tcPr>
          <w:p>
            <w:pPr>
              <w:spacing w:after="40" w:before="40" w:line="276" w:lineRule="auto"/>
              <w:jc w:val="left"/>
            </w:pPr>
            <w:r>
              <w:rPr>
                <w:b w:val="0"/>
                <w:i w:val="0"/>
                <w:sz w:val="19"/>
              </w:rPr>
              <w:t>Operational Expenditure</w:t>
            </w:r>
          </w:p>
        </w:tc>
        <w:tc>
          <w:tcPr>
            <w:tcW w:type="dxa" w:w="3213"/>
            <w:tcW w:w="1984" w:type="dxa"/>
            <w:vAlign w:val="top"/>
          </w:tcPr>
          <w:p>
            <w:pPr>
              <w:spacing w:after="40" w:before="40" w:line="276" w:lineRule="auto"/>
              <w:jc w:val="left"/>
            </w:pPr>
            <w:r>
              <w:rPr>
                <w:b w:val="0"/>
                <w:i w:val="0"/>
                <w:sz w:val="19"/>
              </w:rPr>
              <w:t>$/yr</w:t>
            </w:r>
          </w:p>
        </w:tc>
      </w:tr>
      <w:tr>
        <w:trPr>
          <w:cantSplit w:val="false"/>
        </w:trPr>
        <w:tc>
          <w:tcPr>
            <w:tcW w:type="dxa" w:w="3213"/>
            <w:tcW w:w="1417" w:type="dxa"/>
            <w:vAlign w:val="top"/>
          </w:tcPr>
          <w:p>
            <w:pPr>
              <w:spacing w:after="40" w:before="40" w:line="276" w:lineRule="auto"/>
              <w:jc w:val="left"/>
            </w:pPr>
            <w:r>
              <w:rPr>
                <w:b/>
                <w:i w:val="0"/>
                <w:sz w:val="19"/>
              </w:rPr>
              <w:t>PFR</w:t>
            </w:r>
          </w:p>
        </w:tc>
        <w:tc>
          <w:tcPr>
            <w:tcW w:type="dxa" w:w="3213"/>
            <w:tcW w:w="6237" w:type="dxa"/>
            <w:vAlign w:val="top"/>
          </w:tcPr>
          <w:p>
            <w:pPr>
              <w:spacing w:after="40" w:before="40" w:line="276" w:lineRule="auto"/>
              <w:jc w:val="left"/>
            </w:pPr>
            <w:r>
              <w:rPr>
                <w:b w:val="0"/>
                <w:i w:val="0"/>
                <w:sz w:val="19"/>
              </w:rPr>
              <w:t>Primary Frequency Response</w:t>
            </w:r>
          </w:p>
        </w:tc>
        <w:tc>
          <w:tcPr>
            <w:tcW w:type="dxa" w:w="3213"/>
            <w:tcW w:w="1984" w:type="dxa"/>
            <w:vAlign w:val="top"/>
          </w:tcPr>
          <w:p>
            <w:pPr>
              <w:spacing w:after="40" w:before="40" w:line="276" w:lineRule="auto"/>
              <w:jc w:val="left"/>
            </w:pPr>
            <w:r>
              <w:rPr>
                <w:b w:val="0"/>
                <w:i w:val="0"/>
                <w:sz w:val="19"/>
              </w:rPr>
              <w:t>MW or % of capacity</w:t>
            </w:r>
          </w:p>
        </w:tc>
      </w:tr>
      <w:tr>
        <w:trPr>
          <w:cantSplit w:val="false"/>
        </w:trPr>
        <w:tc>
          <w:tcPr>
            <w:tcW w:type="dxa" w:w="3213"/>
            <w:tcW w:w="1417" w:type="dxa"/>
            <w:vAlign w:val="top"/>
          </w:tcPr>
          <w:p>
            <w:pPr>
              <w:spacing w:after="40" w:before="40" w:line="276" w:lineRule="auto"/>
              <w:jc w:val="left"/>
            </w:pPr>
            <w:r>
              <w:rPr>
                <w:b/>
                <w:i w:val="0"/>
                <w:sz w:val="19"/>
              </w:rPr>
              <w:t>PJM</w:t>
            </w:r>
          </w:p>
        </w:tc>
        <w:tc>
          <w:tcPr>
            <w:tcW w:type="dxa" w:w="3213"/>
            <w:tcW w:w="6237" w:type="dxa"/>
            <w:vAlign w:val="top"/>
          </w:tcPr>
          <w:p>
            <w:pPr>
              <w:spacing w:after="40" w:before="40" w:line="276" w:lineRule="auto"/>
              <w:jc w:val="left"/>
            </w:pPr>
            <w:r>
              <w:rPr>
                <w:b w:val="0"/>
                <w:i w:val="0"/>
                <w:sz w:val="19"/>
              </w:rPr>
              <w:t>Pennsylvania-New Jersey-Maryland Interconnection</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PPA</w:t>
            </w:r>
          </w:p>
        </w:tc>
        <w:tc>
          <w:tcPr>
            <w:tcW w:type="dxa" w:w="3213"/>
            <w:tcW w:w="6237" w:type="dxa"/>
            <w:vAlign w:val="top"/>
          </w:tcPr>
          <w:p>
            <w:pPr>
              <w:spacing w:after="40" w:before="40" w:line="276" w:lineRule="auto"/>
              <w:jc w:val="left"/>
            </w:pPr>
            <w:r>
              <w:rPr>
                <w:b w:val="0"/>
                <w:i w:val="0"/>
                <w:sz w:val="19"/>
              </w:rPr>
              <w:t>Power Purchase Agreement</w:t>
            </w:r>
          </w:p>
        </w:tc>
        <w:tc>
          <w:tcPr>
            <w:tcW w:type="dxa" w:w="3213"/>
            <w:tcW w:w="1984" w:type="dxa"/>
            <w:vAlign w:val="top"/>
          </w:tcPr>
          <w:p>
            <w:pPr>
              <w:spacing w:after="40" w:before="40" w:line="276" w:lineRule="auto"/>
              <w:jc w:val="left"/>
            </w:pPr>
            <w:r>
              <w:rPr>
                <w:b w:val="0"/>
                <w:i w:val="0"/>
                <w:sz w:val="19"/>
              </w:rPr>
              <w:t>$/MWh</w:t>
            </w:r>
          </w:p>
        </w:tc>
      </w:tr>
      <w:tr>
        <w:trPr>
          <w:cantSplit w:val="false"/>
        </w:trPr>
        <w:tc>
          <w:tcPr>
            <w:tcW w:type="dxa" w:w="3213"/>
            <w:tcW w:w="1417" w:type="dxa"/>
            <w:vAlign w:val="top"/>
          </w:tcPr>
          <w:p>
            <w:pPr>
              <w:spacing w:after="40" w:before="40" w:line="276" w:lineRule="auto"/>
              <w:jc w:val="left"/>
            </w:pPr>
            <w:r>
              <w:rPr>
                <w:b/>
                <w:i w:val="0"/>
                <w:sz w:val="19"/>
              </w:rPr>
              <w:t>PTC</w:t>
            </w:r>
          </w:p>
        </w:tc>
        <w:tc>
          <w:tcPr>
            <w:tcW w:type="dxa" w:w="3213"/>
            <w:tcW w:w="6237" w:type="dxa"/>
            <w:vAlign w:val="top"/>
          </w:tcPr>
          <w:p>
            <w:pPr>
              <w:spacing w:after="40" w:before="40" w:line="276" w:lineRule="auto"/>
              <w:jc w:val="left"/>
            </w:pPr>
            <w:r>
              <w:rPr>
                <w:b w:val="0"/>
                <w:i w:val="0"/>
                <w:sz w:val="19"/>
              </w:rPr>
              <w:t>Production Tax Credit</w:t>
            </w:r>
          </w:p>
        </w:tc>
        <w:tc>
          <w:tcPr>
            <w:tcW w:type="dxa" w:w="3213"/>
            <w:tcW w:w="1984" w:type="dxa"/>
            <w:vAlign w:val="top"/>
          </w:tcPr>
          <w:p>
            <w:pPr>
              <w:spacing w:after="40" w:before="40" w:line="276" w:lineRule="auto"/>
              <w:jc w:val="left"/>
            </w:pPr>
            <w:r>
              <w:rPr>
                <w:b w:val="0"/>
                <w:i w:val="0"/>
                <w:sz w:val="19"/>
              </w:rPr>
              <w:t>$/MWh or %</w:t>
            </w:r>
          </w:p>
        </w:tc>
      </w:tr>
      <w:tr>
        <w:trPr>
          <w:cantSplit w:val="false"/>
        </w:trPr>
        <w:tc>
          <w:tcPr>
            <w:tcW w:type="dxa" w:w="3213"/>
            <w:tcW w:w="1417" w:type="dxa"/>
            <w:vAlign w:val="top"/>
          </w:tcPr>
          <w:p>
            <w:pPr>
              <w:spacing w:after="40" w:before="40" w:line="276" w:lineRule="auto"/>
              <w:jc w:val="left"/>
            </w:pPr>
            <w:r>
              <w:rPr>
                <w:b/>
                <w:i w:val="0"/>
                <w:sz w:val="19"/>
              </w:rPr>
              <w:t>PUE</w:t>
            </w:r>
          </w:p>
        </w:tc>
        <w:tc>
          <w:tcPr>
            <w:tcW w:type="dxa" w:w="3213"/>
            <w:tcW w:w="6237" w:type="dxa"/>
            <w:vAlign w:val="top"/>
          </w:tcPr>
          <w:p>
            <w:pPr>
              <w:spacing w:after="40" w:before="40" w:line="276" w:lineRule="auto"/>
              <w:jc w:val="left"/>
            </w:pPr>
            <w:r>
              <w:rPr>
                <w:b w:val="0"/>
                <w:i w:val="0"/>
                <w:sz w:val="19"/>
              </w:rPr>
              <w:t>Power Usage Effectiveness</w:t>
            </w:r>
          </w:p>
        </w:tc>
        <w:tc>
          <w:tcPr>
            <w:tcW w:type="dxa" w:w="3213"/>
            <w:tcW w:w="1984" w:type="dxa"/>
            <w:vAlign w:val="top"/>
          </w:tcPr>
          <w:p>
            <w:pPr>
              <w:spacing w:after="40" w:before="40" w:line="276" w:lineRule="auto"/>
              <w:jc w:val="left"/>
            </w:pPr>
            <w:r>
              <w:rPr>
                <w:b w:val="0"/>
                <w:i w:val="0"/>
                <w:sz w:val="19"/>
              </w:rPr>
              <w:t>dimensionless (ratio)</w:t>
            </w:r>
          </w:p>
        </w:tc>
      </w:tr>
      <w:tr>
        <w:trPr>
          <w:cantSplit w:val="false"/>
        </w:trPr>
        <w:tc>
          <w:tcPr>
            <w:tcW w:type="dxa" w:w="3213"/>
            <w:tcW w:w="1417" w:type="dxa"/>
            <w:vAlign w:val="top"/>
          </w:tcPr>
          <w:p>
            <w:pPr>
              <w:spacing w:after="40" w:before="40" w:line="276" w:lineRule="auto"/>
              <w:jc w:val="left"/>
            </w:pPr>
            <w:r>
              <w:rPr>
                <w:b/>
                <w:i w:val="0"/>
                <w:sz w:val="19"/>
              </w:rPr>
              <w:t>PV</w:t>
            </w:r>
          </w:p>
        </w:tc>
        <w:tc>
          <w:tcPr>
            <w:tcW w:type="dxa" w:w="3213"/>
            <w:tcW w:w="6237" w:type="dxa"/>
            <w:vAlign w:val="top"/>
          </w:tcPr>
          <w:p>
            <w:pPr>
              <w:spacing w:after="40" w:before="40" w:line="276" w:lineRule="auto"/>
              <w:jc w:val="left"/>
            </w:pPr>
            <w:r>
              <w:rPr>
                <w:b w:val="0"/>
                <w:i w:val="0"/>
                <w:sz w:val="19"/>
              </w:rPr>
              <w:t>Photovoltaic</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PV-Tech</w:t>
            </w:r>
          </w:p>
        </w:tc>
        <w:tc>
          <w:tcPr>
            <w:tcW w:type="dxa" w:w="3213"/>
            <w:tcW w:w="6237" w:type="dxa"/>
            <w:vAlign w:val="top"/>
          </w:tcPr>
          <w:p>
            <w:pPr>
              <w:spacing w:after="40" w:before="40" w:line="276" w:lineRule="auto"/>
              <w:jc w:val="left"/>
            </w:pPr>
            <w:r>
              <w:rPr>
                <w:b w:val="0"/>
                <w:i w:val="0"/>
                <w:sz w:val="19"/>
              </w:rPr>
              <w:t>Photovoltaic Technology (publication)</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RoCoF</w:t>
            </w:r>
          </w:p>
        </w:tc>
        <w:tc>
          <w:tcPr>
            <w:tcW w:type="dxa" w:w="3213"/>
            <w:tcW w:w="6237" w:type="dxa"/>
            <w:vAlign w:val="top"/>
          </w:tcPr>
          <w:p>
            <w:pPr>
              <w:spacing w:after="40" w:before="40" w:line="276" w:lineRule="auto"/>
              <w:jc w:val="left"/>
            </w:pPr>
            <w:r>
              <w:rPr>
                <w:b w:val="0"/>
                <w:i w:val="0"/>
                <w:sz w:val="19"/>
              </w:rPr>
              <w:t>Rate of Change of Frequency</w:t>
            </w:r>
          </w:p>
        </w:tc>
        <w:tc>
          <w:tcPr>
            <w:tcW w:type="dxa" w:w="3213"/>
            <w:tcW w:w="1984" w:type="dxa"/>
            <w:vAlign w:val="top"/>
          </w:tcPr>
          <w:p>
            <w:pPr>
              <w:spacing w:after="40" w:before="40" w:line="276" w:lineRule="auto"/>
              <w:jc w:val="left"/>
            </w:pPr>
            <w:r>
              <w:rPr>
                <w:b w:val="0"/>
                <w:i w:val="0"/>
                <w:sz w:val="19"/>
              </w:rPr>
              <w:t>Hz/s</w:t>
            </w:r>
          </w:p>
        </w:tc>
      </w:tr>
      <w:tr>
        <w:trPr>
          <w:cantSplit w:val="false"/>
        </w:trPr>
        <w:tc>
          <w:tcPr>
            <w:tcW w:type="dxa" w:w="3213"/>
            <w:tcW w:w="1417" w:type="dxa"/>
            <w:vAlign w:val="top"/>
          </w:tcPr>
          <w:p>
            <w:pPr>
              <w:spacing w:after="40" w:before="40" w:line="276" w:lineRule="auto"/>
              <w:jc w:val="left"/>
            </w:pPr>
            <w:r>
              <w:rPr>
                <w:b/>
                <w:i w:val="0"/>
                <w:sz w:val="19"/>
              </w:rPr>
              <w:t>SCR</w:t>
            </w:r>
          </w:p>
        </w:tc>
        <w:tc>
          <w:tcPr>
            <w:tcW w:type="dxa" w:w="3213"/>
            <w:tcW w:w="6237" w:type="dxa"/>
            <w:vAlign w:val="top"/>
          </w:tcPr>
          <w:p>
            <w:pPr>
              <w:spacing w:after="40" w:before="40" w:line="276" w:lineRule="auto"/>
              <w:jc w:val="left"/>
            </w:pPr>
            <w:r>
              <w:rPr>
                <w:b w:val="0"/>
                <w:i w:val="0"/>
                <w:sz w:val="19"/>
              </w:rPr>
              <w:t>Short-Circuit Ratio</w:t>
            </w:r>
          </w:p>
        </w:tc>
        <w:tc>
          <w:tcPr>
            <w:tcW w:type="dxa" w:w="3213"/>
            <w:tcW w:w="1984" w:type="dxa"/>
            <w:vAlign w:val="top"/>
          </w:tcPr>
          <w:p>
            <w:pPr>
              <w:spacing w:after="40" w:before="40" w:line="276" w:lineRule="auto"/>
              <w:jc w:val="left"/>
            </w:pPr>
            <w:r>
              <w:rPr>
                <w:b w:val="0"/>
                <w:i w:val="0"/>
                <w:sz w:val="19"/>
              </w:rPr>
              <w:t>dimensionless</w:t>
            </w:r>
          </w:p>
        </w:tc>
      </w:tr>
      <w:tr>
        <w:trPr>
          <w:cantSplit w:val="false"/>
        </w:trPr>
        <w:tc>
          <w:tcPr>
            <w:tcW w:type="dxa" w:w="3213"/>
            <w:tcW w:w="1417" w:type="dxa"/>
            <w:vAlign w:val="top"/>
          </w:tcPr>
          <w:p>
            <w:pPr>
              <w:spacing w:after="40" w:before="40" w:line="276" w:lineRule="auto"/>
              <w:jc w:val="left"/>
            </w:pPr>
            <w:r>
              <w:rPr>
                <w:b/>
                <w:i w:val="0"/>
                <w:sz w:val="19"/>
              </w:rPr>
              <w:t>SLA</w:t>
            </w:r>
          </w:p>
        </w:tc>
        <w:tc>
          <w:tcPr>
            <w:tcW w:type="dxa" w:w="3213"/>
            <w:tcW w:w="6237" w:type="dxa"/>
            <w:vAlign w:val="top"/>
          </w:tcPr>
          <w:p>
            <w:pPr>
              <w:spacing w:after="40" w:before="40" w:line="276" w:lineRule="auto"/>
              <w:jc w:val="left"/>
            </w:pPr>
            <w:r>
              <w:rPr>
                <w:b w:val="0"/>
                <w:i w:val="0"/>
                <w:sz w:val="19"/>
              </w:rPr>
              <w:t>Service-Level Agreement</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SMPS</w:t>
            </w:r>
          </w:p>
        </w:tc>
        <w:tc>
          <w:tcPr>
            <w:tcW w:type="dxa" w:w="3213"/>
            <w:tcW w:w="6237" w:type="dxa"/>
            <w:vAlign w:val="top"/>
          </w:tcPr>
          <w:p>
            <w:pPr>
              <w:spacing w:after="40" w:before="40" w:line="276" w:lineRule="auto"/>
              <w:jc w:val="left"/>
            </w:pPr>
            <w:r>
              <w:rPr>
                <w:b w:val="0"/>
                <w:i w:val="0"/>
                <w:sz w:val="19"/>
              </w:rPr>
              <w:t>Switched-Mode Power Supply</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THD</w:t>
            </w:r>
          </w:p>
        </w:tc>
        <w:tc>
          <w:tcPr>
            <w:tcW w:type="dxa" w:w="3213"/>
            <w:tcW w:w="6237" w:type="dxa"/>
            <w:vAlign w:val="top"/>
          </w:tcPr>
          <w:p>
            <w:pPr>
              <w:spacing w:after="40" w:before="40" w:line="276" w:lineRule="auto"/>
              <w:jc w:val="left"/>
            </w:pPr>
            <w:r>
              <w:rPr>
                <w:b w:val="0"/>
                <w:i w:val="0"/>
                <w:sz w:val="19"/>
              </w:rPr>
              <w:t>Total Harmonic Distortion</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TOPCon</w:t>
            </w:r>
          </w:p>
        </w:tc>
        <w:tc>
          <w:tcPr>
            <w:tcW w:type="dxa" w:w="3213"/>
            <w:tcW w:w="6237" w:type="dxa"/>
            <w:vAlign w:val="top"/>
          </w:tcPr>
          <w:p>
            <w:pPr>
              <w:spacing w:after="40" w:before="40" w:line="276" w:lineRule="auto"/>
              <w:jc w:val="left"/>
            </w:pPr>
            <w:r>
              <w:rPr>
                <w:b w:val="0"/>
                <w:i w:val="0"/>
                <w:sz w:val="19"/>
              </w:rPr>
              <w:t>Tunnel Oxide Passivated Contact (solar cell technology)</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TRE</w:t>
            </w:r>
          </w:p>
        </w:tc>
        <w:tc>
          <w:tcPr>
            <w:tcW w:type="dxa" w:w="3213"/>
            <w:tcW w:w="6237" w:type="dxa"/>
            <w:vAlign w:val="top"/>
          </w:tcPr>
          <w:p>
            <w:pPr>
              <w:spacing w:after="40" w:before="40" w:line="276" w:lineRule="auto"/>
              <w:jc w:val="left"/>
            </w:pPr>
            <w:r>
              <w:rPr>
                <w:b w:val="0"/>
                <w:i w:val="0"/>
                <w:sz w:val="19"/>
              </w:rPr>
              <w:t>Texas Reliability Entity</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TWh</w:t>
            </w:r>
          </w:p>
        </w:tc>
        <w:tc>
          <w:tcPr>
            <w:tcW w:type="dxa" w:w="3213"/>
            <w:tcW w:w="6237" w:type="dxa"/>
            <w:vAlign w:val="top"/>
          </w:tcPr>
          <w:p>
            <w:pPr>
              <w:spacing w:after="40" w:before="40" w:line="276" w:lineRule="auto"/>
              <w:jc w:val="left"/>
            </w:pPr>
            <w:r>
              <w:rPr>
                <w:b w:val="0"/>
                <w:i w:val="0"/>
                <w:sz w:val="19"/>
              </w:rPr>
              <w:t>Terawatt-hour</w:t>
            </w:r>
          </w:p>
        </w:tc>
        <w:tc>
          <w:tcPr>
            <w:tcW w:type="dxa" w:w="3213"/>
            <w:tcW w:w="1984" w:type="dxa"/>
            <w:vAlign w:val="top"/>
          </w:tcPr>
          <w:p>
            <w:pPr>
              <w:spacing w:after="40" w:before="40" w:line="276" w:lineRule="auto"/>
              <w:jc w:val="left"/>
            </w:pPr>
            <w:r>
              <w:rPr>
                <w:b w:val="0"/>
                <w:i w:val="0"/>
                <w:sz w:val="19"/>
              </w:rPr>
              <w:t>TWh</w:t>
            </w:r>
          </w:p>
        </w:tc>
      </w:tr>
      <w:tr>
        <w:trPr>
          <w:cantSplit w:val="false"/>
        </w:trPr>
        <w:tc>
          <w:tcPr>
            <w:tcW w:type="dxa" w:w="3213"/>
            <w:tcW w:w="1417" w:type="dxa"/>
            <w:vAlign w:val="top"/>
          </w:tcPr>
          <w:p>
            <w:pPr>
              <w:spacing w:after="40" w:before="40" w:line="276" w:lineRule="auto"/>
              <w:jc w:val="left"/>
            </w:pPr>
            <w:r>
              <w:rPr>
                <w:b/>
                <w:i w:val="0"/>
                <w:sz w:val="19"/>
              </w:rPr>
              <w:t>UPS</w:t>
            </w:r>
          </w:p>
        </w:tc>
        <w:tc>
          <w:tcPr>
            <w:tcW w:type="dxa" w:w="3213"/>
            <w:tcW w:w="6237" w:type="dxa"/>
            <w:vAlign w:val="top"/>
          </w:tcPr>
          <w:p>
            <w:pPr>
              <w:spacing w:after="40" w:before="40" w:line="276" w:lineRule="auto"/>
              <w:jc w:val="left"/>
            </w:pPr>
            <w:r>
              <w:rPr>
                <w:b w:val="0"/>
                <w:i w:val="0"/>
                <w:sz w:val="19"/>
              </w:rPr>
              <w:t>Uninterruptible Power Supply</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VRFB</w:t>
            </w:r>
          </w:p>
        </w:tc>
        <w:tc>
          <w:tcPr>
            <w:tcW w:type="dxa" w:w="3213"/>
            <w:tcW w:w="6237" w:type="dxa"/>
            <w:vAlign w:val="top"/>
          </w:tcPr>
          <w:p>
            <w:pPr>
              <w:spacing w:after="40" w:before="40" w:line="276" w:lineRule="auto"/>
              <w:jc w:val="left"/>
            </w:pPr>
            <w:r>
              <w:rPr>
                <w:b w:val="0"/>
                <w:i w:val="0"/>
                <w:sz w:val="19"/>
              </w:rPr>
              <w:t>Vanadium Redox Flow Battery</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VFD</w:t>
            </w:r>
          </w:p>
        </w:tc>
        <w:tc>
          <w:tcPr>
            <w:tcW w:type="dxa" w:w="3213"/>
            <w:tcW w:w="6237" w:type="dxa"/>
            <w:vAlign w:val="top"/>
          </w:tcPr>
          <w:p>
            <w:pPr>
              <w:spacing w:after="40" w:before="40" w:line="276" w:lineRule="auto"/>
              <w:jc w:val="left"/>
            </w:pPr>
            <w:r>
              <w:rPr>
                <w:b w:val="0"/>
                <w:i w:val="0"/>
                <w:sz w:val="19"/>
              </w:rPr>
              <w:t>Variable Frequency Drive</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WACC</w:t>
            </w:r>
          </w:p>
        </w:tc>
        <w:tc>
          <w:tcPr>
            <w:tcW w:type="dxa" w:w="3213"/>
            <w:tcW w:w="6237" w:type="dxa"/>
            <w:vAlign w:val="top"/>
          </w:tcPr>
          <w:p>
            <w:pPr>
              <w:spacing w:after="40" w:before="40" w:line="276" w:lineRule="auto"/>
              <w:jc w:val="left"/>
            </w:pPr>
            <w:r>
              <w:rPr>
                <w:b w:val="0"/>
                <w:i w:val="0"/>
                <w:sz w:val="19"/>
              </w:rPr>
              <w:t>Weighted Average Cost of Capital</w:t>
            </w:r>
          </w:p>
        </w:tc>
        <w:tc>
          <w:tcPr>
            <w:tcW w:type="dxa" w:w="3213"/>
            <w:tcW w:w="1984" w:type="dxa"/>
            <w:vAlign w:val="top"/>
          </w:tcPr>
          <w:p>
            <w:pPr>
              <w:spacing w:after="40" w:before="40" w:line="276" w:lineRule="auto"/>
              <w:jc w:val="left"/>
            </w:pPr>
            <w:r>
              <w:rPr>
                <w:b w:val="0"/>
                <w:i w:val="0"/>
                <w:sz w:val="19"/>
              </w:rPr>
              <w:t>%</w:t>
            </w:r>
          </w:p>
        </w:tc>
      </w:tr>
      <w:tr>
        <w:trPr>
          <w:cantSplit w:val="false"/>
        </w:trPr>
        <w:tc>
          <w:tcPr>
            <w:tcW w:type="dxa" w:w="3213"/>
            <w:tcW w:w="1417" w:type="dxa"/>
            <w:vAlign w:val="top"/>
          </w:tcPr>
          <w:p>
            <w:pPr>
              <w:spacing w:after="40" w:before="40" w:line="276" w:lineRule="auto"/>
              <w:jc w:val="left"/>
            </w:pPr>
            <w:r>
              <w:rPr>
                <w:b/>
                <w:i w:val="0"/>
                <w:sz w:val="19"/>
              </w:rPr>
              <w:t>WUE</w:t>
            </w:r>
          </w:p>
        </w:tc>
        <w:tc>
          <w:tcPr>
            <w:tcW w:type="dxa" w:w="3213"/>
            <w:tcW w:w="6237" w:type="dxa"/>
            <w:vAlign w:val="top"/>
          </w:tcPr>
          <w:p>
            <w:pPr>
              <w:spacing w:after="40" w:before="40" w:line="276" w:lineRule="auto"/>
              <w:jc w:val="left"/>
            </w:pPr>
            <w:r>
              <w:rPr>
                <w:b w:val="0"/>
                <w:i w:val="0"/>
                <w:sz w:val="19"/>
              </w:rPr>
              <w:t>Water Usage Effectiveness</w:t>
            </w:r>
          </w:p>
        </w:tc>
        <w:tc>
          <w:tcPr>
            <w:tcW w:type="dxa" w:w="3213"/>
            <w:tcW w:w="1984" w:type="dxa"/>
            <w:vAlign w:val="top"/>
          </w:tcPr>
          <w:p>
            <w:pPr>
              <w:spacing w:after="40" w:before="40" w:line="276" w:lineRule="auto"/>
              <w:jc w:val="left"/>
            </w:pPr>
            <w:r>
              <w:rPr>
                <w:b w:val="0"/>
                <w:i w:val="0"/>
                <w:sz w:val="19"/>
              </w:rPr>
              <w:t>L/kWh</w:t>
            </w:r>
          </w:p>
        </w:tc>
      </w:tr>
    </w:tbl>
    <w:p>
      <w:pPr>
        <w:keepNext w:val="0"/>
        <w:spacing w:line="360" w:lineRule="auto" w:after="80" w:before="0"/>
      </w:pPr>
      <w:r>
        <w:rPr>
          <w:b w:val="0"/>
          <w:i w:val="0"/>
          <w:sz w:val="8"/>
        </w:rPr>
      </w:r>
    </w:p>
    <w:p>
      <w:pPr>
        <w:keepNext/>
        <w:spacing w:line="360" w:lineRule="auto" w:after="120" w:before="240"/>
      </w:pPr>
      <w:r>
        <w:rPr>
          <w:b/>
          <w:i w:val="0"/>
          <w:sz w:val="28"/>
        </w:rPr>
        <w:t>3.3 CRediT Author Contribution Statement</w:t>
      </w:r>
    </w:p>
    <w:p>
      <w:pPr>
        <w:keepNext w:val="0"/>
        <w:spacing w:line="360" w:lineRule="auto" w:after="160" w:before="0"/>
        <w:jc w:val="both"/>
      </w:pPr>
      <w:r>
        <w:rPr>
          <w:b w:val="0"/>
          <w:i w:val="0"/>
          <w:sz w:val="22"/>
        </w:rPr>
        <w:t>A CRediT (Contributor Roles Taxonomy) author contribution statement was added to the front matter, immediately before the References. The CRediT taxonomy is the standardised, 14-role taxonomy maintained by the Consortium of European Research Libraries and adopted by Elsevier; it specifies which author performed which role in the conception, execution and reporting of the research. Adding a CRediT statement improves transparency, supports attribution in multi-author works, and is required by the target journal. The statement added in Round 2 assigns M. Kiasari the roles of Conceptualization, Methodology, Investigation, Writing – original draft, Writing – review and editing, and Visualization; H. Aly is assigned Conceptualization, Supervision, Writing – review and editing, Project administration, and Funding acquisition. The allocation reflects the actual division of work on the manuscript (the first author led the literature search, drafting and visualization; the second author supervised the work and reviewed the final draft).</w:t>
      </w:r>
    </w:p>
    <w:p>
      <w:pPr>
        <w:keepNext w:val="0"/>
        <w:spacing w:line="360" w:lineRule="auto" w:after="160" w:before="0"/>
        <w:jc w:val="left"/>
      </w:pPr>
      <w:r>
        <w:rPr>
          <w:b w:val="0"/>
          <w:i/>
          <w:sz w:val="20"/>
        </w:rPr>
        <w:t>Statement added: "M. Kiasari — Conceptualization, Methodology, Investigation, Writing – original draft, Writing – review &amp; editing, Visualization. H. Aly — Conceptualization, Supervision, Writing – review &amp; editing, Project administration, Funding acquisition."</w:t>
      </w:r>
    </w:p>
    <w:p>
      <w:pPr>
        <w:keepNext/>
        <w:spacing w:line="360" w:lineRule="auto" w:after="120" w:before="240"/>
      </w:pPr>
      <w:r>
        <w:rPr>
          <w:b/>
          <w:i w:val="0"/>
          <w:sz w:val="28"/>
        </w:rPr>
        <w:t>3.4 Declaration of Competing Interest</w:t>
      </w:r>
    </w:p>
    <w:p>
      <w:pPr>
        <w:keepNext w:val="0"/>
        <w:spacing w:line="360" w:lineRule="auto" w:after="160" w:before="0"/>
        <w:jc w:val="both"/>
      </w:pPr>
      <w:r>
        <w:rPr>
          <w:b w:val="0"/>
          <w:i w:val="0"/>
          <w:sz w:val="22"/>
        </w:rPr>
        <w:t>A Declaration of Competing Interest was added to the front matter. The Declaration of Competing Interest is required by the target journal (and by the International Committee of Medical Journal Editors uniform disclosure form, which Elsevier adopts for all of its journals) to ensure that readers can identify any financial or personal relationships that might influence the work. The declaration added in Round 2 states that the authors have no known competing financial interests or personal relationships that could have appeared to influence the work reported in this paper. The statement is short, declarative, and uses the standard Elsevier wording. The addition brings the manuscript into compliance with the journal's submission requirements and avoids any ambiguity about the independence of the review and the conclusions drawn. The declaration is signed by both authors and is dated September 4, 2026.</w:t>
      </w:r>
    </w:p>
    <w:p>
      <w:pPr>
        <w:keepNext w:val="0"/>
        <w:spacing w:line="360" w:lineRule="auto" w:after="160" w:before="0"/>
        <w:jc w:val="left"/>
      </w:pPr>
      <w:r>
        <w:rPr>
          <w:b w:val="0"/>
          <w:i/>
          <w:sz w:val="20"/>
        </w:rPr>
        <w:t>Statement added: "The authors declare that they have no known competing financial interests or personal relationships that could have appeared to influence the work reported in this paper."</w:t>
      </w:r>
    </w:p>
    <w:p>
      <w:pPr>
        <w:keepNext/>
        <w:spacing w:line="360" w:lineRule="auto" w:after="120" w:before="240"/>
      </w:pPr>
      <w:r>
        <w:rPr>
          <w:b/>
          <w:i w:val="0"/>
          <w:sz w:val="28"/>
        </w:rPr>
        <w:t>3.5 Funding Statement</w:t>
      </w:r>
    </w:p>
    <w:p>
      <w:pPr>
        <w:keepNext w:val="0"/>
        <w:spacing w:line="360" w:lineRule="auto" w:after="160" w:before="0"/>
        <w:jc w:val="both"/>
      </w:pPr>
      <w:r>
        <w:rPr>
          <w:b w:val="0"/>
          <w:i w:val="0"/>
          <w:sz w:val="22"/>
        </w:rPr>
        <w:t>A Funding statement was added to the front matter. The Funding statement discloses the sources of financial support for the research reported in the paper. The statement added in Round 2 discloses that this research did not receive any specific grant from funding agencies in the public, commercial, or not-for-profit sectors, and acknowledges general laboratory support from the Smart Grid and Green Power Research Lab, ECE Department, Dalhousie University. The Funding statement is required by the target journal so that readers can identify any potential conflicts of interest arising from the funding source and so that funding agencies can track the outputs of the research they support. The statement is short, declarative, and uses standard Elsevier wording. The addition brings the manuscript into compliance with the journal's submission requirements. The authors confirm that no funding agency had any role in the design of the review, the selection of sources, the analysis, the decision to publish, or the preparation of the manuscript.</w:t>
      </w:r>
    </w:p>
    <w:p>
      <w:pPr>
        <w:keepNext w:val="0"/>
        <w:spacing w:line="360" w:lineRule="auto" w:after="160" w:before="0"/>
        <w:jc w:val="left"/>
      </w:pPr>
      <w:r>
        <w:rPr>
          <w:b w:val="0"/>
          <w:i/>
          <w:sz w:val="20"/>
        </w:rPr>
        <w:t>Statement added: "This research did not receive any specific grant from funding agencies in the public, commercial, or not-for-profit sectors. General laboratory support from the Smart Grid and Green Power Research Lab, ECE Department, Dalhousie University, is acknowledged."</w:t>
      </w:r>
    </w:p>
    <w:p>
      <w:pPr>
        <w:keepNext/>
        <w:spacing w:line="360" w:lineRule="auto" w:after="120" w:before="240"/>
      </w:pPr>
      <w:r>
        <w:rPr>
          <w:b/>
          <w:i w:val="0"/>
          <w:sz w:val="28"/>
        </w:rPr>
        <w:t>3.6 Data Availability Statement</w:t>
      </w:r>
    </w:p>
    <w:p>
      <w:pPr>
        <w:keepNext w:val="0"/>
        <w:spacing w:line="360" w:lineRule="auto" w:after="160" w:before="0"/>
        <w:jc w:val="both"/>
      </w:pPr>
      <w:r>
        <w:rPr>
          <w:b w:val="0"/>
          <w:i w:val="0"/>
          <w:sz w:val="22"/>
        </w:rPr>
        <w:t>A Data Availability statement was added to the front matter. The Data Availability statement discloses the sources of the data analysed in the paper and the conditions under which the data can be accessed. Because this paper is a literature review, no new datasets were generated; all data analysed are drawn from the published sources cited in the reference list. The statement added in Round 2 makes this explicit, lists the primary publishers from which the data can be re-accessed (IEA, IRENA, BloombergNEF, Lazard, NREL, EPRI, Goldman Sachs, Uptime Institute, LevelTen Energy, Google), and confirms that re-analysis can be reproduced from those cited primary sources. The Data Availability statement is required by the target journal and by the wider research-integrity community; it supports reproducibility by giving readers a clear path to the underlying data. The addition brings the manuscript into compliance with the journal's submission requirements and with the FAIR (Findable, Accessible, Interoperable, Reusable) principles for research data.</w:t>
      </w:r>
    </w:p>
    <w:p>
      <w:pPr>
        <w:keepNext w:val="0"/>
        <w:spacing w:line="360" w:lineRule="auto" w:after="160" w:before="0"/>
        <w:jc w:val="left"/>
      </w:pPr>
      <w:r>
        <w:rPr>
          <w:b w:val="0"/>
          <w:i/>
          <w:sz w:val="20"/>
        </w:rPr>
        <w:t>Statement added: "All data analysed in this review are drawn from the published sources cited in the reference list. No new datasets were generated. Re-analysis can be reproduced from the cited primary publishers (IEA, IRENA, BloombergNEF, Lazard, NREL, EPRI, Goldman Sachs, Uptime Institute, LevelTen Energy, Google)."</w:t>
      </w:r>
    </w:p>
    <w:p>
      <w:pPr>
        <w:keepNext/>
        <w:spacing w:line="360" w:lineRule="auto" w:after="120" w:before="240"/>
      </w:pPr>
      <w:r>
        <w:rPr>
          <w:b/>
          <w:i w:val="0"/>
          <w:sz w:val="28"/>
        </w:rPr>
        <w:t>3.7 Declaration on the Use of Generative AI</w:t>
      </w:r>
    </w:p>
    <w:p>
      <w:pPr>
        <w:keepNext w:val="0"/>
        <w:spacing w:line="360" w:lineRule="auto" w:after="160" w:before="0"/>
        <w:jc w:val="both"/>
      </w:pPr>
      <w:r>
        <w:rPr>
          <w:b w:val="0"/>
          <w:i w:val="0"/>
          <w:sz w:val="22"/>
        </w:rPr>
        <w:t>A Declaration on the use of Generative AI was added to the front matter. Elsevier (and most major publishers) require authors to declare any use of generative AI tools in the writing of a manuscript so that readers and editors can assess the relative contributions of the authors and the AI tools. The declaration added in Round 2 states that generative AI tools were used for language polishing and reference formatting only; all scientific content, analysis and conclusions are the authors' own. The declaration further states that the authors reviewed and accept full responsibility for all content in the manuscript. This wording follows the Elsevier recommended wording and ensures that the manuscript complies with the journal's policy on the use of generative AI in scientific writing. The declaration is short, declarative, and unambiguous.</w:t>
      </w:r>
    </w:p>
    <w:p>
      <w:pPr>
        <w:keepNext w:val="0"/>
        <w:spacing w:line="360" w:lineRule="auto" w:after="160" w:before="0"/>
        <w:jc w:val="left"/>
      </w:pPr>
      <w:r>
        <w:rPr>
          <w:b w:val="0"/>
          <w:i/>
          <w:sz w:val="20"/>
        </w:rPr>
        <w:t>Statement added: "Generative AI tools were used for language polishing and reference formatting only. All scientific content, analysis and conclusions are the authors' own. The authors reviewed and accept full responsibility for all content in this manuscript."</w:t>
      </w:r>
    </w:p>
    <w:p>
      <w:pPr>
        <w:keepNext/>
        <w:spacing w:line="360" w:lineRule="auto" w:after="120" w:before="240"/>
      </w:pPr>
      <w:r>
        <w:rPr>
          <w:b/>
          <w:i w:val="0"/>
          <w:sz w:val="28"/>
        </w:rPr>
        <w:t>3.8 Expanded Section 1.6 (PRISMA Methodology)</w:t>
      </w:r>
    </w:p>
    <w:p>
      <w:pPr>
        <w:keepNext w:val="0"/>
        <w:spacing w:line="360" w:lineRule="auto" w:after="160" w:before="0"/>
        <w:jc w:val="both"/>
      </w:pPr>
      <w:r>
        <w:rPr>
          <w:b w:val="0"/>
          <w:i w:val="0"/>
          <w:sz w:val="22"/>
        </w:rPr>
        <w:t>The Section 1.6 PRISMA methodology was expanded in Round 2 to address the remaining deficiencies identified by Reviewer Comment #1. The Round-1 revised manuscript introduced Section 1.6 with the PRISMA 2020 framework and a flow diagram (Figure 2), but it did not include the explicit Boolean search strings, the inclusion / exclusion criteria list, or the screening counts (n identified, n after deduplication, n screened, n excluded with reasons, n included) that PRISMA 2020 item 5, item 6 and item 16 require. The Round-2 expansion adds these three items. The Boolean search strings added to Section 1.6 cover the three dimensions of the review: data-center terminology ("data center" OR "data centre" OR "hyperscale"), renewable-energy terminology ("renewable energy" OR "solar" OR "wind" OR "battery storage"), and grid-integration terminology ("microgrid" OR "grid integration" OR "power system"). The inclusion / exclusion criteria list added to Section 1.6 specifies that included sources must be peer-reviewed or institutional, published between 2015 and 2026, and address an AI data-center electrical, storage, control, economic, or sustainability dimension; excluded sources are opinion-only blogs and non-electrical data-center facilities-management sources. The screening counts added to Section 1.6 are: n identified = 612 records; n after deduplication = 487; n screened = 487; n excluded with reason = 302; n included = 185. The expansion brings the Section 1.6 PRISMA reporting into full compliance with PRISMA 2020 and allows a third party to reproduce the literature search.</w:t>
      </w:r>
    </w:p>
    <w:p>
      <w:pPr>
        <w:keepNext/>
        <w:spacing w:line="360" w:lineRule="auto" w:after="120" w:before="240"/>
      </w:pPr>
      <w:r>
        <w:rPr>
          <w:b/>
          <w:i w:val="0"/>
          <w:sz w:val="28"/>
        </w:rPr>
        <w:t>3.9 Expanded Section 13 (Limitations)</w:t>
      </w:r>
    </w:p>
    <w:p>
      <w:pPr>
        <w:keepNext w:val="0"/>
        <w:spacing w:line="360" w:lineRule="auto" w:after="160" w:before="0"/>
        <w:jc w:val="both"/>
      </w:pPr>
      <w:r>
        <w:rPr>
          <w:b w:val="0"/>
          <w:i w:val="0"/>
          <w:sz w:val="22"/>
        </w:rPr>
        <w:t>Section 13 ("Limitations") was substantially expanded in Round 2 to address the deficiencies identified by Reviewer Comment #28. The Round-1 revised manuscript had Section 13 in place with five subsections (13.1–13.5), but the subsections were very thin: 13.2 and 13.5 appeared empty, 13.3 contained only two sentences, and 13.4 was a sentence-style heading with a period. The Round-2 expansion adds a substantive paragraph to each subsection, covering the five specific limitations identified by the reviewer: (13.1) the U.S. bias of the case studies (Google, Meta, Microsoft, Apple, and Equinix are all U.S.-based or U.S.-listed companies, so the transferability of their results to other jurisdictions is limited); (13.2) the reliance on self-reported corporate sustainability disclosures, which are not independently audited and may use different accounting bases; (13.3) the small number of commercial sources (BloombergNEF, Lazard) behind the cost data, which introduces a single-source dependency and limits the ability to triangulate; (13.4) the absence of multi-year resource assessment in the case studies, which prevents the assessment of inter-annual variability in renewable generation; and (13.5) the absence of site-specific validation of the framework, which means that the framework is presented as a screening tool rather than a validated design tool. The Section 13.4 heading was also reformatted from the sentence-style "13.4 The absence of site-specific validation." to the standard title-case "13.4 Absence of Site-Specific Validation".</w:t>
      </w:r>
    </w:p>
    <w:p>
      <w:pPr>
        <w:keepNext/>
        <w:spacing w:line="360" w:lineRule="auto" w:after="120" w:before="240"/>
      </w:pPr>
      <w:r>
        <w:rPr>
          <w:b/>
          <w:i w:val="0"/>
          <w:sz w:val="28"/>
        </w:rPr>
        <w:t>3.10 Critical Appraisal Paragraphs (Section 14)</w:t>
      </w:r>
    </w:p>
    <w:p>
      <w:pPr>
        <w:keepNext w:val="0"/>
        <w:spacing w:line="360" w:lineRule="auto" w:after="160" w:before="0"/>
        <w:jc w:val="both"/>
      </w:pPr>
      <w:r>
        <w:rPr>
          <w:b w:val="0"/>
          <w:i w:val="0"/>
          <w:sz w:val="22"/>
        </w:rPr>
        <w:t>Critical Appraisal paragraphs were added to Section 14 in Round 2 to address the title-content alignment issue identified by Reviewer Comment #44. The reviewer observed that the title of the paper contains the phrase "A Critical Review" but that the body of the paper reads more as a design guide for renewable-powered AI data centers than as a critical review of the literature. The Round-1 revision addressed this concern only partially: the abstract now states that "the proposed framework permits structured project screening without mandating a universally prescribed technology mix", and the Section 14 conclusions were made more qualitative. The Round-2 expansion adds explicit Critical Appraisal paragraphs to Section 14 that (a) re-state the position of the paper as a critical review of the literature, not a design guide; (b) summarise the principal criticisms the review makes of the existing literature (the prevalence of unsupported headline numbers, the conflation of pack and installed BESS prices, the conflation of unfirmed and firmed LCOE, the misuse of $/MW-day capacity prices as $/MWh LCOE, and the attribution of generic per-hour downtime costs to specific facilities); (c) state that the framework is presented as a screening tool, not a prescriptive design; and (d) restate the limitations identified in Section 13. The Critical Appraisal paragraphs bring the content of Section 14 into alignment with the title and with the journal's expectations for a critical review.</w:t>
      </w:r>
    </w:p>
    <w:p>
      <w:r>
        <w:br w:type="page"/>
      </w:r>
    </w:p>
    <w:p>
      <w:pPr>
        <w:keepNext/>
        <w:spacing w:line="360" w:lineRule="auto" w:after="160" w:before="360"/>
      </w:pPr>
      <w:r>
        <w:rPr>
          <w:b/>
          <w:i w:val="0"/>
          <w:sz w:val="32"/>
        </w:rPr>
        <w:t>Section 4. Content Removed in Round 1 (Original → Revised)</w:t>
      </w:r>
    </w:p>
    <w:p>
      <w:pPr>
        <w:keepNext w:val="0"/>
        <w:spacing w:line="360" w:lineRule="auto" w:after="160" w:before="0"/>
        <w:jc w:val="both"/>
      </w:pPr>
      <w:r>
        <w:rPr>
          <w:b w:val="0"/>
          <w:i w:val="0"/>
          <w:sz w:val="22"/>
        </w:rPr>
        <w:t>The following content was present in the original manuscript and was removed (without replacement by new modelling output) in Round 1 because the reviewer identified it as unsupported, internally inconsistent, or improperly cited. The removal of each item is documented in the change-log table in Section 2.</w:t>
      </w:r>
    </w:p>
    <w:p>
      <w:pPr>
        <w:keepNext/>
        <w:spacing w:line="360" w:lineRule="auto" w:after="80" w:before="160"/>
      </w:pPr>
      <w:r>
        <w:rPr>
          <w:b/>
          <w:i w:val="0"/>
          <w:sz w:val="24"/>
        </w:rPr>
        <w:t>The 720 MWh baseline storage reference in Section 5.3</w:t>
      </w:r>
    </w:p>
    <w:p>
      <w:pPr>
        <w:keepNext w:val="0"/>
        <w:spacing w:line="360" w:lineRule="auto" w:after="160" w:before="0"/>
        <w:jc w:val="both"/>
      </w:pPr>
      <w:r>
        <w:rPr>
          <w:b w:val="0"/>
          <w:i w:val="0"/>
          <w:sz w:val="22"/>
        </w:rPr>
        <w:t>The original Section 5.3 stated: "Compared to deterministic sizing (720 MWh), the LOLE-based design reduces storage requirements by more than 90% while maintaining probabilistic reliability constraints." The 720 MWh figure was the output of an undocumented model. Removed in Round 1 (see change-log row N-01).</w:t>
      </w:r>
    </w:p>
    <w:p>
      <w:pPr>
        <w:keepNext/>
        <w:spacing w:line="360" w:lineRule="auto" w:after="80" w:before="160"/>
      </w:pPr>
      <w:r>
        <w:rPr>
          <w:b/>
          <w:i w:val="0"/>
          <w:sz w:val="24"/>
        </w:rPr>
        <w:t>The "&gt;90% storage reduction" claim in Section 5.3</w:t>
      </w:r>
    </w:p>
    <w:p>
      <w:pPr>
        <w:keepNext w:val="0"/>
        <w:spacing w:line="360" w:lineRule="auto" w:after="160" w:before="0"/>
        <w:jc w:val="both"/>
      </w:pPr>
      <w:r>
        <w:rPr>
          <w:b w:val="0"/>
          <w:i w:val="0"/>
          <w:sz w:val="22"/>
        </w:rPr>
        <w:t>The original Section 5.3 stated that the LOLE-based design "reduces storage requirements by more than 90%". The specific &gt;90% claim was removed because it was unsupported by the cited sources; Section 5.3 now states that any reduction must be quantified using geographically resolved chronological simulations. Removed in Round 1 (see change-log row N-02).</w:t>
      </w:r>
    </w:p>
    <w:p>
      <w:pPr>
        <w:keepNext/>
        <w:spacing w:line="360" w:lineRule="auto" w:after="80" w:before="160"/>
      </w:pPr>
      <w:r>
        <w:rPr>
          <w:b/>
          <w:i w:val="0"/>
          <w:sz w:val="24"/>
        </w:rPr>
        <w:t>The "30–60% storage reduction" claim in Section 13.3</w:t>
      </w:r>
    </w:p>
    <w:p>
      <w:pPr>
        <w:keepNext w:val="0"/>
        <w:spacing w:line="360" w:lineRule="auto" w:after="160" w:before="0"/>
        <w:jc w:val="both"/>
      </w:pPr>
      <w:r>
        <w:rPr>
          <w:b w:val="0"/>
          <w:i w:val="0"/>
          <w:sz w:val="22"/>
        </w:rPr>
        <w:t>The original Section 13.3 stated that "probabilistic storage sizing approaches … typically yield capital expenditure savings of 30–60% in the storage infrastructure". The specific 30–60% range was removed because it was unsupported; Section 13.3 now disclaims any universal storage-reduction percentage. Removed in Round 1 (see change-log row N-03).</w:t>
      </w:r>
    </w:p>
    <w:p>
      <w:pPr>
        <w:keepNext/>
        <w:spacing w:line="360" w:lineRule="auto" w:after="80" w:before="160"/>
      </w:pPr>
      <w:r>
        <w:rPr>
          <w:b/>
          <w:i w:val="0"/>
          <w:sz w:val="24"/>
        </w:rPr>
        <w:t>The 5–12 yr payback range (abstract and Section 10.4)</w:t>
      </w:r>
    </w:p>
    <w:p>
      <w:pPr>
        <w:keepNext w:val="0"/>
        <w:spacing w:line="360" w:lineRule="auto" w:after="160" w:before="0"/>
        <w:jc w:val="both"/>
      </w:pPr>
      <w:r>
        <w:rPr>
          <w:b w:val="0"/>
          <w:i w:val="0"/>
          <w:sz w:val="22"/>
        </w:rPr>
        <w:t>The original abstract stated: "…demonstrates viable payback periods of 5–12 years under current tax incentives." The original Section 10.4 stated: "…the current analysis results are a base case NPV of $30 to $120 million, IRR of 14 to 19%, and a 6 to 11 year payback period". Both specific payback ranges were removed because the underlying calculations used inconsistent discount rates and cost inputs. Removed in Round 1 (see change-log row N-04).</w:t>
      </w:r>
    </w:p>
    <w:p>
      <w:pPr>
        <w:keepNext/>
        <w:spacing w:line="360" w:lineRule="auto" w:after="80" w:before="160"/>
      </w:pPr>
      <w:r>
        <w:rPr>
          <w:b/>
          <w:i w:val="0"/>
          <w:sz w:val="24"/>
        </w:rPr>
        <w:t>The $35–100/MWh LCOE range</w:t>
      </w:r>
    </w:p>
    <w:p>
      <w:pPr>
        <w:keepNext w:val="0"/>
        <w:spacing w:line="360" w:lineRule="auto" w:after="160" w:before="0"/>
        <w:jc w:val="both"/>
      </w:pPr>
      <w:r>
        <w:rPr>
          <w:b w:val="0"/>
          <w:i w:val="0"/>
          <w:sz w:val="22"/>
        </w:rPr>
        <w:t>The original abstract stated: "This framework is validated by global tech case studies achieving cost-competitive electricity delivery at $35–$100/MWh alongside &gt;99.9% reliability targets." The specific $35–100/MWh range was removed because it conflated unfirmed renewable-generation LCOE with firm delivered electricity; the revised abstract now uses cited IRENA/Lazard ranges. Removed in Round 1 (see change-log row N-05).</w:t>
      </w:r>
    </w:p>
    <w:p>
      <w:pPr>
        <w:keepNext/>
        <w:spacing w:line="360" w:lineRule="auto" w:after="80" w:before="160"/>
      </w:pPr>
      <w:r>
        <w:rPr>
          <w:b/>
          <w:i w:val="0"/>
          <w:sz w:val="24"/>
        </w:rPr>
        <w:t>The 40–60% geographic-diversification storage reduction</w:t>
      </w:r>
    </w:p>
    <w:p>
      <w:pPr>
        <w:keepNext w:val="0"/>
        <w:spacing w:line="360" w:lineRule="auto" w:after="160" w:before="0"/>
        <w:jc w:val="both"/>
      </w:pPr>
      <w:r>
        <w:rPr>
          <w:b w:val="0"/>
          <w:i w:val="0"/>
          <w:sz w:val="22"/>
        </w:rPr>
        <w:t>The original abstract stated: "…geographic diversification leveraging wind–solar complementarity can reduce required storage capacity by 40% to 60%." The specific 40–60% range was removed because it was unsupported by the cited sources; the revised text now states qualitatively that the magnitude of any reduction depends on the correlation of wind and solar resources, network constraints, service-level agreements, and workload portability. Removed in Round 1 (see change-log row N-06).</w:t>
      </w:r>
    </w:p>
    <w:p>
      <w:pPr>
        <w:keepNext/>
        <w:spacing w:line="360" w:lineRule="auto" w:after="80" w:before="160"/>
      </w:pPr>
      <w:r>
        <w:rPr>
          <w:b/>
          <w:i w:val="0"/>
          <w:sz w:val="24"/>
        </w:rPr>
        <w:t>The PJM $110/MWh, CAISO $95/MWh, ERCOT $85/MWh "grid-only LCOE" rows in Table 7</w:t>
      </w:r>
    </w:p>
    <w:p>
      <w:pPr>
        <w:keepNext w:val="0"/>
        <w:spacing w:line="360" w:lineRule="auto" w:after="160" w:before="0"/>
        <w:jc w:val="both"/>
      </w:pPr>
      <w:r>
        <w:rPr>
          <w:b w:val="0"/>
          <w:i w:val="0"/>
          <w:sz w:val="22"/>
        </w:rPr>
        <w:t>The original Table 7 contained a row "Grid Only (US Avg) | $80/MWh | $110/MWh | $140/MWh | Regional capacity prices" and the original Section 10.2 stated: "Grid-only LCOE reflects 2026 regional capacity prices: PJM ($110/MWh), CAISO ($95/MWh), ERCOT ($85/MWh)." These rows were removed because they conflated $/MWh LCOE with $/MW-day capacity prices. Removed in Round 1 (see change-log rows N-11 and T-04).</w:t>
      </w:r>
    </w:p>
    <w:p>
      <w:pPr>
        <w:keepNext/>
        <w:spacing w:line="360" w:lineRule="auto" w:after="80" w:before="160"/>
      </w:pPr>
      <w:r>
        <w:rPr>
          <w:b/>
          <w:i w:val="0"/>
          <w:sz w:val="24"/>
        </w:rPr>
        <w:t>The "&gt;500k/hour downtime cost for AI training clusters" claim</w:t>
      </w:r>
    </w:p>
    <w:p>
      <w:pPr>
        <w:keepNext w:val="0"/>
        <w:spacing w:line="360" w:lineRule="auto" w:after="160" w:before="0"/>
        <w:jc w:val="both"/>
      </w:pPr>
      <w:r>
        <w:rPr>
          <w:b w:val="0"/>
          <w:i w:val="0"/>
          <w:sz w:val="22"/>
        </w:rPr>
        <w:t>The original Section 10.5 implied a universal $500,000/hour downtime cost attributed to the Uptime Institute (ref [9]). The specific per-hour downtime value was removed because the Uptime Institute does not publish per-hour outage-cost figures; the revised text now points readers to the Uptime Institute distribution of outage costs. Removed in Round 1 (see change-log row N-14).</w:t>
      </w:r>
    </w:p>
    <w:p>
      <w:pPr>
        <w:keepNext/>
        <w:spacing w:line="360" w:lineRule="auto" w:after="80" w:before="160"/>
      </w:pPr>
      <w:r>
        <w:rPr>
          <w:b/>
          <w:i w:val="0"/>
          <w:sz w:val="24"/>
        </w:rPr>
        <w:t>The "2.9 Wh/GPT-3 query" claim attributed to "research by Li"</w:t>
      </w:r>
    </w:p>
    <w:p>
      <w:pPr>
        <w:keepNext w:val="0"/>
        <w:spacing w:line="360" w:lineRule="auto" w:after="160" w:before="0"/>
        <w:jc w:val="both"/>
      </w:pPr>
      <w:r>
        <w:rPr>
          <w:b w:val="0"/>
          <w:i w:val="0"/>
          <w:sz w:val="22"/>
        </w:rPr>
        <w:t>The original Section 1.1 stated: "According to research by Li, every inference query of GPT-3 consumes around 2.9 Wh of electricity and adds up to a massive amount with the millions of queries that take place every year [7]." The specific 2.9 Wh figure was removed because ref [7] (Shi, Yang, Lo) does not contain that figure; ref [7] is now used only to support a general statement that per-query energy is significant at scale. Removed in Round 1 (see change-log rows N-15 and C-01).</w:t>
      </w:r>
    </w:p>
    <w:p>
      <w:pPr>
        <w:keepNext/>
        <w:spacing w:line="360" w:lineRule="auto" w:after="80" w:before="160"/>
      </w:pPr>
      <w:r>
        <w:rPr>
          <w:b/>
          <w:i w:val="0"/>
          <w:sz w:val="24"/>
        </w:rPr>
        <w:t>The Equation 2 division by 8760</w:t>
      </w:r>
    </w:p>
    <w:p>
      <w:pPr>
        <w:keepNext w:val="0"/>
        <w:spacing w:line="360" w:lineRule="auto" w:after="160" w:before="0"/>
        <w:jc w:val="both"/>
      </w:pPr>
      <w:r>
        <w:rPr>
          <w:b w:val="0"/>
          <w:i w:val="0"/>
          <w:sz w:val="22"/>
        </w:rPr>
        <w:t>The original Equation 2 was: "LOLE(E_BATT) = (1/8760) Σ_{t=1}^{8760} 1[P_avail(t) &lt; P_load]". The (1/8760) division factor was removed because it converts LOLE from a duration in hours per year into a dimensionless probability, contradicting the surrounding text that describes LOLE in hours per year. Removed in Round 1 (see change-log row E-02).</w:t>
      </w:r>
    </w:p>
    <w:p>
      <w:pPr>
        <w:keepNext/>
        <w:spacing w:line="360" w:lineRule="auto" w:after="80" w:before="160"/>
      </w:pPr>
      <w:r>
        <w:rPr>
          <w:b/>
          <w:i w:val="0"/>
          <w:sz w:val="24"/>
        </w:rPr>
        <w:t>The "workload flexModelling economic viability" corrupted phrase</w:t>
      </w:r>
    </w:p>
    <w:p>
      <w:pPr>
        <w:keepNext w:val="0"/>
        <w:spacing w:line="360" w:lineRule="auto" w:after="160" w:before="0"/>
        <w:jc w:val="both"/>
      </w:pPr>
      <w:r>
        <w:rPr>
          <w:b w:val="0"/>
          <w:i w:val="0"/>
          <w:sz w:val="22"/>
        </w:rPr>
        <w:t>The original Section 7 opening read: "The framework integrates site assessment, technology selection, electrical integration, control strategy, workload flexModelling economic viability, and sustainability compliance into a unified decision-making methodology." The corrupted phrase "workload flexModelling economic viability" was rewritten as "workload flexibility modeling, economic viability". Removed (replaced) in Round 1 (see change-log row P-05).</w:t>
      </w:r>
    </w:p>
    <w:p>
      <w:pPr>
        <w:keepNext/>
        <w:spacing w:line="360" w:lineRule="auto" w:after="80" w:before="160"/>
      </w:pPr>
      <w:r>
        <w:rPr>
          <w:b/>
          <w:i w:val="0"/>
          <w:sz w:val="24"/>
        </w:rPr>
        <w:t>The Equation 1 max over τ∈[1,n] of P_load × τ</w:t>
      </w:r>
    </w:p>
    <w:p>
      <w:pPr>
        <w:keepNext w:val="0"/>
        <w:spacing w:line="360" w:lineRule="auto" w:after="160" w:before="0"/>
        <w:jc w:val="both"/>
      </w:pPr>
      <w:r>
        <w:rPr>
          <w:b w:val="0"/>
          <w:i w:val="0"/>
          <w:sz w:val="22"/>
        </w:rPr>
        <w:t>The original Equation 1 was: "E_BATT,min^DET = max_{τ∈[1,n]} (P_load × τ)". This formulation was removed because it conflates the event index set with the time-interval count and treats the load as a single constant. Replaced with the new Eq. (1): E_{B,det} = max_{i∈{1,…,n}} Σ_{t∈T_i} (P_{crit,t} − P_{supply,t})^+ Δt. Removed (replaced) in Round 1 (see change-log row E-01).</w:t>
      </w:r>
    </w:p>
    <w:p>
      <w:pPr>
        <w:keepNext/>
        <w:spacing w:line="360" w:lineRule="auto" w:after="80" w:before="160"/>
      </w:pPr>
      <w:r>
        <w:rPr>
          <w:b/>
          <w:i w:val="0"/>
          <w:sz w:val="24"/>
        </w:rPr>
        <w:t>The "0.1 h/yr → 99.99% availability" mismatch</w:t>
      </w:r>
    </w:p>
    <w:p>
      <w:pPr>
        <w:keepNext w:val="0"/>
        <w:spacing w:line="360" w:lineRule="auto" w:after="160" w:before="0"/>
        <w:jc w:val="both"/>
      </w:pPr>
      <w:r>
        <w:rPr>
          <w:b w:val="0"/>
          <w:i w:val="0"/>
          <w:sz w:val="22"/>
        </w:rPr>
        <w:t>The original Section 5.3 stated: "The LOLE of 0.1 hour per year, or 99.99 % availability, is a commonly used metric for mission-critical data centers." The mismatched pair (0.1 h/yr, 99.99%) was removed because the reviewer correctly noted that 0.1 h/yr corresponds to 99.9886% availability (1 − 0.1/8760), not 99.99%. Replaced with the arithmetically consistent pair (0.876 h/yr, 99.99%). Removed (replaced) in Round 1 (see change-log row E-04).</w:t>
      </w:r>
    </w:p>
    <w:p>
      <w:pPr>
        <w:keepNext/>
        <w:spacing w:line="360" w:lineRule="auto" w:after="80" w:before="160"/>
      </w:pPr>
      <w:r>
        <w:rPr>
          <w:b/>
          <w:i w:val="0"/>
          <w:sz w:val="24"/>
        </w:rPr>
        <w:t>The 11 original modelling equations (Equations 4–11) — the MILP optimization formulation</w:t>
      </w:r>
    </w:p>
    <w:p>
      <w:pPr>
        <w:keepNext w:val="0"/>
        <w:spacing w:line="360" w:lineRule="auto" w:after="160" w:before="0"/>
        <w:jc w:val="both"/>
      </w:pPr>
      <w:r>
        <w:rPr>
          <w:b w:val="0"/>
          <w:i w:val="0"/>
          <w:sz w:val="22"/>
        </w:rPr>
        <w:t>The original Section 5.3 contained an eleven-equation MILP optimization formulation (objective, energy balance, battery SoC bounds, renewable resource limits, grid interconnection limit, LOLE reliability constraint, optional carbon constraint). The full MILP formulation was removed because the underlying optimisation was not run on a documented dataset; only the conceptual narrative was retained. Removed in Round 1 (see change-log row E-05).</w:t>
      </w:r>
    </w:p>
    <w:p>
      <w:pPr>
        <w:keepNext/>
        <w:spacing w:line="360" w:lineRule="auto" w:after="80" w:before="160"/>
      </w:pPr>
      <w:r>
        <w:rPr>
          <w:b/>
          <w:i w:val="0"/>
          <w:sz w:val="24"/>
        </w:rPr>
        <w:t>The three conflicting capital-cost figures in Table 5, Section 10.1 and Table 7</w:t>
      </w:r>
    </w:p>
    <w:p>
      <w:pPr>
        <w:keepNext w:val="0"/>
        <w:spacing w:line="360" w:lineRule="auto" w:after="160" w:before="0"/>
        <w:jc w:val="both"/>
      </w:pPr>
      <w:r>
        <w:rPr>
          <w:b w:val="0"/>
          <w:i w:val="0"/>
          <w:sz w:val="22"/>
        </w:rPr>
        <w:t>The original manuscript presented three conflicting sets of capital-cost figures: Section 10.1 used $0.70–1.20/W solar, $1,150–1,800/kW wind, $100–150/kWh BESS, and $200–320M for a 100 MW facility; Table 5 used $900–1,600/kW solar, $1,800–2,600/kW wind, $50–80/MWh solar LCOE, $45–70/MWh wind LCOE, $180–320/kWh BESS; and Table 7 used $35–100/MWh LCOE. These three sets were removed (replaced) in Round 1 by a single set of figures aligned with IRENA 2024 (ref [16]) for installed-cost benchmarks and Lazard 2025 LCOE+ (ref [170]) for LCOE ranges. Removed (replaced) in Round 1 (see change-log rows N-16 and T-05).</w:t>
      </w:r>
    </w:p>
    <w:p>
      <w:r>
        <w:br w:type="page"/>
      </w:r>
    </w:p>
    <w:p>
      <w:pPr>
        <w:keepNext/>
        <w:spacing w:line="360" w:lineRule="auto" w:after="160" w:before="360"/>
      </w:pPr>
      <w:r>
        <w:rPr>
          <w:b/>
          <w:i w:val="0"/>
          <w:sz w:val="32"/>
        </w:rPr>
        <w:t>Section 5. Content Modified in Round 1 (Original → Revised)</w:t>
      </w:r>
    </w:p>
    <w:p>
      <w:pPr>
        <w:keepNext w:val="0"/>
        <w:spacing w:line="360" w:lineRule="auto" w:after="160" w:before="0"/>
        <w:jc w:val="both"/>
      </w:pPr>
      <w:r>
        <w:rPr>
          <w:b w:val="0"/>
          <w:i w:val="0"/>
          <w:sz w:val="22"/>
        </w:rPr>
        <w:t>The following content was present in the original manuscript and was modified (rather than removed) in Round 1. Each item below identifies the section, the nature of the modification, and the change-log row that documents it.</w:t>
      </w:r>
    </w:p>
    <w:p>
      <w:pPr>
        <w:keepNext/>
        <w:spacing w:line="360" w:lineRule="auto" w:after="80" w:before="160"/>
      </w:pPr>
      <w:r>
        <w:rPr>
          <w:b/>
          <w:i w:val="0"/>
          <w:sz w:val="24"/>
        </w:rPr>
        <w:t>Abstract</w:t>
      </w:r>
    </w:p>
    <w:p>
      <w:pPr>
        <w:keepNext w:val="0"/>
        <w:spacing w:line="360" w:lineRule="auto" w:after="160" w:before="0"/>
        <w:jc w:val="both"/>
      </w:pPr>
      <w:r>
        <w:rPr>
          <w:b w:val="0"/>
          <w:i w:val="0"/>
          <w:sz w:val="22"/>
        </w:rPr>
        <w:t>The abstract was modified in Round 1 to remove the specific headline numbers (5–12 yr payback, $35–100/MWh LCOE, 40–60% geographic diversification, $108/kWh by 2026), to add an explicit method statement ("This review, which follows the PRISMA 2020 reporting framework, analyzes 185 journal articles, conference papers, standards, agency reports, and industry sources examined between 2015 and 2026."), and to add an explicit source-count breakdown. The revised abstract also explicitly states that "battery-pack prices are different from the installed battery energy storage system costs, unfirmed renewable-generation LCOE are not a direct comparison to the firm delivered electricity" and that "reliability claims should be based on chronological and site-specific adequacy assessment". The proposed framework is described as permitting "structured project screening without mandating a universally prescribed technology mix". See change-log rows N-04, N-05, N-06, N-08, M-01.</w:t>
      </w:r>
    </w:p>
    <w:p>
      <w:pPr>
        <w:keepNext/>
        <w:spacing w:line="360" w:lineRule="auto" w:after="80" w:before="160"/>
      </w:pPr>
      <w:r>
        <w:rPr>
          <w:b/>
          <w:i w:val="0"/>
          <w:sz w:val="24"/>
        </w:rPr>
        <w:t>Section 1.1</w:t>
      </w:r>
    </w:p>
    <w:p>
      <w:pPr>
        <w:keepNext w:val="0"/>
        <w:spacing w:line="360" w:lineRule="auto" w:after="160" w:before="0"/>
        <w:jc w:val="both"/>
      </w:pPr>
      <w:r>
        <w:rPr>
          <w:b w:val="0"/>
          <w:i w:val="0"/>
          <w:sz w:val="22"/>
        </w:rPr>
        <w:t>Section 1.1 was modified in Round 1 to add the baseline year (2024) and hedging language to the 165% demand-growth claim: "data-center electricity demand could increase by approximately 165% between 2024 and 2030, although the magnitude and geographic distribution of this growth remain uncertain [8]." The "research by Li / 2.9 Wh per GPT-3 query" attribution was removed (see change-log row N-15). Note: the "data canters" typo in Section 1.1 was NOT yet fixed in Round 1; it was fixed in Round 2 (see change-log row P-01).</w:t>
      </w:r>
    </w:p>
    <w:p>
      <w:pPr>
        <w:keepNext/>
        <w:spacing w:line="360" w:lineRule="auto" w:after="80" w:before="160"/>
      </w:pPr>
      <w:r>
        <w:rPr>
          <w:b/>
          <w:i w:val="0"/>
          <w:sz w:val="24"/>
        </w:rPr>
        <w:t>Section 1.2</w:t>
      </w:r>
    </w:p>
    <w:p>
      <w:pPr>
        <w:keepNext w:val="0"/>
        <w:spacing w:line="360" w:lineRule="auto" w:after="160" w:before="0"/>
        <w:jc w:val="both"/>
      </w:pPr>
      <w:r>
        <w:rPr>
          <w:b w:val="0"/>
          <w:i w:val="0"/>
          <w:sz w:val="22"/>
        </w:rPr>
        <w:t>Section 1.2 was modified in Round 1 to relabel the BNEF battery pack price as a 2025 observation rather than a 2026 projection: "BloombergNEF forecasted a volume-weighted average price of lithium-ion battery-packs at around USD 108/kWh for 2025 [17]." See change-log row N-08.</w:t>
      </w:r>
    </w:p>
    <w:p>
      <w:pPr>
        <w:keepNext/>
        <w:spacing w:line="360" w:lineRule="auto" w:after="80" w:before="160"/>
      </w:pPr>
      <w:r>
        <w:rPr>
          <w:b/>
          <w:i w:val="0"/>
          <w:sz w:val="24"/>
        </w:rPr>
        <w:t>Section 5.3</w:t>
      </w:r>
    </w:p>
    <w:p>
      <w:pPr>
        <w:keepNext w:val="0"/>
        <w:spacing w:line="360" w:lineRule="auto" w:after="160" w:before="0"/>
        <w:jc w:val="both"/>
      </w:pPr>
      <w:r>
        <w:rPr>
          <w:b w:val="0"/>
          <w:i w:val="0"/>
          <w:sz w:val="22"/>
        </w:rPr>
        <w:t>Section 5.3 was substantially rewritten in Round 1. Equations 1 and 2 were rewritten to use the proper max-over-events formulation with critical load (P_crit,t) replacing the generic P_load; the LOLE equation no longer divides by 8760; the reliability target was re-stated as the arithmetically consistent pair 99.99% ↔ 0.876 h/yr (52.6 min/yr) replacing the inconsistent 99.99% ↔ 0.1 h/yr. The 720 MWh baseline, the &gt;90% storage-reduction claim, and the 11-equation MILP optimization formulation (Eqs 4–11) were removed. The Section now explicitly states: "This review does not claim a universal storage reduction or a site-specific Pareto-optimal configuration." See change-log rows E-01, E-02, E-03, E-04, E-05, N-01, N-02.</w:t>
      </w:r>
    </w:p>
    <w:p>
      <w:pPr>
        <w:keepNext/>
        <w:spacing w:line="360" w:lineRule="auto" w:after="80" w:before="160"/>
      </w:pPr>
      <w:r>
        <w:rPr>
          <w:b/>
          <w:i w:val="0"/>
          <w:sz w:val="24"/>
        </w:rPr>
        <w:t>Section 7.2</w:t>
      </w:r>
    </w:p>
    <w:p>
      <w:pPr>
        <w:keepNext w:val="0"/>
        <w:spacing w:line="360" w:lineRule="auto" w:after="160" w:before="0"/>
        <w:jc w:val="both"/>
      </w:pPr>
      <w:r>
        <w:rPr>
          <w:b w:val="0"/>
          <w:i w:val="0"/>
          <w:sz w:val="22"/>
        </w:rPr>
        <w:t>Section 7.2 was modified in Round 1 to specify the AHP-based MCDA methodology with five criteria, the criterion weights (0.30/0.25/0.20/0.15/0.10) summing to 1.00, and the AHP consistency ratio target of 0.10. See change-log row N/A (no change-log row; content added in Round 1 directly in Section 7.2).</w:t>
      </w:r>
    </w:p>
    <w:p>
      <w:pPr>
        <w:keepNext/>
        <w:spacing w:line="360" w:lineRule="auto" w:after="80" w:before="160"/>
      </w:pPr>
      <w:r>
        <w:rPr>
          <w:b/>
          <w:i w:val="0"/>
          <w:sz w:val="24"/>
        </w:rPr>
        <w:t>Section 7.8</w:t>
      </w:r>
    </w:p>
    <w:p>
      <w:pPr>
        <w:keepNext w:val="0"/>
        <w:spacing w:line="360" w:lineRule="auto" w:after="160" w:before="0"/>
        <w:jc w:val="both"/>
      </w:pPr>
      <w:r>
        <w:rPr>
          <w:b w:val="0"/>
          <w:i w:val="0"/>
          <w:sz w:val="22"/>
        </w:rPr>
        <w:t>Section 7.8 was modified in Round 1 to use a single 7.5% real WACC as the central screening rate, with a 5–12% range used only for sensitivity analysis: "A real weighted average cost of capital (WACC) of 7.5% is adopted as a screening assumption for illustrative economic comparisons… Only a real range of 5% - 12% is kept for sensitivity analysis." See change-log row N-07.</w:t>
      </w:r>
    </w:p>
    <w:p>
      <w:pPr>
        <w:keepNext/>
        <w:spacing w:line="360" w:lineRule="auto" w:after="80" w:before="160"/>
      </w:pPr>
      <w:r>
        <w:rPr>
          <w:b/>
          <w:i w:val="0"/>
          <w:sz w:val="24"/>
        </w:rPr>
        <w:t>Section 10.2</w:t>
      </w:r>
    </w:p>
    <w:p>
      <w:pPr>
        <w:keepNext w:val="0"/>
        <w:spacing w:line="360" w:lineRule="auto" w:after="160" w:before="0"/>
        <w:jc w:val="both"/>
      </w:pPr>
      <w:r>
        <w:rPr>
          <w:b w:val="0"/>
          <w:i w:val="0"/>
          <w:sz w:val="22"/>
        </w:rPr>
        <w:t>Section 10.2 was modified in Round 1 to remove the PJM/CAISO/ERCOT grid-only LCOE rows (in $/MWh) and to replace them with the correct $/MW-day capacity price (PJM 2026/2027 BRA cleared at $329.17/MW-day [171]) and the correct $/MWh LMP (PJM YTD 2025 LMP through October 2025 approximately $50.53/MWh [172]). The Section now explicitly states: "the previous comment that PJM, CAISO, and ERCOT had 'grid-only LCOEs' of $110/MWh, $95/MWh and $85/MWh, respectively, has been deleted." See change-log rows N-11, N-12, T-04.</w:t>
      </w:r>
    </w:p>
    <w:p>
      <w:pPr>
        <w:keepNext/>
        <w:spacing w:line="360" w:lineRule="auto" w:after="80" w:before="160"/>
      </w:pPr>
      <w:r>
        <w:rPr>
          <w:b/>
          <w:i w:val="0"/>
          <w:sz w:val="24"/>
        </w:rPr>
        <w:t>Section 10.3</w:t>
      </w:r>
    </w:p>
    <w:p>
      <w:pPr>
        <w:keepNext w:val="0"/>
        <w:spacing w:line="360" w:lineRule="auto" w:after="160" w:before="0"/>
        <w:jc w:val="both"/>
      </w:pPr>
      <w:r>
        <w:rPr>
          <w:b w:val="0"/>
          <w:i w:val="0"/>
          <w:sz w:val="22"/>
        </w:rPr>
        <w:t>Section 10.3 was modified in Round 1 to add a citation for the PPA price: "Average North American PPA offer prices were reported at approximately USD 64.49/MWh for solar and USD 79.40/MWh for wind [66]." The citation is to the LevelTen Energy North American PPA Price Index, Q1 2026 (ref [66]). See change-log row N-10.</w:t>
      </w:r>
    </w:p>
    <w:p>
      <w:pPr>
        <w:keepNext/>
        <w:spacing w:line="360" w:lineRule="auto" w:after="80" w:before="160"/>
      </w:pPr>
      <w:r>
        <w:rPr>
          <w:b/>
          <w:i w:val="0"/>
          <w:sz w:val="24"/>
        </w:rPr>
        <w:t>Section 10.5</w:t>
      </w:r>
    </w:p>
    <w:p>
      <w:pPr>
        <w:keepNext w:val="0"/>
        <w:spacing w:line="360" w:lineRule="auto" w:after="160" w:before="0"/>
        <w:jc w:val="both"/>
      </w:pPr>
      <w:r>
        <w:rPr>
          <w:b w:val="0"/>
          <w:i w:val="0"/>
          <w:sz w:val="22"/>
        </w:rPr>
        <w:t>Section 10.5 was modified in Round 1 to remove the &gt;$500k/hour downtime claim and to replace it with a Uptime Institute distributional statement: "The Uptime Institute also provides distribution of outage costs without setting a universal cost of $500,000 per hour for training clusters of AI. The previous per-hour downtime value has been thus eliminated. Downtime costs for a project model should be based on the IT capacity and workload values of the affected facility, the time required for recovery, contractual penalties, and lost utilization." See change-log row N-14.</w:t>
      </w:r>
    </w:p>
    <w:p>
      <w:pPr>
        <w:keepNext/>
        <w:spacing w:line="360" w:lineRule="auto" w:after="80" w:before="160"/>
      </w:pPr>
      <w:r>
        <w:rPr>
          <w:b/>
          <w:i w:val="0"/>
          <w:sz w:val="24"/>
        </w:rPr>
        <w:t>Table 3</w:t>
      </w:r>
    </w:p>
    <w:p>
      <w:pPr>
        <w:keepNext w:val="0"/>
        <w:spacing w:line="360" w:lineRule="auto" w:after="160" w:before="0"/>
        <w:jc w:val="both"/>
      </w:pPr>
      <w:r>
        <w:rPr>
          <w:b w:val="0"/>
          <w:i w:val="0"/>
          <w:sz w:val="22"/>
        </w:rPr>
        <w:t>Table 3 was modified in Round 1 to explicitly distinguish pack prices from installed-system costs. The 2–4 h row is labelled "Battery-pack price: USD 108/kWh" (BNEF); the 4–8 h and 8–24 h rows are labelled "Installed-system cost: USD 180–320/kWh-system" and "USD 180–350/kWh-system". See change-log row T-02.</w:t>
      </w:r>
    </w:p>
    <w:p>
      <w:pPr>
        <w:keepNext/>
        <w:spacing w:line="360" w:lineRule="auto" w:after="80" w:before="160"/>
      </w:pPr>
      <w:r>
        <w:rPr>
          <w:b/>
          <w:i w:val="0"/>
          <w:sz w:val="24"/>
        </w:rPr>
        <w:t>Table 1</w:t>
      </w:r>
    </w:p>
    <w:p>
      <w:pPr>
        <w:keepNext w:val="0"/>
        <w:spacing w:line="360" w:lineRule="auto" w:after="160" w:before="0"/>
        <w:jc w:val="both"/>
      </w:pPr>
      <w:r>
        <w:rPr>
          <w:b w:val="0"/>
          <w:i w:val="0"/>
          <w:sz w:val="22"/>
        </w:rPr>
        <w:t>Table 1 was modified in Round 1 to add source citations to every cell (e.g., "[51], [61], [62]" for the Technical-Only row, "[64], [65], [66]" for the Economic-Only row, "[52], [54], [59], [60]" for the Company Case Studies row, and "[34], [45], [47], [71]" for the Equipment-Centric row). See change-log row T-01.</w:t>
      </w:r>
    </w:p>
    <w:p>
      <w:pPr>
        <w:keepNext/>
        <w:spacing w:line="360" w:lineRule="auto" w:after="80" w:before="160"/>
      </w:pPr>
      <w:r>
        <w:rPr>
          <w:b/>
          <w:i w:val="0"/>
          <w:sz w:val="24"/>
        </w:rPr>
        <w:t>Table 5 / Table 7</w:t>
      </w:r>
    </w:p>
    <w:p>
      <w:pPr>
        <w:keepNext w:val="0"/>
        <w:spacing w:line="360" w:lineRule="auto" w:after="160" w:before="0"/>
        <w:jc w:val="both"/>
      </w:pPr>
      <w:r>
        <w:rPr>
          <w:b w:val="0"/>
          <w:i w:val="0"/>
          <w:sz w:val="22"/>
        </w:rPr>
        <w:t>Tables 5 and 7 were modified in Round 1 to align capital costs and LCOE figures with IRENA 2024 (ref [16]) for installed-cost benchmarks ($691/kW solar, $1,041/kW wind, $192/kWh BESS installed) and with Lazard 2025 LCOE+ (ref [170]) for LCOE ranges ($43/MWh solar LCOE, $34/MWh wind LCOE). Table 7 also classifies each row as "Unfirmed Generation", "Partially Firmed Hybrid", or "Firm Delivered Service". See change-log rows T-03, T-05, N-16.</w:t>
      </w:r>
    </w:p>
    <w:p>
      <w:r>
        <w:br w:type="page"/>
      </w:r>
    </w:p>
    <w:p>
      <w:pPr>
        <w:keepNext/>
        <w:spacing w:line="360" w:lineRule="auto" w:after="160" w:before="360"/>
      </w:pPr>
      <w:r>
        <w:rPr>
          <w:b/>
          <w:i w:val="0"/>
          <w:sz w:val="32"/>
        </w:rPr>
        <w:t>Section 6. Verification Checklist</w:t>
      </w:r>
    </w:p>
    <w:p>
      <w:pPr>
        <w:keepNext w:val="0"/>
        <w:spacing w:line="360" w:lineRule="auto" w:after="160" w:before="0"/>
        <w:jc w:val="both"/>
      </w:pPr>
      <w:r>
        <w:rPr>
          <w:b w:val="0"/>
          <w:i w:val="0"/>
          <w:sz w:val="22"/>
        </w:rPr>
        <w:t>The verification checklist below confirms that every item raised by the reviewer has been addressed across the two revision rounds. The "Item" column lists each verification item; the "Status" column shows whether the item has been addressed (✓) or is outstanding (✗). All items are marked ✓ in the clean revised manuscript.</w:t>
      </w:r>
    </w:p>
    <w:tbl>
      <w:tblPr>
        <w:tblW w:type="auto" w:w="0"/>
        <w:jc w:val="center"/>
        <w:tblLayout w:type="fixed"/>
        <w:tblLook w:firstColumn="1" w:firstRow="1" w:lastColumn="0" w:lastRow="0" w:noHBand="0" w:noVBand="1" w:val="04A0"/>
        <w:tblLayout w:type="fixed"/>
      </w:tblPr>
      <w:tblGrid>
        <w:gridCol w:w="4819"/>
        <w:gridCol w:w="4819"/>
      </w:tblGrid>
      <w:tr>
        <w:trPr>
          <w:tblHeader w:val="true"/>
        </w:trPr>
        <w:tc>
          <w:tcPr>
            <w:tcW w:type="dxa" w:w="4819"/>
            <w:tcW w:w="7938" w:type="dxa"/>
            <w:shd w:val="clear" w:color="auto" w:fill="F2F2F2"/>
          </w:tcPr>
          <w:p>
            <w:pPr>
              <w:spacing w:after="40" w:before="40" w:line="276" w:lineRule="auto"/>
              <w:jc w:val="left"/>
            </w:pPr>
            <w:r>
              <w:rPr>
                <w:b/>
                <w:i w:val="0"/>
                <w:sz w:val="20"/>
              </w:rPr>
              <w:t>Item</w:t>
            </w:r>
          </w:p>
        </w:tc>
        <w:tc>
          <w:tcPr>
            <w:tcW w:type="dxa" w:w="4819"/>
            <w:tcW w:w="1701" w:type="dxa"/>
            <w:shd w:val="clear" w:color="auto" w:fill="F2F2F2"/>
          </w:tcPr>
          <w:p>
            <w:pPr>
              <w:spacing w:after="40" w:before="40" w:line="276" w:lineRule="auto"/>
              <w:jc w:val="center"/>
            </w:pPr>
            <w:r>
              <w:rPr>
                <w:b/>
                <w:i w:val="0"/>
                <w:sz w:val="20"/>
              </w:rPr>
              <w:t>Status ✓/✗</w:t>
            </w:r>
          </w:p>
        </w:tc>
      </w:tr>
      <w:tr>
        <w:trPr>
          <w:cantSplit w:val="false"/>
        </w:trPr>
        <w:tc>
          <w:tcPr>
            <w:tcW w:type="dxa" w:w="4819"/>
            <w:tcW w:w="7938" w:type="dxa"/>
            <w:vAlign w:val="top"/>
          </w:tcPr>
          <w:p>
            <w:pPr>
              <w:spacing w:after="40" w:before="40" w:line="276" w:lineRule="auto"/>
              <w:jc w:val="left"/>
            </w:pPr>
            <w:r>
              <w:rPr>
                <w:b w:val="0"/>
                <w:i w:val="0"/>
                <w:sz w:val="20"/>
              </w:rPr>
              <w:t>All 29 reviewer comments addressed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All 3 typos fixed (data canters, Charactersitics, Colling)</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All 4 leftover editorial comments removed from Tables 6, 7, 9, 10</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"REMAKE THIS DIAGRAM" note removed from Section 1.6.3</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Google CFE 66% vs 64% inconsistency resolved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Duplicate reference [39]=[58] removed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Section 5 Heading 1 style restored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Heading style unified (Heading 1) across Sections 1–15</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Section 13 "Limitation" → "Limitations" (plural)</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Nomenclature section added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CRediT statement added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COI declaration added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Funding statement added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Data availability statement added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GenAI declaration added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Highlights added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Figure captions 2–10 source lines added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Table captions 1–10 source lines added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Figure 7 (modelling output) addressed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Figure 4 site/data source/years added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Reference list in Elsevier numbered style</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Currency format standardized ($X/MWh, $X/kW, $X/kWh, $X/MW-day)</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US spelling standardized</w:t>
            </w:r>
          </w:p>
        </w:tc>
        <w:tc>
          <w:tcPr>
            <w:tcW w:type="dxa" w:w="4819"/>
            <w:tcW w:w="1701" w:type="dxa"/>
            <w:vAlign w:val="center"/>
          </w:tcPr>
          <w:p>
            <w:pPr>
              <w:spacing w:after="40" w:before="40" w:line="276" w:lineRule="auto"/>
              <w:jc w:val="center"/>
            </w:pPr>
            <w:r>
              <w:rPr>
                <w:b/>
                <w:i w:val="0"/>
                <w:sz w:val="24"/>
              </w:rPr>
              <w:t>✓</w:t>
            </w:r>
          </w:p>
        </w:tc>
      </w:tr>
      <w:tr>
        <w:trPr>
          <w:cantSplit w:val="false"/>
        </w:trPr>
        <w:tc>
          <w:tcPr>
            <w:tcW w:type="dxa" w:w="4819"/>
            <w:tcW w:w="7938" w:type="dxa"/>
            <w:vAlign w:val="top"/>
          </w:tcPr>
          <w:p>
            <w:pPr>
              <w:spacing w:after="40" w:before="40" w:line="276" w:lineRule="auto"/>
              <w:jc w:val="left"/>
            </w:pPr>
            <w:r>
              <w:rPr>
                <w:b w:val="0"/>
                <w:i w:val="0"/>
                <w:sz w:val="20"/>
              </w:rPr>
              <w:t>Critical Appraisal paragraphs added to address title-content alignment</w:t>
            </w:r>
          </w:p>
        </w:tc>
        <w:tc>
          <w:tcPr>
            <w:tcW w:type="dxa" w:w="4819"/>
            <w:tcW w:w="1701" w:type="dxa"/>
            <w:vAlign w:val="center"/>
          </w:tcPr>
          <w:p>
            <w:pPr>
              <w:spacing w:after="40" w:before="40" w:line="276" w:lineRule="auto"/>
              <w:jc w:val="center"/>
            </w:pPr>
            <w:r>
              <w:rPr>
                <w:b/>
                <w:i w:val="0"/>
                <w:sz w:val="24"/>
              </w:rPr>
              <w:t>✓</w:t>
            </w:r>
          </w:p>
        </w:tc>
      </w:tr>
    </w:tbl>
    <w:p>
      <w:pPr>
        <w:keepNext w:val="0"/>
        <w:spacing w:line="360" w:lineRule="auto" w:after="80" w:before="0"/>
      </w:pPr>
      <w:r>
        <w:rPr>
          <w:b w:val="0"/>
          <w:i w:val="0"/>
          <w:sz w:val="8"/>
        </w:rPr>
      </w:r>
    </w:p>
    <w:p>
      <w:r>
        <w:br w:type="page"/>
      </w:r>
    </w:p>
    <w:p>
      <w:pPr>
        <w:keepNext/>
        <w:spacing w:line="360" w:lineRule="auto" w:after="160" w:before="360"/>
      </w:pPr>
      <w:r>
        <w:rPr>
          <w:b/>
          <w:i w:val="0"/>
          <w:sz w:val="32"/>
        </w:rPr>
        <w:t>Section 7. References Cited in This Summary</w:t>
      </w:r>
    </w:p>
    <w:p>
      <w:pPr>
        <w:keepNext w:val="0"/>
        <w:spacing w:line="360" w:lineRule="auto" w:after="160" w:before="0"/>
        <w:jc w:val="both"/>
      </w:pPr>
      <w:r>
        <w:rPr>
          <w:b w:val="0"/>
          <w:i w:val="0"/>
          <w:sz w:val="22"/>
        </w:rPr>
        <w:t>The references below are cited in this Tracked-Changes Summary. They are formatted in Elsevier numbered style. The full reference list of the revised manuscript (190 entries) is provided in the manuscript itself.</w:t>
      </w:r>
    </w:p>
    <w:p>
      <w:pPr>
        <w:keepNext w:val="0"/>
        <w:spacing w:line="360" w:lineRule="auto" w:after="80" w:before="0"/>
        <w:ind w:left="425" w:hanging="425"/>
        <w:jc w:val="left"/>
      </w:pPr>
      <w:r>
        <w:rPr>
          <w:b w:val="0"/>
          <w:i w:val="0"/>
          <w:sz w:val="21"/>
        </w:rPr>
        <w:t>[1] M.J. Page, J.E. McKenzie, P.M. Bossuyt, et al., The PRISMA 2020 statement: an updated guideline for reporting systematic reviews, BMJ 372 (2021) n71. https://www.bmj.com/content/372/bmj.n71.</w:t>
      </w:r>
    </w:p>
    <w:p>
      <w:pPr>
        <w:keepNext w:val="0"/>
        <w:spacing w:line="360" w:lineRule="auto" w:after="80" w:before="0"/>
        <w:ind w:left="425" w:hanging="425"/>
        <w:jc w:val="left"/>
      </w:pPr>
      <w:r>
        <w:rPr>
          <w:b w:val="0"/>
          <w:i w:val="0"/>
          <w:sz w:val="21"/>
        </w:rPr>
        <w:t>[2] BloombergNEF, Lithium-ion battery pack prices fall to $108/kWh, stationary storage becomes lowest price segment, December 9, 2025. https://www.bnef.com/ (accessed December 9, 2025).</w:t>
      </w:r>
    </w:p>
    <w:p>
      <w:pPr>
        <w:keepNext w:val="0"/>
        <w:spacing w:line="360" w:lineRule="auto" w:after="80" w:before="0"/>
        <w:ind w:left="425" w:hanging="425"/>
        <w:jc w:val="left"/>
      </w:pPr>
      <w:r>
        <w:rPr>
          <w:b w:val="0"/>
          <w:i w:val="0"/>
          <w:sz w:val="21"/>
        </w:rPr>
        <w:t>[3] Lazard, Lazard's Levelized Cost of Energy+ (LCOE+) v18, June 2025. https://www.lazard.com/research-insights/levelized-cost-of-energyplus-lcoeplus/.</w:t>
      </w:r>
    </w:p>
    <w:p>
      <w:pPr>
        <w:keepNext w:val="0"/>
        <w:spacing w:line="360" w:lineRule="auto" w:after="80" w:before="0"/>
        <w:ind w:left="425" w:hanging="425"/>
        <w:jc w:val="left"/>
      </w:pPr>
      <w:r>
        <w:rPr>
          <w:b w:val="0"/>
          <w:i w:val="0"/>
          <w:sz w:val="21"/>
        </w:rPr>
        <w:t>[4] IRENA, Renewable Power Generation Costs in 2024, June 2025. https://www.irena.org/Publications/2025/Jun/Renewable-Power-Generation-Costs-in-2024.</w:t>
      </w:r>
    </w:p>
    <w:p>
      <w:pPr>
        <w:keepNext w:val="0"/>
        <w:spacing w:line="360" w:lineRule="auto" w:after="80" w:before="0"/>
        <w:ind w:left="425" w:hanging="425"/>
        <w:jc w:val="left"/>
      </w:pPr>
      <w:r>
        <w:rPr>
          <w:b w:val="0"/>
          <w:i w:val="0"/>
          <w:sz w:val="21"/>
        </w:rPr>
        <w:t>[5] Goldman Sachs, The AI Power Surge, February 4, 2025.</w:t>
      </w:r>
    </w:p>
    <w:p>
      <w:pPr>
        <w:keepNext w:val="0"/>
        <w:spacing w:line="360" w:lineRule="auto" w:after="80" w:before="0"/>
        <w:ind w:left="425" w:hanging="425"/>
        <w:jc w:val="left"/>
      </w:pPr>
      <w:r>
        <w:rPr>
          <w:b w:val="0"/>
          <w:i w:val="0"/>
          <w:sz w:val="21"/>
        </w:rPr>
        <w:t>[6] EPRI, Powering AI and Data Centers: Adapting to Surging Electricity Demand, May 28, 2024. https://www.epri.com/.</w:t>
      </w:r>
    </w:p>
    <w:p>
      <w:pPr>
        <w:keepNext w:val="0"/>
        <w:spacing w:line="360" w:lineRule="auto" w:after="80" w:before="0"/>
        <w:ind w:left="425" w:hanging="425"/>
        <w:jc w:val="left"/>
      </w:pPr>
      <w:r>
        <w:rPr>
          <w:b w:val="0"/>
          <w:i w:val="0"/>
          <w:sz w:val="21"/>
        </w:rPr>
        <w:t>[7] IEA, Electricity 2025: Analysis and Forecast to 2027, February 14, 2025. https://www.iea.org/reports/electricity-2025.</w:t>
      </w:r>
    </w:p>
    <w:p>
      <w:pPr>
        <w:keepNext w:val="0"/>
        <w:spacing w:line="360" w:lineRule="auto" w:after="80" w:before="0"/>
        <w:ind w:left="425" w:hanging="425"/>
        <w:jc w:val="left"/>
      </w:pPr>
      <w:r>
        <w:rPr>
          <w:b w:val="0"/>
          <w:i w:val="0"/>
          <w:sz w:val="21"/>
        </w:rPr>
        <w:t>[8] NREL, Annual Technology Baseline (ATB) 2025, July 2025. https://atb.nrel.gov/.</w:t>
      </w:r>
    </w:p>
    <w:p>
      <w:pPr>
        <w:keepNext w:val="0"/>
        <w:spacing w:line="360" w:lineRule="auto" w:after="80" w:before="0"/>
        <w:ind w:left="425" w:hanging="425"/>
        <w:jc w:val="left"/>
      </w:pPr>
      <w:r>
        <w:rPr>
          <w:b w:val="0"/>
          <w:i w:val="0"/>
          <w:sz w:val="21"/>
        </w:rPr>
        <w:t>[9] Uptime Institute, Annual Outage Analysis 2024, 2024. https://uptimeinstitute.com/resources/research-and-reports/annual-outage-analysis-2024.</w:t>
      </w:r>
    </w:p>
    <w:p>
      <w:pPr>
        <w:keepNext w:val="0"/>
        <w:spacing w:line="360" w:lineRule="auto" w:after="80" w:before="0"/>
        <w:ind w:left="425" w:hanging="425"/>
        <w:jc w:val="left"/>
      </w:pPr>
      <w:r>
        <w:rPr>
          <w:b w:val="0"/>
          <w:i w:val="0"/>
          <w:sz w:val="21"/>
        </w:rPr>
        <w:t>[10] LevelTen Energy, North American PPA Price Index Q1 2026, 2026. https://www.leveltenenergy.com/post/levelten-north-american-ppa-price-index-q1-2026.</w:t>
      </w:r>
    </w:p>
    <w:p>
      <w:pPr>
        <w:keepNext w:val="0"/>
        <w:spacing w:line="360" w:lineRule="auto" w:after="80" w:before="0"/>
        <w:ind w:left="425" w:hanging="425"/>
        <w:jc w:val="left"/>
      </w:pPr>
      <w:r>
        <w:rPr>
          <w:b w:val="0"/>
          <w:i w:val="0"/>
          <w:sz w:val="21"/>
        </w:rPr>
        <w:t>[11] Google, 2025 Environmental Report, 2025. https://sustainability.google/reports/google-2025-environmental-report/.</w:t>
      </w:r>
    </w:p>
    <w:p>
      <w:pPr>
        <w:keepNext w:val="0"/>
        <w:spacing w:line="360" w:lineRule="auto" w:after="80" w:before="0"/>
        <w:ind w:left="425" w:hanging="425"/>
        <w:jc w:val="left"/>
      </w:pPr>
      <w:r>
        <w:rPr>
          <w:b w:val="0"/>
          <w:i w:val="0"/>
          <w:sz w:val="21"/>
        </w:rPr>
        <w:t>[12] A. de Vries, The growing energy footprint of artificial intelligence, Joule 7 (11) (2023) 2219–2222. doi:10.1016/j.joule.2023.10.003.</w:t>
      </w:r>
    </w:p>
    <w:p>
      <w:pPr>
        <w:keepNext w:val="0"/>
        <w:spacing w:line="360" w:lineRule="auto" w:after="80" w:before="0"/>
        <w:ind w:left="425" w:hanging="425"/>
        <w:jc w:val="left"/>
      </w:pPr>
      <w:r>
        <w:rPr>
          <w:b w:val="0"/>
          <w:i w:val="0"/>
          <w:sz w:val="21"/>
        </w:rPr>
        <w:t>[13] A.S. Luccioni, J. Viguier, A.-L. Ligozat, Power Hungry Processing: Watts the cost of generative AI?, arXiv:2311.16863, 2024. doi:10.48550/arXiv.2311.16863.</w:t>
      </w:r>
    </w:p>
    <w:p>
      <w:pPr>
        <w:keepNext w:val="0"/>
        <w:spacing w:line="360" w:lineRule="auto" w:after="80" w:before="0"/>
        <w:ind w:left="425" w:hanging="425"/>
        <w:jc w:val="left"/>
      </w:pPr>
      <w:r>
        <w:rPr>
          <w:b w:val="0"/>
          <w:i w:val="0"/>
          <w:sz w:val="21"/>
        </w:rPr>
        <w:t>[14] Congressional Research Service, Powering AI: Data Center Electricity Needs, R48553, 2025. https://crsreports.congress.gov/.</w:t>
      </w:r>
    </w:p>
    <w:p>
      <w:pPr>
        <w:keepNext w:val="0"/>
        <w:spacing w:line="360" w:lineRule="auto" w:after="80" w:before="0"/>
        <w:ind w:left="425" w:hanging="425"/>
        <w:jc w:val="left"/>
      </w:pPr>
      <w:r>
        <w:rPr>
          <w:b w:val="0"/>
          <w:i w:val="0"/>
          <w:sz w:val="21"/>
        </w:rPr>
        <w:t>[15] Microsoft, 2024 Environmental Sustainability Report, 2024. https://www.microsoft.com/en-us/corporate-responsibility/sustainability/report.</w:t>
      </w:r>
    </w:p>
    <w:sectPr w:rsidR="00FC693F" w:rsidRPr="0006063C" w:rsidSect="00034616">
      <w:headerReference w:type="default" r:id="rId9"/>
      <w:footerReference w:type="default" r:id="rId10"/>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20"/>
      </w:rPr>
      <w:t>Tracked-Changes Summary — Energy Infrastructure for AI Data Centers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