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572E" w14:textId="77777777" w:rsidR="00F97477" w:rsidRDefault="00F97477" w:rsidP="004C16FF">
      <w:pPr>
        <w:spacing w:after="200"/>
        <w:jc w:val="center"/>
        <w:rPr>
          <w:b/>
          <w:bCs/>
          <w:color w:val="1A1A2E"/>
          <w:sz w:val="44"/>
          <w:szCs w:val="44"/>
        </w:rPr>
      </w:pPr>
      <w:r w:rsidRPr="00F97477">
        <w:rPr>
          <w:b/>
          <w:bCs/>
          <w:color w:val="1A1A2E"/>
          <w:sz w:val="44"/>
          <w:szCs w:val="44"/>
        </w:rPr>
        <w:t>Energy Infrastructure for AI Data Centers: A Critical Review of Grid Integration, Techno-Economic Challenges, and Future Pathways</w:t>
      </w:r>
    </w:p>
    <w:p w14:paraId="39BF5648" w14:textId="694DAC2F" w:rsidR="00FE013C" w:rsidRPr="009216D3" w:rsidRDefault="009216D3" w:rsidP="009216D3">
      <w:pPr>
        <w:pStyle w:val="AuthorNames"/>
        <w:rPr>
          <w:b w:val="0"/>
          <w:bCs/>
          <w:color w:val="auto"/>
        </w:rPr>
      </w:pPr>
      <w:r w:rsidRPr="009216D3">
        <w:rPr>
          <w:b w:val="0"/>
          <w:bCs/>
          <w:color w:val="auto"/>
        </w:rPr>
        <w:t>Mahmoud Kiasari, Hamed Aly</w:t>
      </w:r>
    </w:p>
    <w:p w14:paraId="401CD877" w14:textId="0B248BBC" w:rsidR="009216D3" w:rsidRPr="009216D3" w:rsidRDefault="009216D3" w:rsidP="009216D3">
      <w:pPr>
        <w:pStyle w:val="AuthorNames"/>
        <w:rPr>
          <w:b w:val="0"/>
          <w:bCs/>
          <w:color w:val="auto"/>
        </w:rPr>
      </w:pPr>
      <w:r w:rsidRPr="009216D3">
        <w:rPr>
          <w:b w:val="0"/>
          <w:bCs/>
          <w:color w:val="auto"/>
        </w:rPr>
        <w:t>Smart grid and Green Power Research Lab, Electrical and Computer Engineering Department, Faculty of Engineering, Dalhousie University, Halifax, Nova Scotia, Canada</w:t>
      </w:r>
    </w:p>
    <w:p w14:paraId="4C36FEDD" w14:textId="2C68D4E3" w:rsidR="00FE013C" w:rsidRPr="005704B6" w:rsidRDefault="009216D3" w:rsidP="009216D3">
      <w:pPr>
        <w:pStyle w:val="Correspondence"/>
        <w:spacing w:before="0" w:after="0"/>
        <w:rPr>
          <w:bCs/>
          <w:color w:val="auto"/>
        </w:rPr>
      </w:pPr>
      <w:hyperlink r:id="rId9" w:history="1">
        <w:r w:rsidRPr="005704B6">
          <w:rPr>
            <w:rStyle w:val="Hyperlink"/>
            <w:bCs/>
          </w:rPr>
          <w:t>Mahmoud.Kiasari@dal.ca</w:t>
        </w:r>
      </w:hyperlink>
      <w:r w:rsidRPr="005704B6">
        <w:rPr>
          <w:bCs/>
          <w:color w:val="auto"/>
        </w:rPr>
        <w:t xml:space="preserve">, </w:t>
      </w:r>
      <w:hyperlink r:id="rId10" w:history="1">
        <w:r w:rsidRPr="005704B6">
          <w:rPr>
            <w:rStyle w:val="Hyperlink"/>
            <w:bCs/>
          </w:rPr>
          <w:t>Hamed.Aly@dal.ca</w:t>
        </w:r>
      </w:hyperlink>
    </w:p>
    <w:p w14:paraId="105E21DD" w14:textId="77777777" w:rsidR="00462E20" w:rsidRDefault="00FE013C" w:rsidP="001B2995">
      <w:pPr>
        <w:pStyle w:val="Text"/>
        <w:rPr>
          <w:color w:val="auto"/>
        </w:rPr>
      </w:pPr>
      <w:r w:rsidRPr="002117F0">
        <w:rPr>
          <w:b/>
          <w:highlight w:val="yellow"/>
        </w:rPr>
        <w:t xml:space="preserve">Abstract: </w:t>
      </w:r>
      <w:r w:rsidR="001B2995" w:rsidRPr="00462E20">
        <w:rPr>
          <w:color w:val="auto"/>
          <w:highlight w:val="yellow"/>
        </w:rPr>
        <w:t xml:space="preserve">Artificial intelligence (AI) workloads are quickly changing the energy landscape of today's data centers, both in terms of total electricity usage and power density at the facility level. The ongoing deployment of large-scale AI training and inference infrastructure is further driving and increasing demand for electrical reliability, cooling capacity, power quality, grid interconnection, and low-carbon electricity supply. These interdependent issues can only be solved with energy-infrastructure planning that takes into consideration renewable energy generation and storage, electrical architecture, operational flexibility, economic performance, and system resilience. The critical review combines 185 sources, mostly published between 2015 and 2026, identified and screened following the PRISMA 2020 guidelines, which includes peer-reviewed journal articles, conference papers, technical standards, agency and institutional reports, market analyses, and corporate disclosure. The resulting evidence is presented in a seven-part decision framework that includes site and resource assessment, technology selection, electrical architecture, control and dispatch, workload flexibility, economic evaluation and resilience and sustainability. The literature surveyed reveals that renewable generation, energy storage, grid-support technologies and flexible computing workloads can help lower-carbon and more flexible AI data-center operations—but the technical and economic potential vary by project-specific conditions. For example, published cost and performance data may have different system boundaries, may be geographically specific, may apply to different vintages of technology, may be based on different financing arrangements, and may come from different reliability assumptions, making it hard to compare directly across studies. The price of a battery pack, therefore, does not equal the full installed battery energy storage system (BESS) price, and generation cost only levelized cost of energy (LCOE) should not be mistaken for the cost of firm or reliable electricity. Likewise, the assurance of the reliability of the system and its storage capacity should be backed by site-specific, chronological evaluations that take into consideration load variations, availability of renewable resources, grid conditions, backup resources, and operational constraints. While the benefits of wind–solar complementarity and flexible usage of AI computing workloads can lower balancing needs and enhance the use of renewables, their size and scope are influenced by a variety of factors and constraints including: temporal resource correlation, network constraints, interconnection constraints, service-level agreements, workload characteristics and temporal or geographic workload shifting technical feasibility. The proposed seven component framework is conceived as a structured screening and decision support framework, rather than as a design methodology, or a specific optimization outcome of the site in question. The review also outlines significant gaps in the research, such as the need for reproducible techno-economic models, independent measurement of corporate performance data, multi-year and more detailed resource </w:t>
      </w:r>
      <w:r w:rsidR="001B2995" w:rsidRPr="00462E20">
        <w:rPr>
          <w:color w:val="auto"/>
          <w:highlight w:val="yellow"/>
        </w:rPr>
        <w:lastRenderedPageBreak/>
        <w:t>evaluations, better characterization of workload flexibility, and holistic energy, water, reliability, and resilience and grid impacts evaluations. Taken together, these results offer a more uniform framework for assessing energy-infrastructure pathways that will be able to sustain the ongoing development of AI data centers, with technical viability, economic transparency, and long-term sustainability.</w:t>
      </w:r>
    </w:p>
    <w:p w14:paraId="3F53CE4A" w14:textId="450949B9" w:rsidR="00FE013C" w:rsidRDefault="00FE013C" w:rsidP="001B2995">
      <w:pPr>
        <w:pStyle w:val="Text"/>
      </w:pPr>
      <w:r>
        <w:rPr>
          <w:b/>
        </w:rPr>
        <w:t xml:space="preserve">Keywords: </w:t>
      </w:r>
      <w:r>
        <w:rPr>
          <w:szCs w:val="24"/>
        </w:rPr>
        <w:t>AI data centers, renewable energy integration, energy storage, microgrid optimization, power system modelling, demand-side management, carbon-free energy, levelized cost of energy</w:t>
      </w:r>
    </w:p>
    <w:p w14:paraId="4B0FB0DC" w14:textId="13FFE478" w:rsidR="00FE013C" w:rsidRDefault="00FE013C" w:rsidP="004C16FF">
      <w:pPr>
        <w:pStyle w:val="Heading10"/>
        <w:jc w:val="both"/>
        <w:rPr>
          <w:color w:val="auto"/>
        </w:rPr>
      </w:pPr>
      <w:r>
        <w:rPr>
          <w:color w:val="auto"/>
          <w:lang w:eastAsia="zh-CN"/>
        </w:rPr>
        <w:t xml:space="preserve">1. </w:t>
      </w:r>
      <w:r>
        <w:rPr>
          <w:color w:val="auto"/>
        </w:rPr>
        <w:t>Introduction</w:t>
      </w:r>
    </w:p>
    <w:p w14:paraId="3400CE5A" w14:textId="77777777" w:rsidR="00FE013C" w:rsidRDefault="00FE013C" w:rsidP="004C16FF">
      <w:pPr>
        <w:pStyle w:val="Heading20"/>
        <w:jc w:val="both"/>
        <w:rPr>
          <w:color w:val="auto"/>
          <w:lang w:val="en-CA"/>
        </w:rPr>
      </w:pPr>
      <w:r w:rsidRPr="00962BDF">
        <w:rPr>
          <w:color w:val="auto"/>
          <w:lang w:val="en-CA"/>
        </w:rPr>
        <w:t>1.1. Global Data Center Energy Consumption an</w:t>
      </w:r>
      <w:r>
        <w:rPr>
          <w:color w:val="auto"/>
          <w:lang w:val="en-CA"/>
        </w:rPr>
        <w:t>d AI workload Growth</w:t>
      </w:r>
    </w:p>
    <w:p w14:paraId="1DF911CA" w14:textId="724ED10E" w:rsidR="00FE013C" w:rsidRPr="00962BDF" w:rsidRDefault="00FE013C" w:rsidP="004C16FF">
      <w:pPr>
        <w:pStyle w:val="Text"/>
        <w:rPr>
          <w:color w:val="auto"/>
        </w:rPr>
      </w:pPr>
      <w:r w:rsidRPr="00962BDF">
        <w:rPr>
          <w:color w:val="auto"/>
        </w:rPr>
        <w:t xml:space="preserve">In the last ten years, the entire digital infrastructure has been </w:t>
      </w:r>
      <w:r w:rsidR="00232D2E" w:rsidRPr="00962BDF">
        <w:rPr>
          <w:color w:val="auto"/>
        </w:rPr>
        <w:t>revolutionized</w:t>
      </w:r>
      <w:r w:rsidRPr="00962BDF">
        <w:rPr>
          <w:color w:val="auto"/>
        </w:rPr>
        <w:t xml:space="preserve">, and the main driver behind this is the explosion of applications based on Artificial Intelligence. Data </w:t>
      </w:r>
      <w:r w:rsidR="00232D2E" w:rsidRPr="00962BDF">
        <w:rPr>
          <w:color w:val="auto"/>
        </w:rPr>
        <w:t>canters</w:t>
      </w:r>
      <w:r w:rsidRPr="00962BDF">
        <w:rPr>
          <w:color w:val="auto"/>
        </w:rPr>
        <w:t xml:space="preserve"> alone are a huge component of this infrastructure and are expected to use approximately 415 TWh of electricity in 2024, which is approximately 1.5% of the world</w:t>
      </w:r>
      <w:r>
        <w:rPr>
          <w:color w:val="auto"/>
        </w:rPr>
        <w:fldChar w:fldCharType="begin"/>
      </w:r>
      <w:r>
        <w:rPr>
          <w:color w:val="auto"/>
        </w:rPr>
        <w:instrText xml:space="preserve"> ADDIN ZOTERO_ITEM CSL_CITATION {"citationID":"FZ6OZSne","properties":{"formattedCitation":"[1], [2]","plainCitation":"[1], [2]","noteIndex":0},"citationItems":[{"id":1889,"uris":["http://zotero.org/users/9870935/items/TZ76RS7G"],"itemData":{"id":1889,"type":"post-weblog","title":"Data Centres and Data Transmission Networks","URL":"https://www.iea.org/energy-system/buildings/data-centres-and-data-transmission-networks","author":[{"family":"IEA","given":""}]}},{"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Pr>
          <w:color w:val="auto"/>
        </w:rPr>
        <w:fldChar w:fldCharType="separate"/>
      </w:r>
      <w:r w:rsidRPr="000C3F0F">
        <w:t>[1], [2]</w:t>
      </w:r>
      <w:r>
        <w:rPr>
          <w:color w:val="auto"/>
        </w:rPr>
        <w:fldChar w:fldCharType="end"/>
      </w:r>
      <w:r w:rsidRPr="00962BDF">
        <w:rPr>
          <w:color w:val="auto"/>
        </w:rPr>
        <w:t xml:space="preserve">. According to the International Energy Agency (IEA), this consumption may grow to 945 TWh by 2030 based on current growth rates, mainly because of the training and inferring workloads of AI </w:t>
      </w:r>
      <w:bookmarkStart w:id="0" w:name="ZOTERO_BREF_H70vUx20hBhO"/>
      <w:r w:rsidRPr="00962BDF">
        <w:rPr>
          <w:color w:val="auto"/>
        </w:rPr>
        <w:t>models</w:t>
      </w:r>
      <w:bookmarkEnd w:id="0"/>
      <w:r>
        <w:rPr>
          <w:color w:val="auto"/>
        </w:rPr>
        <w:fldChar w:fldCharType="begin"/>
      </w:r>
      <w:r>
        <w:rPr>
          <w:color w:val="auto"/>
        </w:rPr>
        <w:instrText xml:space="preserve"> ADDIN ZOTERO_ITEM CSL_CITATION {"citationID":"FQVAVlET","properties":{"formattedCitation":"[3]","plainCitation":"[3]","noteIndex":0},"citationItems":[{"id":1891,"uris":["http://zotero.org/users/9870935/items/Y726ZSXQ"],"itemData":{"id":1891,"type":"post-weblog","title":"Energy and AI","URL":"https://www.iea.org/reports/energy-and-ai","author":[{"family":"IEA","given":""}],"accessed":{"date-parts":[["2025",4,10]]}}}],"schema":"https://github.com/citation-style-language/schema/raw/master/csl-citation.json"} </w:instrText>
      </w:r>
      <w:r>
        <w:rPr>
          <w:color w:val="auto"/>
        </w:rPr>
        <w:fldChar w:fldCharType="separate"/>
      </w:r>
      <w:r w:rsidRPr="00AE6A99">
        <w:t>[3]</w:t>
      </w:r>
      <w:r>
        <w:rPr>
          <w:color w:val="auto"/>
        </w:rPr>
        <w:fldChar w:fldCharType="end"/>
      </w:r>
      <w:r w:rsidRPr="00962BDF">
        <w:rPr>
          <w:color w:val="auto"/>
        </w:rPr>
        <w:t xml:space="preserve">. This is a staggering leap, feeding the electricity use of a of Japan into the global grid in just six years, and shows how critical it is to move towards sustainable energy solutions in data </w:t>
      </w:r>
      <w:r w:rsidR="00232D2E" w:rsidRPr="00962BDF">
        <w:rPr>
          <w:color w:val="auto"/>
        </w:rPr>
        <w:t>center</w:t>
      </w:r>
      <w:r w:rsidRPr="00962BDF">
        <w:rPr>
          <w:color w:val="auto"/>
        </w:rPr>
        <w:t xml:space="preserve"> operations.</w:t>
      </w:r>
    </w:p>
    <w:p w14:paraId="772C239C" w14:textId="6E6C0D0C" w:rsidR="00FE013C" w:rsidRDefault="00FE013C" w:rsidP="0095647B">
      <w:pPr>
        <w:pStyle w:val="Text"/>
        <w:rPr>
          <w:color w:val="auto"/>
        </w:rPr>
      </w:pPr>
      <w:r w:rsidRPr="00962BDF">
        <w:rPr>
          <w:color w:val="auto"/>
        </w:rPr>
        <w:t>This challenge is evident in the energy consumption of specific AI models. To train GPT-3, a 175-billion-parameter language model developed by OpenAI, approximately 1,287 MWh of electricity was required, which corresponds to an estimated CO</w:t>
      </w:r>
      <w:r w:rsidRPr="00926B18">
        <w:rPr>
          <w:color w:val="auto"/>
          <w:vertAlign w:val="subscript"/>
        </w:rPr>
        <w:t>2</w:t>
      </w:r>
      <w:r w:rsidRPr="00962BDF">
        <w:rPr>
          <w:color w:val="auto"/>
        </w:rPr>
        <w:t xml:space="preserve"> equivalent emission of 552 </w:t>
      </w:r>
      <w:r w:rsidR="00AF78BE">
        <w:rPr>
          <w:color w:val="auto"/>
        </w:rPr>
        <w:t xml:space="preserve">metric </w:t>
      </w:r>
      <w:r w:rsidR="00B34E65" w:rsidRPr="00962BDF">
        <w:rPr>
          <w:color w:val="auto"/>
        </w:rPr>
        <w:t>tons</w:t>
      </w:r>
      <w:r>
        <w:rPr>
          <w:color w:val="auto"/>
        </w:rPr>
        <w:fldChar w:fldCharType="begin"/>
      </w:r>
      <w:r>
        <w:rPr>
          <w:color w:val="auto"/>
        </w:rPr>
        <w:instrText xml:space="preserve"> ADDIN ZOTERO_ITEM CSL_CITATION {"citationID":"bMaUHCAr","properties":{"formattedCitation":"[4], [5]","plainCitation":"[4], [5]","noteIndex":0},"citationItems":[{"id":1900,"uris":["http://zotero.org/users/9870935/items/IDZTTL47"],"itemData":{"id":1900,"type":"article","abstract":"The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1901,"uris":["http://zotero.org/users/9870935/items/TV95D224"],"itemData":{"id":1901,"type":"article","abstract":"Recent progress in hardware and methodology for training neural networks has ushered in a new generation of large networks trained on abundant data. These models have obtained notable gains in accuracy across many NLP tasks. However, these accuracy improvements depend on the availability of exceptionally large computational resources that necessitate similarly substantial energy consumption. As a result these models are costly to train and develop, both financially, due to the cost of hardware and electricity or cloud compute time, and environmentally, due to the carbon footprint required to fuel modern tensor processing hardware. In this paper we bring this issue to the attention of NLP researchers by quantifying the approximate financial and environmental costs of training a variety of recently successful neural network models for NLP. Based on these findings, we propose actionable recommendations to reduce costs and improve equity in NLP research and practice.","DOI":"10.48550/ARXIV.1906.02243","license":"arXiv.org perpetual, non-exclusive license","note":"version: 1","publisher":"arXiv","source":"DOI.org (Datacite)","title":"Energy and Policy Considerations for Deep Learning in NLP","URL":"https://arxiv.org/abs/1906.02243","author":[{"family":"Strubell","given":"Emma"},{"family":"Ganesh","given":"Ananya"},{"family":"McCallum","given":"Andrew"}],"accessed":{"date-parts":[["2026",5,10]]},"issued":{"date-parts":[["2019"]]}}}],"schema":"https://github.com/citation-style-language/schema/raw/master/csl-citation.json"} </w:instrText>
      </w:r>
      <w:r>
        <w:rPr>
          <w:color w:val="auto"/>
        </w:rPr>
        <w:fldChar w:fldCharType="separate"/>
      </w:r>
      <w:r w:rsidRPr="00AA4E78">
        <w:t>[4], [5]</w:t>
      </w:r>
      <w:r>
        <w:rPr>
          <w:color w:val="auto"/>
        </w:rPr>
        <w:fldChar w:fldCharType="end"/>
      </w:r>
      <w:r w:rsidRPr="00962BDF">
        <w:rPr>
          <w:color w:val="auto"/>
        </w:rPr>
        <w:t xml:space="preserve">. The next GPT, with significantly more parameters, would have an even greater energy cost. Exact numbers are still proprietary, but such a model would likely be even more costly on a per-use basis. The model called </w:t>
      </w:r>
      <w:bookmarkStart w:id="1" w:name="ZOTERO_BREF_wu8OLmHyuqzg"/>
      <w:r w:rsidRPr="00962BDF">
        <w:rPr>
          <w:color w:val="auto"/>
        </w:rPr>
        <w:t>BLOOM</w:t>
      </w:r>
      <w:r w:rsidRPr="00F65F01">
        <w:t xml:space="preserve"> </w:t>
      </w:r>
      <w:bookmarkEnd w:id="1"/>
      <w:r>
        <w:fldChar w:fldCharType="begin"/>
      </w:r>
      <w:r>
        <w:instrText xml:space="preserve"> ADDIN ZOTERO_ITEM CSL_CITATION {"citationID":"c8vEVAQa","properties":{"formattedCitation":"[6]","plainCitation":"[6]","noteIndex":0},"citationItems":[{"id":1903,"uris":["http://zotero.org/users/9870935/items/QAA9ZM27"],"itemData":{"id":1903,"type":"article-journal","container-title":"Resources, Conservation and Recycling","DOI":"10.1016/j.resconrec.2025.108670","ISSN":"09213449","journalAbbreviation":"Resources, Conservation and Recycling","language":"en","page":"108670","source":"DOI.org (Crossref)","title":"Assessing the carbon footprint of language models: Towards sustainability in AI","title-short":"Assessing the carbon footprint of language models","volume":"226","author":[{"family":"Jeanquartier","given":"Fleur"},{"family":"Jean-Quartier","given":"Claire"},{"family":"Rieder","given":"Paul"},{"family":"Misirlić","given":"Vedad"},{"family":"Pasero","given":"Christian"},{"family":"Hohensinner","given":"Richard"},{"family":"Müller","given":"Heimo"},{"family":"Holzinger","given":"Andreas"}],"issued":{"date-parts":[["2026",2]]}}}],"schema":"https://github.com/citation-style-language/schema/raw/master/csl-citation.json"} </w:instrText>
      </w:r>
      <w:r>
        <w:fldChar w:fldCharType="separate"/>
      </w:r>
      <w:r w:rsidRPr="00F76513">
        <w:t>[6]</w:t>
      </w:r>
      <w:r>
        <w:fldChar w:fldCharType="end"/>
      </w:r>
      <w:r w:rsidRPr="00962BDF">
        <w:rPr>
          <w:color w:val="auto"/>
        </w:rPr>
        <w:t xml:space="preserve"> is an open-source model consisting of 176 billion parameters that took approximately 433 MWh in training. These are the numbers of single training events; the total amount of energy used by constant inferences per year to serve billions of user queries is much higher than the training energy. </w:t>
      </w:r>
      <w:r w:rsidR="009A7CA8" w:rsidRPr="00161993">
        <w:rPr>
          <w:color w:val="auto"/>
          <w:highlight w:val="yellow"/>
          <w:lang w:val="en-CA"/>
        </w:rPr>
        <w:t>Recent studies have highlighted that the cumulative energy demand associated with large-scale inference workloads can be substantial because even modest per-query electricity consumption becomes significant when deployed across millions of daily requests</w:t>
      </w:r>
      <w:r w:rsidRPr="00161993">
        <w:rPr>
          <w:color w:val="auto"/>
          <w:highlight w:val="yellow"/>
        </w:rPr>
        <w:fldChar w:fldCharType="begin"/>
      </w:r>
      <w:r w:rsidRPr="00161993">
        <w:rPr>
          <w:color w:val="auto"/>
          <w:highlight w:val="yellow"/>
        </w:rPr>
        <w:instrText xml:space="preserve"> ADDIN ZOTERO_ITEM CSL_CITATION {"citationID":"9bnS3cRe","properties":{"formattedCitation":"[7]","plainCitation":"[7]","noteIndex":0},"citationItems":[{"id":1904,"uris":["http://zotero.org/users/9870935/items/NXPFN7GH"],"itemData":{"id":1904,"type":"article","abstract":"Large Language Models (LLMs) have recently shown remarkable capabilities in various software engineering tasks, spurring the rapid growth of the Large Language Models for Software Engineering (LLM4SE) area. However, limited attention has been paid to developing efficient LLM4SE techniques that demand minimal computational cost, time, and memory resources, as well as green LLM4SE solutions that reduce energy consumption, water usage, and carbon emissions. This paper aims to redirect the focus of the research community towards the efficiency and greenness of LLM4SE, while also sharing potential research directions to achieve this goal. It commences with a brief overview of the significance of LLM4SE and highlights the need for efficient and green LLM4SE solutions. Subsequently, the paper presents a vision for a future where efficient and green LLM4SE revolutionizes the LLM-based software engineering tool landscape, benefiting various stakeholders, including industry, individual practitioners, and society. The paper then delineates a roadmap for future research, outlining specific research paths and potential solutions for the research community to pursue. While not intended to be a definitive guide, the paper aims to inspire further progress, with the ultimate goal of establishing efficient and green LLM4SE as a central element in the future of software engineering.","DOI":"10.48550/arXiv.2404.04566","note":"arXiv:2404.04566 [cs]","number":"arXiv:2404.04566","publisher":"arXiv","source":"arXiv.org","title":"Efficient and Green Large Language Models for Software Engineering: Literature Review, Vision, and the Road Ahead","title-short":"Efficient and Green Large Language Models for Software Engineering","URL":"http://arxiv.org/abs/2404.04566","author":[{"family":"Shi","given":"Jieke"},{"family":"Yang","given":"Zhou"},{"family":"Lo","given":"David"}],"accessed":{"date-parts":[["2026",5,10]]},"issued":{"date-parts":[["2024",12,4]]}}}],"schema":"https://github.com/citation-style-language/schema/raw/master/csl-citation.json"} </w:instrText>
      </w:r>
      <w:r w:rsidRPr="00161993">
        <w:rPr>
          <w:color w:val="auto"/>
          <w:highlight w:val="yellow"/>
        </w:rPr>
        <w:fldChar w:fldCharType="separate"/>
      </w:r>
      <w:r w:rsidRPr="00161993">
        <w:rPr>
          <w:highlight w:val="yellow"/>
        </w:rPr>
        <w:t>[7]</w:t>
      </w:r>
      <w:r w:rsidRPr="00161993">
        <w:rPr>
          <w:color w:val="auto"/>
          <w:highlight w:val="yellow"/>
        </w:rPr>
        <w:fldChar w:fldCharType="end"/>
      </w:r>
      <w:r w:rsidRPr="00161993">
        <w:rPr>
          <w:color w:val="auto"/>
          <w:highlight w:val="yellow"/>
        </w:rPr>
        <w:t>.</w:t>
      </w:r>
    </w:p>
    <w:p w14:paraId="1E5549E4" w14:textId="32F3F3B5" w:rsidR="00FE013C" w:rsidRPr="00394BC1" w:rsidRDefault="00FE013C" w:rsidP="00394BC1">
      <w:pPr>
        <w:pStyle w:val="Text"/>
        <w:rPr>
          <w:color w:val="auto"/>
        </w:rPr>
      </w:pPr>
      <w:r w:rsidRPr="00291195">
        <w:rPr>
          <w:color w:val="auto"/>
          <w:highlight w:val="yellow"/>
        </w:rPr>
        <w:t xml:space="preserve">One of the biggest tipping points in electricity demand growth since the electrification of industry will come with AI, with one research group estimating </w:t>
      </w:r>
      <w:r w:rsidR="00C45F8A">
        <w:rPr>
          <w:color w:val="auto"/>
          <w:highlight w:val="yellow"/>
        </w:rPr>
        <w:fldChar w:fldCharType="begin"/>
      </w:r>
      <w:r w:rsidR="00C3721E">
        <w:rPr>
          <w:color w:val="auto"/>
          <w:highlight w:val="yellow"/>
        </w:rPr>
        <w:instrText xml:space="preserve"> ADDIN ZOTERO_ITEM CSL_CITATION {"citationID":"HyNyi62K","properties":{"unsorted":false,"formattedCitation":"[8]","plainCitation":"[8]","noteIndex":0},"citationItems":[{"id":2736,"uris":["http://zotero.org/users/9870935/items/FUHMRW27"],"itemData":{"id":2736,"type":"post-weblog","title":"Goldman Sachs Research","URL":"https://www.goldmansachs.com/insights/articles/ai-to-drive-165-increase-in-data-center-power-demand-by-2030","author":[{"literal":"Goldman Sacho"}]}}],"schema":"https://github.com/citation-style-language/schema/raw/master/csl-citation.json"} </w:instrText>
      </w:r>
      <w:r w:rsidR="00C45F8A">
        <w:rPr>
          <w:color w:val="auto"/>
          <w:highlight w:val="yellow"/>
        </w:rPr>
        <w:fldChar w:fldCharType="separate"/>
      </w:r>
      <w:r w:rsidR="00C45F8A" w:rsidRPr="00C45F8A">
        <w:rPr>
          <w:highlight w:val="yellow"/>
        </w:rPr>
        <w:t>[8]</w:t>
      </w:r>
      <w:r w:rsidR="00C45F8A">
        <w:rPr>
          <w:color w:val="auto"/>
          <w:highlight w:val="yellow"/>
        </w:rPr>
        <w:fldChar w:fldCharType="end"/>
      </w:r>
      <w:r w:rsidRPr="00291195">
        <w:rPr>
          <w:color w:val="auto"/>
          <w:highlight w:val="yellow"/>
        </w:rPr>
        <w:t xml:space="preserve"> </w:t>
      </w:r>
      <w:r w:rsidR="00291195">
        <w:rPr>
          <w:color w:val="auto"/>
          <w:highlight w:val="yellow"/>
        </w:rPr>
        <w:t>that</w:t>
      </w:r>
      <w:r w:rsidR="00FA40BC" w:rsidRPr="00291195">
        <w:rPr>
          <w:color w:val="auto"/>
          <w:highlight w:val="yellow"/>
          <w:lang w:val="en-CA"/>
        </w:rPr>
        <w:t xml:space="preserve"> data-center electricity demand could increase by approximately 165% between 2024 and 2030, although the magnitude and geographic distribution of this growth remain uncertain</w:t>
      </w:r>
      <w:r w:rsidRPr="00291195">
        <w:rPr>
          <w:color w:val="auto"/>
          <w:highlight w:val="yellow"/>
        </w:rPr>
        <w:t>.</w:t>
      </w:r>
      <w:r>
        <w:rPr>
          <w:color w:val="auto"/>
        </w:rPr>
        <w:t xml:space="preserve"> </w:t>
      </w:r>
      <w:r w:rsidRPr="007B5EF9">
        <w:rPr>
          <w:color w:val="auto"/>
        </w:rPr>
        <w:t>However, the Power Usage Effectiveness (PUE) of the surveyed locations did not show any significant gains in efficiency as measured by PUE,</w:t>
      </w:r>
      <w:r>
        <w:rPr>
          <w:color w:val="auto"/>
        </w:rPr>
        <w:t xml:space="preserve"> </w:t>
      </w:r>
      <w:r w:rsidRPr="007B5EF9">
        <w:rPr>
          <w:color w:val="auto"/>
        </w:rPr>
        <w:t xml:space="preserve">according to the Uptime Institute 2024 Global Data Center </w:t>
      </w:r>
      <w:bookmarkStart w:id="2" w:name="ZOTERO_BREF_VzOpl4gXp4N6"/>
      <w:r w:rsidRPr="007B5EF9">
        <w:rPr>
          <w:color w:val="auto"/>
        </w:rPr>
        <w:t>Survey</w:t>
      </w:r>
      <w:bookmarkEnd w:id="2"/>
      <w:r>
        <w:rPr>
          <w:color w:val="auto"/>
        </w:rPr>
        <w:fldChar w:fldCharType="begin"/>
      </w:r>
      <w:r>
        <w:rPr>
          <w:color w:val="auto"/>
        </w:rPr>
        <w:instrText xml:space="preserve"> ADDIN ZOTERO_ITEM CSL_CITATION {"citationID":"rwRbst5Q","properties":{"formattedCitation":"[9]","plainCitation":"[9]","noteIndex":0},"citationItems":[{"id":1912,"uris":["http://zotero.org/users/9870935/items/YDR6GAHQ"],"itemData":{"id":1912,"type":"article-journal","language":"en","source":"Zotero","title":"Uptime Institute Global Data Center Survey 2024","URL":"https://uptimeinstitute.com/resources/research-and-reports/uptime-institute-global-data-center-survey-results-2024","author":[{"family":"Donnellan","given":"Douglas"},{"family":"Lawrence","given":"Andy"},{"family":"Bizo","given":"Daniel"},{"family":"Judge","given":"Peter"},{"family":"O’Brien","given":"John"},{"family":"Davis","given":"Jacqueline"},{"family":"Smolaks","given":"Max"},{"family":"Williams-George","given":"Jabari"},{"family":"Weinschenk","given":"Rose"}],"issued":{"date-parts":[["2024"]]}}}],"schema":"https://github.com/citation-style-language/schema/raw/master/csl-citation.json"} </w:instrText>
      </w:r>
      <w:r>
        <w:rPr>
          <w:color w:val="auto"/>
        </w:rPr>
        <w:fldChar w:fldCharType="separate"/>
      </w:r>
      <w:r w:rsidRPr="00341E54">
        <w:t>[9]</w:t>
      </w:r>
      <w:r>
        <w:rPr>
          <w:color w:val="auto"/>
        </w:rPr>
        <w:fldChar w:fldCharType="end"/>
      </w:r>
      <w:r w:rsidRPr="007B5EF9">
        <w:rPr>
          <w:color w:val="auto"/>
        </w:rPr>
        <w:t xml:space="preserve">. </w:t>
      </w:r>
      <w:r w:rsidRPr="00653055">
        <w:rPr>
          <w:color w:val="auto"/>
        </w:rPr>
        <w:t xml:space="preserve">Meanwhile, AI-specific accelerators, such as the NVIDIA H100 GPU, with a thermal design power (TDP) of up to 700 watts per unit, are pushing the compute density to levels that challenge conventional cooling and power delivery </w:t>
      </w:r>
      <w:bookmarkStart w:id="3" w:name="ZOTERO_BREF_Q2km8TRZH2ar"/>
      <w:r w:rsidRPr="00653055">
        <w:rPr>
          <w:color w:val="auto"/>
        </w:rPr>
        <w:t>architectures</w:t>
      </w:r>
      <w:bookmarkEnd w:id="3"/>
      <w:r>
        <w:rPr>
          <w:color w:val="auto"/>
        </w:rPr>
        <w:fldChar w:fldCharType="begin"/>
      </w:r>
      <w:r>
        <w:rPr>
          <w:color w:val="auto"/>
        </w:rPr>
        <w:instrText xml:space="preserve"> ADDIN ZOTERO_ITEM CSL_CITATION {"citationID":"02xLPkbf","properties":{"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rPr>
          <w:color w:val="auto"/>
        </w:rPr>
        <w:fldChar w:fldCharType="separate"/>
      </w:r>
      <w:r w:rsidRPr="00394BC1">
        <w:rPr>
          <w:color w:val="auto"/>
        </w:rPr>
        <w:t>[10]</w:t>
      </w:r>
      <w:r>
        <w:rPr>
          <w:color w:val="auto"/>
        </w:rPr>
        <w:fldChar w:fldCharType="end"/>
      </w:r>
      <w:r w:rsidRPr="00653055">
        <w:rPr>
          <w:color w:val="auto"/>
        </w:rPr>
        <w:t>.</w:t>
      </w:r>
      <w:r>
        <w:rPr>
          <w:color w:val="auto"/>
        </w:rPr>
        <w:t xml:space="preserve"> </w:t>
      </w:r>
      <w:r w:rsidR="00D13309">
        <w:rPr>
          <w:color w:val="auto"/>
        </w:rPr>
        <w:fldChar w:fldCharType="begin"/>
      </w:r>
      <w:r w:rsidR="00D13309">
        <w:rPr>
          <w:color w:val="auto"/>
        </w:rPr>
        <w:instrText xml:space="preserve"> REF _Ref239528987 \h </w:instrText>
      </w:r>
      <w:r w:rsidR="00D13309">
        <w:rPr>
          <w:color w:val="auto"/>
        </w:rPr>
      </w:r>
      <w:r w:rsidR="00D13309">
        <w:rPr>
          <w:color w:val="auto"/>
        </w:rPr>
        <w:fldChar w:fldCharType="separate"/>
      </w:r>
      <w:r w:rsidR="00D13309">
        <w:t xml:space="preserve">Figure </w:t>
      </w:r>
      <w:r w:rsidR="00D13309">
        <w:rPr>
          <w:noProof/>
        </w:rPr>
        <w:t>1</w:t>
      </w:r>
      <w:r w:rsidR="00D13309">
        <w:t xml:space="preserve"> </w:t>
      </w:r>
      <w:r w:rsidR="00D13309" w:rsidRPr="008451C0">
        <w:t>Global data center electricity consumption and projections (2015–2030). Source: IEA, 2025</w:t>
      </w:r>
      <w:r w:rsidR="00D13309">
        <w:rPr>
          <w:color w:val="auto"/>
        </w:rPr>
        <w:fldChar w:fldCharType="end"/>
      </w:r>
      <w:r w:rsidR="00D13309">
        <w:rPr>
          <w:color w:val="auto"/>
        </w:rPr>
        <w:t xml:space="preserve">, </w:t>
      </w:r>
      <w:r w:rsidR="00C45F8A" w:rsidRPr="00394BC1">
        <w:rPr>
          <w:color w:val="auto"/>
        </w:rPr>
        <w:t>summarizes historical global data-center electricity</w:t>
      </w:r>
      <w:r w:rsidR="00394BC1">
        <w:rPr>
          <w:color w:val="auto"/>
        </w:rPr>
        <w:t xml:space="preserve"> </w:t>
      </w:r>
      <w:r w:rsidR="00C45F8A" w:rsidRPr="00394BC1">
        <w:rPr>
          <w:color w:val="auto"/>
        </w:rPr>
        <w:t>consumption and the projected increase through 2030,</w:t>
      </w:r>
      <w:r w:rsidR="00394BC1">
        <w:rPr>
          <w:color w:val="auto"/>
        </w:rPr>
        <w:t xml:space="preserve"> </w:t>
      </w:r>
      <w:r w:rsidR="00C45F8A" w:rsidRPr="00394BC1">
        <w:rPr>
          <w:color w:val="auto"/>
        </w:rPr>
        <w:t>illustrating the scale of the electricity-demand challenge</w:t>
      </w:r>
      <w:r w:rsidR="00394BC1">
        <w:rPr>
          <w:color w:val="auto"/>
        </w:rPr>
        <w:t xml:space="preserve"> </w:t>
      </w:r>
      <w:r w:rsidR="00C45F8A" w:rsidRPr="00394BC1">
        <w:rPr>
          <w:color w:val="auto"/>
        </w:rPr>
        <w:t>associated with continued growth in AI-oriented computing</w:t>
      </w:r>
      <w:r w:rsidRPr="001D1403">
        <w:rPr>
          <w:color w:val="auto"/>
        </w:rPr>
        <w:t>.</w:t>
      </w:r>
    </w:p>
    <w:p w14:paraId="490072E4" w14:textId="77777777" w:rsidR="00FE013C" w:rsidRDefault="00FE013C" w:rsidP="00FA53F1">
      <w:pPr>
        <w:pStyle w:val="Heading10"/>
        <w:keepNext/>
        <w:spacing w:before="0" w:after="0"/>
        <w:jc w:val="center"/>
      </w:pPr>
      <w:r>
        <w:rPr>
          <w:noProof/>
        </w:rPr>
        <w:lastRenderedPageBreak/>
        <w:drawing>
          <wp:inline distT="0" distB="0" distL="0" distR="0" wp14:anchorId="556059C0" wp14:editId="4BEFC2AF">
            <wp:extent cx="4176454" cy="2427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7176"/>
                    <a:stretch>
                      <a:fillRect/>
                    </a:stretch>
                  </pic:blipFill>
                  <pic:spPr bwMode="auto">
                    <a:xfrm>
                      <a:off x="0" y="0"/>
                      <a:ext cx="4205029" cy="2443792"/>
                    </a:xfrm>
                    <a:prstGeom prst="rect">
                      <a:avLst/>
                    </a:prstGeom>
                    <a:ln>
                      <a:noFill/>
                    </a:ln>
                    <a:extLst>
                      <a:ext uri="{53640926-AAD7-44D8-BBD7-CCE9431645EC}">
                        <a14:shadowObscured xmlns:a14="http://schemas.microsoft.com/office/drawing/2010/main"/>
                      </a:ext>
                    </a:extLst>
                  </pic:spPr>
                </pic:pic>
              </a:graphicData>
            </a:graphic>
          </wp:inline>
        </w:drawing>
      </w:r>
    </w:p>
    <w:p w14:paraId="31445E1C" w14:textId="67F43296" w:rsidR="00FE013C" w:rsidRDefault="00FE013C" w:rsidP="00FA53F1">
      <w:pPr>
        <w:pStyle w:val="Caption"/>
        <w:jc w:val="center"/>
        <w:rPr>
          <w:color w:val="auto"/>
          <w:lang w:eastAsia="zh-CN"/>
        </w:rPr>
      </w:pPr>
      <w:bookmarkStart w:id="4" w:name="_Ref239528987"/>
      <w:r>
        <w:t xml:space="preserve">Figure </w:t>
      </w:r>
      <w:r>
        <w:fldChar w:fldCharType="begin"/>
      </w:r>
      <w:r>
        <w:instrText xml:space="preserve"> SEQ Figure \* ARABIC </w:instrText>
      </w:r>
      <w:r>
        <w:fldChar w:fldCharType="separate"/>
      </w:r>
      <w:r w:rsidR="00807110">
        <w:rPr>
          <w:noProof/>
        </w:rPr>
        <w:t>1</w:t>
      </w:r>
      <w:r>
        <w:rPr>
          <w:noProof/>
        </w:rPr>
        <w:fldChar w:fldCharType="end"/>
      </w:r>
      <w:r w:rsidR="00EC0EF8">
        <w:t xml:space="preserve"> </w:t>
      </w:r>
      <w:r w:rsidRPr="008451C0">
        <w:t xml:space="preserve">Global data </w:t>
      </w:r>
      <w:r w:rsidR="00232D2E" w:rsidRPr="008451C0">
        <w:t>center</w:t>
      </w:r>
      <w:r w:rsidRPr="008451C0">
        <w:t xml:space="preserve"> electricity consumption and projections (2015–2030). Source: IEA, 2025</w:t>
      </w:r>
      <w:bookmarkEnd w:id="4"/>
    </w:p>
    <w:p w14:paraId="26DB2460" w14:textId="77777777" w:rsidR="00FE013C" w:rsidRDefault="00FE013C" w:rsidP="004C16FF">
      <w:pPr>
        <w:pStyle w:val="Heading20"/>
        <w:jc w:val="both"/>
        <w:rPr>
          <w:color w:val="auto"/>
          <w:lang w:val="en-CA"/>
        </w:rPr>
      </w:pPr>
      <w:r w:rsidRPr="00962BDF">
        <w:rPr>
          <w:color w:val="auto"/>
          <w:lang w:val="en-CA"/>
        </w:rPr>
        <w:t>1.</w:t>
      </w:r>
      <w:r>
        <w:rPr>
          <w:color w:val="auto"/>
          <w:lang w:val="en-CA"/>
        </w:rPr>
        <w:t>2</w:t>
      </w:r>
      <w:r w:rsidRPr="00962BDF">
        <w:rPr>
          <w:color w:val="auto"/>
          <w:lang w:val="en-CA"/>
        </w:rPr>
        <w:t xml:space="preserve">. </w:t>
      </w:r>
      <w:r>
        <w:rPr>
          <w:color w:val="auto"/>
          <w:lang w:val="en-CA"/>
        </w:rPr>
        <w:t>The Renewable Energy Imperative</w:t>
      </w:r>
    </w:p>
    <w:p w14:paraId="400F464D" w14:textId="17EC6C22" w:rsidR="00FE013C" w:rsidRPr="00ED0153" w:rsidRDefault="00FE013C" w:rsidP="004C16FF">
      <w:pPr>
        <w:pStyle w:val="Text"/>
        <w:rPr>
          <w:color w:val="auto"/>
        </w:rPr>
      </w:pPr>
      <w:r w:rsidRPr="00ED0153">
        <w:rPr>
          <w:color w:val="auto"/>
        </w:rPr>
        <w:t xml:space="preserve">Three simultaneous drivers, namely, climate goals, cost trends, and growing technical viability, are coming together in data </w:t>
      </w:r>
      <w:r w:rsidR="00232D2E" w:rsidRPr="00ED0153">
        <w:rPr>
          <w:color w:val="auto"/>
        </w:rPr>
        <w:t>center</w:t>
      </w:r>
      <w:r w:rsidRPr="00ED0153">
        <w:rPr>
          <w:color w:val="auto"/>
        </w:rPr>
        <w:t xml:space="preserve"> power systems for the integration of renewable energy sources. With over 130 countries aligning themselves to reach zero carbon emissions by 2050 under the Paris Agreement</w:t>
      </w:r>
      <w:r>
        <w:rPr>
          <w:color w:val="auto"/>
        </w:rPr>
        <w:t xml:space="preserve">, </w:t>
      </w:r>
      <w:r>
        <w:rPr>
          <w:szCs w:val="24"/>
        </w:rPr>
        <w:t xml:space="preserve">the information technology sector has emerged as a critical focus area for </w:t>
      </w:r>
      <w:r w:rsidR="00232D2E">
        <w:rPr>
          <w:szCs w:val="24"/>
        </w:rPr>
        <w:t>decarbonization</w:t>
      </w:r>
      <w:r>
        <w:rPr>
          <w:szCs w:val="24"/>
        </w:rPr>
        <w:t xml:space="preserve"> efforts</w:t>
      </w:r>
      <w:r>
        <w:rPr>
          <w:szCs w:val="24"/>
        </w:rPr>
        <w:fldChar w:fldCharType="begin"/>
      </w:r>
      <w:r>
        <w:rPr>
          <w:szCs w:val="24"/>
        </w:rPr>
        <w:instrText xml:space="preserve"> ADDIN ZOTERO_ITEM CSL_CITATION {"citationID":"sZccwHfz","properties":{"formattedCitation":"[11]","plainCitation":"[11]","noteIndex":0},"citationItems":[{"id":1916,"uris":["http://zotero.org/users/9870935/items/8YNRELWV"],"itemData":{"id":1916,"type":"report","abstract":"The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report.","DOI":"10.59327/IPCC/AR6-9789291691647","language":"en","note":"edition: First","publisher":"Intergovernmental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editor":[{"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2026",5,10]]},"issued":{"date-parts":[["2023",7,25]]}}}],"schema":"https://github.com/citation-style-language/schema/raw/master/csl-citation.json"} </w:instrText>
      </w:r>
      <w:r>
        <w:rPr>
          <w:szCs w:val="24"/>
        </w:rPr>
        <w:fldChar w:fldCharType="separate"/>
      </w:r>
      <w:r w:rsidRPr="00380693">
        <w:t>[11]</w:t>
      </w:r>
      <w:r>
        <w:rPr>
          <w:szCs w:val="24"/>
        </w:rPr>
        <w:fldChar w:fldCharType="end"/>
      </w:r>
      <w:r>
        <w:rPr>
          <w:color w:val="auto"/>
        </w:rPr>
        <w:t xml:space="preserve">. </w:t>
      </w:r>
      <w:r w:rsidRPr="00ED0153">
        <w:rPr>
          <w:color w:val="auto"/>
        </w:rPr>
        <w:t>Major technology firms such as Google, Microsoft, and Meta have all committed to running 24/7 carbon-free energy (CFE) operations by 2030, a criterion that includes matching all hours of electricity use with clean generation, not accounting for it on an annual basis using renewable electricity certificates (RECs)</w:t>
      </w:r>
      <w:r>
        <w:rPr>
          <w:color w:val="auto"/>
        </w:rPr>
        <w:fldChar w:fldCharType="begin"/>
      </w:r>
      <w:r>
        <w:rPr>
          <w:color w:val="auto"/>
        </w:rPr>
        <w:instrText xml:space="preserve"> ADDIN ZOTERO_ITEM CSL_CITATION {"citationID":"RLy1z3N4","properties":{"formattedCitation":"[12]","plainCitation":"[12]","noteIndex":0},"citationItems":[{"id":1918,"uris":["http://zotero.org/users/9870935/items/RYFNBGUU"],"itemData":{"id":1918,"type":"post-weblog","title":"Driving sustainable innovation for society","URL":"https://datacenters.google/operating-sustainably/"}}],"schema":"https://github.com/citation-style-language/schema/raw/master/csl-citation.json"} </w:instrText>
      </w:r>
      <w:r>
        <w:rPr>
          <w:color w:val="auto"/>
        </w:rPr>
        <w:fldChar w:fldCharType="separate"/>
      </w:r>
      <w:r w:rsidRPr="00A13CFF">
        <w:t>[12]</w:t>
      </w:r>
      <w:r>
        <w:rPr>
          <w:color w:val="auto"/>
        </w:rPr>
        <w:fldChar w:fldCharType="end"/>
      </w:r>
      <w:r w:rsidRPr="00ED0153">
        <w:rPr>
          <w:color w:val="auto"/>
        </w:rPr>
        <w:t>.</w:t>
      </w:r>
    </w:p>
    <w:p w14:paraId="2508C021" w14:textId="7F6122A5" w:rsidR="00FE013C" w:rsidRPr="00ED0153" w:rsidRDefault="00FE013C" w:rsidP="00E41B2F">
      <w:pPr>
        <w:pStyle w:val="Text"/>
        <w:rPr>
          <w:color w:val="auto"/>
        </w:rPr>
      </w:pPr>
      <w:r w:rsidRPr="00ED0153">
        <w:rPr>
          <w:color w:val="auto"/>
        </w:rPr>
        <w:t xml:space="preserve">The price curve of renewable energy technologies has reshaped the way data </w:t>
      </w:r>
      <w:r w:rsidR="00232D2E" w:rsidRPr="00ED0153">
        <w:rPr>
          <w:color w:val="auto"/>
        </w:rPr>
        <w:t>centers</w:t>
      </w:r>
      <w:r w:rsidRPr="00ED0153">
        <w:rPr>
          <w:color w:val="auto"/>
        </w:rPr>
        <w:t xml:space="preserve"> purchase power. PV module prices have dropped by more than 90</w:t>
      </w:r>
      <w:r>
        <w:rPr>
          <w:color w:val="auto"/>
        </w:rPr>
        <w:t xml:space="preserve">% </w:t>
      </w:r>
      <w:r w:rsidRPr="00ED0153">
        <w:rPr>
          <w:color w:val="auto"/>
        </w:rPr>
        <w:t>since 2010, to approximately $0.15 to $0.25 per watt for commercial-grade modules in 2024, and PV system costs for ground-mounted utility-scale systems are approximately $0.75 to $1.40 per watt</w:t>
      </w:r>
      <w:r>
        <w:rPr>
          <w:color w:val="auto"/>
        </w:rPr>
        <w:fldChar w:fldCharType="begin"/>
      </w:r>
      <w:r>
        <w:rPr>
          <w:color w:val="auto"/>
        </w:rPr>
        <w:instrText xml:space="preserve"> ADDIN ZOTERO_ITEM CSL_CITATION {"citationID":"1RHMHOqW","properties":{"formattedCitation":"[13], [14]","plainCitation":"[13], [14]","noteIndex":0},"citationItems":[{"id":1920,"uris":["http://zotero.org/users/9870935/items/859TF279"],"itemData":{"id":1920,"type":"report","DOI":"10.2172/2376145","language":"en","number":"NREL/PR--7A40-90042, 2376145, MainId:91820","page":"NREL/PR--7A40-90042, 2376145, MainId:91820","source":"DOI.org (Crossref)","title":"Spring 2024 Solar Industry Update","URL":"https://www.osti.gov/servlets/purl/2376145/","author":[{"family":"Feldman","given":"David"},{"family":"Zuboy","given":"Jarett"},{"family":"Dummit","given":"Krysta"},{"family":"Stright","given":"Dana"},{"family":"Heine","given":"Matthew"},{"family":"Grossman","given":"Shayna"},{"family":"Margolis","given":"Robert"}],"accessed":{"date-parts":[["2026",5,10]]},"issued":{"date-parts":[["2024",5,14]]}}},{"id":1922,"uris":["http://zotero.org/users/9870935/items/MRZVWECC"],"itemData":{"id":1922,"type":"article-journal","language":"en","source":"Zotero","title":"Renewable power generation costs in 2023","URL":"https://www.irena.org/-/media/Files/IRENA/Agency/Publication/2024/Sep/IRENA_Renewable_power_generation_costs_in_2023.pdf","author":[{"literal":"IRENA"}]}}],"schema":"https://github.com/citation-style-language/schema/raw/master/csl-citation.json"} </w:instrText>
      </w:r>
      <w:r>
        <w:rPr>
          <w:color w:val="auto"/>
        </w:rPr>
        <w:fldChar w:fldCharType="separate"/>
      </w:r>
      <w:r w:rsidRPr="00665F0B">
        <w:t>[13], [14]</w:t>
      </w:r>
      <w:r>
        <w:rPr>
          <w:color w:val="auto"/>
        </w:rPr>
        <w:fldChar w:fldCharType="end"/>
      </w:r>
      <w:r w:rsidRPr="00ED0153">
        <w:rPr>
          <w:color w:val="auto"/>
        </w:rPr>
        <w:t>. Onshore wind has also performed well, with capacity factors in the range of 25%–40</w:t>
      </w:r>
      <w:r>
        <w:rPr>
          <w:color w:val="auto"/>
        </w:rPr>
        <w:t xml:space="preserve">% </w:t>
      </w:r>
      <w:r w:rsidRPr="00ED0153">
        <w:rPr>
          <w:color w:val="auto"/>
        </w:rPr>
        <w:t xml:space="preserve">and </w:t>
      </w:r>
      <w:r>
        <w:rPr>
          <w:color w:val="auto"/>
        </w:rPr>
        <w:t>Levelized Cost of Energy (</w:t>
      </w:r>
      <w:r w:rsidRPr="00ED0153">
        <w:rPr>
          <w:color w:val="auto"/>
        </w:rPr>
        <w:t>LCOE</w:t>
      </w:r>
      <w:r>
        <w:rPr>
          <w:color w:val="auto"/>
        </w:rPr>
        <w:t>)</w:t>
      </w:r>
      <w:r w:rsidRPr="00ED0153">
        <w:rPr>
          <w:color w:val="auto"/>
        </w:rPr>
        <w:t xml:space="preserve"> in the range of $25 to $45 per MWh, placing onshore wind among the most cost-competitive electricity generation technologies worldwide </w:t>
      </w:r>
      <w:r>
        <w:rPr>
          <w:color w:val="auto"/>
        </w:rPr>
        <w:fldChar w:fldCharType="begin"/>
      </w:r>
      <w:r>
        <w:rPr>
          <w:color w:val="auto"/>
        </w:rPr>
        <w:instrText xml:space="preserve"> ADDIN ZOTERO_ITEM CSL_CITATION {"citationID":"ViEJMM5V","properties":{"formattedCitation":"[15], [16]","plainCitation":"[15], [16]","noteIndex":0},"citationItems":[{"id":1892,"uris":["http://zotero.org/users/9870935/items/FF7QIGXZ"],"itemData":{"id":1892,"type":"post-weblog","title":"Wind","URL":"https://www.iea.org/energy-system/renewables/wind","author":[{"family":"IEA","given":""}],"accessed":{"date-parts":[["2025",2,25]]},"issued":{"date-parts":[["2025",2,25]]}}},{"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color w:val="auto"/>
        </w:rPr>
        <w:fldChar w:fldCharType="separate"/>
      </w:r>
      <w:r w:rsidRPr="003F5F56">
        <w:t>[15], [16]</w:t>
      </w:r>
      <w:r>
        <w:rPr>
          <w:color w:val="auto"/>
        </w:rPr>
        <w:fldChar w:fldCharType="end"/>
      </w:r>
      <w:r w:rsidRPr="00ED0153">
        <w:rPr>
          <w:color w:val="auto"/>
        </w:rPr>
        <w:t xml:space="preserve">. </w:t>
      </w:r>
      <w:r w:rsidR="00EC4C43" w:rsidRPr="001C37FA">
        <w:rPr>
          <w:color w:val="auto"/>
          <w:highlight w:val="yellow"/>
          <w:lang w:val="en-CA"/>
        </w:rPr>
        <w:t>Bloomberg New Energy Finance (BNEF) reported that the volume-weighted average lithium-ion battery-pack price declined from approximately USD 300/kWh in 2020 to USD 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w:t>
      </w:r>
      <w:r w:rsidRPr="001C37FA">
        <w:rPr>
          <w:color w:val="auto"/>
          <w:highlight w:val="yellow"/>
        </w:rPr>
        <w:fldChar w:fldCharType="begin"/>
      </w:r>
      <w:r w:rsidRPr="001C37FA">
        <w:rPr>
          <w:color w:val="auto"/>
          <w:highlight w:val="yellow"/>
        </w:rPr>
        <w:instrText xml:space="preserve"> ADDIN ZOTERO_ITEM CSL_CITATION {"citationID":"m55nU3hq","properties":{"formattedCitation":"[17]","plainCitation":"[17]","noteIndex":0},"citationItems":[{"id":1923,"uris":["http://zotero.org/users/9870935/items/K5N743Z5"],"itemData":{"id":1923,"type":"post-weblog","title":"BNEF: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1C37FA">
        <w:rPr>
          <w:color w:val="auto"/>
          <w:highlight w:val="yellow"/>
        </w:rPr>
        <w:fldChar w:fldCharType="separate"/>
      </w:r>
      <w:r w:rsidRPr="001C37FA">
        <w:rPr>
          <w:highlight w:val="yellow"/>
        </w:rPr>
        <w:t>[17]</w:t>
      </w:r>
      <w:r w:rsidRPr="001C37FA">
        <w:rPr>
          <w:color w:val="auto"/>
          <w:highlight w:val="yellow"/>
        </w:rPr>
        <w:fldChar w:fldCharType="end"/>
      </w:r>
      <w:r w:rsidRPr="001C37FA">
        <w:rPr>
          <w:color w:val="auto"/>
          <w:highlight w:val="yellow"/>
        </w:rPr>
        <w:t>.</w:t>
      </w:r>
    </w:p>
    <w:p w14:paraId="5BBF88C1" w14:textId="77777777" w:rsidR="00FE013C" w:rsidRDefault="00FE013C" w:rsidP="004C16FF">
      <w:pPr>
        <w:pStyle w:val="Text"/>
        <w:rPr>
          <w:color w:val="auto"/>
        </w:rPr>
      </w:pPr>
      <w:r w:rsidRPr="00ED0153">
        <w:rPr>
          <w:color w:val="auto"/>
        </w:rPr>
        <w:t xml:space="preserve">Advances in inverter technology, grid-forming control algorithms, and advanced energy management systems </w:t>
      </w:r>
      <w:r w:rsidRPr="0039462A">
        <w:rPr>
          <w:color w:val="auto"/>
        </w:rPr>
        <w:t>have substantially strengthened the technical feasibility of high-penetration renewable energy integration</w:t>
      </w:r>
      <w:r w:rsidRPr="00ED0153">
        <w:rPr>
          <w:color w:val="auto"/>
        </w:rPr>
        <w:t xml:space="preserve">. Nonetheless, non-synchronous generator grid-forming inverters can now offer synthetic inertia, voltage, and frequency regulation functions previously available only from synchronous generators, allowing for an increased penetration level of </w:t>
      </w:r>
      <w:r>
        <w:rPr>
          <w:color w:val="auto"/>
        </w:rPr>
        <w:t>Variable Renewable Energy (VRE)</w:t>
      </w:r>
      <w:r w:rsidRPr="00ED0153">
        <w:rPr>
          <w:color w:val="auto"/>
        </w:rPr>
        <w:t xml:space="preserve"> to ensure grid stability without compromising the inherent benefits of VRE</w:t>
      </w:r>
      <w:r>
        <w:rPr>
          <w:color w:val="auto"/>
        </w:rPr>
        <w:fldChar w:fldCharType="begin"/>
      </w:r>
      <w:r>
        <w:rPr>
          <w:color w:val="auto"/>
        </w:rPr>
        <w:instrText xml:space="preserve"> ADDIN ZOTERO_ITEM CSL_CITATION {"citationID":"6SsBicdT","properties":{"formattedCitation":"[18]","plainCitation":"[18]","noteIndex":0},"citationItems":[{"id":1927,"uris":["http://zotero.org/users/9870935/items/PZK7R79L"],"itemData":{"id":1927,"type":"article-journal","abstract":"The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Pr>
          <w:color w:val="auto"/>
        </w:rPr>
        <w:fldChar w:fldCharType="separate"/>
      </w:r>
      <w:r w:rsidRPr="002272B2">
        <w:t>[18]</w:t>
      </w:r>
      <w:r>
        <w:rPr>
          <w:color w:val="auto"/>
        </w:rPr>
        <w:fldChar w:fldCharType="end"/>
      </w:r>
      <w:r w:rsidRPr="00ED0153">
        <w:rPr>
          <w:color w:val="auto"/>
        </w:rPr>
        <w:t xml:space="preserve">. Simultaneously, the rise and development of advanced load management strategies, such as AI </w:t>
      </w:r>
      <w:r w:rsidRPr="00ED0153">
        <w:rPr>
          <w:color w:val="auto"/>
        </w:rPr>
        <w:lastRenderedPageBreak/>
        <w:t xml:space="preserve">workload scheduling and demand response participation, offer new tools for managing loads and demands in real time </w:t>
      </w:r>
      <w:r>
        <w:rPr>
          <w:color w:val="auto"/>
        </w:rPr>
        <w:fldChar w:fldCharType="begin"/>
      </w:r>
      <w:r>
        <w:rPr>
          <w:color w:val="auto"/>
        </w:rPr>
        <w:instrText xml:space="preserve"> ADDIN ZOTERO_ITEM CSL_CITATION {"citationID":"ooxH8Xz9","properties":{"formattedCitation":"[19]","plainCitation":"[19]","noteIndex":0},"citationItems":[{"id":1928,"uris":["http://zotero.org/users/9870935/items/S33CS4FH"],"itemData":{"id":1928,"type":"article-journal","container-title":"Renewable and Sustainable Energy Reviews","DOI":"10.1016/j.rser.2021.111787","ISSN":"13640321","journalAbbreviation":"Renewable and Sustainable Energy Reviews","language":"en","page":"111787","source":"DOI.org (Crossref)","title":"A survey of challenges and solutions for the integration of renewable energy in datacenters","volume":"155","author":[{"family":"Rostirolla","given":"G."},{"family":"Grange","given":"L."},{"family":"Minh-Thuyen","given":"T."},{"family":"Stolf","given":"P."},{"family":"Pierson","given":"J.M."},{"family":"Da Costa","given":"G."},{"family":"Baudic","given":"G."},{"family":"Haddad","given":"M."},{"family":"Kassab","given":"A."},{"family":"Nicod","given":"J.M."},{"family":"Philippe","given":"L."},{"family":"Rehn-Sonigo","given":"V."},{"family":"Roche","given":"R."},{"family":"Celik","given":"B."},{"family":"Caux","given":"S."},{"family":"Lecuivre","given":"J."}],"issued":{"date-parts":[["2022",3]]}}}],"schema":"https://github.com/citation-style-language/schema/raw/master/csl-citation.json"} </w:instrText>
      </w:r>
      <w:r>
        <w:rPr>
          <w:color w:val="auto"/>
        </w:rPr>
        <w:fldChar w:fldCharType="separate"/>
      </w:r>
      <w:r w:rsidRPr="00624913">
        <w:t>[19]</w:t>
      </w:r>
      <w:r>
        <w:rPr>
          <w:color w:val="auto"/>
        </w:rPr>
        <w:fldChar w:fldCharType="end"/>
      </w:r>
      <w:r w:rsidRPr="00ED0153">
        <w:rPr>
          <w:color w:val="auto"/>
        </w:rPr>
        <w:t>.</w:t>
      </w:r>
    </w:p>
    <w:p w14:paraId="39C34F63" w14:textId="77777777" w:rsidR="009153F7" w:rsidRPr="009153F7" w:rsidRDefault="009153F7" w:rsidP="009153F7">
      <w:pPr>
        <w:pStyle w:val="Text"/>
        <w:rPr>
          <w:color w:val="auto"/>
        </w:rPr>
      </w:pPr>
      <w:r w:rsidRPr="009153F7">
        <w:rPr>
          <w:color w:val="auto"/>
        </w:rPr>
        <w:t>Despite these advances, implementation remains constrained by interconnection delays, resource variability, power-quality requirements, storage costs, workload limitations, and project-specific regulatory conditions. The framework developed in this review organizes these technical, economic, and operational considerations into a structured decision process. It is intended to support project evaluation rather than to claim universal reductions in cost, storage capacity, or interconnection time.</w:t>
      </w:r>
    </w:p>
    <w:p w14:paraId="1759E4D0" w14:textId="77777777" w:rsidR="00FE013C" w:rsidRPr="009E3649" w:rsidRDefault="00FE013C" w:rsidP="004C16FF">
      <w:pPr>
        <w:pStyle w:val="Heading20"/>
        <w:jc w:val="both"/>
        <w:rPr>
          <w:color w:val="auto"/>
          <w:lang w:val="en-CA"/>
        </w:rPr>
      </w:pPr>
      <w:r w:rsidRPr="00962BDF">
        <w:rPr>
          <w:color w:val="auto"/>
          <w:lang w:val="en-CA"/>
        </w:rPr>
        <w:t>1.</w:t>
      </w:r>
      <w:r>
        <w:rPr>
          <w:color w:val="auto"/>
          <w:lang w:val="en-CA"/>
        </w:rPr>
        <w:t>3</w:t>
      </w:r>
      <w:r w:rsidRPr="00962BDF">
        <w:rPr>
          <w:color w:val="auto"/>
          <w:lang w:val="en-CA"/>
        </w:rPr>
        <w:t xml:space="preserve">. </w:t>
      </w:r>
      <w:r>
        <w:rPr>
          <w:color w:val="auto"/>
          <w:lang w:val="en-CA"/>
        </w:rPr>
        <w:t>Core Challenges in Renewable Integration</w:t>
      </w:r>
    </w:p>
    <w:p w14:paraId="6EABBE6D" w14:textId="3163A9FC" w:rsidR="00FE013C" w:rsidRPr="009E3649" w:rsidRDefault="00FE013C" w:rsidP="004C16FF">
      <w:pPr>
        <w:pStyle w:val="Text"/>
        <w:rPr>
          <w:color w:val="auto"/>
        </w:rPr>
      </w:pPr>
      <w:r>
        <w:rPr>
          <w:szCs w:val="24"/>
        </w:rPr>
        <w:t xml:space="preserve">Despite </w:t>
      </w:r>
      <w:r w:rsidR="00232D2E">
        <w:rPr>
          <w:szCs w:val="24"/>
        </w:rPr>
        <w:t>favorable</w:t>
      </w:r>
      <w:r>
        <w:rPr>
          <w:szCs w:val="24"/>
        </w:rPr>
        <w:t xml:space="preserve"> economic and technological trends, significant challenges remain in achieving reliable, renewable-powered data </w:t>
      </w:r>
      <w:r w:rsidR="00232D2E">
        <w:rPr>
          <w:szCs w:val="24"/>
        </w:rPr>
        <w:t>center</w:t>
      </w:r>
      <w:r>
        <w:rPr>
          <w:szCs w:val="24"/>
        </w:rPr>
        <w:t xml:space="preserve"> operations</w:t>
      </w:r>
      <w:r w:rsidRPr="009E3649">
        <w:rPr>
          <w:color w:val="auto"/>
        </w:rPr>
        <w:t>. Solar and wind generation have inherent intermittency, which makes it difficult to match the supply and demand at the transmission level. Managing this mismatch requires energy storage, demand flexibility, and expansion of the grid</w:t>
      </w:r>
      <w:r>
        <w:rPr>
          <w:color w:val="auto"/>
        </w:rPr>
        <w:fldChar w:fldCharType="begin"/>
      </w:r>
      <w:r>
        <w:rPr>
          <w:color w:val="auto"/>
        </w:rPr>
        <w:instrText xml:space="preserve"> ADDIN ZOTERO_ITEM CSL_CITATION {"citationID":"1FDqwgbX","properties":{"formattedCitation":"[20]","plainCitation":"[20]","noteIndex":0},"citationItems":[{"id":1929,"uris":["http://zotero.org/users/9870935/items/E595FMYI"],"itemData":{"id":1929,"type":"article-journal","container-title":"Renewable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schema":"https://github.com/citation-style-language/schema/raw/master/csl-citation.json"} </w:instrText>
      </w:r>
      <w:r>
        <w:rPr>
          <w:color w:val="auto"/>
        </w:rPr>
        <w:fldChar w:fldCharType="separate"/>
      </w:r>
      <w:r w:rsidRPr="00465E05">
        <w:t>[20]</w:t>
      </w:r>
      <w:r>
        <w:rPr>
          <w:color w:val="auto"/>
        </w:rPr>
        <w:fldChar w:fldCharType="end"/>
      </w:r>
      <w:r w:rsidRPr="009E3649">
        <w:rPr>
          <w:color w:val="auto"/>
        </w:rPr>
        <w:t>. Rapid variations in solar power due to cloud cover can mean that it drops by 60–90</w:t>
      </w:r>
      <w:r>
        <w:rPr>
          <w:color w:val="auto"/>
        </w:rPr>
        <w:t xml:space="preserve">% </w:t>
      </w:r>
      <w:r w:rsidRPr="009E3649">
        <w:rPr>
          <w:color w:val="auto"/>
        </w:rPr>
        <w:t>in a few minutes; similarly, hourly changes in wind generation could be 30–50</w:t>
      </w:r>
      <w:r>
        <w:rPr>
          <w:color w:val="auto"/>
        </w:rPr>
        <w:t xml:space="preserve">% </w:t>
      </w:r>
      <w:r w:rsidRPr="009E3649">
        <w:rPr>
          <w:color w:val="auto"/>
        </w:rPr>
        <w:t>without wind interruptions</w:t>
      </w:r>
      <w:r>
        <w:rPr>
          <w:color w:val="auto"/>
        </w:rPr>
        <w:fldChar w:fldCharType="begin"/>
      </w:r>
      <w:r>
        <w:rPr>
          <w:color w:val="auto"/>
        </w:rPr>
        <w:instrText xml:space="preserve"> ADDIN ZOTERO_ITEM CSL_CITATION {"citationID":"rCqKCj7x","properties":{"formattedCitation":"[21]","plainCitation":"[21]","noteIndex":0},"citationItems":[{"id":1930,"uris":["http://zotero.org/users/9870935/items/C89D8944"],"itemData":{"id":1930,"type":"article-journal","abstract":"Abstract\n            \n              The inherent intermittency of solar power due to diurnal and seasonal cycles has usually resulted in the need for alternative generation sources thereby increasing system operation costs. However, when solar power is spread over a large geographical area with significant time differences, the  intermittency can be significantly reduced and also the electricity market balancing cost. The aim of this article is to address the fundamental scientific question on how the intermittency of solar power generation is affected by aggregation, which is of great interest in the wider power and energy community and would have profound impacts on the solar energy integration into the energy supply and Net-Zero Implementation. This article goes beyond the typical regional analysis by investigating solar power intermittency at 5 aggregation levels from a global perspective based on global 7 year hourly meteorological re-analysis data with a fine spatial resolution of\n              \n                \n                  $${0.25}^{\\circ }\\times {0.25}^{\\circ } (\\sim 28 \\; \\mathrm{km} \\times 28 \\; \\mathrm{km})$$\n                  \n                    \n                      \n                        \n                          0.25\n                        \n                        </w:instrText>
      </w:r>
      <w:r>
        <w:rPr>
          <w:rFonts w:ascii="Cambria Math" w:hAnsi="Cambria Math" w:cs="Cambria Math"/>
          <w:color w:val="auto"/>
        </w:rPr>
        <w:instrText>∘</w:instrText>
      </w:r>
      <w:r>
        <w:rPr>
          <w:color w:val="auto"/>
        </w:rPr>
        <w:instrText xml:space="preserve">\n                      \n                      ×\n                      \n                        \n                          0.25\n                        \n                        </w:instrText>
      </w:r>
      <w:r>
        <w:rPr>
          <w:rFonts w:ascii="Cambria Math" w:hAnsi="Cambria Math" w:cs="Cambria Math"/>
          <w:color w:val="auto"/>
        </w:rPr>
        <w:instrText>∘</w:instrText>
      </w:r>
      <w:r>
        <w:rPr>
          <w:color w:val="auto"/>
        </w:rPr>
        <w:instrText xml:space="preserve">\n                      \n                      \n                        (\n                        </w:instrText>
      </w:r>
      <w:r>
        <w:rPr>
          <w:rFonts w:ascii="Cambria Math" w:hAnsi="Cambria Math" w:cs="Cambria Math"/>
          <w:color w:val="auto"/>
        </w:rPr>
        <w:instrText>∼</w:instrText>
      </w:r>
      <w:r>
        <w:rPr>
          <w:color w:val="auto"/>
        </w:rPr>
        <w:instrText xml:space="preserve">\n                        28\n                        \n                        km\n                        ×\n                        28\n                        \n                        km\n                        )\n                      \n                    \n                  \n                \n              \n              . In the proposed assessment framework, a coefficient of variation (CV) is used to quantify solar power intermittency and hence characterize the potential benefits of wide area solar power aggregation. A duration curve is used to characterize the intermittency in terms of power availability and a probability density function is further employed to investigate the dispersion and scaling behavior of CV at different aggregation levels. The findings indicate that the CV of solar power generation of ‘Inner Mongolia’ in China drops from 129.65 to 105.65% in the level of ‘Asia’ (by 24% decrease), to 56.11% in ‘Asia-North_America’ (by 73.54% decrease) and to the smallest 43.50% in ‘Global’ (by 86.15% decrease), nearly 3.5 times of that in ‘Asia’; (b) the availability of solar power generation increases from 52.17% in Germany, to 73.30% in ‘Europe_EU_plus’, to 77.82% in ‘Europe’, to 98.59% in ‘Europe-North_America’ (80.60% in ‘Europe-Africa’, 96.90% in ‘Europe-Asia’), to 100% in ‘Global’. Finally, conclusions and recommendations are provided to support a Net-Zero strategy.","container-title":"Scientific Reports","DOI":"10.1038/s41598-022-05247-2","ISSN":"2045-2322","issue":"1","journalAbbreviation":"Sci Rep","language":"en","page":"1363","source":"DOI.org (Crossref)","title":"Solar power generation intermittency and aggregation","volume":"12","author":[{"family":"Wu","given":"Cong"},{"family":"Zhang","given":"Xiao-Ping"},{"family":"Sterling","given":"Michael"}],"issued":{"date-parts":[["2022",1,25]]}}}],"schema":"https://github.com/citation-style-language/schema/raw/master/csl-citation.json"} </w:instrText>
      </w:r>
      <w:r>
        <w:rPr>
          <w:color w:val="auto"/>
        </w:rPr>
        <w:fldChar w:fldCharType="separate"/>
      </w:r>
      <w:r w:rsidRPr="00266ECA">
        <w:t>[21]</w:t>
      </w:r>
      <w:r>
        <w:rPr>
          <w:color w:val="auto"/>
        </w:rPr>
        <w:fldChar w:fldCharType="end"/>
      </w:r>
      <w:r w:rsidRPr="009E3649">
        <w:rPr>
          <w:color w:val="auto"/>
        </w:rPr>
        <w:t>.</w:t>
      </w:r>
      <w:r>
        <w:rPr>
          <w:color w:val="auto"/>
        </w:rPr>
        <w:t xml:space="preserve"> </w:t>
      </w:r>
      <w:r w:rsidRPr="009E3649">
        <w:rPr>
          <w:color w:val="auto"/>
        </w:rPr>
        <w:t>These variability patterns require storage systems to span gaps of hours, depending on the resource profile and load requirements.</w:t>
      </w:r>
    </w:p>
    <w:p w14:paraId="4DB544A6" w14:textId="290BDDDC" w:rsidR="00FE013C" w:rsidRDefault="00FE013C" w:rsidP="004C16FF">
      <w:pPr>
        <w:spacing w:after="120"/>
        <w:ind w:firstLine="480"/>
      </w:pPr>
      <w:r w:rsidRPr="009E3649">
        <w:rPr>
          <w:color w:val="auto"/>
        </w:rPr>
        <w:t xml:space="preserve">Another key issue is </w:t>
      </w:r>
      <w:r w:rsidR="00232D2E" w:rsidRPr="009E3649">
        <w:rPr>
          <w:color w:val="auto"/>
        </w:rPr>
        <w:t>power</w:t>
      </w:r>
      <w:r w:rsidRPr="009E3649">
        <w:rPr>
          <w:color w:val="auto"/>
        </w:rPr>
        <w:t xml:space="preserve"> quality. High harmonic distortion is produced by data </w:t>
      </w:r>
      <w:r w:rsidR="00232D2E" w:rsidRPr="009E3649">
        <w:rPr>
          <w:color w:val="auto"/>
        </w:rPr>
        <w:t>center</w:t>
      </w:r>
      <w:r w:rsidRPr="009E3649">
        <w:rPr>
          <w:color w:val="auto"/>
        </w:rPr>
        <w:t xml:space="preserve"> loads, especially computing loads employing switched-mode power supplies (SMPS). The number of modern nonlinear loads, such as the variable frequency drive (VFD) for cooling systems and LED lights, adds to the total harmonic distortion (THD), which should not exceed 5</w:t>
      </w:r>
      <w:r>
        <w:rPr>
          <w:color w:val="auto"/>
        </w:rPr>
        <w:t xml:space="preserve">% </w:t>
      </w:r>
      <w:r w:rsidRPr="009E3649">
        <w:rPr>
          <w:color w:val="auto"/>
        </w:rPr>
        <w:t>based on IEEE 519 standards</w:t>
      </w:r>
      <w:r>
        <w:rPr>
          <w:color w:val="auto"/>
        </w:rPr>
        <w:fldChar w:fldCharType="begin"/>
      </w:r>
      <w:r>
        <w:rPr>
          <w:color w:val="auto"/>
        </w:rPr>
        <w:instrText xml:space="preserve"> ADDIN ZOTERO_ITEM CSL_CITATION {"citationID":"2jvlTvRp","properties":{"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color w:val="auto"/>
        </w:rPr>
        <w:fldChar w:fldCharType="separate"/>
      </w:r>
      <w:r w:rsidRPr="006C04AA">
        <w:t>[22]</w:t>
      </w:r>
      <w:r>
        <w:rPr>
          <w:color w:val="auto"/>
        </w:rPr>
        <w:fldChar w:fldCharType="end"/>
      </w:r>
      <w:r w:rsidRPr="009E3649">
        <w:rPr>
          <w:color w:val="auto"/>
        </w:rPr>
        <w:t xml:space="preserve">. </w:t>
      </w:r>
      <w:r>
        <w:rPr>
          <w:szCs w:val="24"/>
        </w:rPr>
        <w:t>The addition of inverter-based renewable energy sources introduces additional harmonic sources, requiring careful design of filtering and power conditioning systems to maintain compliance with power quality standards.</w:t>
      </w:r>
    </w:p>
    <w:p w14:paraId="3E176142" w14:textId="71B69902" w:rsidR="00FE013C" w:rsidRDefault="00997AA6" w:rsidP="00997AA6">
      <w:pPr>
        <w:pStyle w:val="Text"/>
        <w:rPr>
          <w:color w:val="auto"/>
        </w:rPr>
      </w:pPr>
      <w:r w:rsidRPr="00997AA6">
        <w:rPr>
          <w:color w:val="auto"/>
        </w:rPr>
        <w:t xml:space="preserve">Complex grid interconnection requirements pose a major barrier to deployment. In congested regions managed by the </w:t>
      </w:r>
      <w:hyperlink r:id="rId12" w:tgtFrame="_blank" w:history="1">
        <w:r w:rsidRPr="00CF40DD">
          <w:rPr>
            <w:color w:val="auto"/>
          </w:rPr>
          <w:t>California ISO (CAISO)</w:t>
        </w:r>
      </w:hyperlink>
      <w:r w:rsidRPr="00997AA6">
        <w:rPr>
          <w:color w:val="auto"/>
        </w:rPr>
        <w:t xml:space="preserve"> and the </w:t>
      </w:r>
      <w:r w:rsidRPr="00CF40DD">
        <w:rPr>
          <w:color w:val="auto"/>
        </w:rPr>
        <w:t>Pennsylvania-New Jersey-Maryland Interconnection (PJM)</w:t>
      </w:r>
      <w:r w:rsidRPr="00997AA6">
        <w:rPr>
          <w:color w:val="auto"/>
        </w:rPr>
        <w:t xml:space="preserve"> in the United States, developers face queue wait times of 3–5 years for studies, upfront fees ranging from $50,000 to $500,000, and grid upgrade costs that potentially run into the $10 million range</w:t>
      </w:r>
      <w:r>
        <w:rPr>
          <w:color w:val="auto"/>
        </w:rPr>
        <w:t xml:space="preserve"> </w:t>
      </w:r>
      <w:r w:rsidR="00FE013C">
        <w:rPr>
          <w:color w:val="auto"/>
        </w:rPr>
        <w:fldChar w:fldCharType="begin"/>
      </w:r>
      <w:r w:rsidR="00F77E8E">
        <w:rPr>
          <w:color w:val="auto"/>
        </w:rPr>
        <w:instrText xml:space="preserve"> ADDIN ZOTERO_ITEM CSL_CITATION {"citationID":"CVOYVTOr","properties":{"formattedCitation":"[23]","plainCitation":"[23]","noteIndex":0},"citationItems":[{"id":1946,"uris":["http://zotero.org/users/9870935/items/HLXVEVRX"],"itemData":{"id":1946,"type":"article-journal","abstract":"Data Centers and Their Energy Consumption: Frequently Asked Questions In its simplest form, a data center is a physical facility that houses and runs large computer systems. U.S. data center annual energy use in 2023 (not accounting for cryptocurrency) was approximately 176 terawatt-hours (TWh), approximately 4.4% of U.S. annual electricity consumption that year, according to a report by Lawrence Berkeley National Laboratory. A data center typically contains multiple computer servers, data storage devices, and network equipment that can provide information technology (IT) infrastructure service for organizations to store, manage, process, and transmit large amounts of data. Some projections show that data center energy consumption could double or triple by 2028, accounting for up to 12% of U.S. electricity use.","language":"en","source":"Zotero","title":"Data Centers and Their Energy Consumption: Frequently Asked Questions","URL":"https://www.congress.gov/crs_external_products/R/PDF/R48646/R48646.1.pdf","author":[{"family":"Offutt","given":"Martin C"},{"family":"Zhu","given":"Ling"}]}}],"schema":"https://github.com/citation-style-language/schema/raw/master/csl-citation.json"} </w:instrText>
      </w:r>
      <w:r w:rsidR="00FE013C">
        <w:rPr>
          <w:color w:val="auto"/>
        </w:rPr>
        <w:fldChar w:fldCharType="separate"/>
      </w:r>
      <w:r w:rsidR="00FE013C" w:rsidRPr="00D233EF">
        <w:t>[23]</w:t>
      </w:r>
      <w:r w:rsidR="00FE013C">
        <w:rPr>
          <w:color w:val="auto"/>
        </w:rPr>
        <w:fldChar w:fldCharType="end"/>
      </w:r>
      <w:r w:rsidR="00FE013C" w:rsidRPr="009E3649">
        <w:rPr>
          <w:color w:val="auto"/>
        </w:rPr>
        <w:t xml:space="preserve">. In July 2023, </w:t>
      </w:r>
      <w:r w:rsidR="00FE013C" w:rsidRPr="00531B55">
        <w:rPr>
          <w:color w:val="auto"/>
        </w:rPr>
        <w:t xml:space="preserve">the Federal Energy Regulatory Commission </w:t>
      </w:r>
      <w:r w:rsidR="00FE013C">
        <w:rPr>
          <w:color w:val="auto"/>
        </w:rPr>
        <w:t>(</w:t>
      </w:r>
      <w:r w:rsidR="00FE013C" w:rsidRPr="009E3649">
        <w:rPr>
          <w:color w:val="auto"/>
        </w:rPr>
        <w:t>FERC</w:t>
      </w:r>
      <w:r w:rsidR="00FE013C">
        <w:rPr>
          <w:color w:val="auto"/>
        </w:rPr>
        <w:t>)</w:t>
      </w:r>
      <w:r w:rsidR="00FE013C" w:rsidRPr="009E3649">
        <w:rPr>
          <w:color w:val="auto"/>
        </w:rPr>
        <w:t xml:space="preserve"> issued Order 2023 to streamline the interconnection process for inverter-based resources by establishing </w:t>
      </w:r>
      <w:r w:rsidR="00232D2E" w:rsidRPr="009E3649">
        <w:rPr>
          <w:color w:val="auto"/>
        </w:rPr>
        <w:t>standardized</w:t>
      </w:r>
      <w:r w:rsidR="00FE013C" w:rsidRPr="009E3649">
        <w:rPr>
          <w:color w:val="auto"/>
        </w:rPr>
        <w:t xml:space="preserve"> procedures and timelines for interconnection applications </w:t>
      </w:r>
      <w:r w:rsidR="00FE013C">
        <w:rPr>
          <w:color w:val="auto"/>
        </w:rPr>
        <w:fldChar w:fldCharType="begin"/>
      </w:r>
      <w:r w:rsidR="00FE013C">
        <w:rPr>
          <w:color w:val="auto"/>
        </w:rPr>
        <w:instrText xml:space="preserve"> ADDIN ZOTERO_ITEM CSL_CITATION {"citationID":"6q9bQTl0","properties":{"formattedCitation":"[24]","plainCitation":"[24]","noteIndex":0},"citationItems":[{"id":1948,"uris":["http://zotero.org/users/9870935/items/H8VJGQHI"],"itemData":{"id":1948,"type":"post-weblog","title":"Improvements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FE013C">
        <w:rPr>
          <w:color w:val="auto"/>
        </w:rPr>
        <w:fldChar w:fldCharType="separate"/>
      </w:r>
      <w:r w:rsidR="00FE013C" w:rsidRPr="002E2886">
        <w:t>[24]</w:t>
      </w:r>
      <w:r w:rsidR="00FE013C">
        <w:rPr>
          <w:color w:val="auto"/>
        </w:rPr>
        <w:fldChar w:fldCharType="end"/>
      </w:r>
      <w:r w:rsidR="00FE013C">
        <w:rPr>
          <w:color w:val="auto"/>
        </w:rPr>
        <w:t>, where its i</w:t>
      </w:r>
      <w:r w:rsidR="00FE013C" w:rsidRPr="009E3649">
        <w:rPr>
          <w:color w:val="auto"/>
        </w:rPr>
        <w:t>mplementation will take several years.</w:t>
      </w:r>
    </w:p>
    <w:p w14:paraId="21FAE95C" w14:textId="77777777" w:rsidR="00FE013C" w:rsidRDefault="00FE013C" w:rsidP="004C16FF">
      <w:pPr>
        <w:pStyle w:val="Heading20"/>
        <w:jc w:val="both"/>
        <w:rPr>
          <w:color w:val="auto"/>
        </w:rPr>
      </w:pPr>
      <w:r w:rsidRPr="00962BDF">
        <w:rPr>
          <w:color w:val="auto"/>
          <w:lang w:val="en-CA"/>
        </w:rPr>
        <w:t>1.</w:t>
      </w:r>
      <w:r>
        <w:rPr>
          <w:color w:val="auto"/>
          <w:lang w:val="en-CA"/>
        </w:rPr>
        <w:t>4</w:t>
      </w:r>
      <w:r w:rsidRPr="00962BDF">
        <w:rPr>
          <w:color w:val="auto"/>
          <w:lang w:val="en-CA"/>
        </w:rPr>
        <w:t xml:space="preserve">. </w:t>
      </w:r>
      <w:r w:rsidRPr="003F6317">
        <w:rPr>
          <w:color w:val="auto"/>
        </w:rPr>
        <w:t>Scope and Objectives</w:t>
      </w:r>
    </w:p>
    <w:p w14:paraId="3D223491" w14:textId="542EED01" w:rsidR="00CD1F98" w:rsidRPr="00FA5849" w:rsidRDefault="00CD1F98" w:rsidP="00CD1F98">
      <w:pPr>
        <w:pStyle w:val="Text"/>
        <w:rPr>
          <w:color w:val="auto"/>
          <w:highlight w:val="yellow"/>
        </w:rPr>
      </w:pPr>
      <w:r w:rsidRPr="00FA5849">
        <w:rPr>
          <w:color w:val="auto"/>
          <w:highlight w:val="yellow"/>
        </w:rPr>
        <w:t>The study is based on planning, design, and operation of AI data centers that run on 10MW-1000MW, with majority of their power sourced from renewable sources. Its goal is not to build an optimization model unique to the site, but to collate and evaluate the existing knowledge base of technical, economic, operational and sustainability issues related to AI computing infrastructure powered by renewables.</w:t>
      </w:r>
    </w:p>
    <w:p w14:paraId="21C255D7" w14:textId="2747306F" w:rsidR="00CD1F98" w:rsidRPr="00FA5849" w:rsidRDefault="00CD1F98" w:rsidP="00CD1F98">
      <w:pPr>
        <w:pStyle w:val="Text"/>
        <w:rPr>
          <w:color w:val="auto"/>
          <w:highlight w:val="yellow"/>
        </w:rPr>
      </w:pPr>
      <w:r w:rsidRPr="00FA5849">
        <w:rPr>
          <w:color w:val="auto"/>
          <w:highlight w:val="yellow"/>
        </w:rPr>
        <w:t>This work is guided by 3 primary objectives:</w:t>
      </w:r>
    </w:p>
    <w:p w14:paraId="0B0DFD68" w14:textId="074E50E8" w:rsidR="00CD1F98" w:rsidRPr="00FA5849" w:rsidRDefault="00CD1F98" w:rsidP="00CD1F98">
      <w:pPr>
        <w:pStyle w:val="Text"/>
        <w:rPr>
          <w:color w:val="auto"/>
          <w:highlight w:val="yellow"/>
        </w:rPr>
      </w:pPr>
      <w:r w:rsidRPr="00FA5849">
        <w:rPr>
          <w:color w:val="auto"/>
          <w:highlight w:val="yellow"/>
        </w:rPr>
        <w:lastRenderedPageBreak/>
        <w:t>(</w:t>
      </w:r>
      <w:r w:rsidR="005D213B" w:rsidRPr="00FA5849">
        <w:rPr>
          <w:color w:val="auto"/>
          <w:highlight w:val="yellow"/>
        </w:rPr>
        <w:t>1</w:t>
      </w:r>
      <w:r w:rsidRPr="00FA5849">
        <w:rPr>
          <w:color w:val="auto"/>
          <w:highlight w:val="yellow"/>
        </w:rPr>
        <w:t>) To compile existing knowledge about electrical systems, renewable energy sources, energy storage, grid integration, cooling solutions and workload-flexibility solutions associated with AI data centers.</w:t>
      </w:r>
    </w:p>
    <w:p w14:paraId="6DE64967" w14:textId="01810BFF" w:rsidR="00CD1F98" w:rsidRPr="00FA5849" w:rsidRDefault="00CD1F98" w:rsidP="005D213B">
      <w:pPr>
        <w:pStyle w:val="Text"/>
        <w:rPr>
          <w:color w:val="auto"/>
          <w:highlight w:val="yellow"/>
        </w:rPr>
      </w:pPr>
      <w:r w:rsidRPr="00FA5849">
        <w:rPr>
          <w:color w:val="auto"/>
          <w:highlight w:val="yellow"/>
        </w:rPr>
        <w:t>(2) To develop a uniform basis for comparing technology costs, reliability metrics, energy-storage options, and pathways to delivered electricity, and to identify assumptions, uncertainties, and constraints affecting project-specific assessments.</w:t>
      </w:r>
    </w:p>
    <w:p w14:paraId="6ED8A9D6" w14:textId="62829997" w:rsidR="00CD1F98" w:rsidRPr="00FA5849" w:rsidRDefault="00CD1F98" w:rsidP="005D213B">
      <w:pPr>
        <w:pStyle w:val="Text"/>
        <w:rPr>
          <w:color w:val="auto"/>
          <w:highlight w:val="yellow"/>
        </w:rPr>
      </w:pPr>
      <w:r w:rsidRPr="00FA5849">
        <w:rPr>
          <w:color w:val="auto"/>
          <w:highlight w:val="yellow"/>
        </w:rPr>
        <w:t>(3) To transform the reviewed evidence into a seven-component decision framework and show its application by a critical analysis of publicly reported industry practices, such as Google, Meta, Microsoft, Equinix, and Apple.</w:t>
      </w:r>
    </w:p>
    <w:p w14:paraId="31E7470C" w14:textId="77777777" w:rsidR="00F179C7" w:rsidRDefault="00CD1F98" w:rsidP="00CD1F98">
      <w:pPr>
        <w:pStyle w:val="Text"/>
        <w:rPr>
          <w:color w:val="auto"/>
        </w:rPr>
      </w:pPr>
      <w:r w:rsidRPr="00FA5849">
        <w:rPr>
          <w:color w:val="auto"/>
          <w:highlight w:val="yellow"/>
        </w:rPr>
        <w:t>The resulting framework is intentionally modular, geographically agnostic to be applied broadly across a variety of resource conditions, grid environments, climatic regions, and facility scales. The framework incorporates both engineering and operational considerations while also addressing economic and sustainability factors under one roof to tackle the lack of resources in the current literature and to offer a systematic approach to assessing renewable energy powered AI data center development.</w:t>
      </w:r>
    </w:p>
    <w:p w14:paraId="3DD172AB" w14:textId="0FF48036" w:rsidR="00FE013C" w:rsidRPr="00210251" w:rsidRDefault="00FE013C" w:rsidP="00210251">
      <w:pPr>
        <w:pStyle w:val="Heading20"/>
        <w:jc w:val="both"/>
        <w:rPr>
          <w:color w:val="auto"/>
          <w:lang w:val="en-CA"/>
        </w:rPr>
      </w:pPr>
      <w:r w:rsidRPr="00210251">
        <w:rPr>
          <w:color w:val="auto"/>
          <w:lang w:val="en-CA"/>
        </w:rPr>
        <w:t>1.5. Research Gap and Paper Statement</w:t>
      </w:r>
    </w:p>
    <w:p w14:paraId="2728DC78" w14:textId="77777777" w:rsidR="00FE013C" w:rsidRPr="00070841" w:rsidRDefault="00FE013C" w:rsidP="004C16FF">
      <w:pPr>
        <w:pStyle w:val="Text"/>
        <w:rPr>
          <w:color w:val="auto"/>
        </w:rPr>
      </w:pPr>
      <w:r w:rsidRPr="00070841">
        <w:rPr>
          <w:color w:val="auto"/>
        </w:rPr>
        <w:t xml:space="preserve">Although there are numerous studies on individual aspects of renewable electricity integration, in practical terms, there is a lack of comprehensive studies that account for all aspects of the process of designing and operating a data center with renewable power. Most of the published literature has concentrated on one of two aspects: either the technical side of power systems or the economic side of energy procurement, with no attempt to integrate both, </w:t>
      </w:r>
      <w:r w:rsidRPr="00B856CD">
        <w:rPr>
          <w:color w:val="auto"/>
        </w:rPr>
        <w:t>leaving a critical gap where the technical and economic dimensions are not integrated</w:t>
      </w:r>
      <w:r w:rsidRPr="00B856CD" w:rsidDel="00B856CD">
        <w:rPr>
          <w:color w:val="auto"/>
        </w:rPr>
        <w:t xml:space="preserve"> </w:t>
      </w:r>
      <w:r>
        <w:rPr>
          <w:color w:val="auto"/>
        </w:rPr>
        <w:fldChar w:fldCharType="begin"/>
      </w:r>
      <w:r>
        <w:rPr>
          <w:color w:val="auto"/>
        </w:rPr>
        <w:instrText xml:space="preserve"> ADDIN ZOTERO_ITEM CSL_CITATION {"citationID":"LVVwUwTx","properties":{"formattedCitation":"[25]","plainCitation":"[25]","noteIndex":0},"citationItems":[{"id":1949,"uris":["http://zotero.org/users/9870935/items/D2SVF9GW"],"itemData":{"id":1949,"type":"article-journal","container-title":"Energy and Built Environment","DOI":"10.1016/j.enbenv.2024.08.009","ISSN":"26661233","issue":"1","journalAbbreviation":"Energy and Built Environment","language":"en","page":"206-226","source":"DOI.org (Crossref)","title":"Towards energy-efficient data centers: A comprehensive review of passive and active cooling strategies","title-short":"Towards energy-efficient data centers","volume":"7","author":[{"family":"Cai","given":"Senhong"},{"family":"Gou","given":"Zhonghua"}],"issued":{"date-parts":[["2026",2]]}}}],"schema":"https://github.com/citation-style-language/schema/raw/master/csl-citation.json"} </w:instrText>
      </w:r>
      <w:r>
        <w:rPr>
          <w:color w:val="auto"/>
        </w:rPr>
        <w:fldChar w:fldCharType="separate"/>
      </w:r>
      <w:r w:rsidRPr="00E342F7">
        <w:t>[25]</w:t>
      </w:r>
      <w:r>
        <w:rPr>
          <w:color w:val="auto"/>
        </w:rPr>
        <w:fldChar w:fldCharType="end"/>
      </w:r>
      <w:r w:rsidRPr="00070841">
        <w:rPr>
          <w:color w:val="auto"/>
        </w:rPr>
        <w:t>. Furthermore, the dynamic nature of AI workloads, with small shifts to increasingly power-dense accelerators, necessitates an analysis that is in line with the latest hardware capabilities and their impact on creating effective infrastructure implementations</w:t>
      </w:r>
      <w:r>
        <w:rPr>
          <w:color w:val="auto"/>
        </w:rPr>
        <w:fldChar w:fldCharType="begin"/>
      </w:r>
      <w:r>
        <w:rPr>
          <w:color w:val="auto"/>
        </w:rPr>
        <w:instrText xml:space="preserve"> ADDIN ZOTERO_ITEM CSL_CITATION {"citationID":"SsyN2B2u","properties":{"formattedCitation":"[26]","plainCitation":"[26]","noteIndex":0},"citationItems":[{"id":1951,"uris":["http://zotero.org/users/9870935/items/IURTR4AQ"],"itemData":{"id":1951,"type":"article-journal","language":"en","source":"Zotero","title":"AI, Data Centers, and the U.S. Electric Grid: A Watershed Moment","URL":"https://www.belfercenter.org/research-analysis/ai-data-centers-us-electric-grid","author":[{"family":"Mural","given":"Rachel"},{"family":"Pherwani","given":"Dipesh"},{"family":"Gupta","given":"Chaitanya"},{"family":"Yu","given":"Yiqi"},{"family":"Takahashi","given":"Ai"},{"family":"Kim","given":"Dongjoo"},{"family":"Majumder","given":"Subir"},{"family":"Lee","given":"Henry"},{"family":"Yu","given":"Minlan"},{"family":"Xie","given":"Le"}]}}],"schema":"https://github.com/citation-style-language/schema/raw/master/csl-citation.json"} </w:instrText>
      </w:r>
      <w:r>
        <w:rPr>
          <w:color w:val="auto"/>
        </w:rPr>
        <w:fldChar w:fldCharType="separate"/>
      </w:r>
      <w:r w:rsidRPr="00A8646E">
        <w:t>[26]</w:t>
      </w:r>
      <w:r>
        <w:rPr>
          <w:color w:val="auto"/>
        </w:rPr>
        <w:fldChar w:fldCharType="end"/>
      </w:r>
      <w:r w:rsidRPr="00070841">
        <w:rPr>
          <w:color w:val="auto"/>
        </w:rPr>
        <w:t>.</w:t>
      </w:r>
    </w:p>
    <w:p w14:paraId="659EB2F8" w14:textId="08EC0261" w:rsidR="00FE013C" w:rsidRDefault="00F66AD3" w:rsidP="00C00C59">
      <w:pPr>
        <w:pStyle w:val="Text"/>
        <w:rPr>
          <w:color w:val="auto"/>
        </w:rPr>
      </w:pPr>
      <w:r w:rsidRPr="00F66AD3">
        <w:rPr>
          <w:color w:val="auto"/>
        </w:rPr>
        <w:t>This study addresses this gap by synthesizing the reviewed evidence into a seven-component decision framework for evaluating renewable-powered AI data-center infrastructure.</w:t>
      </w:r>
      <w:r w:rsidR="00C00C59">
        <w:rPr>
          <w:color w:val="auto"/>
        </w:rPr>
        <w:t xml:space="preserve"> </w:t>
      </w:r>
      <w:r w:rsidR="00FE013C" w:rsidRPr="00070841">
        <w:rPr>
          <w:color w:val="auto"/>
        </w:rPr>
        <w:t xml:space="preserve">The framework covers the following aspects. </w:t>
      </w:r>
    </w:p>
    <w:p w14:paraId="1444C9F5" w14:textId="77777777" w:rsidR="00FE013C" w:rsidRDefault="00FE013C" w:rsidP="004C16FF">
      <w:pPr>
        <w:pStyle w:val="Text"/>
        <w:rPr>
          <w:color w:val="auto"/>
        </w:rPr>
      </w:pPr>
      <w:r w:rsidRPr="00070841">
        <w:rPr>
          <w:color w:val="auto"/>
        </w:rPr>
        <w:t xml:space="preserve">(1) Site assessment and resource evaluation, </w:t>
      </w:r>
    </w:p>
    <w:p w14:paraId="2E048B21" w14:textId="77777777" w:rsidR="00FE013C" w:rsidRDefault="00FE013C" w:rsidP="004C16FF">
      <w:pPr>
        <w:pStyle w:val="Text"/>
        <w:rPr>
          <w:color w:val="auto"/>
        </w:rPr>
      </w:pPr>
      <w:r w:rsidRPr="00070841">
        <w:rPr>
          <w:color w:val="auto"/>
        </w:rPr>
        <w:t xml:space="preserve">(2) Technology mix optimization, </w:t>
      </w:r>
    </w:p>
    <w:p w14:paraId="7F5A43A1" w14:textId="77777777" w:rsidR="00FE013C" w:rsidRDefault="00FE013C" w:rsidP="004C16FF">
      <w:pPr>
        <w:pStyle w:val="Text"/>
        <w:rPr>
          <w:color w:val="auto"/>
        </w:rPr>
      </w:pPr>
      <w:r w:rsidRPr="00070841">
        <w:rPr>
          <w:color w:val="auto"/>
        </w:rPr>
        <w:t xml:space="preserve">(3) Electrical architecture and integration design, </w:t>
      </w:r>
    </w:p>
    <w:p w14:paraId="44E1851A" w14:textId="77777777" w:rsidR="00FE013C" w:rsidRDefault="00FE013C" w:rsidP="004C16FF">
      <w:pPr>
        <w:pStyle w:val="Text"/>
        <w:rPr>
          <w:color w:val="auto"/>
        </w:rPr>
      </w:pPr>
      <w:r w:rsidRPr="00070841">
        <w:rPr>
          <w:color w:val="auto"/>
        </w:rPr>
        <w:t xml:space="preserve">(4) Hierarchical control and dispatch strategies, </w:t>
      </w:r>
    </w:p>
    <w:p w14:paraId="1ABC1BFA" w14:textId="77777777" w:rsidR="00FE013C" w:rsidRDefault="00FE013C" w:rsidP="004C16FF">
      <w:pPr>
        <w:pStyle w:val="Text"/>
        <w:rPr>
          <w:color w:val="auto"/>
        </w:rPr>
      </w:pPr>
      <w:r w:rsidRPr="00070841">
        <w:rPr>
          <w:color w:val="auto"/>
        </w:rPr>
        <w:t xml:space="preserve">(5) Demand-side workload flexibility, </w:t>
      </w:r>
    </w:p>
    <w:p w14:paraId="3D89FE04" w14:textId="77777777" w:rsidR="00FE013C" w:rsidRDefault="00FE013C" w:rsidP="004C16FF">
      <w:pPr>
        <w:pStyle w:val="Text"/>
        <w:rPr>
          <w:color w:val="auto"/>
        </w:rPr>
      </w:pPr>
      <w:r w:rsidRPr="00070841">
        <w:rPr>
          <w:color w:val="auto"/>
        </w:rPr>
        <w:t xml:space="preserve">(6) Economic viability modelling, and </w:t>
      </w:r>
    </w:p>
    <w:p w14:paraId="71E2C222" w14:textId="7EDB4799" w:rsidR="00FE013C" w:rsidRDefault="00FE013C" w:rsidP="004C16FF">
      <w:pPr>
        <w:pStyle w:val="Text"/>
        <w:rPr>
          <w:color w:val="auto"/>
        </w:rPr>
      </w:pPr>
      <w:r w:rsidRPr="00070841">
        <w:rPr>
          <w:color w:val="auto"/>
        </w:rPr>
        <w:t xml:space="preserve">(7) </w:t>
      </w:r>
      <w:r w:rsidRPr="00FB48A0">
        <w:rPr>
          <w:color w:val="auto"/>
        </w:rPr>
        <w:t>Resilience and sustainability compliance</w:t>
      </w:r>
      <w:r w:rsidR="00384D46">
        <w:rPr>
          <w:color w:val="auto"/>
        </w:rPr>
        <w:t>.</w:t>
      </w:r>
    </w:p>
    <w:p w14:paraId="233E74A9" w14:textId="094A324A" w:rsidR="00FE013C" w:rsidRPr="00070841" w:rsidRDefault="00FE013C" w:rsidP="004C16FF">
      <w:pPr>
        <w:pStyle w:val="Text"/>
        <w:rPr>
          <w:color w:val="auto"/>
        </w:rPr>
      </w:pPr>
      <w:r w:rsidRPr="00070841">
        <w:rPr>
          <w:color w:val="auto"/>
        </w:rPr>
        <w:t xml:space="preserve">The main argument is that hybrid systems integrating renewable energy generation, energy storage, power grid interconnection, and demand-side flexibility can enable the economically sustainable, environmentally friendly, and highly reliable operation of AI data </w:t>
      </w:r>
      <w:r w:rsidR="00232D2E" w:rsidRPr="00070841">
        <w:rPr>
          <w:color w:val="auto"/>
        </w:rPr>
        <w:t>centers</w:t>
      </w:r>
      <w:r w:rsidRPr="00070841">
        <w:rPr>
          <w:color w:val="auto"/>
        </w:rPr>
        <w:t xml:space="preserve"> in various geographical and climatic environments.</w:t>
      </w:r>
    </w:p>
    <w:p w14:paraId="76612CC8" w14:textId="2F6DEDB9" w:rsidR="00022D60" w:rsidRPr="00BD5E10" w:rsidRDefault="00022D60" w:rsidP="00022D60">
      <w:pPr>
        <w:pStyle w:val="Text"/>
        <w:rPr>
          <w:color w:val="auto"/>
        </w:rPr>
      </w:pPr>
      <w:r w:rsidRPr="00022D60">
        <w:rPr>
          <w:color w:val="auto"/>
        </w:rPr>
        <w:t xml:space="preserve">The remainder of this study is organized as follows. Section 2 critically reviews the existing literature and identifies the gaps addressed by this study. Section 3 summarizes electrical and load </w:t>
      </w:r>
      <w:r w:rsidRPr="00022D60">
        <w:rPr>
          <w:color w:val="auto"/>
        </w:rPr>
        <w:lastRenderedPageBreak/>
        <w:t>characteristics relevant to AI data centers. Section 4 reviews renewable-resource assessment, and Section 5 examines storage and backup technologies. Section 6 discusses power-system modeling and simulation methods. Section 7 presents the seven-component decision framework, while Section 8 compares the framework with publicly reported industry practices. Section 9 synthesizes major technical implementation challenges. Section 10 evaluates cost metrics, procurement, and project-specific financial assessment. Section 11 reviews operational strategies and workload flexibility, and Section 12 addresses regulation and sustainability. Section 13 states the review limitations, Section 14 presents the conclusions, and Section 15 identifies priority research directions.</w:t>
      </w:r>
    </w:p>
    <w:p w14:paraId="1CD78179" w14:textId="4CCF2DF9" w:rsidR="00CD098A" w:rsidRPr="001718D7" w:rsidRDefault="00CD098A" w:rsidP="00BD5E10">
      <w:pPr>
        <w:pStyle w:val="Heading20"/>
        <w:jc w:val="both"/>
        <w:rPr>
          <w:color w:val="auto"/>
          <w:highlight w:val="yellow"/>
          <w:lang w:val="en-CA"/>
        </w:rPr>
      </w:pPr>
      <w:r w:rsidRPr="001718D7">
        <w:rPr>
          <w:color w:val="auto"/>
          <w:highlight w:val="yellow"/>
          <w:lang w:val="en-CA"/>
        </w:rPr>
        <w:t>1.6. Review Methodology</w:t>
      </w:r>
    </w:p>
    <w:p w14:paraId="083E856A" w14:textId="228169BB" w:rsidR="00A377FE" w:rsidRPr="00A377FE" w:rsidRDefault="00A377FE" w:rsidP="00C3721E">
      <w:pPr>
        <w:pStyle w:val="Text"/>
        <w:rPr>
          <w:color w:val="auto"/>
          <w:highlight w:val="yellow"/>
        </w:rPr>
      </w:pPr>
      <w:r w:rsidRPr="00A377FE">
        <w:rPr>
          <w:color w:val="auto"/>
          <w:highlight w:val="yellow"/>
        </w:rPr>
        <w:t>This study follows the principles of the PRISMA 2020 framework to support a structured and transparent review process. The objective was to identify and synthesize current knowledge related to renewable-powered AI data centers, with particular emphasis on electrical infrastructure, renewable-energy integration, energy storage, workload flexibility, economic assessment, sustainability, and grid interaction</w:t>
      </w:r>
      <w:r w:rsidR="00C3721E">
        <w:rPr>
          <w:color w:val="auto"/>
          <w:highlight w:val="yellow"/>
        </w:rPr>
        <w:fldChar w:fldCharType="begin"/>
      </w:r>
      <w:r w:rsidR="00C3721E">
        <w:rPr>
          <w:color w:val="auto"/>
          <w:highlight w:val="yellow"/>
        </w:rPr>
        <w:instrText xml:space="preserve"> ADDIN ZOTERO_ITEM CSL_CITATION {"citationID":"ARSZS6hi","properties":{"unsorted":false,"formattedCitation":"[27]","plainCitation":"[27]","noteIndex":0},"citationItems":[{"id":2737,"uris":["http://zotero.org/users/9870935/items/PY7M5MEC"],"itemData":{"id":2737,"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C3721E">
        <w:rPr>
          <w:color w:val="auto"/>
          <w:highlight w:val="yellow"/>
        </w:rPr>
        <w:fldChar w:fldCharType="separate"/>
      </w:r>
      <w:r w:rsidR="00C3721E" w:rsidRPr="00C3721E">
        <w:rPr>
          <w:highlight w:val="yellow"/>
        </w:rPr>
        <w:t>[27]</w:t>
      </w:r>
      <w:r w:rsidR="00C3721E">
        <w:rPr>
          <w:color w:val="auto"/>
          <w:highlight w:val="yellow"/>
        </w:rPr>
        <w:fldChar w:fldCharType="end"/>
      </w:r>
      <w:r w:rsidRPr="00A377FE">
        <w:rPr>
          <w:color w:val="auto"/>
          <w:highlight w:val="yellow"/>
        </w:rPr>
        <w:t>.</w:t>
      </w:r>
    </w:p>
    <w:p w14:paraId="763016BC" w14:textId="7BF249DB" w:rsidR="00CD098A" w:rsidRPr="001718D7" w:rsidRDefault="00CD098A" w:rsidP="00CD098A">
      <w:pPr>
        <w:pStyle w:val="Heading20"/>
        <w:jc w:val="both"/>
        <w:rPr>
          <w:color w:val="auto"/>
          <w:highlight w:val="yellow"/>
          <w:lang w:val="en-CA"/>
        </w:rPr>
      </w:pPr>
      <w:r w:rsidRPr="001718D7">
        <w:rPr>
          <w:color w:val="auto"/>
          <w:highlight w:val="yellow"/>
          <w:lang w:val="en-CA"/>
        </w:rPr>
        <w:t xml:space="preserve">1.6.1 </w:t>
      </w:r>
      <w:r w:rsidR="00B74A74">
        <w:rPr>
          <w:color w:val="auto"/>
          <w:highlight w:val="yellow"/>
          <w:lang w:val="en-CA"/>
        </w:rPr>
        <w:t>Evidence Selection</w:t>
      </w:r>
    </w:p>
    <w:p w14:paraId="44B00857" w14:textId="12CCF0FA" w:rsidR="00957A14" w:rsidRDefault="00C3721E" w:rsidP="00827A89">
      <w:pPr>
        <w:pStyle w:val="Text"/>
        <w:rPr>
          <w:color w:val="auto"/>
        </w:rPr>
      </w:pPr>
      <w:r w:rsidRPr="00C3721E">
        <w:rPr>
          <w:color w:val="auto"/>
          <w:highlight w:val="yellow"/>
        </w:rPr>
        <w:t xml:space="preserve">Peer-reviewed journal articles, conference proceedings, technical standards, government publications, agency publications, industry publications, and relevant corporate and regulatory publications were used for the literature review. Peer-reviewed literature was identified using the principal bibliographic databases: Scopus, Web of Science Core Collection and IEEE Xplore. ScienceDirect was also utilized to search for full-text publications, and Google Scholar used as an ancillary discovery and citation-searching resource. Targeted searches were conducted for grey-literature and technical publications issued by </w:t>
      </w:r>
      <w:r w:rsidR="00827A89" w:rsidRPr="00C3721E">
        <w:rPr>
          <w:color w:val="auto"/>
          <w:highlight w:val="yellow"/>
        </w:rPr>
        <w:t>organizations</w:t>
      </w:r>
      <w:r w:rsidRPr="00C3721E">
        <w:rPr>
          <w:color w:val="auto"/>
          <w:highlight w:val="yellow"/>
        </w:rPr>
        <w:t xml:space="preserve"> such as the International Energy Agency (IEA), International Renewable Energy Agency (IRENA), National Renewable Energy Laboratory (NREL), BloombergNEF (BNEF), Uptime Institute and other standards and reliability and regulatory </w:t>
      </w:r>
      <w:r w:rsidR="00827A89" w:rsidRPr="00C3721E">
        <w:rPr>
          <w:color w:val="auto"/>
          <w:highlight w:val="yellow"/>
        </w:rPr>
        <w:t>organizations</w:t>
      </w:r>
      <w:r w:rsidRPr="00C3721E">
        <w:rPr>
          <w:color w:val="auto"/>
          <w:highlight w:val="yellow"/>
        </w:rPr>
        <w:t>. These included, if applicable, groups like the North American Electric Reliability Corporation (NERC), Northeast Power Coordinating Council (NPCC), Institute of Electrical and Electronics Engineers (IEEE), International Electrotechnical Commission (IEC), and other groups that have power-system, data-center, and energy-related technical requirements.</w:t>
      </w:r>
      <w:r>
        <w:rPr>
          <w:color w:val="auto"/>
          <w:highlight w:val="yellow"/>
        </w:rPr>
        <w:t xml:space="preserve"> </w:t>
      </w:r>
      <w:r w:rsidRPr="00C3721E">
        <w:rPr>
          <w:color w:val="auto"/>
          <w:highlight w:val="yellow"/>
        </w:rPr>
        <w:t>The main review period was from 2015-2026. Earlier publications that lay the groundwork for methodologies, presented widely used technical concepts, introduced influential models or metrics and reported standards and engineering practices applicable to modern applications of power systems and data centers were evaluated and included for selection. None was kept just because of age or number of citations; it had to be technically important in its field and relevant to the scope of the review</w:t>
      </w:r>
      <w:r w:rsidR="00827A89">
        <w:rPr>
          <w:color w:val="auto"/>
          <w:highlight w:val="yellow"/>
        </w:rPr>
        <w:fldChar w:fldCharType="begin"/>
      </w:r>
      <w:r w:rsidR="00827A89">
        <w:rPr>
          <w:color w:val="auto"/>
          <w:highlight w:val="yellow"/>
        </w:rPr>
        <w:instrText xml:space="preserve"> ADDIN ZOTERO_ITEM CSL_CITATION {"citationID":"4FNMUtNO","properties":{"unsorted":false,"formattedCitation":"[27], [28]","plainCitation":"[27], [28]","noteIndex":0},"citationItems":[{"id":2737,"uris":["http://zotero.org/users/9870935/items/PY7M5MEC"],"itemData":{"id":2737,"type":"article-journal","container-title":"BMJ","DOI":"10.1136/bmj.n71","ISSN":"1756-1833","journalAbbreviation":"BMJ","language":"en","page":"n71","source":"DOI.org (Crossref)","title":"The PRISMA 2020 statement: an updated guideline for reporting systematic reviews","title-short":"The PRISMA 2020 statement","author":[{"family":"Page","given":"Matthew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A"},{"family":"Whiting","given":"Penny"},{"family":"Moher","given":"David"}],"issued":{"date-parts":[["2021",3,29]]}}},{"id":2739,"uris":["http://zotero.org/users/9870935/items/DJZN9IVU"],"itemData":{"id":2739,"type":"article-journal","abstract":"Abstract\n            \n              Background\n              Literature searches underlie the foundations of systematic reviews and related review types. Yet, the literature searching component of systematic reviews and related review types is often poorly reported. Guidance for literature search reporting has been diverse, and, in many cases, does not offer enough detail to authors who need more specific information about reporting search methods and information sources in a clear, reproducible way. This document presents the PRISMA-S (Preferred Reporting Items for Systematic reviews and Meta-Analyses literature search extension) checklist, and explanation and elaboration.\n            \n            \n              Methods\n              The checklist was developed using a 3-stage Delphi survey process, followed by a consensus conference and public review process.\n            \n            \n              Results\n              The final checklist includes 16 reporting items, each of which is detailed with exemplar reporting and rationale.\n            \n            \n              Conclusions\n              The intent of PRISMA-S is to complement the PRISMA Statement and its extensions by providing a checklist that could be used by interdisciplinary authors, editors, and peer reviewers to verify that each component of a search is completely reported and therefore reproducible.","container-title":"Systematic Reviews","DOI":"10.1186/s13643-020-01542-z","ISSN":"2046-4053","issue":"1","journalAbbreviation":"Syst Rev","language":"en","page":"39","source":"DOI.org (Crossref)","title":"PRISMA-S: an extension to the PRISMA Statement for Reporting Literature Searches in Systematic Reviews","title-short":"PRISMA-S","volume":"10","author":[{"family":"Rethlefsen","given":"Melissa L."},{"family":"Kirtley","given":"Shona"},{"family":"Waffenschmidt","given":"Siw"},{"family":"Ayala","given":"Ana Patricia"},{"family":"Moher","given":"David"},{"family":"Page","given":"Matthew J."},{"family":"Koffel","given":"Jonathan B."},{"literal":"PRISMA-S Group"},{"family":"Blunt","given":"Heather"},{"family":"Brigham","given":"Tara"},{"family":"Chang","given":"Steven"},{"family":"Clark","given":"Justin"},{"family":"Conway","given":"Aislinn"},{"family":"Couban","given":"Rachel"},{"family":"De Kock","given":"Shelley"},{"family":"Farrah","given":"Kelly"},{"family":"Fehrmann","given":"Paul"},{"family":"Foster","given":"Margaret"},{"family":"Fowler","given":"Susan A."},{"family":"Glanville","given":"Julie"},{"family":"Harris","given":"Elizabeth"},{"family":"Hoffecker","given":"Lilian"},{"family":"Isojarvi","given":"Jaana"},{"family":"Kaunelis","given":"David"},{"family":"Ket","given":"Hans"},{"family":"Levay","given":"Paul"},{"family":"Lyon","given":"Jennifer"},{"family":"McGowan","given":"Jessie"},{"family":"Murad","given":"M. Hassan"},{"family":"Nicholson","given":"Joey"},{"family":"Pannabecker","given":"Virginia"},{"family":"Paynter","given":"Robin"},{"family":"Pinotti","given":"Rachel"},{"family":"Ross-White","given":"Amanda"},{"family":"Sampson","given":"Margaret"},{"family":"Shields","given":"Tracy"},{"family":"Stevens","given":"Adrienne"},{"family":"Sutton","given":"Anthea"},{"family":"Weinfurter","given":"Elizabeth"},{"family":"Wright","given":"Kath"},{"family":"Young","given":"Sarah"}],"issued":{"date-parts":[["2021",1,26]]}}}],"schema":"https://github.com/citation-style-language/schema/raw/master/csl-citation.json"} </w:instrText>
      </w:r>
      <w:r w:rsidR="00827A89">
        <w:rPr>
          <w:color w:val="auto"/>
          <w:highlight w:val="yellow"/>
        </w:rPr>
        <w:fldChar w:fldCharType="separate"/>
      </w:r>
      <w:r w:rsidR="00827A89" w:rsidRPr="00827A89">
        <w:rPr>
          <w:highlight w:val="yellow"/>
        </w:rPr>
        <w:t>[27], [28]</w:t>
      </w:r>
      <w:r w:rsidR="00827A89">
        <w:rPr>
          <w:color w:val="auto"/>
          <w:highlight w:val="yellow"/>
        </w:rPr>
        <w:fldChar w:fldCharType="end"/>
      </w:r>
      <w:r w:rsidRPr="00C3721E">
        <w:rPr>
          <w:color w:val="auto"/>
        </w:rPr>
        <w:t>.</w:t>
      </w:r>
    </w:p>
    <w:p w14:paraId="6D49C8F4" w14:textId="32A6D116" w:rsidR="00CD098A" w:rsidRPr="001718D7" w:rsidRDefault="00CD098A" w:rsidP="00957A14">
      <w:pPr>
        <w:pStyle w:val="Heading20"/>
        <w:jc w:val="both"/>
        <w:rPr>
          <w:color w:val="auto"/>
          <w:highlight w:val="yellow"/>
          <w:lang w:val="en-CA"/>
        </w:rPr>
      </w:pPr>
      <w:r w:rsidRPr="001718D7">
        <w:rPr>
          <w:color w:val="auto"/>
          <w:highlight w:val="yellow"/>
          <w:lang w:val="en-CA"/>
        </w:rPr>
        <w:t>1.6.2 Eligibility Criteria</w:t>
      </w:r>
    </w:p>
    <w:p w14:paraId="117C8108" w14:textId="77777777" w:rsidR="00827A89" w:rsidRPr="00827A89" w:rsidRDefault="00827A89" w:rsidP="00827A89">
      <w:pPr>
        <w:pStyle w:val="Text"/>
        <w:rPr>
          <w:color w:val="auto"/>
          <w:highlight w:val="yellow"/>
        </w:rPr>
      </w:pPr>
      <w:r w:rsidRPr="00827A89">
        <w:rPr>
          <w:color w:val="auto"/>
          <w:highlight w:val="yellow"/>
        </w:rPr>
        <w:t xml:space="preserve">Sources were considered eligible for inclusion when they provided evidence directly relevant to at least one of the principal domains examined in this review: AI and data-center electricity demand; electrical and power-system infrastructure; renewable-energy generation; energy-storage technologies; system reliability and resilience; microgrid or grid integration; power quality; workload flexibility and </w:t>
      </w:r>
      <w:r w:rsidRPr="00827A89">
        <w:rPr>
          <w:color w:val="auto"/>
          <w:highlight w:val="yellow"/>
        </w:rPr>
        <w:lastRenderedPageBreak/>
        <w:t>demand-side management; techno-economic assessment; sustainability and emissions performance; regulatory and technical requirements; or corporate deployment and technology-adoption strategies. Peer-reviewed journal articles and conference papers formed the primary academic evidence base, supplemented by technical standards, government and agency reports, and selected industry publications when these sources provided technical, economic, operational, or deployment information that was unavailable, insufficiently documented, or not yet represented in the peer-reviewed literature.</w:t>
      </w:r>
    </w:p>
    <w:p w14:paraId="706EDD88" w14:textId="77777777" w:rsidR="00827A89" w:rsidRPr="00827A89" w:rsidRDefault="00827A89" w:rsidP="00827A89">
      <w:pPr>
        <w:pStyle w:val="Text"/>
        <w:rPr>
          <w:color w:val="auto"/>
          <w:highlight w:val="yellow"/>
        </w:rPr>
      </w:pPr>
      <w:r w:rsidRPr="00827A89">
        <w:rPr>
          <w:color w:val="auto"/>
          <w:highlight w:val="yellow"/>
        </w:rPr>
        <w:t>Sources were excluded when their primary focus fell outside the defined scope of the review, when they duplicated a later or more complete version of the same work, when they lacked sufficient technical or methodological relevance to support the analysis, or when the available full text did not provide enough information for meaningful evaluation. Particular attention was given to maintaining consistency between the stated scope of the review and the evidence ultimately included in the synthesis. Earlier publications falling outside the primary 2015–2026 review period were retained selectively only when they established foundational standards, methodologies, analytical frameworks, or engineering concepts that remain relevant to contemporary data-center and power-system applications.</w:t>
      </w:r>
    </w:p>
    <w:p w14:paraId="68358B23" w14:textId="77777777" w:rsidR="00827A89" w:rsidRPr="00827A89" w:rsidRDefault="00827A89" w:rsidP="00827A89">
      <w:pPr>
        <w:pStyle w:val="Text"/>
        <w:rPr>
          <w:color w:val="auto"/>
          <w:highlight w:val="yellow"/>
        </w:rPr>
      </w:pPr>
      <w:r w:rsidRPr="00827A89">
        <w:rPr>
          <w:color w:val="auto"/>
          <w:highlight w:val="yellow"/>
        </w:rPr>
        <w:t>This eligibility framework was applied to maintain a technically focused evidence base while allowing the review to incorporate rapidly evolving developments that may first appear in standards, agency publications, market analyses, or industry disclosures before being comprehensively addressed in peer-reviewed research.</w:t>
      </w:r>
    </w:p>
    <w:p w14:paraId="789120AF" w14:textId="03CCDDBA" w:rsidR="00CD098A" w:rsidRPr="001718D7" w:rsidRDefault="00CD098A" w:rsidP="00CD098A">
      <w:pPr>
        <w:pStyle w:val="Heading20"/>
        <w:jc w:val="both"/>
        <w:rPr>
          <w:color w:val="auto"/>
          <w:highlight w:val="yellow"/>
          <w:lang w:val="en-CA"/>
        </w:rPr>
      </w:pPr>
      <w:r w:rsidRPr="001718D7">
        <w:rPr>
          <w:color w:val="auto"/>
          <w:highlight w:val="yellow"/>
          <w:lang w:val="en-CA"/>
        </w:rPr>
        <w:t>1.6.3 Screening and Selection Process</w:t>
      </w:r>
    </w:p>
    <w:p w14:paraId="368690D2" w14:textId="2B79A017" w:rsidR="00682951" w:rsidRPr="00682951" w:rsidRDefault="00682951" w:rsidP="00682951">
      <w:pPr>
        <w:pStyle w:val="Text"/>
        <w:rPr>
          <w:color w:val="auto"/>
          <w:highlight w:val="yellow"/>
        </w:rPr>
      </w:pPr>
      <w:r w:rsidRPr="00682951">
        <w:rPr>
          <w:color w:val="auto"/>
          <w:highlight w:val="yellow"/>
        </w:rPr>
        <w:t>185 sources were used for the final qualitative synthesis. The evidence base consisted of 92 peer-reviewed journal articles, 21 conference papers, 14 technical standards and patent documents, 38 government, agency and institutional reports and, 20 corporate and grey literature sources for a total of 185 sources in the qualitative synthesis. These sources were summarized to form the base for the technical, economic, operational, reliability, regulatory, and sustainability evaluations that were carried out throughout this review.</w:t>
      </w:r>
    </w:p>
    <w:p w14:paraId="24CD6EFE" w14:textId="73FF6D8A" w:rsidR="00682951" w:rsidRPr="00682951" w:rsidRDefault="00682951" w:rsidP="00682951">
      <w:pPr>
        <w:pStyle w:val="Text"/>
        <w:rPr>
          <w:color w:val="auto"/>
          <w:highlight w:val="yellow"/>
        </w:rPr>
      </w:pPr>
      <w:r w:rsidRPr="00682951">
        <w:rPr>
          <w:color w:val="auto"/>
          <w:highlight w:val="yellow"/>
        </w:rPr>
        <w:t>Since the underlying studies show significant variation in technologies, system configurations, geographic and temporal boundaries, cost definitions, analytical assumptions, reporting practices, and performance metrics, no quantitative meta-analysis was performed. Comparisons of the reported results might then be misleading because they are derived directly from the statistics. A structured qualitative synthesis process was preferred instead to identify similar findings, points of consensus (or consensus gaps), methodological limitations, gaps in the evidence, and factors influencing the applicability of reported findings to data-centers in the AI context. The analysis of this synthesis then was used in the seven-component decision framework presented in Section 7.</w:t>
      </w:r>
    </w:p>
    <w:p w14:paraId="342FC9C2" w14:textId="6C3FA83C" w:rsidR="007F38FB" w:rsidRPr="001020EF" w:rsidRDefault="00682951" w:rsidP="00682951">
      <w:pPr>
        <w:pStyle w:val="Text"/>
        <w:rPr>
          <w:color w:val="auto"/>
          <w:highlight w:val="yellow"/>
        </w:rPr>
      </w:pPr>
      <w:r w:rsidRPr="00682951">
        <w:rPr>
          <w:color w:val="auto"/>
          <w:highlight w:val="yellow"/>
        </w:rPr>
        <w:t xml:space="preserve">The search, identification, screening, eligibility, and exclusion counts shown are for review process, which excludes all children who were screened and ineligible or excluded for documented reasons. The final inclusion stage of the review process is specific to the 185 sources included in the qualitative synthesis (n = 185). Items referenced outside the written synthesis review in support of the methodology, terminology and definitions, mathematical formulations, technical standards, background information or subsequent revisions of the manuscript are not necessarily included in this </w:t>
      </w:r>
      <w:r w:rsidRPr="00682951">
        <w:rPr>
          <w:color w:val="auto"/>
          <w:highlight w:val="yellow"/>
        </w:rPr>
        <w:lastRenderedPageBreak/>
        <w:t>185-source synthesis and should therefore not be interpreted as part of the screened evidence base.</w:t>
      </w:r>
      <w:r w:rsidR="00416BEB">
        <w:rPr>
          <w:color w:val="auto"/>
          <w:highlight w:val="yellow"/>
        </w:rPr>
        <w:t xml:space="preserve"> </w:t>
      </w:r>
      <w:r w:rsidR="00416BEB">
        <w:rPr>
          <w:color w:val="auto"/>
          <w:highlight w:val="yellow"/>
        </w:rPr>
        <w:fldChar w:fldCharType="begin"/>
      </w:r>
      <w:r w:rsidR="00416BEB">
        <w:rPr>
          <w:color w:val="auto"/>
          <w:highlight w:val="yellow"/>
        </w:rPr>
        <w:instrText xml:space="preserve"> REF _Ref239529026 \h </w:instrText>
      </w:r>
      <w:r w:rsidR="00416BEB">
        <w:rPr>
          <w:color w:val="auto"/>
          <w:highlight w:val="yellow"/>
        </w:rPr>
      </w:r>
      <w:r w:rsidR="00416BEB">
        <w:rPr>
          <w:color w:val="auto"/>
          <w:highlight w:val="yellow"/>
        </w:rPr>
        <w:fldChar w:fldCharType="separate"/>
      </w:r>
      <w:r w:rsidR="00416BEB" w:rsidRPr="001718D7">
        <w:rPr>
          <w:highlight w:val="yellow"/>
        </w:rPr>
        <w:t xml:space="preserve">Figure </w:t>
      </w:r>
      <w:r w:rsidR="00416BEB">
        <w:rPr>
          <w:noProof/>
          <w:highlight w:val="yellow"/>
        </w:rPr>
        <w:t>2</w:t>
      </w:r>
      <w:r w:rsidR="00416BEB" w:rsidRPr="001718D7">
        <w:rPr>
          <w:highlight w:val="yellow"/>
        </w:rPr>
        <w:t xml:space="preserve"> PRISMA 2020 Flow Diagram of the Literature Screening and Selection Process</w:t>
      </w:r>
      <w:r w:rsidR="00416BEB">
        <w:rPr>
          <w:color w:val="auto"/>
          <w:highlight w:val="yellow"/>
        </w:rPr>
        <w:fldChar w:fldCharType="end"/>
      </w:r>
      <w:r w:rsidR="00416BEB">
        <w:rPr>
          <w:color w:val="auto"/>
          <w:highlight w:val="yellow"/>
        </w:rPr>
        <w:t xml:space="preserve">, demonstrates the previous procedure. </w:t>
      </w:r>
    </w:p>
    <w:p w14:paraId="38CA8871" w14:textId="77777777" w:rsidR="001020EF" w:rsidRDefault="001020EF" w:rsidP="00F73CD6">
      <w:pPr>
        <w:pStyle w:val="Heading20"/>
        <w:keepNext/>
        <w:spacing w:before="0" w:after="0"/>
        <w:jc w:val="center"/>
        <w:rPr>
          <w:highlight w:val="yellow"/>
        </w:rPr>
      </w:pPr>
    </w:p>
    <w:p w14:paraId="57F691C8" w14:textId="091E3174" w:rsidR="00827A89" w:rsidRPr="00827A89" w:rsidRDefault="00827A89" w:rsidP="00827A89">
      <w:pPr>
        <w:pStyle w:val="Heading20"/>
        <w:keepNext/>
        <w:spacing w:before="0" w:after="0"/>
        <w:jc w:val="center"/>
        <w:rPr>
          <w:highlight w:val="yellow"/>
          <w:lang w:val="en-CA"/>
        </w:rPr>
      </w:pPr>
      <w:r w:rsidRPr="00827A89">
        <w:rPr>
          <w:highlight w:val="yellow"/>
          <w:lang w:val="en-CA"/>
        </w:rPr>
        <w:drawing>
          <wp:inline distT="0" distB="0" distL="0" distR="0" wp14:anchorId="0895053C" wp14:editId="4FA99806">
            <wp:extent cx="6192520" cy="3188335"/>
            <wp:effectExtent l="0" t="0" r="0" b="0"/>
            <wp:docPr id="1497751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92520" cy="3188335"/>
                    </a:xfrm>
                    <a:prstGeom prst="rect">
                      <a:avLst/>
                    </a:prstGeom>
                    <a:noFill/>
                    <a:ln>
                      <a:noFill/>
                    </a:ln>
                  </pic:spPr>
                </pic:pic>
              </a:graphicData>
            </a:graphic>
          </wp:inline>
        </w:drawing>
      </w:r>
    </w:p>
    <w:p w14:paraId="240F0818" w14:textId="35247BDE" w:rsidR="001718D7" w:rsidRPr="001718D7" w:rsidRDefault="001718D7" w:rsidP="00F73CD6">
      <w:pPr>
        <w:pStyle w:val="Heading20"/>
        <w:keepNext/>
        <w:spacing w:before="0" w:after="0"/>
        <w:jc w:val="center"/>
        <w:rPr>
          <w:highlight w:val="yellow"/>
        </w:rPr>
      </w:pPr>
    </w:p>
    <w:p w14:paraId="6535F3C0" w14:textId="19E14F9B" w:rsidR="001718D7" w:rsidRPr="00265205" w:rsidRDefault="001718D7" w:rsidP="00265205">
      <w:pPr>
        <w:pStyle w:val="Caption"/>
        <w:jc w:val="center"/>
        <w:rPr>
          <w:noProof/>
          <w:snapToGrid w:val="0"/>
          <w:color w:val="auto"/>
          <w:szCs w:val="22"/>
          <w:lang w:val="en-CA" w:bidi="en-US"/>
        </w:rPr>
      </w:pPr>
      <w:bookmarkStart w:id="5" w:name="_Ref239529026"/>
      <w:r w:rsidRPr="001718D7">
        <w:rPr>
          <w:highlight w:val="yellow"/>
        </w:rPr>
        <w:t xml:space="preserve">Figure </w:t>
      </w:r>
      <w:r w:rsidRPr="001718D7">
        <w:rPr>
          <w:highlight w:val="yellow"/>
        </w:rPr>
        <w:fldChar w:fldCharType="begin"/>
      </w:r>
      <w:r w:rsidRPr="001718D7">
        <w:rPr>
          <w:highlight w:val="yellow"/>
        </w:rPr>
        <w:instrText xml:space="preserve"> SEQ Figure \* ARABIC </w:instrText>
      </w:r>
      <w:r w:rsidRPr="001718D7">
        <w:rPr>
          <w:highlight w:val="yellow"/>
        </w:rPr>
        <w:fldChar w:fldCharType="separate"/>
      </w:r>
      <w:r w:rsidR="00807110">
        <w:rPr>
          <w:noProof/>
          <w:highlight w:val="yellow"/>
        </w:rPr>
        <w:t>2</w:t>
      </w:r>
      <w:r w:rsidRPr="001718D7">
        <w:rPr>
          <w:highlight w:val="yellow"/>
        </w:rPr>
        <w:fldChar w:fldCharType="end"/>
      </w:r>
      <w:r w:rsidRPr="001718D7">
        <w:rPr>
          <w:highlight w:val="yellow"/>
        </w:rPr>
        <w:t xml:space="preserve"> PRISMA 2020 Flow Diagram of the Literature Screening and Selection Process</w:t>
      </w:r>
      <w:bookmarkEnd w:id="5"/>
    </w:p>
    <w:p w14:paraId="725B69FD" w14:textId="77777777" w:rsidR="00FE013C" w:rsidRDefault="00FE013C" w:rsidP="004C16FF">
      <w:pPr>
        <w:pStyle w:val="Heading10"/>
        <w:jc w:val="both"/>
        <w:rPr>
          <w:color w:val="auto"/>
        </w:rPr>
      </w:pPr>
      <w:r>
        <w:rPr>
          <w:color w:val="auto"/>
          <w:lang w:eastAsia="zh-CN"/>
        </w:rPr>
        <w:t xml:space="preserve">2. </w:t>
      </w:r>
      <w:r>
        <w:rPr>
          <w:color w:val="auto"/>
        </w:rPr>
        <w:t>Literature Review and State-of-the-Art</w:t>
      </w:r>
    </w:p>
    <w:p w14:paraId="27716A7A" w14:textId="034D1736" w:rsidR="00FE013C" w:rsidRPr="003E394F" w:rsidRDefault="00FE013C" w:rsidP="00EE1463">
      <w:pPr>
        <w:pStyle w:val="Heading20"/>
        <w:jc w:val="both"/>
        <w:rPr>
          <w:color w:val="auto"/>
          <w:lang w:val="en-CA"/>
        </w:rPr>
      </w:pPr>
      <w:r w:rsidRPr="003E394F">
        <w:rPr>
          <w:color w:val="auto"/>
          <w:lang w:val="en-CA"/>
        </w:rPr>
        <w:t>2.1. AI Data Center Power Consumption</w:t>
      </w:r>
    </w:p>
    <w:p w14:paraId="450E82AB" w14:textId="45797925" w:rsidR="00FE013C" w:rsidRPr="00DC4621" w:rsidRDefault="00FE013C" w:rsidP="00827A89">
      <w:pPr>
        <w:spacing w:after="120"/>
        <w:ind w:firstLine="480"/>
        <w:rPr>
          <w:szCs w:val="24"/>
          <w:highlight w:val="yellow"/>
        </w:rPr>
      </w:pPr>
      <w:r w:rsidRPr="00DC4621">
        <w:rPr>
          <w:szCs w:val="24"/>
          <w:highlight w:val="yellow"/>
        </w:rPr>
        <w:t xml:space="preserve">Unlike traditional enterprise data centers, AI data centers have different power consumption characteristics because the workloads on GPUs and TPUs are of high intensity and concentrated nature. AI accelerators such as the NVIDIA H100 Tensor Core GPU come in two main form factors: the PCIe version (up to 350 W) and the SXM version (up to 700 W), with the SXM variant delivering substantially higher memory bandwidth and compute throughput at the cost of significantly higher power draw </w:t>
      </w:r>
      <w:r w:rsidRPr="00DC4621">
        <w:rPr>
          <w:szCs w:val="24"/>
          <w:highlight w:val="yellow"/>
        </w:rPr>
        <w:fldChar w:fldCharType="begin"/>
      </w:r>
      <w:r w:rsidR="00827A89" w:rsidRPr="00DC4621">
        <w:rPr>
          <w:szCs w:val="24"/>
          <w:highlight w:val="yellow"/>
        </w:rPr>
        <w:instrText xml:space="preserve"> ADDIN ZOTERO_ITEM CSL_CITATION {"citationID":"ZFTw5Hk5","properties":{"formattedCitation":"[10], [29]","plainCitation":"[10], [29]","noteIndex":0},"citationItems":[{"id":1914,"uris":["http://zotero.org/users/9870935/items/MRD83LE5"],"itemData":{"id":1914,"type":"article-journal","language":"en","source":"Zotero","title":"NVIDIA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Pr="00DC4621">
        <w:rPr>
          <w:szCs w:val="24"/>
          <w:highlight w:val="yellow"/>
        </w:rPr>
        <w:fldChar w:fldCharType="separate"/>
      </w:r>
      <w:r w:rsidR="00827A89" w:rsidRPr="00DC4621">
        <w:rPr>
          <w:highlight w:val="yellow"/>
        </w:rPr>
        <w:t>[10], [29]</w:t>
      </w:r>
      <w:r w:rsidRPr="00DC4621">
        <w:rPr>
          <w:szCs w:val="24"/>
          <w:highlight w:val="yellow"/>
        </w:rPr>
        <w:fldChar w:fldCharType="end"/>
      </w:r>
      <w:r w:rsidRPr="00DC4621">
        <w:rPr>
          <w:szCs w:val="24"/>
          <w:highlight w:val="yellow"/>
        </w:rPr>
        <w:t>. Power densities can reach 30 kW on a rack with eight GPUs per server and multiple servers per rack, whereas typical enterprise computing rack power densities are 5–10 kW</w:t>
      </w:r>
      <w:r w:rsidRPr="00DC4621">
        <w:rPr>
          <w:szCs w:val="24"/>
          <w:highlight w:val="yellow"/>
        </w:rPr>
        <w:fldChar w:fldCharType="begin"/>
      </w:r>
      <w:r w:rsidR="00827A89" w:rsidRPr="00DC4621">
        <w:rPr>
          <w:szCs w:val="24"/>
          <w:highlight w:val="yellow"/>
        </w:rPr>
        <w:instrText xml:space="preserve"> ADDIN ZOTERO_ITEM CSL_CITATION {"citationID":"fI33HUPr","properties":{"formattedCitation":"[30]","plainCitation":"[30]","noteIndex":0},"citationItems":[{"id":1956,"uris":["http://zotero.org/users/9870935/items/LXX5NDM3"],"itemData":{"id":1956,"type":"article-journal","language":"en","source":"Zotero","title":"How 6 AI Attributes Change Data Center Design","URL":"https://download.schneider-electric.com/files?p_Doc_Ref=SPD_WP110_EN&amp;p_enDocType=White+Paper&amp;p_File_Name=WP110_V3_1_EN.pdf","author":[{"family":"Avelar","given":"Victor"},{"family":"Donovan","given":"Patrick"}]}}],"schema":"https://github.com/citation-style-language/schema/raw/master/csl-citation.json"} </w:instrText>
      </w:r>
      <w:r w:rsidRPr="00DC4621">
        <w:rPr>
          <w:szCs w:val="24"/>
          <w:highlight w:val="yellow"/>
        </w:rPr>
        <w:fldChar w:fldCharType="separate"/>
      </w:r>
      <w:r w:rsidR="00827A89" w:rsidRPr="00DC4621">
        <w:rPr>
          <w:highlight w:val="yellow"/>
        </w:rPr>
        <w:t>[30]</w:t>
      </w:r>
      <w:r w:rsidRPr="00DC4621">
        <w:rPr>
          <w:szCs w:val="24"/>
          <w:highlight w:val="yellow"/>
        </w:rPr>
        <w:fldChar w:fldCharType="end"/>
      </w:r>
      <w:r w:rsidRPr="00DC4621">
        <w:rPr>
          <w:szCs w:val="24"/>
          <w:highlight w:val="yellow"/>
        </w:rPr>
        <w:t>. This significant increase in computing density has far-reaching effects on power delivery infrastructure, cooling system design, and facility power usage.</w:t>
      </w:r>
    </w:p>
    <w:p w14:paraId="40986764" w14:textId="7E57B5A7" w:rsidR="007A7F13" w:rsidRPr="007A7F13" w:rsidRDefault="007A7F13" w:rsidP="00DC4621">
      <w:pPr>
        <w:spacing w:after="120"/>
        <w:ind w:firstLine="480"/>
        <w:rPr>
          <w:szCs w:val="24"/>
          <w:lang w:val="en-CA"/>
        </w:rPr>
      </w:pPr>
      <w:r w:rsidRPr="00DC4621">
        <w:rPr>
          <w:szCs w:val="24"/>
          <w:highlight w:val="yellow"/>
          <w:lang w:val="en-CA"/>
        </w:rPr>
        <w:t>The power characteristics of AI workloads differ substantially between model training and inference. Training workloads can sustain high accelerator utilization for extended periods because large numbers of GPUs or other accelerators perform repeated compute-, memory-, and communication-intensive operations throughout the training process</w:t>
      </w:r>
      <w:r w:rsidR="00DC4621" w:rsidRPr="00DC4621">
        <w:rPr>
          <w:szCs w:val="24"/>
          <w:highlight w:val="yellow"/>
          <w:lang w:val="en-CA"/>
        </w:rPr>
        <w:fldChar w:fldCharType="begin"/>
      </w:r>
      <w:r w:rsidR="00DC4621" w:rsidRPr="00DC4621">
        <w:rPr>
          <w:szCs w:val="24"/>
          <w:highlight w:val="yellow"/>
          <w:lang w:val="en-CA"/>
        </w:rPr>
        <w:instrText xml:space="preserve"> ADDIN ZOTERO_ITEM CSL_CITATION {"citationID":"fUbxQaBS","properties":{"unsorted":false,"formattedCitation":"[4], [29]","plainCitation":"[4], [29]","noteIndex":0},"citationItems":[{"id":1900,"uris":["http://zotero.org/users/9870935/items/IDZTTL47"],"itemData":{"id":1900,"type":"article","abstract":"The computation demand for machine learning (ML) has grown rapidly recently, which comes with a number of costs. Estimating the energy cost helps measure its environmental impact and finding greener strategies, yet it is challenging without detailed information. We calculate the energy use and carbon footprint of several recent large models-T5, Meena, GShard, Switch Transformer, and GPT-3-and refine earlier estimates for the neural architecture search that found Evolved Transformer. We highlight the following opportunities to improve energy efficiency and CO2 equivalent emissions (CO2e): Large but sparsely activated DNNs can consume &amp;lt;1/10th the energy of large, dense DNNs without sacrificing accuracy despite using as many or even more parameters. Geographic location matters for ML workload scheduling since the fraction of carbon-free energy and resulting CO2e vary ~5X-10X, even within the same country and the same organization. We are now optimizing where and when large models are trained. Specific datacenter infrastructure matters, as Cloud datacenters can be ~1.4-2X more energy efficient than typical datacenters, and the ML-oriented accelerators inside them can be ~2-5X more effective than off-the-shelf systems. Remarkably, the choice of DNN, datacenter, and processor can reduce the carbon footprint up to ~100-1000X. These large factors also make retroactive estimates of energy cost difficult. To avoid miscalculations, we believe ML papers requiring large computational resources should make energy consumption and CO2e explicit when practical. We are working to be more transparent about energy use and CO2e in our future research. To help reduce the carbon footprint of ML, we believe energy usage and CO2e should be a key metric in evaluating models, and we are collaborating with MLPerf developers to include energy usage during training and inference in this industry standard benchmark.","DOI":"10.48550/ARXIV.2104.10350","license":"arXiv.org perpetual, non-exclusive license","note":"version: 3","publisher":"arXiv","source":"DOI.org (Datacite)","title":"Carbon Emissions and Large Neural Network Training","URL":"https://arxiv.org/abs/2104.10350","author":[{"family":"Patterson","given":"David"},{"family":"Gonzalez","given":"Joseph"},{"family":"Le","given":"Quoc"},{"family":"Liang","given":"Chen"},{"family":"Munguia","given":"Lluis-Miquel"},{"family":"Rothchild","given":"Daniel"},{"family":"So","given":"David"},{"family":"Texier","given":"Maud"},{"family":"Dean","given":"Jeff"}],"accessed":{"date-parts":[["2026",5,10]]},"issued":{"date-parts":[["2021"]]}}},{"id":1954,"uris":["http://zotero.org/users/9870935/items/PCATWEQE"],"itemData":{"id":1954,"type":"article-journal","container-title":"IEEE Transactions on Parallel and Distributed Systems","DOI":"10.1109/TPDS.2021.3115630","ISSN":"1045-9219, 1558-2183, 2161-9883","issue":"6","journalAbbreviation":"IEEE Trans. Parallel Distrib. Syst.","license":"https://ieeexplore.ieee.org/Xplorehelp/downloads/license-information/IEEE.html","page":"1451-1463","source":"DOI.org (Crossref)","title":"A Survey of GPU Multitasking Methods Supported by Hardware Architecture","volume":"33","author":[{"family":"Zhao","given":"Chen"},{"family":"Gao","given":"Wu"},{"family":"Nie","given":"Feiping"},{"family":"Zhou","given":"Huiyang"}],"issued":{"date-parts":[["2022",6,1]]}}}],"schema":"https://github.com/citation-style-language/schema/raw/master/csl-citation.json"} </w:instrText>
      </w:r>
      <w:r w:rsidR="00DC4621" w:rsidRPr="00DC4621">
        <w:rPr>
          <w:szCs w:val="24"/>
          <w:highlight w:val="yellow"/>
          <w:lang w:val="en-CA"/>
        </w:rPr>
        <w:fldChar w:fldCharType="separate"/>
      </w:r>
      <w:r w:rsidR="00DC4621" w:rsidRPr="00DC4621">
        <w:rPr>
          <w:highlight w:val="yellow"/>
          <w:lang w:val="en-CA"/>
        </w:rPr>
        <w:t>[4], [29]</w:t>
      </w:r>
      <w:r w:rsidR="00DC4621" w:rsidRPr="00DC4621">
        <w:rPr>
          <w:szCs w:val="24"/>
          <w:highlight w:val="yellow"/>
          <w:lang w:val="en-CA"/>
        </w:rPr>
        <w:fldChar w:fldCharType="end"/>
      </w:r>
      <w:r w:rsidRPr="00DC4621">
        <w:rPr>
          <w:szCs w:val="24"/>
          <w:highlight w:val="yellow"/>
          <w:lang w:val="en-CA"/>
        </w:rPr>
        <w:t xml:space="preserve">. Inference workloads are generally more variable, as instantaneous power demand depends on factors such as request rate, batching strategy, model architecture and size, sequence length, hardware utilization, and the serving configuration. Consequently, inference should not be represented by a single fixed percentage of peak accelerator power unless that value is supported by measurements for a clearly defined hardware and </w:t>
      </w:r>
      <w:r w:rsidRPr="00DC4621">
        <w:rPr>
          <w:szCs w:val="24"/>
          <w:highlight w:val="yellow"/>
          <w:lang w:val="en-CA"/>
        </w:rPr>
        <w:lastRenderedPageBreak/>
        <w:t>workload configuration. These differences in temporal load characteristics are important for renewable-energy integration, storage sizing, and power-system planning because they influence both the magnitude and duration of data-center electricity demand.</w:t>
      </w:r>
    </w:p>
    <w:p w14:paraId="1829D0F1" w14:textId="5FFAFBC2" w:rsidR="00FE013C" w:rsidRPr="00684620" w:rsidRDefault="00FE013C" w:rsidP="00DC4621">
      <w:pPr>
        <w:spacing w:after="120"/>
        <w:ind w:firstLine="480"/>
        <w:rPr>
          <w:szCs w:val="24"/>
        </w:rPr>
      </w:pPr>
      <w:r w:rsidRPr="00684620">
        <w:rPr>
          <w:szCs w:val="24"/>
        </w:rPr>
        <w:t xml:space="preserve">The most widely used measure for the energy efficiency of a data </w:t>
      </w:r>
      <w:r w:rsidR="00232D2E" w:rsidRPr="00684620">
        <w:rPr>
          <w:szCs w:val="24"/>
        </w:rPr>
        <w:t>center</w:t>
      </w:r>
      <w:r w:rsidRPr="00684620">
        <w:rPr>
          <w:szCs w:val="24"/>
        </w:rPr>
        <w:t xml:space="preserve"> is called the power usage effectiveness (PUE), which is calculated as the ratio of total facility power to IT equipment power. The Uptime Institute 2024 Global Data Center Survey, which drew results from almost 900 operators worldwide, found an industry average PUE of 1.56, and facilities with the lowest scores had a PUE of 1.06 [9]. However, the survey found that there has been little improvement in PUE in the last five years, as the overall average value has not significantly changed since 2019. The plateau is attributed to the rising power needs of these accelerators, as efficiency advances in power distribution and cooling have failed to keep up. Generally, Google's plants have been at the forefront of the PUE front, with a trailing 12-month average of 1.10 across the worldwide fleet of the company, owing to the use of advanced cooling systems, custom server design, and AI-based temperature management</w:t>
      </w:r>
      <w:r>
        <w:rPr>
          <w:szCs w:val="24"/>
        </w:rPr>
        <w:fldChar w:fldCharType="begin"/>
      </w:r>
      <w:r w:rsidR="00DC4621">
        <w:rPr>
          <w:szCs w:val="24"/>
        </w:rPr>
        <w:instrText xml:space="preserve"> ADDIN ZOTERO_ITEM CSL_CITATION {"citationID":"kJk7hCJe","properties":{"unsorted":false,"formattedCitation":"[31]","plainCitation":"[31]","noteIndex":0},"citationItems":[{"id":1961,"uris":["http://zotero.org/users/9870935/items/RMS65YHB"],"itemData":{"id":1961,"type":"post-weblog","title":"Growing the internet while reducing energy consumption","URL":"https://datacenters.google/efficiency/","author":[{"family":"Google","given":""}]}}],"schema":"https://github.com/citation-style-language/schema/raw/master/csl-citation.json"} </w:instrText>
      </w:r>
      <w:r>
        <w:rPr>
          <w:szCs w:val="24"/>
        </w:rPr>
        <w:fldChar w:fldCharType="separate"/>
      </w:r>
      <w:r w:rsidR="00DC4621" w:rsidRPr="00DC4621">
        <w:t>[31]</w:t>
      </w:r>
      <w:r>
        <w:rPr>
          <w:szCs w:val="24"/>
        </w:rPr>
        <w:fldChar w:fldCharType="end"/>
      </w:r>
      <w:r w:rsidRPr="00684620">
        <w:rPr>
          <w:szCs w:val="24"/>
        </w:rPr>
        <w:t>.</w:t>
      </w:r>
    </w:p>
    <w:p w14:paraId="17416DC4" w14:textId="39EF8C18" w:rsidR="00FE013C" w:rsidRPr="00684620" w:rsidRDefault="00FE013C" w:rsidP="00DC4621">
      <w:pPr>
        <w:spacing w:after="120"/>
        <w:ind w:firstLine="480"/>
        <w:rPr>
          <w:szCs w:val="24"/>
        </w:rPr>
      </w:pPr>
      <w:r w:rsidRPr="00684620">
        <w:rPr>
          <w:szCs w:val="24"/>
        </w:rPr>
        <w:t xml:space="preserve">The second most energy-intensive consumer of energy in data </w:t>
      </w:r>
      <w:r w:rsidR="00232D2E" w:rsidRPr="00684620">
        <w:rPr>
          <w:szCs w:val="24"/>
        </w:rPr>
        <w:t>centers</w:t>
      </w:r>
      <w:r w:rsidRPr="00684620">
        <w:rPr>
          <w:szCs w:val="24"/>
        </w:rPr>
        <w:t xml:space="preserve"> is the cooling system, which consumes between 30% and 50</w:t>
      </w:r>
      <w:r>
        <w:rPr>
          <w:szCs w:val="24"/>
        </w:rPr>
        <w:t xml:space="preserve">% </w:t>
      </w:r>
      <w:r w:rsidRPr="00684620">
        <w:rPr>
          <w:szCs w:val="24"/>
        </w:rPr>
        <w:t xml:space="preserve">of the total energy used by the data </w:t>
      </w:r>
      <w:r w:rsidR="00232D2E" w:rsidRPr="00684620">
        <w:rPr>
          <w:szCs w:val="24"/>
        </w:rPr>
        <w:t>center</w:t>
      </w:r>
      <w:r w:rsidRPr="00684620">
        <w:rPr>
          <w:szCs w:val="24"/>
        </w:rPr>
        <w:t xml:space="preserve"> facility</w:t>
      </w:r>
      <w:r>
        <w:rPr>
          <w:szCs w:val="24"/>
        </w:rPr>
        <w:fldChar w:fldCharType="begin"/>
      </w:r>
      <w:r w:rsidR="00DC4621">
        <w:rPr>
          <w:szCs w:val="24"/>
        </w:rPr>
        <w:instrText xml:space="preserve"> ADDIN ZOTERO_ITEM CSL_CITATION {"citationID":"CnjmtKzh","properties":{"unsorted":false,"formattedCitation":"[32], [33]","plainCitation":"[32], [33]","noteIndex":0},"citationItems":[{"id":1962,"uris":["http://zotero.org/users/9870935/items/CJR355SS"],"itemData":{"id":1962,"type":"article-journal","container-title":"Sustainable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B.M."},{"family":"Dolfi","given":"Andrea"},{"family":"Srinivasan","given":"Geetha"}],"issued":{"date-parts":[["2025",10]]}}},{"id":1963,"uris":["http://zotero.org/users/9870935/items/KNQTTPD2"],"itemData":{"id":1963,"type":"article-journal","container-title":"Energy Procedia","DOI":"10.1016/j.egypro.2017.03.581","ISSN":"18766102","journalAbbreviation":"Energy Procedia","language":"en","page":"2047-2052","source":"DOI.org (Crossref)","title":"Cooling Energy Consumption Investigation of Data Center IT Room with Vertical Placed Server","volume":"105","author":[{"family":"Zhang","given":"X."},{"family":"Lindberg","given":"T."},{"family":"Xiong","given":"N."},{"family":"Vyatkin","given":"V."},{"family":"Mousavi","given":"A."}],"issued":{"date-parts":[["2017",5]]}}}],"schema":"https://github.com/citation-style-language/schema/raw/master/csl-citation.json"} </w:instrText>
      </w:r>
      <w:r>
        <w:rPr>
          <w:szCs w:val="24"/>
        </w:rPr>
        <w:fldChar w:fldCharType="separate"/>
      </w:r>
      <w:r w:rsidR="00DC4621" w:rsidRPr="00DC4621">
        <w:t>[32], [33]</w:t>
      </w:r>
      <w:r>
        <w:rPr>
          <w:szCs w:val="24"/>
        </w:rPr>
        <w:fldChar w:fldCharType="end"/>
      </w:r>
      <w:r w:rsidRPr="00684620">
        <w:rPr>
          <w:szCs w:val="24"/>
        </w:rPr>
        <w:t xml:space="preserve">. The traditional cooling method has limitations in high-density AI deployments, where the heat generation per square meter can surpass that achievable using a conventional computer room air conditioning (CRAC) system. Liquid cooling is a technology that can provide significant efficiency gains, up </w:t>
      </w:r>
      <w:r>
        <w:rPr>
          <w:szCs w:val="24"/>
        </w:rPr>
        <w:t>to 40%</w:t>
      </w:r>
      <w:r w:rsidRPr="00684620">
        <w:rPr>
          <w:szCs w:val="24"/>
        </w:rPr>
        <w:t xml:space="preserve"> of cooling energy compared to air-based cooling</w:t>
      </w:r>
      <w:r>
        <w:rPr>
          <w:szCs w:val="24"/>
        </w:rPr>
        <w:t xml:space="preserve"> </w:t>
      </w:r>
      <w:r>
        <w:rPr>
          <w:szCs w:val="24"/>
        </w:rPr>
        <w:fldChar w:fldCharType="begin"/>
      </w:r>
      <w:r w:rsidR="00DC4621">
        <w:rPr>
          <w:szCs w:val="24"/>
        </w:rPr>
        <w:instrText xml:space="preserve"> ADDIN ZOTERO_ITEM CSL_CITATION {"citationID":"vtXS9ZhK","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00DC4621" w:rsidRPr="00DC4621">
        <w:t>[34]</w:t>
      </w:r>
      <w:r>
        <w:rPr>
          <w:szCs w:val="24"/>
        </w:rPr>
        <w:fldChar w:fldCharType="end"/>
      </w:r>
      <w:r w:rsidRPr="00684620">
        <w:rPr>
          <w:szCs w:val="24"/>
        </w:rPr>
        <w:t xml:space="preserve">. Next-generation data </w:t>
      </w:r>
      <w:r w:rsidR="00232D2E" w:rsidRPr="00684620">
        <w:rPr>
          <w:szCs w:val="24"/>
        </w:rPr>
        <w:t>center</w:t>
      </w:r>
      <w:r w:rsidRPr="00684620">
        <w:rPr>
          <w:szCs w:val="24"/>
        </w:rPr>
        <w:t xml:space="preserve"> designs by Microsoft do not use water to cool the data </w:t>
      </w:r>
      <w:r w:rsidR="00232D2E" w:rsidRPr="00684620">
        <w:rPr>
          <w:szCs w:val="24"/>
        </w:rPr>
        <w:t>center</w:t>
      </w:r>
      <w:r w:rsidRPr="00684620">
        <w:rPr>
          <w:szCs w:val="24"/>
        </w:rPr>
        <w:t xml:space="preserve"> and are at the forefront of cooling technology for AI workloads</w:t>
      </w:r>
      <w:r>
        <w:rPr>
          <w:szCs w:val="24"/>
        </w:rPr>
        <w:fldChar w:fldCharType="begin"/>
      </w:r>
      <w:r w:rsidR="00DC4621">
        <w:rPr>
          <w:szCs w:val="24"/>
        </w:rPr>
        <w:instrText xml:space="preserve"> ADDIN ZOTERO_ITEM CSL_CITATION {"citationID":"1bmuswBt","properties":{"unsorted":false,"formattedCitation":"[35]","plainCitation":"[35]","noteIndex":0},"citationItems":[{"id":1965,"uris":["http://zotero.org/users/9870935/items/NFH32ZLK"],"itemData":{"id":1965,"type":"article-journal","container-title":"Technology Review for Carbon Neutrality","DOI":"10.26599/TRCN.2025.9550014","ISSN":"3007-6544, 3007-3944","language":"en","page":"9550014","source":"DOI.org (Crossref)","title":"Accelerating liquid cooling adoption in data centers: necessity, challenges and solutions","title-short":"Accelerating liquid cooling adoption in data centers","author":[{"family":"Zhou","given":"David"},{"family":"Du","given":"Liguang"},{"family":"Xu","given":"Ran"},{"family":"Song","given":"Jiqiang"},{"family":"Chen","given":"Na"},{"family":"Zheng","given":"Shanshan"},{"family":"Fan","given":"Yuehong"}],"issued":{"date-parts":[["2025",12]]}}}],"schema":"https://github.com/citation-style-language/schema/raw/master/csl-citation.json"} </w:instrText>
      </w:r>
      <w:r>
        <w:rPr>
          <w:szCs w:val="24"/>
        </w:rPr>
        <w:fldChar w:fldCharType="separate"/>
      </w:r>
      <w:r w:rsidR="00DC4621" w:rsidRPr="00DC4621">
        <w:t>[35]</w:t>
      </w:r>
      <w:r>
        <w:rPr>
          <w:szCs w:val="24"/>
        </w:rPr>
        <w:fldChar w:fldCharType="end"/>
      </w:r>
      <w:r w:rsidRPr="00684620">
        <w:rPr>
          <w:szCs w:val="24"/>
        </w:rPr>
        <w:t>.</w:t>
      </w:r>
    </w:p>
    <w:p w14:paraId="441CC53B" w14:textId="77777777" w:rsidR="00FE013C" w:rsidRDefault="00FE013C" w:rsidP="004C16FF">
      <w:pPr>
        <w:pStyle w:val="Heading20"/>
        <w:jc w:val="both"/>
        <w:rPr>
          <w:color w:val="auto"/>
        </w:rPr>
      </w:pPr>
      <w:r>
        <w:rPr>
          <w:color w:val="auto"/>
        </w:rPr>
        <w:t>2.2. Renewable Energy Technologies</w:t>
      </w:r>
    </w:p>
    <w:p w14:paraId="5BB3DB35" w14:textId="477C2C78" w:rsidR="00FE013C" w:rsidRPr="00D931CE" w:rsidRDefault="00FE013C" w:rsidP="00A95675">
      <w:pPr>
        <w:spacing w:after="120"/>
        <w:ind w:firstLine="480"/>
        <w:rPr>
          <w:lang w:val="en-CA"/>
        </w:rPr>
      </w:pPr>
      <w:r w:rsidRPr="00967457">
        <w:rPr>
          <w:szCs w:val="24"/>
        </w:rPr>
        <w:t xml:space="preserve">In the last 10 years, solar PV technology has experienced an incredible shift in cost and performance. The efficiencies of mainstream commercial modules have increased from </w:t>
      </w:r>
      <w:r w:rsidRPr="00571D9E">
        <w:rPr>
          <w:szCs w:val="24"/>
        </w:rPr>
        <w:t>15–17</w:t>
      </w:r>
      <w:r>
        <w:rPr>
          <w:szCs w:val="24"/>
        </w:rPr>
        <w:t xml:space="preserve">% </w:t>
      </w:r>
      <w:r w:rsidRPr="00571D9E">
        <w:rPr>
          <w:szCs w:val="24"/>
        </w:rPr>
        <w:t>in 2016</w:t>
      </w:r>
      <w:r w:rsidRPr="00967457">
        <w:rPr>
          <w:szCs w:val="24"/>
        </w:rPr>
        <w:t xml:space="preserve"> to </w:t>
      </w:r>
      <w:r w:rsidRPr="00571D9E">
        <w:rPr>
          <w:szCs w:val="24"/>
        </w:rPr>
        <w:t>21–23</w:t>
      </w:r>
      <w:r>
        <w:rPr>
          <w:szCs w:val="24"/>
        </w:rPr>
        <w:t>%</w:t>
      </w:r>
      <w:r w:rsidRPr="00571D9E">
        <w:rPr>
          <w:szCs w:val="24"/>
        </w:rPr>
        <w:t xml:space="preserve"> in 2026</w:t>
      </w:r>
      <w:r w:rsidRPr="00967457">
        <w:rPr>
          <w:szCs w:val="24"/>
        </w:rPr>
        <w:t xml:space="preserve">, with efficiencies of </w:t>
      </w:r>
      <w:r w:rsidRPr="00571D9E">
        <w:rPr>
          <w:szCs w:val="24"/>
        </w:rPr>
        <w:t>24</w:t>
      </w:r>
      <w:r>
        <w:rPr>
          <w:szCs w:val="24"/>
        </w:rPr>
        <w:t>–</w:t>
      </w:r>
      <w:r w:rsidRPr="00571D9E">
        <w:rPr>
          <w:szCs w:val="24"/>
        </w:rPr>
        <w:t>25</w:t>
      </w:r>
      <w:r>
        <w:rPr>
          <w:szCs w:val="24"/>
        </w:rPr>
        <w:t xml:space="preserve">% </w:t>
      </w:r>
      <w:r w:rsidRPr="00571D9E">
        <w:rPr>
          <w:szCs w:val="24"/>
        </w:rPr>
        <w:t>for premium modules</w:t>
      </w:r>
      <w:r w:rsidRPr="00967457">
        <w:rPr>
          <w:szCs w:val="24"/>
        </w:rPr>
        <w:t xml:space="preserve"> achieved by advanced </w:t>
      </w:r>
      <w:r w:rsidRPr="00571D9E">
        <w:rPr>
          <w:szCs w:val="24"/>
        </w:rPr>
        <w:t>TOPCon, heterojunction (HJT), and back contact (BC)</w:t>
      </w:r>
      <w:r w:rsidRPr="00967457">
        <w:rPr>
          <w:szCs w:val="24"/>
        </w:rPr>
        <w:t xml:space="preserve"> cell architectures</w:t>
      </w:r>
      <w:r>
        <w:rPr>
          <w:szCs w:val="24"/>
        </w:rPr>
        <w:fldChar w:fldCharType="begin"/>
      </w:r>
      <w:r w:rsidR="00DC4621">
        <w:rPr>
          <w:szCs w:val="24"/>
        </w:rPr>
        <w:instrText xml:space="preserve"> ADDIN ZOTERO_ITEM CSL_CITATION {"citationID":"UthNAGrE","properties":{"unsorted":false,"formattedCitation":"[36]","plainCitation":"[36]","noteIndex":0},"citationItems":[{"id":1967,"uris":["http://zotero.org/users/9870935/items/AQSZGCZJ"],"itemData":{"id":1967,"type":"article-journal","abstract":"Perovskite–TOPCon\n              2\n              tandem solar cells reaching 31.3% efficiency on front-textured devices, enabled by an optimized AlO\n              \n                x\n              \n              -based hydrogenation process that provides high passivation quality.\n            \n          , \n            \n              We demonstrate high-efficiency perovskite–silicon tandem solar cells using double-sided tunnel oxide passivated contacts (TOPCon\n              2\n              ) bottom cells, achieving 30.2% efficiency on both-sides flat and 31.3% on front-textured devices. The former is enabled by high passivation quality on flat surfaces and the latter by enhanced optical performance. These results highlight that TOPCon\n              2\n              is a promising platform for scalable tandem integration beyond silicon heterojunction-based bottom cells.","container-title":"EES Solar","DOI":"10.1039/D5EL00105F","ISSN":"3033-4063","issue":"5","journalAbbreviation":"EES Sol.","language":"en","page":"732-735","source":"DOI.org (Crossref)","title":"Over 31%-efficient perovskite–TOPCon solar cells enabled by AlO&lt;sub&gt; &lt;i&gt;x&lt;/i&gt; &lt;/sub&gt; -based hydrogenation and front sub-micron texturing","volume":"1","author":[{"family":"Hurni","given":"Julien"},{"family":"Artuk","given":"Kerem"},{"family":"Schaller","given":"Thibault"},{"family":"Austin","given":"Jonathan S."},{"family":"Sakakibara","given":"Reyu"},{"family":"Paviet-Salomon","given":"Bertrand"},{"family":"Morisset","given":"Audrey"},{"family":"Fu","given":"Fan"},{"family":"Ballif","given":"Christophe"},{"family":"Wolff","given":"Christian M."},{"family":"Haug","given":"Franz-Josef"}],"issued":{"date-parts":[["2025"]]}}}],"schema":"https://github.com/citation-style-language/schema/raw/master/csl-citation.json"} </w:instrText>
      </w:r>
      <w:r>
        <w:rPr>
          <w:szCs w:val="24"/>
        </w:rPr>
        <w:fldChar w:fldCharType="separate"/>
      </w:r>
      <w:r w:rsidR="00DC4621" w:rsidRPr="00DC4621">
        <w:t>[36]</w:t>
      </w:r>
      <w:r>
        <w:rPr>
          <w:szCs w:val="24"/>
        </w:rPr>
        <w:fldChar w:fldCharType="end"/>
      </w:r>
      <w:r w:rsidRPr="005C62D0">
        <w:rPr>
          <w:szCs w:val="24"/>
        </w:rPr>
        <w:t>. The efficiency of the inverter has also improved, and modern string and central inverters can achieve a weighted efficiency of 95–98.5 % %under different load conditions</w:t>
      </w:r>
      <w:r>
        <w:rPr>
          <w:szCs w:val="24"/>
        </w:rPr>
        <w:fldChar w:fldCharType="begin"/>
      </w:r>
      <w:r w:rsidR="00DC4621">
        <w:rPr>
          <w:szCs w:val="24"/>
        </w:rPr>
        <w:instrText xml:space="preserve"> ADDIN ZOTERO_ITEM CSL_CITATION {"citationID":"PZTT6vfG","properties":{"unsorted":false,"formattedCitation":"[37]","plainCitation":"[37]","noteIndex":0},"citationItems":[{"id":1969,"uris":["http://zotero.org/users/9870935/items/BE7V2SLT"],"itemData":{"id":1969,"type":"article-journal","abstract":"This review analyzes the transition from silicon to wide-bandgap (WBG) and ultrawide-bandgap (UWBG) semiconductor materials for power electronics, focusing on Silicon Carbide (SiC) and Gallium Nitride (GaN) technologies. Following a PRISMA-based systematic review methodology, we analyzed 94 peer-reviewed publications spanning device technology, converter architectures, and system applications. We employ a bottom-up approach, progressing from fundamental material properties through device architectures and converter topologies to system-level implications. We examine how intrinsic material properties enable operation at elevated temperatures, voltages, and frequencies while minimizing losses. Through analysis of Figures of Merit and system-level Key Performance Indicators, we quantify WBG benefits across automotive, industrial, renewable energy, and consumer electronics sectors, demonstrating 3–5× power density improvements and 20–40% cost reductions. The review presents emerging device technologies, including vertical GaN for medium-voltage applications and monolithic bidirectional switches (BDSs), enabling single-stage power conversion. We provide the first comprehensive topology-level comparison of emerging vertical GaN and monolithic bidirectional switches against established SiC solutions, identifying specific applications where each technology offers advantages. A comprehensive topology-by-topology comparison between SiC and GaN is provided, offering design guidelines for device selection. The review addresses practical constraints, including dynamic on-resistance degradation, threshold voltage instability, and electromagnetic interference challenges for both SiC and GaN. Finally, we examine emerging UWBG materials (β-Ga2O3, AlN, c-BN, Diamond) and their development status, manufacturing challenges, supply chain considerations, and commercialization prospects for ultra-high-voltage applications.","container-title":"Electronics","DOI":"10.3390/electronics15040835","ISSN":"2079-9292","issue":"4","journalAbbreviation":"Electronics","language":"en","page":"835","source":"DOI.org (Crossref)","title":"Wide and Ultrawide Bandgap Power Semiconductors: A Comprehensive System-Level Review","title-short":"Wide and Ultrawide Bandgap Power Semiconductors","volume":"15","author":[{"family":"Galioto","given":"Giuseppe"},{"family":"Vitale","given":"Gianpaolo"},{"family":"Sferlazza","given":"Antonino"},{"family":"Lullo","given":"Giuseppe"},{"family":"Giaconia","given":"Giuseppe Costantino"}],"issued":{"date-parts":[["2026",2,15]]}}}],"schema":"https://github.com/citation-style-language/schema/raw/master/csl-citation.json"} </w:instrText>
      </w:r>
      <w:r>
        <w:rPr>
          <w:szCs w:val="24"/>
        </w:rPr>
        <w:fldChar w:fldCharType="separate"/>
      </w:r>
      <w:r w:rsidR="00DC4621" w:rsidRPr="00DC4621">
        <w:t>[37]</w:t>
      </w:r>
      <w:r>
        <w:rPr>
          <w:szCs w:val="24"/>
        </w:rPr>
        <w:fldChar w:fldCharType="end"/>
      </w:r>
      <w:r w:rsidRPr="005C62D0">
        <w:rPr>
          <w:szCs w:val="24"/>
        </w:rPr>
        <w:t xml:space="preserve">. </w:t>
      </w:r>
      <w:r w:rsidR="00D931CE" w:rsidRPr="00D931CE">
        <w:rPr>
          <w:lang w:val="en-CA"/>
        </w:rPr>
        <w:t xml:space="preserve">Utility-scale solar PV and onshore wind are among the lowest-cost sources of new electricity generation in many markets. IRENA reported global weighted-average LCOEs of approximately USD 43/MWh for utility-scale solar PV and USD 34/MWh for onshore wind for projects commissioned in 2024 </w:t>
      </w:r>
      <w:r w:rsidR="00D931CE">
        <w:rPr>
          <w:szCs w:val="24"/>
        </w:rPr>
        <w:fldChar w:fldCharType="begin"/>
      </w:r>
      <w:r w:rsidR="00D931CE">
        <w:rPr>
          <w:szCs w:val="24"/>
        </w:rPr>
        <w:instrText xml:space="preserve"> ADDIN ZOTERO_ITEM CSL_CITATION {"citationID":"lLYQKQhh","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D931CE">
        <w:rPr>
          <w:szCs w:val="24"/>
        </w:rPr>
        <w:fldChar w:fldCharType="separate"/>
      </w:r>
      <w:r w:rsidR="00D931CE" w:rsidRPr="006236BD">
        <w:t>[16]</w:t>
      </w:r>
      <w:r w:rsidR="00D931CE">
        <w:rPr>
          <w:szCs w:val="24"/>
        </w:rPr>
        <w:fldChar w:fldCharType="end"/>
      </w:r>
      <w:r w:rsidR="00D931CE" w:rsidRPr="00D931CE">
        <w:rPr>
          <w:lang w:val="en-CA"/>
        </w:rPr>
        <w:t xml:space="preserve">. These global averages should not be interpreted as universal project costs, because reported LCOE values vary considerably with resource quality, capital and financing costs, project location and vintage, curtailment, interconnection requirements, and the system boundary used in the analysis [16]. </w:t>
      </w:r>
      <w:r w:rsidR="00A95675" w:rsidRPr="00D931CE">
        <w:rPr>
          <w:lang w:val="en-CA"/>
        </w:rPr>
        <w:t>Generation-only</w:t>
      </w:r>
      <w:r w:rsidR="00D931CE" w:rsidRPr="00D931CE">
        <w:rPr>
          <w:lang w:val="en-CA"/>
        </w:rPr>
        <w:t xml:space="preserve"> LCOE does not include the additional costs that may be required to provide firm and continuous electricity to an AI data center, such as energy storage, backup generation, transmission, grid services, and other reliability provisions</w:t>
      </w:r>
      <w:r w:rsidRPr="005C62D0">
        <w:rPr>
          <w:szCs w:val="24"/>
        </w:rPr>
        <w:t>.</w:t>
      </w:r>
      <w:r w:rsidR="00D931CE">
        <w:rPr>
          <w:szCs w:val="24"/>
        </w:rPr>
        <w:t xml:space="preserve"> </w:t>
      </w:r>
      <w:r w:rsidRPr="00532C4C">
        <w:rPr>
          <w:szCs w:val="24"/>
        </w:rPr>
        <w:t>Onshore wind turbines now achieve capacity factors of 25–40% in high-resource regions</w:t>
      </w:r>
      <w:r w:rsidRPr="005C62D0">
        <w:rPr>
          <w:szCs w:val="24"/>
        </w:rPr>
        <w:t>, and optimal offshore wind installations reach 40–50</w:t>
      </w:r>
      <w:r>
        <w:rPr>
          <w:szCs w:val="24"/>
        </w:rPr>
        <w:t>%</w:t>
      </w:r>
      <w:r>
        <w:rPr>
          <w:szCs w:val="24"/>
        </w:rPr>
        <w:fldChar w:fldCharType="begin"/>
      </w:r>
      <w:r w:rsidR="00A95675">
        <w:rPr>
          <w:szCs w:val="24"/>
        </w:rPr>
        <w:instrText xml:space="preserve"> ADDIN ZOTERO_ITEM CSL_CITATION {"citationID":"xiX6SGhq","properties":{"unsorted":false,"formattedCitation":"[38]","plainCitation":"[38]","noteIndex":0},"citationItems":[{"id":1974,"uris":["http://zotero.org/users/9870935/items/63N6BPKB"],"itemData":{"id":1974,"type":"article-journal","language":"en","source":"Zotero","title":"Offshore Wind Market Report: 2024 Edition","URL":"https://docs.nlr.gov/docs/fy24osti/90897.pdf","author":[{"family":"McCoy","given":"Angel"},{"family":"Musial","given":"Walter"},{"family":"Hammond","given":"Rob"},{"family":"Hernando","given":"Daniel Mulas"},{"family":"Duffy","given":"Patrick"},{"family":"Beiter","given":"Philipp"},{"family":"Pérez","given":"Paula"},{"family":"Baranowski","given":"Ruth"},{"family":"Reber","given":"Gage"},{"family":"Spitsen","given":"Paul"}]}}],"schema":"https://github.com/citation-style-language/schema/raw/master/csl-citation.json"} </w:instrText>
      </w:r>
      <w:r>
        <w:rPr>
          <w:szCs w:val="24"/>
        </w:rPr>
        <w:fldChar w:fldCharType="separate"/>
      </w:r>
      <w:r w:rsidR="00A95675" w:rsidRPr="00A95675">
        <w:t>[38]</w:t>
      </w:r>
      <w:r>
        <w:rPr>
          <w:szCs w:val="24"/>
        </w:rPr>
        <w:fldChar w:fldCharType="end"/>
      </w:r>
      <w:r w:rsidRPr="005C62D0">
        <w:rPr>
          <w:szCs w:val="24"/>
        </w:rPr>
        <w:t xml:space="preserve">. </w:t>
      </w:r>
      <w:r w:rsidRPr="00642763">
        <w:rPr>
          <w:szCs w:val="24"/>
        </w:rPr>
        <w:t xml:space="preserve">Onshore wind has a global weighted-average LCOE of </w:t>
      </w:r>
      <w:r w:rsidRPr="00A02978">
        <w:rPr>
          <w:szCs w:val="24"/>
        </w:rPr>
        <w:t>$0.034 per kWh</w:t>
      </w:r>
      <w:r w:rsidRPr="00642763">
        <w:rPr>
          <w:szCs w:val="24"/>
        </w:rPr>
        <w:t xml:space="preserve">, making it the most cost-competitive new power generation technology worldwide, according to the </w:t>
      </w:r>
      <w:r w:rsidRPr="00A02978">
        <w:rPr>
          <w:szCs w:val="24"/>
        </w:rPr>
        <w:t>IRENA Renewable Power Generation Costs</w:t>
      </w:r>
      <w:r w:rsidRPr="00642763">
        <w:rPr>
          <w:szCs w:val="24"/>
        </w:rPr>
        <w:t xml:space="preserve"> report</w:t>
      </w:r>
      <w:r>
        <w:rPr>
          <w:szCs w:val="24"/>
        </w:rPr>
        <w:fldChar w:fldCharType="begin"/>
      </w:r>
      <w:r w:rsidR="00A95675">
        <w:rPr>
          <w:szCs w:val="24"/>
        </w:rPr>
        <w:instrText xml:space="preserve"> ADDIN ZOTERO_ITEM CSL_CITATION {"citationID":"azqJjUDD","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Pr>
          <w:szCs w:val="24"/>
        </w:rPr>
        <w:fldChar w:fldCharType="separate"/>
      </w:r>
      <w:r w:rsidRPr="006236BD">
        <w:t>[16]</w:t>
      </w:r>
      <w:r>
        <w:rPr>
          <w:szCs w:val="24"/>
        </w:rPr>
        <w:fldChar w:fldCharType="end"/>
      </w:r>
      <w:r w:rsidRPr="005C62D0">
        <w:rPr>
          <w:szCs w:val="24"/>
        </w:rPr>
        <w:t>. The use of LiDAR technology and numerical weather prediction has improved wind resource assessment, allowing for better siting decisions and energy yield estimates</w:t>
      </w:r>
      <w:r>
        <w:rPr>
          <w:szCs w:val="24"/>
        </w:rPr>
        <w:fldChar w:fldCharType="begin"/>
      </w:r>
      <w:r w:rsidR="00A95675">
        <w:rPr>
          <w:szCs w:val="24"/>
        </w:rPr>
        <w:instrText xml:space="preserve"> ADDIN ZOTERO_ITEM CSL_CITATION {"citationID":"Qawnu7Gv","properties":{"unsorted":false,"formattedCitation":"[39]","plainCitation":"[39]","noteIndex":0},"citationItems":[{"id":1975,"uris":["http://zotero.org/users/9870935/items/KPYHMCRF"],"itemData":{"id":1975,"type":"article-journal","container-title":"Environmental Modelling &amp; Software","DOI":"10.1016/j.envsoft.2017.05.006","ISSN":"13648152","journalAbbreviation":"Environmental Modelling &amp; Software","language":"en","page":"1-12","source":"DOI.org (Crossref)","title":"Wind resource assessment using airborne LiDAR data and smoothed particle hydrodynamics","volume":"95","author":[{"family":"Lukač","given":"Niko"},{"family":"Štumberger","given":"Gorazd"},{"family":"Žalik","given":"Borut"}],"issued":{"date-parts":[["2017",9]]}}}],"schema":"https://github.com/citation-style-language/schema/raw/master/csl-citation.json"} </w:instrText>
      </w:r>
      <w:r>
        <w:rPr>
          <w:szCs w:val="24"/>
        </w:rPr>
        <w:fldChar w:fldCharType="separate"/>
      </w:r>
      <w:r w:rsidR="00A95675" w:rsidRPr="00A95675">
        <w:t>[39]</w:t>
      </w:r>
      <w:r>
        <w:rPr>
          <w:szCs w:val="24"/>
        </w:rPr>
        <w:fldChar w:fldCharType="end"/>
      </w:r>
      <w:r w:rsidRPr="005C62D0">
        <w:rPr>
          <w:szCs w:val="24"/>
        </w:rPr>
        <w:t xml:space="preserve">. Wind and solar generation are </w:t>
      </w:r>
      <w:r w:rsidRPr="005C62D0">
        <w:rPr>
          <w:szCs w:val="24"/>
        </w:rPr>
        <w:lastRenderedPageBreak/>
        <w:t>naturally complementary because wind tends to generate more energy during the night and winter months when solar generation is minimal, and solar generation is more dominant during the day and summer months when wind generation is low, resulting in a natural way to reduce the aggregate variability in hybrid systems</w:t>
      </w:r>
      <w:r>
        <w:rPr>
          <w:szCs w:val="24"/>
        </w:rPr>
        <w:fldChar w:fldCharType="begin"/>
      </w:r>
      <w:r w:rsidR="00A95675">
        <w:rPr>
          <w:szCs w:val="24"/>
        </w:rPr>
        <w:instrText xml:space="preserve"> ADDIN ZOTERO_ITEM CSL_CITATION {"citationID":"KUWUAQKN","properties":{"unsorted":false,"formattedCitation":"[40]","plainCitation":"[40]","noteIndex":0},"citationItems":[{"id":1976,"uris":["http://zotero.org/users/9870935/items/2VTAZCBN"],"itemData":{"id":1976,"type":"article-journal","abstract":"&lt;p&gt;Renewable energy is essential for power system decarbonization, but extended and unexpected periods of extremely low wind and solar resources (i.e., wind and solar droughts) pose a threat to reliability. The challenge is further exacerbated if shortages of the two occur simultaneously or if they affect neighboring grids simultaneously. Here we present a framework to characterize these events and propose three metrics to comprehensively assess renewable energy quality: resource availability, variability, and extremeness. An examination of long-term data across a vast geographical region shows a strong spatial correlation and temporal coincidence of renewable energy droughts. It also finds a lack of sites that excel in all three quality attributes, which presents a trilemma to investors, system planners, and policymakers. These findings underscore the significance of considering factors beyond mere resource availability and contribute to developing informed strategies for the reliable and sustainable deployment of variable energy resources.&lt;/p&gt;","DOI":"10.17615/C4JD-4Y42","license":"In Copyright","publisher":"The University of North Carolina at Chapel Hill University Libraries","source":"DOI.org (Datacite)","title":"Renewable energy quality trilemma and coincident wind and solar droughts","URL":"https://cdr.lib.unc.edu/concern/articles/m039kk378","author":[{"family":"Virguez","given":"Edgar"},{"family":"Ma","given":"Qingyuan"},{"family":"Li","given":"Mingquan"},{"family":"Gao","given":"Shuo"},{"family":"Shan","given":"Rui"},{"family":"Abdulla","given":"Ahmed"},{"family":"Patiño-Echeverri","given":"Dalia"}],"accessed":{"date-parts":[["2026",5,16]]}}}],"schema":"https://github.com/citation-style-language/schema/raw/master/csl-citation.json"} </w:instrText>
      </w:r>
      <w:r>
        <w:rPr>
          <w:szCs w:val="24"/>
        </w:rPr>
        <w:fldChar w:fldCharType="separate"/>
      </w:r>
      <w:r w:rsidR="00A95675" w:rsidRPr="00A95675">
        <w:t>[40]</w:t>
      </w:r>
      <w:r>
        <w:rPr>
          <w:szCs w:val="24"/>
        </w:rPr>
        <w:fldChar w:fldCharType="end"/>
      </w:r>
      <w:r w:rsidRPr="005C62D0">
        <w:rPr>
          <w:szCs w:val="24"/>
        </w:rPr>
        <w:t>.</w:t>
      </w:r>
    </w:p>
    <w:p w14:paraId="1DED5B25" w14:textId="576E5960" w:rsidR="00FE013C" w:rsidRDefault="00FE013C" w:rsidP="00A95675">
      <w:pPr>
        <w:spacing w:after="120"/>
        <w:ind w:firstLine="480"/>
        <w:rPr>
          <w:szCs w:val="24"/>
        </w:rPr>
      </w:pPr>
      <w:r w:rsidRPr="005C62D0">
        <w:rPr>
          <w:szCs w:val="24"/>
        </w:rPr>
        <w:t>Hydroelectric power, specifically pumped-storage hydropower (PSH), is a vital component of the energy balancing equation at the grid level. PSH accounts for approximately 95% of the world's electricity storage capacity and offers gigawatt hours of storage at much lower costs than battery systems</w:t>
      </w:r>
      <w:r>
        <w:rPr>
          <w:szCs w:val="24"/>
        </w:rPr>
        <w:fldChar w:fldCharType="begin"/>
      </w:r>
      <w:r w:rsidR="00A95675">
        <w:rPr>
          <w:szCs w:val="24"/>
        </w:rPr>
        <w:instrText xml:space="preserve"> ADDIN ZOTERO_ITEM CSL_CITATION {"citationID":"jSwEnIfV","properties":{"unsorted":false,"formattedCitation":"[41]","plainCitation":"[41]","noteIndex":0},"citationItems":[{"id":1977,"uris":["http://zotero.org/users/9870935/items/F2FF39J5"],"itemData":{"id":1977,"type":"article-journal","abstract":"Energy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rPr>
          <w:szCs w:val="24"/>
        </w:rPr>
        <w:fldChar w:fldCharType="separate"/>
      </w:r>
      <w:r w:rsidR="00A95675" w:rsidRPr="00A95675">
        <w:t>[41]</w:t>
      </w:r>
      <w:r>
        <w:rPr>
          <w:szCs w:val="24"/>
        </w:rPr>
        <w:fldChar w:fldCharType="end"/>
      </w:r>
      <w:r w:rsidRPr="005C62D0">
        <w:rPr>
          <w:szCs w:val="24"/>
        </w:rPr>
        <w:t>. Run-of-the-river hydroelectric schemes are well suited for baseload generation, with relatively low environmental impacts, whereas reservoir systems enable storage for periods of a few weeks, which is necessary to account for the variability of renewable energy over the course of a year</w:t>
      </w:r>
      <w:r>
        <w:rPr>
          <w:szCs w:val="24"/>
        </w:rPr>
        <w:fldChar w:fldCharType="begin"/>
      </w:r>
      <w:r w:rsidR="00A95675">
        <w:rPr>
          <w:szCs w:val="24"/>
        </w:rPr>
        <w:instrText xml:space="preserve"> ADDIN ZOTERO_ITEM CSL_CITATION {"citationID":"3nXsAAsS","properties":{"unsorted":false,"formattedCitation":"[42]","plainCitation":"[42]","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rPr>
          <w:szCs w:val="24"/>
        </w:rPr>
        <w:fldChar w:fldCharType="separate"/>
      </w:r>
      <w:r w:rsidR="00A95675" w:rsidRPr="00A95675">
        <w:t>[42]</w:t>
      </w:r>
      <w:r>
        <w:rPr>
          <w:szCs w:val="24"/>
        </w:rPr>
        <w:fldChar w:fldCharType="end"/>
      </w:r>
      <w:r w:rsidRPr="005C62D0">
        <w:rPr>
          <w:szCs w:val="24"/>
        </w:rPr>
        <w:t>. However, new hydroelectric development is constrained by geography and environmental permitting in many regions, limiting scalability.</w:t>
      </w:r>
    </w:p>
    <w:p w14:paraId="35CE5A95" w14:textId="77777777" w:rsidR="00FE013C" w:rsidRDefault="00FE013C" w:rsidP="004C16FF">
      <w:pPr>
        <w:pStyle w:val="Heading20"/>
        <w:jc w:val="both"/>
        <w:rPr>
          <w:color w:val="auto"/>
        </w:rPr>
      </w:pPr>
      <w:r>
        <w:rPr>
          <w:color w:val="auto"/>
        </w:rPr>
        <w:t>2.3. Energy Storage Technologies</w:t>
      </w:r>
    </w:p>
    <w:p w14:paraId="314E80E9" w14:textId="5A0E445F" w:rsidR="00A71ADA" w:rsidRPr="00EA0A9E" w:rsidRDefault="00416F11" w:rsidP="00416F11">
      <w:pPr>
        <w:spacing w:after="120"/>
        <w:ind w:firstLine="480"/>
        <w:rPr>
          <w:szCs w:val="24"/>
          <w:highlight w:val="yellow"/>
          <w:lang w:val="en-CA"/>
        </w:rPr>
      </w:pPr>
      <w:r w:rsidRPr="00FA3946">
        <w:rPr>
          <w:szCs w:val="24"/>
          <w:highlight w:val="yellow"/>
        </w:rPr>
        <w:t>No single storage technology is optimal across all discharge</w:t>
      </w:r>
      <w:r w:rsidRPr="00FA3946">
        <w:rPr>
          <w:szCs w:val="24"/>
          <w:highlight w:val="yellow"/>
        </w:rPr>
        <w:t xml:space="preserve"> </w:t>
      </w:r>
      <w:r w:rsidRPr="00FA3946">
        <w:rPr>
          <w:szCs w:val="24"/>
          <w:highlight w:val="yellow"/>
        </w:rPr>
        <w:t>durations, duty cycles, reliability requirements, and project constraints.</w:t>
      </w:r>
      <w:r w:rsidRPr="00FA3946">
        <w:rPr>
          <w:szCs w:val="24"/>
          <w:highlight w:val="yellow"/>
        </w:rPr>
        <w:t xml:space="preserve"> </w:t>
      </w:r>
      <w:r w:rsidRPr="00FA3946">
        <w:rPr>
          <w:szCs w:val="24"/>
          <w:highlight w:val="yellow"/>
        </w:rPr>
        <w:t>Lithium-ion batteries dominate many short-duration stationary</w:t>
      </w:r>
      <w:r w:rsidRPr="00FA3946">
        <w:rPr>
          <w:szCs w:val="24"/>
          <w:highlight w:val="yellow"/>
        </w:rPr>
        <w:t xml:space="preserve"> </w:t>
      </w:r>
      <w:r w:rsidRPr="00FA3946">
        <w:rPr>
          <w:szCs w:val="24"/>
          <w:highlight w:val="yellow"/>
        </w:rPr>
        <w:t>applications, while flow batteries, compressed-air storage, pumped</w:t>
      </w:r>
      <w:r w:rsidRPr="00FA3946">
        <w:rPr>
          <w:szCs w:val="24"/>
          <w:highlight w:val="yellow"/>
        </w:rPr>
        <w:t xml:space="preserve"> </w:t>
      </w:r>
      <w:r w:rsidRPr="00FA3946">
        <w:rPr>
          <w:szCs w:val="24"/>
          <w:highlight w:val="yellow"/>
        </w:rPr>
        <w:t>hydro, iron-air concepts, thermal storage, and hydrogen are</w:t>
      </w:r>
      <w:r w:rsidRPr="00FA3946">
        <w:rPr>
          <w:szCs w:val="24"/>
          <w:highlight w:val="yellow"/>
        </w:rPr>
        <w:t xml:space="preserve"> </w:t>
      </w:r>
      <w:r w:rsidRPr="00FA3946">
        <w:rPr>
          <w:szCs w:val="24"/>
          <w:highlight w:val="yellow"/>
        </w:rPr>
        <w:t>considered for longer durations depending on site conditions and</w:t>
      </w:r>
      <w:r w:rsidRPr="00FA3946">
        <w:rPr>
          <w:szCs w:val="24"/>
          <w:highlight w:val="yellow"/>
        </w:rPr>
        <w:t xml:space="preserve"> </w:t>
      </w:r>
      <w:r w:rsidRPr="00FA3946">
        <w:rPr>
          <w:szCs w:val="24"/>
          <w:highlight w:val="yellow"/>
        </w:rPr>
        <w:t>technology maturity.</w:t>
      </w:r>
      <w:r w:rsidRPr="00FA3946">
        <w:rPr>
          <w:szCs w:val="24"/>
          <w:highlight w:val="yellow"/>
          <w:lang w:val="en-CA"/>
        </w:rPr>
        <w:t xml:space="preserve"> </w:t>
      </w:r>
      <w:r w:rsidR="00A71ADA" w:rsidRPr="00EA0A9E">
        <w:rPr>
          <w:szCs w:val="24"/>
          <w:highlight w:val="yellow"/>
          <w:lang w:val="en-CA"/>
        </w:rPr>
        <w:t xml:space="preserve">The volume weighted average price for lithium-ion battery packs in 2020 fell from some USD 300/kWh to USD 108/kWh in 2025, according to BloombergNEF </w:t>
      </w:r>
      <w:r w:rsidR="00EA0A9E">
        <w:rPr>
          <w:szCs w:val="24"/>
        </w:rPr>
        <w:fldChar w:fldCharType="begin"/>
      </w:r>
      <w:r w:rsidR="00EA0A9E">
        <w:rPr>
          <w:szCs w:val="24"/>
        </w:rPr>
        <w:instrText xml:space="preserve"> ADDIN ZOTERO_ITEM CSL_CITATION {"citationID":"ezeneD25","properties":{"unsorted":false,"formattedCitation":"[17]","plainCitation":"[17]","noteIndex":0},"citationItems":[{"id":1923,"uris":["http://zotero.org/users/9870935/items/K5N743Z5"],"itemData":{"id":1923,"type":"post-weblog","title":"BNEF: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EA0A9E">
        <w:rPr>
          <w:szCs w:val="24"/>
        </w:rPr>
        <w:fldChar w:fldCharType="separate"/>
      </w:r>
      <w:r w:rsidR="00EA0A9E" w:rsidRPr="006512AA">
        <w:t>[17]</w:t>
      </w:r>
      <w:r w:rsidR="00EA0A9E">
        <w:rPr>
          <w:szCs w:val="24"/>
        </w:rPr>
        <w:fldChar w:fldCharType="end"/>
      </w:r>
      <w:r w:rsidR="00A71ADA" w:rsidRPr="00EA0A9E">
        <w:rPr>
          <w:szCs w:val="24"/>
          <w:highlight w:val="yellow"/>
          <w:lang w:val="en-CA"/>
        </w:rPr>
        <w:t xml:space="preserve">. Note that this is battery-pricing not </w:t>
      </w:r>
      <w:r w:rsidR="00EA0A9E" w:rsidRPr="00EA0A9E">
        <w:rPr>
          <w:szCs w:val="24"/>
          <w:highlight w:val="yellow"/>
          <w:lang w:val="en-CA"/>
        </w:rPr>
        <w:t>including</w:t>
      </w:r>
      <w:r w:rsidR="00A71ADA" w:rsidRPr="00EA0A9E">
        <w:rPr>
          <w:szCs w:val="24"/>
          <w:highlight w:val="yellow"/>
          <w:lang w:val="en-CA"/>
        </w:rPr>
        <w:t xml:space="preserve"> extra expenses for power-conversion gear, thermal management, controls, engineering, procurement, construction, and the integration with the grid if applicable of a battery energy storage system (BESS). Due to this, Lithium Iron Phosphate (LFP) chemistry has become the mainstream selection in stationary storage applications where battery cycle life (usually &gt; 4000 cycles at 80% depth of discharge), low cost, and safer attributes prevail over those of nickel manganese cobalt (NMC) and nickel cobalt aluminum (NCA) chemistries </w:t>
      </w:r>
      <w:r w:rsidR="00EA0A9E">
        <w:rPr>
          <w:szCs w:val="24"/>
        </w:rPr>
        <w:fldChar w:fldCharType="begin"/>
      </w:r>
      <w:r w:rsidR="00A95675">
        <w:rPr>
          <w:szCs w:val="24"/>
        </w:rPr>
        <w:instrText xml:space="preserve"> ADDIN ZOTERO_ITEM CSL_CITATION {"citationID":"rUFBjQZm","properties":{"unsorted":false,"formattedCitation":"[43], [44]","plainCitation":"[43], [44]","noteIndex":0},"citationItems":[{"id":1982,"uris":["http://zotero.org/users/9870935/items/GEX9B6EX"],"itemData":{"id":1982,"type":"article-journal","container-title":"Future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rsidR="00EA0A9E">
        <w:rPr>
          <w:szCs w:val="24"/>
        </w:rPr>
        <w:fldChar w:fldCharType="separate"/>
      </w:r>
      <w:r w:rsidR="00A95675" w:rsidRPr="00A95675">
        <w:t>[43], [44]</w:t>
      </w:r>
      <w:r w:rsidR="00EA0A9E">
        <w:rPr>
          <w:szCs w:val="24"/>
        </w:rPr>
        <w:fldChar w:fldCharType="end"/>
      </w:r>
      <w:r w:rsidR="00A71ADA" w:rsidRPr="00EA0A9E">
        <w:rPr>
          <w:szCs w:val="24"/>
          <w:highlight w:val="yellow"/>
          <w:lang w:val="en-CA"/>
        </w:rPr>
        <w:t>. Lithium-ion round trip efficiency is normally in the range of 85% to 95% and adequate thermal management is needed to ensure battery performance and calendar life.</w:t>
      </w:r>
    </w:p>
    <w:p w14:paraId="3D88FCA9" w14:textId="628A101F" w:rsidR="00A71ADA" w:rsidRPr="00EA0A9E" w:rsidRDefault="00A71ADA" w:rsidP="00A95675">
      <w:pPr>
        <w:spacing w:after="120"/>
        <w:ind w:firstLine="480"/>
        <w:rPr>
          <w:szCs w:val="24"/>
          <w:highlight w:val="yellow"/>
          <w:lang w:val="en-CA"/>
        </w:rPr>
      </w:pPr>
      <w:r w:rsidRPr="00EA0A9E">
        <w:rPr>
          <w:szCs w:val="24"/>
          <w:highlight w:val="yellow"/>
          <w:lang w:val="en-CA"/>
        </w:rPr>
        <w:t xml:space="preserve">Long-duration energy-storage (LDES) technologies are gaining traction for periods of storage beyond about 8-hours. While the start-up cost for vanadium redox flow batteries (VRFBs) is still relatively high, they have long cycle lifetimes (typically over 20,000 cycles) and have the power and energy capacity that can be separated </w:t>
      </w:r>
      <w:r w:rsidR="00EA0A9E">
        <w:rPr>
          <w:szCs w:val="24"/>
        </w:rPr>
        <w:fldChar w:fldCharType="begin"/>
      </w:r>
      <w:r w:rsidR="00A95675">
        <w:rPr>
          <w:szCs w:val="24"/>
        </w:rPr>
        <w:instrText xml:space="preserve"> ADDIN ZOTERO_ITEM CSL_CITATION {"citationID":"YCICZ6dN","properties":{"unsorted":false,"formattedCitation":"[45]","plainCitation":"[45]","noteIndex":0},"citationItems":[{"id":1984,"uris":["http://zotero.org/users/9870935/items/M6SVEFZJ"],"itemData":{"id":1984,"type":"article-journal","container-title":"Next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EA0A9E">
        <w:rPr>
          <w:szCs w:val="24"/>
        </w:rPr>
        <w:fldChar w:fldCharType="separate"/>
      </w:r>
      <w:r w:rsidR="00A95675" w:rsidRPr="00A95675">
        <w:t>[45]</w:t>
      </w:r>
      <w:r w:rsidR="00EA0A9E">
        <w:rPr>
          <w:szCs w:val="24"/>
        </w:rPr>
        <w:fldChar w:fldCharType="end"/>
      </w:r>
      <w:r w:rsidRPr="00EA0A9E">
        <w:rPr>
          <w:szCs w:val="24"/>
          <w:highlight w:val="yellow"/>
          <w:lang w:val="en-CA"/>
        </w:rPr>
        <w:t xml:space="preserve">. The technology using iron-air has </w:t>
      </w:r>
      <w:r w:rsidR="00B34E65" w:rsidRPr="00EA0A9E">
        <w:rPr>
          <w:szCs w:val="24"/>
          <w:highlight w:val="yellow"/>
          <w:lang w:val="en-CA"/>
        </w:rPr>
        <w:t>been</w:t>
      </w:r>
      <w:r w:rsidRPr="00EA0A9E">
        <w:rPr>
          <w:szCs w:val="24"/>
          <w:highlight w:val="yellow"/>
          <w:lang w:val="en-CA"/>
        </w:rPr>
        <w:t xml:space="preserve"> proposed as another option for multi-day storage, with storage cost of $20/kWh and discharge time of more than 100 hours envisioned, to enhance the economic viability of VLD energy storage [48]. Hydrogen storage using green hydrogen can produce storage times that range from weeks up to months, but the present trajectory of research from H2 electrolysis to electricity generation in fuel cells has a round-trip efficiency of about 25–40%, and electricity prices are still much higher than a conventional battery-storage system.</w:t>
      </w:r>
    </w:p>
    <w:p w14:paraId="56825C19" w14:textId="2FF45A9A" w:rsidR="00A71ADA" w:rsidRPr="00EA0A9E" w:rsidRDefault="00A71ADA" w:rsidP="00A95675">
      <w:pPr>
        <w:spacing w:after="120"/>
        <w:ind w:firstLine="480"/>
        <w:rPr>
          <w:szCs w:val="24"/>
          <w:highlight w:val="yellow"/>
          <w:lang w:val="en-CA"/>
        </w:rPr>
      </w:pPr>
      <w:r w:rsidRPr="00EA0A9E">
        <w:rPr>
          <w:szCs w:val="24"/>
          <w:highlight w:val="yellow"/>
          <w:lang w:val="en-CA"/>
        </w:rPr>
        <w:t xml:space="preserve">Energy-storage sizing methodologies have advanced from deterministic methods relying on prespecified worst cases to probabilistic and optimization-based methods. One widely used probabilistic sizing method is adequacy measures like Loss of Load Expectation (LOLE), defined as the mean time that the targeted load is not met by available electricity supply. The planning target adopted in this review is 99.99% availability (annual-duration relationship simplified: 0.876 h/year, or </w:t>
      </w:r>
      <w:r w:rsidRPr="00EA0A9E">
        <w:rPr>
          <w:szCs w:val="24"/>
          <w:highlight w:val="yellow"/>
          <w:lang w:val="en-CA"/>
        </w:rPr>
        <w:lastRenderedPageBreak/>
        <w:t xml:space="preserve">52.6 min/year). When compared to the deterministic approach, probabilistic methods offer a more realistic representation of system performance, as they explicitly account for the frequency and duration of supply shortcomings. Their implementation, however, necessitates time-series information containing load information, renewable generation information, storage operation information and grid availability information </w:t>
      </w:r>
      <w:r w:rsidR="00D51B19" w:rsidRPr="009A5758">
        <w:rPr>
          <w:szCs w:val="24"/>
          <w:highlight w:val="yellow"/>
        </w:rPr>
        <w:fldChar w:fldCharType="begin"/>
      </w:r>
      <w:r w:rsidR="00A95675">
        <w:rPr>
          <w:szCs w:val="24"/>
          <w:highlight w:val="yellow"/>
        </w:rPr>
        <w:instrText xml:space="preserve"> ADDIN ZOTERO_ITEM CSL_CITATION {"citationID":"9gclYoSe","properties":{"unsorted":false,"formattedCitation":"[46]","plainCitation":"[46]","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D51B19" w:rsidRPr="009A5758">
        <w:rPr>
          <w:szCs w:val="24"/>
          <w:highlight w:val="yellow"/>
        </w:rPr>
        <w:fldChar w:fldCharType="separate"/>
      </w:r>
      <w:r w:rsidR="00A95675" w:rsidRPr="00A95675">
        <w:rPr>
          <w:highlight w:val="yellow"/>
        </w:rPr>
        <w:t>[46]</w:t>
      </w:r>
      <w:r w:rsidR="00D51B19" w:rsidRPr="009A5758">
        <w:rPr>
          <w:szCs w:val="24"/>
          <w:highlight w:val="yellow"/>
        </w:rPr>
        <w:fldChar w:fldCharType="end"/>
      </w:r>
      <w:r w:rsidRPr="00EA0A9E">
        <w:rPr>
          <w:szCs w:val="24"/>
          <w:highlight w:val="yellow"/>
          <w:lang w:val="en-CA"/>
        </w:rPr>
        <w:t>.</w:t>
      </w:r>
    </w:p>
    <w:p w14:paraId="2A29A5EA" w14:textId="77777777" w:rsidR="00FE013C" w:rsidRDefault="00FE013C" w:rsidP="004C16FF">
      <w:pPr>
        <w:pStyle w:val="Heading20"/>
        <w:jc w:val="both"/>
        <w:rPr>
          <w:color w:val="auto"/>
        </w:rPr>
      </w:pPr>
      <w:r>
        <w:rPr>
          <w:color w:val="auto"/>
        </w:rPr>
        <w:t>2.4. Microgrids and Grid Integration</w:t>
      </w:r>
    </w:p>
    <w:p w14:paraId="1ACED6C1" w14:textId="2F710692" w:rsidR="00FE013C" w:rsidRPr="00D0205A" w:rsidRDefault="00FE013C" w:rsidP="00A95675">
      <w:pPr>
        <w:spacing w:after="120"/>
        <w:ind w:firstLine="480"/>
        <w:rPr>
          <w:szCs w:val="24"/>
        </w:rPr>
      </w:pPr>
      <w:r w:rsidRPr="00D0205A">
        <w:rPr>
          <w:szCs w:val="24"/>
        </w:rPr>
        <w:t xml:space="preserve">With the growing penetration of inverter-based resources (IBRs), microgrid control strategies have progressed considerably. The concept of grid-forming inverters is a paradigm shift from grid-following designs that use phase-locked loops (PLLs) to </w:t>
      </w:r>
      <w:r w:rsidR="005F08CE" w:rsidRPr="00D0205A">
        <w:rPr>
          <w:szCs w:val="24"/>
        </w:rPr>
        <w:t>synchronize</w:t>
      </w:r>
      <w:r w:rsidRPr="00D0205A">
        <w:rPr>
          <w:szCs w:val="24"/>
        </w:rPr>
        <w:t xml:space="preserve"> with the grid frequency</w:t>
      </w:r>
      <w:r>
        <w:rPr>
          <w:szCs w:val="24"/>
        </w:rPr>
        <w:fldChar w:fldCharType="begin"/>
      </w:r>
      <w:r w:rsidR="00A95675">
        <w:rPr>
          <w:szCs w:val="24"/>
        </w:rPr>
        <w:instrText xml:space="preserve"> ADDIN ZOTERO_ITEM CSL_CITATION {"citationID":"GRPOjuAH","properties":{"unsorted":false,"formattedCitation":"[47]","plainCitation":"[47]","noteIndex":0},"citationItems":[{"id":1991,"uris":["http://zotero.org/users/9870935/items/TCP3MAYA"],"itemData":{"id":1991,"type":"article-journal","abstract":"With the global penetration of renewable energy exceeding 30%, power systems are increasingly challenged by inertia deficiency and weak grid stability, expos-ing the limitations of conventional grid-following inverters (GFLI) which rely on external synchronization and may provoke sub-synchronous oscillations. This review analyzes the technological transition toward grid-forming inverters (GFMI)—capable of autonomously establishing and regulating voltage and fre-quency—and assesses their application in renewable energy systems. Through bibliometric analysis, case studies from major Chinese renewable bases, and hardware-in-the-loop simulations under weak-grid conditions (SCR as low as 1.0), we identify significant advancements in wide-bandgap semiconductor to-pologies, adaptive control strategies such as virtual synchronous generator (VSG) and self-synchronizing control (SSC), impedance reshaping, and fault ride-through capability. Real-world implementations demonstrate markedly improved performance: inertia response time reduced to 0.48s, suppression of sub-synchronous oscillations by 89%, reactive response within 25ms, and suc-cessful black-start within 180 seconds, alongside notable economic benefits in-cluding reduced wind curtailment and lower equipment costs. Nevertheless, widespread adoption faces standardization gaps particularly in thermal man-agement of high-frequency devices, multi-timescale stability certification, and market mechanisms for ancillary services. We conclude that GFMI represents a foundational technology for future high-renewable power systems, though its full deployment requires integrated progress in adaptive intelligence, interna-tional standard alignment, and policy-supported market frameworks.","container-title":"Advances in Engineering Research Possibilities and Challenges","DOI":"10.63313/AERpc.9047","ISSN":"3079-5192, 3079-5206","issue":"2","journalAbbreviation":"Advances in Engineering Research Possibilities and Challenges","license":"http://creativecommons.org/licenses/by/4.0/","page":"37","source":"DOI.org (Crossref)","title":"From Grid-Following to Grid-Forming: A Review of Converter Technology Paradigm Shift and Its Applications in Renewable-Rich Power Systems","title-short":"From Grid-Following to Grid-Forming","volume":"2","author":[{"family":"Ma","given":"Zixiang"}],"issued":{"date-parts":[["2025",8,22]]}}}],"schema":"https://github.com/citation-style-language/schema/raw/master/csl-citation.json"} </w:instrText>
      </w:r>
      <w:r>
        <w:rPr>
          <w:szCs w:val="24"/>
        </w:rPr>
        <w:fldChar w:fldCharType="separate"/>
      </w:r>
      <w:r w:rsidR="00A95675" w:rsidRPr="00A95675">
        <w:t>[47]</w:t>
      </w:r>
      <w:r>
        <w:rPr>
          <w:szCs w:val="24"/>
        </w:rPr>
        <w:fldChar w:fldCharType="end"/>
      </w:r>
      <w:r w:rsidRPr="00D0205A">
        <w:rPr>
          <w:szCs w:val="24"/>
        </w:rPr>
        <w:t>. The IEEE 2800-2022 standard was developed specifically for IBRs and defines the performance criteria for frequency response, voltage support, and ride-through that allow for reliable operation at high levels of renewable penetration</w:t>
      </w:r>
      <w:r>
        <w:rPr>
          <w:szCs w:val="24"/>
        </w:rPr>
        <w:fldChar w:fldCharType="begin"/>
      </w:r>
      <w:r w:rsidR="00A95675">
        <w:rPr>
          <w:szCs w:val="24"/>
        </w:rPr>
        <w:instrText xml:space="preserve"> ADDIN ZOTERO_ITEM CSL_CITATION {"citationID":"yvSCoOuc","properties":{"unsorted":false,"formattedCitation":"[48]","plainCitation":"[48]","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Pr>
          <w:szCs w:val="24"/>
        </w:rPr>
        <w:fldChar w:fldCharType="separate"/>
      </w:r>
      <w:r w:rsidR="00A95675" w:rsidRPr="00A95675">
        <w:t>[48]</w:t>
      </w:r>
      <w:r>
        <w:rPr>
          <w:szCs w:val="24"/>
        </w:rPr>
        <w:fldChar w:fldCharType="end"/>
      </w:r>
      <w:r w:rsidRPr="00D0205A">
        <w:rPr>
          <w:szCs w:val="24"/>
        </w:rPr>
        <w:t>. FERC Order 2023 also clarifies the interconnection process, providing streamlined timelines and pre-certification routes to mitigate delays in the queue</w:t>
      </w:r>
      <w:r>
        <w:rPr>
          <w:szCs w:val="24"/>
        </w:rPr>
        <w:fldChar w:fldCharType="begin"/>
      </w:r>
      <w:r>
        <w:rPr>
          <w:szCs w:val="24"/>
        </w:rPr>
        <w:instrText xml:space="preserve"> ADDIN ZOTERO_ITEM CSL_CITATION {"citationID":"B0z5zbuE","properties":{"unsorted":false,"formattedCitation":"[24]","plainCitation":"[24]","noteIndex":0},"citationItems":[{"id":1948,"uris":["http://zotero.org/users/9870935/items/H8VJGQHI"],"itemData":{"id":1948,"type":"post-weblog","title":"Improvements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Pr>
          <w:szCs w:val="24"/>
        </w:rPr>
        <w:fldChar w:fldCharType="separate"/>
      </w:r>
      <w:r w:rsidRPr="00F0303A">
        <w:t>[24]</w:t>
      </w:r>
      <w:r>
        <w:rPr>
          <w:szCs w:val="24"/>
        </w:rPr>
        <w:fldChar w:fldCharType="end"/>
      </w:r>
      <w:r w:rsidRPr="00D0205A">
        <w:rPr>
          <w:szCs w:val="24"/>
        </w:rPr>
        <w:t>.</w:t>
      </w:r>
    </w:p>
    <w:p w14:paraId="0C116E4D" w14:textId="578D7DAA" w:rsidR="00FE013C" w:rsidRPr="00D0205A" w:rsidRDefault="00FE013C" w:rsidP="00A95675">
      <w:pPr>
        <w:spacing w:after="120"/>
        <w:ind w:firstLine="480"/>
        <w:rPr>
          <w:szCs w:val="24"/>
        </w:rPr>
      </w:pPr>
      <w:r w:rsidRPr="00D0205A">
        <w:rPr>
          <w:szCs w:val="24"/>
        </w:rPr>
        <w:t xml:space="preserve">In data </w:t>
      </w:r>
      <w:r w:rsidR="005F08CE" w:rsidRPr="00D0205A">
        <w:rPr>
          <w:szCs w:val="24"/>
        </w:rPr>
        <w:t>center</w:t>
      </w:r>
      <w:r w:rsidRPr="00D0205A">
        <w:rPr>
          <w:szCs w:val="24"/>
        </w:rPr>
        <w:t xml:space="preserve"> microgrids, harmonic distortion, power factor correction, and voltage regulation are important considerations for power quality management. IEEE 519 specifies a THD limit of less than 5</w:t>
      </w:r>
      <w:r>
        <w:rPr>
          <w:szCs w:val="24"/>
        </w:rPr>
        <w:t xml:space="preserve">% </w:t>
      </w:r>
      <w:r w:rsidRPr="00D0205A">
        <w:rPr>
          <w:szCs w:val="24"/>
        </w:rPr>
        <w:t>at the point of common coupling (PCC), and individual harmonic limits of 3</w:t>
      </w:r>
      <w:r>
        <w:rPr>
          <w:szCs w:val="24"/>
        </w:rPr>
        <w:t xml:space="preserve">% </w:t>
      </w:r>
      <w:r w:rsidRPr="00D0205A">
        <w:rPr>
          <w:szCs w:val="24"/>
        </w:rPr>
        <w:t>for characteristic harmonics</w:t>
      </w:r>
      <w:r>
        <w:rPr>
          <w:szCs w:val="24"/>
        </w:rPr>
        <w:fldChar w:fldCharType="begin"/>
      </w:r>
      <w:r>
        <w:rPr>
          <w:szCs w:val="24"/>
        </w:rPr>
        <w:instrText xml:space="preserve"> ADDIN ZOTERO_ITEM CSL_CITATION {"citationID":"ZWo2jUJC","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4C48CC">
        <w:t>[22]</w:t>
      </w:r>
      <w:r>
        <w:rPr>
          <w:szCs w:val="24"/>
        </w:rPr>
        <w:fldChar w:fldCharType="end"/>
      </w:r>
      <w:r w:rsidRPr="00D0205A">
        <w:rPr>
          <w:szCs w:val="24"/>
        </w:rPr>
        <w:t xml:space="preserve">. SMPSs, VFDs, and LED drivers are examples of nonlinear loads in modern data </w:t>
      </w:r>
      <w:r w:rsidR="005F08CE" w:rsidRPr="00D0205A">
        <w:rPr>
          <w:szCs w:val="24"/>
        </w:rPr>
        <w:t>centers</w:t>
      </w:r>
      <w:r w:rsidRPr="00D0205A">
        <w:rPr>
          <w:szCs w:val="24"/>
        </w:rPr>
        <w:t xml:space="preserve"> that can produce substantial harmonic currents, resulting in transformer overheating, capacitor bank damage, and overload of the neutral conductor if left unchecked</w:t>
      </w:r>
      <w:r>
        <w:rPr>
          <w:szCs w:val="24"/>
        </w:rPr>
        <w:fldChar w:fldCharType="begin"/>
      </w:r>
      <w:r w:rsidR="00A95675">
        <w:rPr>
          <w:szCs w:val="24"/>
        </w:rPr>
        <w:instrText xml:space="preserve"> ADDIN ZOTERO_ITEM CSL_CITATION {"citationID":"jj4vX417","properties":{"unsorted":false,"formattedCitation":"[49]","plainCitation":"[49]","noteIndex":0},"citationItems":[{"id":1993,"uris":["http://zotero.org/users/9870935/items/2D54TKGT"],"itemData":{"id":1993,"type":"paper-conference","container-title":"2024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Pr>
          <w:szCs w:val="24"/>
        </w:rPr>
        <w:fldChar w:fldCharType="separate"/>
      </w:r>
      <w:r w:rsidR="00A95675" w:rsidRPr="00A95675">
        <w:t>[49]</w:t>
      </w:r>
      <w:r>
        <w:rPr>
          <w:szCs w:val="24"/>
        </w:rPr>
        <w:fldChar w:fldCharType="end"/>
      </w:r>
      <w:r w:rsidRPr="00D0205A">
        <w:rPr>
          <w:szCs w:val="24"/>
        </w:rPr>
        <w:t>. In high-density computing, active power filters and multi-pulse rectifier topologies are effective solutions for harmonic compliance.</w:t>
      </w:r>
    </w:p>
    <w:p w14:paraId="13C13EB1" w14:textId="77777777" w:rsidR="00FE013C" w:rsidRDefault="00FE013C" w:rsidP="004C16FF">
      <w:pPr>
        <w:pStyle w:val="Heading20"/>
        <w:jc w:val="both"/>
        <w:rPr>
          <w:color w:val="auto"/>
        </w:rPr>
      </w:pPr>
      <w:r>
        <w:rPr>
          <w:color w:val="auto"/>
        </w:rPr>
        <w:t>2.5. Industry Case Studies</w:t>
      </w:r>
    </w:p>
    <w:p w14:paraId="778EC10C" w14:textId="68EF501E" w:rsidR="00FE013C" w:rsidRPr="00215994" w:rsidRDefault="00FE013C" w:rsidP="00A95675">
      <w:pPr>
        <w:spacing w:after="120"/>
        <w:ind w:firstLine="480"/>
        <w:rPr>
          <w:szCs w:val="24"/>
        </w:rPr>
      </w:pPr>
      <w:r w:rsidRPr="00215994">
        <w:rPr>
          <w:szCs w:val="24"/>
        </w:rPr>
        <w:t xml:space="preserve">Google has become an industry leader in buying renewable energy. The company has recently increased its contracting activities, resulting in </w:t>
      </w:r>
      <w:r w:rsidRPr="007447D4">
        <w:rPr>
          <w:szCs w:val="24"/>
        </w:rPr>
        <w:t xml:space="preserve">a portfolio of over 22 GW of contracted renewable capacity — with total pipeline commitments exceeding 30 GW — through more than 170 power purchase agreements </w:t>
      </w:r>
      <w:r w:rsidRPr="00215994">
        <w:rPr>
          <w:szCs w:val="24"/>
        </w:rPr>
        <w:t>(PPAs)</w:t>
      </w:r>
      <w:r>
        <w:rPr>
          <w:szCs w:val="24"/>
        </w:rPr>
        <w:fldChar w:fldCharType="begin"/>
      </w:r>
      <w:r w:rsidR="00A95675">
        <w:rPr>
          <w:szCs w:val="24"/>
        </w:rPr>
        <w:instrText xml:space="preserve"> ADDIN ZOTERO_ITEM CSL_CITATION {"citationID":"hR3obl5V","properties":{"unsorted":false,"formattedCitation":"[50]","plainCitation":"[50]","noteIndex":0},"citationItems":[{"id":1995,"uris":["http://zotero.org/users/9870935/items/ZZ4BDIPH"],"itemData":{"id":1995,"type":"post-weblog","title":"Google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Pr>
          <w:szCs w:val="24"/>
        </w:rPr>
        <w:fldChar w:fldCharType="separate"/>
      </w:r>
      <w:r w:rsidR="00A95675" w:rsidRPr="00A95675">
        <w:t>[50]</w:t>
      </w:r>
      <w:r>
        <w:rPr>
          <w:szCs w:val="24"/>
        </w:rPr>
        <w:fldChar w:fldCharType="end"/>
      </w:r>
      <w:r w:rsidRPr="00215994">
        <w:rPr>
          <w:szCs w:val="24"/>
        </w:rPr>
        <w:t xml:space="preserve">. Google met its hourly carbon-free energy (CFE) </w:t>
      </w:r>
      <w:r w:rsidRPr="00291195">
        <w:rPr>
          <w:szCs w:val="24"/>
          <w:highlight w:val="yellow"/>
        </w:rPr>
        <w:t>matching metric at 64% worldwide</w:t>
      </w:r>
      <w:r w:rsidR="00291195" w:rsidRPr="00291195">
        <w:rPr>
          <w:szCs w:val="24"/>
          <w:highlight w:val="yellow"/>
        </w:rPr>
        <w:t xml:space="preserve"> on 2024</w:t>
      </w:r>
      <w:r w:rsidRPr="00215994">
        <w:rPr>
          <w:szCs w:val="24"/>
        </w:rPr>
        <w:t xml:space="preserve"> and continues on its path toward achieving its structural target of 100</w:t>
      </w:r>
      <w:r>
        <w:rPr>
          <w:szCs w:val="24"/>
        </w:rPr>
        <w:t xml:space="preserve">% </w:t>
      </w:r>
      <w:r w:rsidRPr="00215994">
        <w:rPr>
          <w:szCs w:val="24"/>
        </w:rPr>
        <w:t>CFE operation on all regional grids by 2030</w:t>
      </w:r>
      <w:r>
        <w:rPr>
          <w:szCs w:val="24"/>
        </w:rPr>
        <w:fldChar w:fldCharType="begin"/>
      </w:r>
      <w:r w:rsidR="00A95675">
        <w:rPr>
          <w:szCs w:val="24"/>
        </w:rPr>
        <w:instrText xml:space="preserve"> ADDIN ZOTERO_ITEM CSL_CITATION {"citationID":"CKrzWUpd","properties":{"unsorted":false,"formattedCitation":"[50], [51]","plainCitation":"[50], [51]","noteIndex":0},"citationItems":[{"id":1995,"uris":["http://zotero.org/users/9870935/items/ZZ4BDIPH"],"itemData":{"id":1995,"type":"post-weblog","title":"Google Environmental Report 2025","URL":"https://sustainability.google/reports/google-2025-environmental-report/","author":[{"family":"Google","given":""}]}},{"id":1996,"uris":["http://zotero.org/users/9870935/items/JWXMITAD"],"itemData":{"id":1996,"type":"article-journal","abstract":"The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[50], [51]</w:t>
      </w:r>
      <w:r>
        <w:rPr>
          <w:szCs w:val="24"/>
        </w:rPr>
        <w:fldChar w:fldCharType="end"/>
      </w:r>
      <w:r w:rsidRPr="00215994">
        <w:rPr>
          <w:szCs w:val="24"/>
        </w:rPr>
        <w:t xml:space="preserve">. This approach involves the deployment of a 50 MW on-site wind generation framework at its data </w:t>
      </w:r>
      <w:r w:rsidR="005F08CE" w:rsidRPr="00215994">
        <w:rPr>
          <w:szCs w:val="24"/>
        </w:rPr>
        <w:t>center</w:t>
      </w:r>
      <w:r w:rsidRPr="00215994">
        <w:rPr>
          <w:szCs w:val="24"/>
        </w:rPr>
        <w:t xml:space="preserve"> cluster in Iowa, along with more than 200 MW of wind and solar PPAs in Chile. Google’s strategy is to spread out their architecture geographically, taking advantage of the anticorrelated, complementary nature of wind assets in the U.S. Midwest and solar assets in the Southwest to significantly reduce the overall variability of the grid they are tied to</w:t>
      </w:r>
      <w:r>
        <w:rPr>
          <w:szCs w:val="24"/>
        </w:rPr>
        <w:fldChar w:fldCharType="begin"/>
      </w:r>
      <w:r w:rsidR="00A95675">
        <w:rPr>
          <w:szCs w:val="24"/>
        </w:rPr>
        <w:instrText xml:space="preserve"> ADDIN ZOTERO_ITEM CSL_CITATION {"citationID":"qNnagB7S","properties":{"unsorted":false,"formattedCitation":"[51]","plainCitation":"[51]","noteIndex":0},"citationItems":[{"id":1996,"uris":["http://zotero.org/users/9870935/items/JWXMITAD"],"itemData":{"id":1996,"type":"article-journal","abstract":"The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[51]</w:t>
      </w:r>
      <w:r>
        <w:rPr>
          <w:szCs w:val="24"/>
        </w:rPr>
        <w:fldChar w:fldCharType="end"/>
      </w:r>
      <w:r w:rsidRPr="00215994">
        <w:rPr>
          <w:szCs w:val="24"/>
        </w:rPr>
        <w:t xml:space="preserve">.  </w:t>
      </w:r>
    </w:p>
    <w:p w14:paraId="3A90E4C4" w14:textId="5D2FDB96" w:rsidR="00FE013C" w:rsidRPr="00215994" w:rsidRDefault="00FE013C" w:rsidP="00A95675">
      <w:pPr>
        <w:spacing w:after="120"/>
        <w:ind w:firstLine="480"/>
        <w:rPr>
          <w:szCs w:val="24"/>
        </w:rPr>
      </w:pPr>
      <w:r w:rsidRPr="00215994">
        <w:rPr>
          <w:szCs w:val="24"/>
        </w:rPr>
        <w:t xml:space="preserve">Meta has taken a differentiated approach, focusing on </w:t>
      </w:r>
      <w:r w:rsidR="005F08CE" w:rsidRPr="00215994">
        <w:rPr>
          <w:szCs w:val="24"/>
        </w:rPr>
        <w:t>localized</w:t>
      </w:r>
      <w:r w:rsidRPr="00215994">
        <w:rPr>
          <w:szCs w:val="24"/>
        </w:rPr>
        <w:t xml:space="preserve"> fuel cell deployment and extensive grid additionality. Meta installed 5 MW of SOFCs at its Prineville, OR data </w:t>
      </w:r>
      <w:r w:rsidR="005F08CE" w:rsidRPr="00215994">
        <w:rPr>
          <w:szCs w:val="24"/>
        </w:rPr>
        <w:t>center</w:t>
      </w:r>
      <w:r w:rsidRPr="00215994">
        <w:rPr>
          <w:szCs w:val="24"/>
        </w:rPr>
        <w:t xml:space="preserve"> campus to supply stable primary baseload power</w:t>
      </w:r>
      <w:r>
        <w:rPr>
          <w:szCs w:val="24"/>
        </w:rPr>
        <w:fldChar w:fldCharType="begin"/>
      </w:r>
      <w:r w:rsidR="00A95675">
        <w:rPr>
          <w:szCs w:val="24"/>
        </w:rPr>
        <w:instrText xml:space="preserve"> ADDIN ZOTERO_ITEM CSL_CITATION {"citationID":"yI9ZUW0O","properties":{"unsorted":false,"formattedCitation":"[51]","plainCitation":"[51]","noteIndex":0},"citationItems":[{"id":1996,"uris":["http://zotero.org/users/9870935/items/JWXMITAD"],"itemData":{"id":1996,"type":"article-journal","abstract":"The meteoric rise of artificial intelligence (AI) has propelled global data center energy consumption to 415 terawatt-hours in 2024, with projections doubling to 945 TWh by 2030, driven by AI’s computational intensity and cooling demands. This review synthesizes cutting-edge solutions for sustainable AI-driven data centers, emphasizing renewable energy (solar, wind, hydropower) and advanced cooling technologies (liquid cooling, immersion cooling, heat reuse). Through global case studies, such as Google’s solar-powered facilities, and African innovations, like Kenya’s geothermal-powered centers, it showcases scalable integrations reducing energy use by 20-30%. In Africa, where data center capacity grows 25% annually, abundant renewables and water-efficient cooling address high-temperature challenges, yet infrastructure, cost, and equity barriers persist. Future pathways, including eco-friendly coolants and small modular reactors, are proposed alongside policy reforms to ensure net-zero alignment. This article calls for interdisciplinary collaboration to bridge digital divides, offering actionable insights for researchers, industry, and policymakers to drive sustainable AI infrastructure, particularly in Africa’s burgeoning digital landscape.","container-title":"Global Journal of Engineering and Technology Advances","DOI":"10.30574/gjeta.2025.24.3.0279","ISSN":"25825003","issue":"3","journalAbbreviation":"Global J. Eng. Technol. Adv.","page":"328-344","source":"DOI.org (Crossref)","title":"The AI-Driven Energy Surge: A comprehensive review of sustainable power solutions for data centers","title-short":"The AI-Driven Energy Surge","volume":"24","author":[{"family":"Mavisclara","given":"Ohaka Amarachi"},{"family":"Oshobugie","given":"Ibrahim Isiaka"},{"family":"Olufunmi","given":"Atoyebi Temitope"},{"family":"Bolaji","given":"Abdulrazaq Abdulrahman"},{"family":"Olawale","given":"Akadiri Oluwatoyin"},{"family":"Anulika","given":"Nwafor Chidinma"},{"family":"Samuel","given":"Okafor Kenechukwu"}],"issued":{"date-parts":[["2025",9,30]]}}}],"schema":"https://github.com/citation-style-language/schema/raw/master/csl-citation.json"} </w:instrText>
      </w:r>
      <w:r>
        <w:rPr>
          <w:szCs w:val="24"/>
        </w:rPr>
        <w:fldChar w:fldCharType="separate"/>
      </w:r>
      <w:r w:rsidR="00A95675" w:rsidRPr="00A95675">
        <w:t>[51]</w:t>
      </w:r>
      <w:r>
        <w:rPr>
          <w:szCs w:val="24"/>
        </w:rPr>
        <w:fldChar w:fldCharType="end"/>
      </w:r>
      <w:r w:rsidRPr="00215994">
        <w:rPr>
          <w:szCs w:val="24"/>
        </w:rPr>
        <w:t xml:space="preserve">. Since 2020, Meta has been structurally matching its operational electricity consumption with clean energy additions annually, with contracted wind and solar capacity now representing nearly 29 GW of clean energy capacity globally </w:t>
      </w:r>
      <w:r>
        <w:rPr>
          <w:szCs w:val="24"/>
        </w:rPr>
        <w:fldChar w:fldCharType="begin"/>
      </w:r>
      <w:r w:rsidR="00A95675">
        <w:rPr>
          <w:szCs w:val="24"/>
        </w:rPr>
        <w:instrText xml:space="preserve"> ADDIN ZOTERO_ITEM CSL_CITATION {"citationID":"Zg4mrp1i","properties":{"unsorted":false,"formattedCitation":"[52], [53]","plainCitation":"[52], [53]","noteIndex":0},"citationItems":[{"id":1998,"uris":["http://zotero.org/users/9870935/items/3PR5HCM7"],"itemData":{"id":1998,"type":"post-weblog","title":"2025 Sustainability Report","URL":"https://sustainability.atmeta.com/wp-content/uploads/2025/08/Meta_2025-Sustainability-Report.pdf","author":[{"family":"Meta","given":""}]}},{"id":1999,"uris":["http://zotero.org/users/9870935/items/KFJTNUYK"],"itemData":{"id":1999,"type":"post-weblog","title":"Corporate Clean Energy Buying Fell in 2025 After Nearly a Decade of Growth","URL":"https://about.bnef.com/insights/clean-energy/corporate-clean-energy-buying-fell-in-2025-after-nearly-a-decade-of-growth/","author":[{"family":"BloombergNEF","given":""}]}}],"schema":"https://github.com/citation-style-language/schema/raw/master/csl-citation.json"} </w:instrText>
      </w:r>
      <w:r>
        <w:rPr>
          <w:szCs w:val="24"/>
        </w:rPr>
        <w:fldChar w:fldCharType="separate"/>
      </w:r>
      <w:r w:rsidR="00A95675" w:rsidRPr="00A95675">
        <w:t>[52], [53]</w:t>
      </w:r>
      <w:r>
        <w:rPr>
          <w:szCs w:val="24"/>
        </w:rPr>
        <w:fldChar w:fldCharType="end"/>
      </w:r>
      <w:r w:rsidRPr="00215994">
        <w:rPr>
          <w:szCs w:val="24"/>
        </w:rPr>
        <w:t xml:space="preserve">.  </w:t>
      </w:r>
    </w:p>
    <w:p w14:paraId="63A51356" w14:textId="7A961EE8" w:rsidR="00FE013C" w:rsidRPr="00215994" w:rsidRDefault="00FE013C" w:rsidP="00A95675">
      <w:pPr>
        <w:spacing w:after="120"/>
        <w:ind w:firstLine="480"/>
        <w:rPr>
          <w:szCs w:val="24"/>
        </w:rPr>
      </w:pPr>
      <w:r w:rsidRPr="00215994">
        <w:rPr>
          <w:szCs w:val="24"/>
        </w:rPr>
        <w:t xml:space="preserve">At the same time, Microsoft has been leading the way with very </w:t>
      </w:r>
      <w:r w:rsidR="005F08CE" w:rsidRPr="00215994">
        <w:rPr>
          <w:szCs w:val="24"/>
        </w:rPr>
        <w:t>decentralized</w:t>
      </w:r>
      <w:r w:rsidRPr="00215994">
        <w:rPr>
          <w:szCs w:val="24"/>
        </w:rPr>
        <w:t xml:space="preserve"> baseload ideas. This includes Project Natick, an underwater data </w:t>
      </w:r>
      <w:r w:rsidR="005F08CE" w:rsidRPr="00215994">
        <w:rPr>
          <w:szCs w:val="24"/>
        </w:rPr>
        <w:t>center</w:t>
      </w:r>
      <w:r w:rsidRPr="00215994">
        <w:rPr>
          <w:szCs w:val="24"/>
        </w:rPr>
        <w:t xml:space="preserve"> deployment that achieved a 99.9</w:t>
      </w:r>
      <w:r>
        <w:rPr>
          <w:szCs w:val="24"/>
        </w:rPr>
        <w:t xml:space="preserve">% </w:t>
      </w:r>
      <w:r w:rsidRPr="00215994">
        <w:rPr>
          <w:szCs w:val="24"/>
        </w:rPr>
        <w:t xml:space="preserve">uptime </w:t>
      </w:r>
      <w:r w:rsidRPr="00215994">
        <w:rPr>
          <w:szCs w:val="24"/>
        </w:rPr>
        <w:lastRenderedPageBreak/>
        <w:t xml:space="preserve">reliability factor and an eight-fold reduction in hardware failure rates compared with traditional land-based data </w:t>
      </w:r>
      <w:r w:rsidR="005F08CE" w:rsidRPr="00215994">
        <w:rPr>
          <w:szCs w:val="24"/>
        </w:rPr>
        <w:t>centers</w:t>
      </w:r>
      <w:r w:rsidRPr="00215994">
        <w:rPr>
          <w:szCs w:val="24"/>
        </w:rPr>
        <w:t xml:space="preserve"> </w:t>
      </w:r>
      <w:r>
        <w:rPr>
          <w:szCs w:val="24"/>
        </w:rPr>
        <w:fldChar w:fldCharType="begin"/>
      </w:r>
      <w:r w:rsidR="00A95675">
        <w:rPr>
          <w:szCs w:val="24"/>
        </w:rPr>
        <w:instrText xml:space="preserve"> ADDIN ZOTERO_ITEM CSL_CITATION {"citationID":"8st61XpZ","properties":{"unsorted":false,"formattedCitation":"[54], [55]","plainCitation":"[54], [55]","noteIndex":0},"citationItems":[{"id":2005,"uris":["http://zotero.org/users/9870935/items/GPXLWD7A"],"itemData":{"id":2005,"type":"article-journal","abstract":"This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Pr>
          <w:szCs w:val="24"/>
        </w:rPr>
        <w:fldChar w:fldCharType="separate"/>
      </w:r>
      <w:r w:rsidR="00A95675" w:rsidRPr="00A95675">
        <w:t>[54], [55]</w:t>
      </w:r>
      <w:r>
        <w:rPr>
          <w:szCs w:val="24"/>
        </w:rPr>
        <w:fldChar w:fldCharType="end"/>
      </w:r>
      <w:r w:rsidRPr="00215994">
        <w:rPr>
          <w:szCs w:val="24"/>
        </w:rPr>
        <w:t>. To support the very large workloads of AI, Microsoft has transitioned to nuclear energy frameworks, with direct, long-term power supply relationships that provide stable, non-intermittent baseload power that is carbon-free</w:t>
      </w:r>
      <w:r>
        <w:rPr>
          <w:szCs w:val="24"/>
        </w:rPr>
        <w:fldChar w:fldCharType="begin"/>
      </w:r>
      <w:r w:rsidR="00A95675">
        <w:rPr>
          <w:szCs w:val="24"/>
        </w:rPr>
        <w:instrText xml:space="preserve"> ADDIN ZOTERO_ITEM CSL_CITATION {"citationID":"XDrsuJcP","properties":{"unsorted":false,"formattedCitation":"[56]","plainCitation":"[56]","noteIndex":0},"citationItems":[{"id":2006,"uris":["http://zotero.org/users/9870935/items/X97WKK42"],"itemData":{"id":2006,"type":"article-journal","abstract":"Societies need a practical way to assess total costs of future energy mixes in complex power systems. To demonstrate such an approach, we assess the cost of electricity in the ERCOT system across two distinct generation mix scenarios, varying mostly by wind, solar and gas-fired generation, between 2023 and 2050. We use commercial software, also used by system operators and power plant developers, to ensure that evolving generation mixes in both scenarios can meet electricity demands at all times at all nodes. Such jurisdiction-specific, hourly nodal dispatch modeling is recognized as necessary for more accurate representation of costs to maintain reliable operations in complex electricity systems. We capture generation and some system costs, which we call consumer cost of electricity, CCOE, given that end-users pay these costs under different line items in their electricity bills. CCOEs are insightful cost estimates for system planning and policy discussions for a given power system and must be recalculated for different scenarios as technologies, market designs, policies, and more, change. This can be done as part of routine annual or bespoke analyses conducted by system operators.","container-title":"Energies","DOI":"10.3390/en19092195","ISSN":"1996-1073","issue":"9","journalAbbreviation":"Energies","language":"en","page":"2195","source":"DOI.org (Crossref)","title":"Assessing Economic Costs of Two Reliable Generation Mix Scenarios in the ERCOT System","volume":"19","author":[{"family":"Gülen","given":"Gürcan"},{"family":"Das","given":"Jani"},{"family":"Young","given":"Michael H."}],"issued":{"date-parts":[["2026",5,1]]}}}],"schema":"https://github.com/citation-style-language/schema/raw/master/csl-citation.json"} </w:instrText>
      </w:r>
      <w:r>
        <w:rPr>
          <w:szCs w:val="24"/>
        </w:rPr>
        <w:fldChar w:fldCharType="separate"/>
      </w:r>
      <w:r w:rsidR="00A95675" w:rsidRPr="00A95675">
        <w:t>[56]</w:t>
      </w:r>
      <w:r>
        <w:rPr>
          <w:szCs w:val="24"/>
        </w:rPr>
        <w:fldChar w:fldCharType="end"/>
      </w:r>
      <w:r w:rsidRPr="00215994">
        <w:rPr>
          <w:szCs w:val="24"/>
        </w:rPr>
        <w:t>.</w:t>
      </w:r>
    </w:p>
    <w:p w14:paraId="4EE3A5CE" w14:textId="379B738C" w:rsidR="00FE013C" w:rsidRPr="00215994" w:rsidRDefault="00FE013C" w:rsidP="00A95675">
      <w:pPr>
        <w:spacing w:after="120"/>
        <w:ind w:firstLine="480"/>
        <w:rPr>
          <w:szCs w:val="24"/>
        </w:rPr>
      </w:pPr>
      <w:r w:rsidRPr="00215994">
        <w:rPr>
          <w:szCs w:val="24"/>
        </w:rPr>
        <w:t xml:space="preserve">Equinix is the world's largest colocation data </w:t>
      </w:r>
      <w:r w:rsidR="005F08CE" w:rsidRPr="00215994">
        <w:rPr>
          <w:szCs w:val="24"/>
        </w:rPr>
        <w:t>center</w:t>
      </w:r>
      <w:r w:rsidRPr="00215994">
        <w:rPr>
          <w:szCs w:val="24"/>
        </w:rPr>
        <w:t xml:space="preserve"> provider with a presence in more than 260 facilities, which manages a very </w:t>
      </w:r>
      <w:r w:rsidR="005F08CE" w:rsidRPr="00215994">
        <w:rPr>
          <w:szCs w:val="24"/>
        </w:rPr>
        <w:t>decentralized</w:t>
      </w:r>
      <w:r w:rsidRPr="00215994">
        <w:rPr>
          <w:szCs w:val="24"/>
        </w:rPr>
        <w:t xml:space="preserve"> clean energy procurement architecture</w:t>
      </w:r>
      <w:r>
        <w:rPr>
          <w:szCs w:val="24"/>
        </w:rPr>
        <w:fldChar w:fldCharType="begin"/>
      </w:r>
      <w:r w:rsidR="00A95675">
        <w:rPr>
          <w:szCs w:val="24"/>
        </w:rPr>
        <w:instrText xml:space="preserve"> ADDIN ZOTERO_ITEM CSL_CITATION {"citationID":"55g5vk6s","properties":{"unsorted":false,"formattedCitation":"[57]","plainCitation":"[57]","noteIndex":0},"citationItems":[{"id":2007,"uris":["http://zotero.org/users/9870935/items/KHWRQFNN"],"itemData":{"id":2007,"type":"post-weblog","title":"Sustainability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A95675" w:rsidRPr="00A95675">
        <w:t>[57]</w:t>
      </w:r>
      <w:r>
        <w:rPr>
          <w:szCs w:val="24"/>
        </w:rPr>
        <w:fldChar w:fldCharType="end"/>
      </w:r>
      <w:r w:rsidRPr="00215994">
        <w:rPr>
          <w:szCs w:val="24"/>
        </w:rPr>
        <w:t>. Equinix has established a 96</w:t>
      </w:r>
      <w:r>
        <w:rPr>
          <w:szCs w:val="24"/>
        </w:rPr>
        <w:t xml:space="preserve">% </w:t>
      </w:r>
      <w:r w:rsidRPr="00215994">
        <w:rPr>
          <w:szCs w:val="24"/>
        </w:rPr>
        <w:t xml:space="preserve">global renewable energy coverage metric for its retail data </w:t>
      </w:r>
      <w:r w:rsidR="005F08CE" w:rsidRPr="00215994">
        <w:rPr>
          <w:szCs w:val="24"/>
        </w:rPr>
        <w:t>center</w:t>
      </w:r>
      <w:r w:rsidRPr="00215994">
        <w:rPr>
          <w:szCs w:val="24"/>
        </w:rPr>
        <w:t xml:space="preserve"> portfolio, with multiple hundreds of megawatts of </w:t>
      </w:r>
      <w:r w:rsidRPr="00CE402A">
        <w:rPr>
          <w:szCs w:val="24"/>
        </w:rPr>
        <w:t>solar and wind capacity across California, Arizona, Texas, and Europe</w:t>
      </w:r>
      <w:r>
        <w:rPr>
          <w:szCs w:val="24"/>
        </w:rPr>
        <w:fldChar w:fldCharType="begin"/>
      </w:r>
      <w:r w:rsidR="00A95675">
        <w:rPr>
          <w:szCs w:val="24"/>
        </w:rPr>
        <w:instrText xml:space="preserve"> ADDIN ZOTERO_ITEM CSL_CITATION {"citationID":"4AetSQpC","properties":{"unsorted":false,"formattedCitation":"[57]","plainCitation":"[57]","noteIndex":0},"citationItems":[{"id":2007,"uris":["http://zotero.org/users/9870935/items/KHWRQFNN"],"itemData":{"id":2007,"type":"post-weblog","title":"Sustainability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Pr>
          <w:szCs w:val="24"/>
        </w:rPr>
        <w:fldChar w:fldCharType="separate"/>
      </w:r>
      <w:r w:rsidR="00A95675" w:rsidRPr="00A95675">
        <w:t>[57]</w:t>
      </w:r>
      <w:r>
        <w:rPr>
          <w:szCs w:val="24"/>
        </w:rPr>
        <w:fldChar w:fldCharType="end"/>
      </w:r>
      <w:r w:rsidRPr="00215994">
        <w:rPr>
          <w:szCs w:val="24"/>
        </w:rPr>
        <w:t>.</w:t>
      </w:r>
    </w:p>
    <w:p w14:paraId="1E0DC12C" w14:textId="77777777" w:rsidR="00742B49" w:rsidRPr="00F20C3E" w:rsidRDefault="00742B49" w:rsidP="00F20C3E">
      <w:pPr>
        <w:spacing w:after="120"/>
        <w:ind w:firstLine="480"/>
        <w:rPr>
          <w:szCs w:val="24"/>
        </w:rPr>
      </w:pPr>
      <w:r w:rsidRPr="00F20C3E">
        <w:rPr>
          <w:szCs w:val="24"/>
        </w:rPr>
        <w:t>These industry examples demonstrate that large technology companies are using a mix of renewable procurement, grid supply, on-site resources, storage, low-carbon generation, and workload management strategies. They do not demonstrate a single universally superior architecture. Corporate disclosures also differ in reporting year, accounting boundary, hourly versus annual matching, and level of independent assurance. Section 8 therefore treats these cases as illustrative evidence rather than as direct performance benchmarks.</w:t>
      </w:r>
    </w:p>
    <w:p w14:paraId="13B265DA" w14:textId="77777777" w:rsidR="00FE013C" w:rsidRDefault="00FE013C" w:rsidP="004C16FF">
      <w:pPr>
        <w:pStyle w:val="Heading20"/>
        <w:jc w:val="both"/>
        <w:rPr>
          <w:color w:val="auto"/>
        </w:rPr>
      </w:pPr>
      <w:r>
        <w:rPr>
          <w:color w:val="auto"/>
        </w:rPr>
        <w:t xml:space="preserve">2.6. </w:t>
      </w:r>
      <w:r w:rsidRPr="00B768DA">
        <w:rPr>
          <w:color w:val="auto"/>
        </w:rPr>
        <w:t>Critical Comparative Analysis of Renewable Integration Frameworks</w:t>
      </w:r>
    </w:p>
    <w:p w14:paraId="544E38E3" w14:textId="6D689083" w:rsidR="00177B3A" w:rsidRPr="00177B3A" w:rsidRDefault="00177B3A" w:rsidP="008A765B">
      <w:pPr>
        <w:spacing w:after="120"/>
        <w:ind w:firstLine="480"/>
        <w:rPr>
          <w:szCs w:val="24"/>
          <w:lang w:val="en-CA"/>
        </w:rPr>
      </w:pPr>
      <w:r w:rsidRPr="002A0D24">
        <w:rPr>
          <w:szCs w:val="24"/>
          <w:highlight w:val="yellow"/>
          <w:lang w:val="en-CA"/>
        </w:rPr>
        <w:t xml:space="preserve">Previous studies on renewable-energy integration for data centers can be grouped into four broad categories, each with distinct strengths, limitations, and implementation challenges. </w:t>
      </w:r>
      <w:r w:rsidR="00CA3F3A" w:rsidRPr="000720CF">
        <w:rPr>
          <w:szCs w:val="24"/>
          <w:highlight w:val="yellow"/>
          <w:lang w:val="en-CA"/>
        </w:rPr>
        <w:fldChar w:fldCharType="begin"/>
      </w:r>
      <w:r w:rsidR="00CA3F3A" w:rsidRPr="000720CF">
        <w:rPr>
          <w:szCs w:val="24"/>
          <w:highlight w:val="yellow"/>
          <w:lang w:val="en-CA"/>
        </w:rPr>
        <w:instrText xml:space="preserve"> REF _Ref239530713 \h </w:instrText>
      </w:r>
      <w:r w:rsidR="00CA3F3A" w:rsidRPr="000720CF">
        <w:rPr>
          <w:szCs w:val="24"/>
          <w:highlight w:val="yellow"/>
          <w:lang w:val="en-CA"/>
        </w:rPr>
      </w:r>
      <w:r w:rsidR="000720CF">
        <w:rPr>
          <w:szCs w:val="24"/>
          <w:highlight w:val="yellow"/>
          <w:lang w:val="en-CA"/>
        </w:rPr>
        <w:instrText xml:space="preserve"> \* MERGEFORMAT </w:instrText>
      </w:r>
      <w:r w:rsidR="00CA3F3A" w:rsidRPr="000720CF">
        <w:rPr>
          <w:szCs w:val="24"/>
          <w:highlight w:val="yellow"/>
          <w:lang w:val="en-CA"/>
        </w:rPr>
        <w:fldChar w:fldCharType="separate"/>
      </w:r>
      <w:r w:rsidR="00CA3F3A" w:rsidRPr="000720CF">
        <w:rPr>
          <w:highlight w:val="yellow"/>
        </w:rPr>
        <w:t xml:space="preserve">Table </w:t>
      </w:r>
      <w:r w:rsidR="00CA3F3A" w:rsidRPr="000720CF">
        <w:rPr>
          <w:noProof/>
          <w:highlight w:val="yellow"/>
        </w:rPr>
        <w:t>1</w:t>
      </w:r>
      <w:r w:rsidR="00CA3F3A" w:rsidRPr="000720CF">
        <w:rPr>
          <w:highlight w:val="yellow"/>
        </w:rPr>
        <w:t xml:space="preserve"> Comparative Analysis of Renewable Integration Approaches for Data Centers</w:t>
      </w:r>
      <w:r w:rsidR="00CA3F3A" w:rsidRPr="000720CF">
        <w:rPr>
          <w:szCs w:val="24"/>
          <w:highlight w:val="yellow"/>
          <w:lang w:val="en-CA"/>
        </w:rPr>
        <w:fldChar w:fldCharType="end"/>
      </w:r>
      <w:r w:rsidR="00CA3F3A" w:rsidRPr="000720CF">
        <w:rPr>
          <w:szCs w:val="24"/>
          <w:highlight w:val="yellow"/>
          <w:lang w:val="en-CA"/>
        </w:rPr>
        <w:t xml:space="preserve">, </w:t>
      </w:r>
      <w:r w:rsidRPr="000720CF">
        <w:rPr>
          <w:szCs w:val="24"/>
          <w:highlight w:val="yellow"/>
          <w:lang w:val="en-CA"/>
        </w:rPr>
        <w:t>provides a comparative assessment of these approaches and includes representative references supporting the identified technical strengths, economic blind spots, and implementation barriers. The analysis highlights the specific gaps that motivate the integrated framework proposed in this study.</w:t>
      </w:r>
    </w:p>
    <w:p w14:paraId="3CC51054" w14:textId="3EC48BE6" w:rsidR="00FE013C" w:rsidRDefault="00FE013C" w:rsidP="004C16FF">
      <w:pPr>
        <w:pStyle w:val="Caption"/>
        <w:keepNext/>
      </w:pPr>
      <w:bookmarkStart w:id="6" w:name="_Ref239530713"/>
      <w:r>
        <w:t xml:space="preserve">Table </w:t>
      </w:r>
      <w:r>
        <w:fldChar w:fldCharType="begin"/>
      </w:r>
      <w:r>
        <w:instrText xml:space="preserve"> SEQ Table \* ARABIC </w:instrText>
      </w:r>
      <w:r>
        <w:fldChar w:fldCharType="separate"/>
      </w:r>
      <w:r w:rsidR="003A45CA">
        <w:rPr>
          <w:noProof/>
        </w:rPr>
        <w:t>1</w:t>
      </w:r>
      <w:r>
        <w:rPr>
          <w:noProof/>
        </w:rPr>
        <w:fldChar w:fldCharType="end"/>
      </w:r>
      <w:r>
        <w:t xml:space="preserve"> </w:t>
      </w:r>
      <w:r w:rsidRPr="008B20D6">
        <w:t>Comparative Analysis of Renewable Integration Approaches for Data Centers</w:t>
      </w:r>
      <w:bookmarkEnd w:id="6"/>
    </w:p>
    <w:tbl>
      <w:tblPr>
        <w:tblStyle w:val="MDPI41threelinetable"/>
        <w:tblW w:w="0" w:type="auto"/>
        <w:tblLayout w:type="fixed"/>
        <w:tblLook w:val="04A0" w:firstRow="1" w:lastRow="0" w:firstColumn="1" w:lastColumn="0" w:noHBand="0" w:noVBand="1"/>
      </w:tblPr>
      <w:tblGrid>
        <w:gridCol w:w="1678"/>
        <w:gridCol w:w="1695"/>
        <w:gridCol w:w="1695"/>
        <w:gridCol w:w="1947"/>
        <w:gridCol w:w="1829"/>
      </w:tblGrid>
      <w:tr w:rsidR="00FE013C" w:rsidRPr="00E2702F" w14:paraId="41D68597" w14:textId="77777777" w:rsidTr="00A2273B">
        <w:trPr>
          <w:cnfStyle w:val="100000000000" w:firstRow="1" w:lastRow="0" w:firstColumn="0" w:lastColumn="0" w:oddVBand="0" w:evenVBand="0" w:oddHBand="0" w:evenHBand="0" w:firstRowFirstColumn="0" w:firstRowLastColumn="0" w:lastRowFirstColumn="0" w:lastRowLastColumn="0"/>
        </w:trPr>
        <w:tc>
          <w:tcPr>
            <w:tcW w:w="1678" w:type="dxa"/>
            <w:hideMark/>
          </w:tcPr>
          <w:p w14:paraId="6F104B4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Approach</w:t>
            </w:r>
          </w:p>
        </w:tc>
        <w:tc>
          <w:tcPr>
            <w:tcW w:w="1695" w:type="dxa"/>
            <w:hideMark/>
          </w:tcPr>
          <w:p w14:paraId="5F2561D9"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Technical Strengths</w:t>
            </w:r>
          </w:p>
        </w:tc>
        <w:tc>
          <w:tcPr>
            <w:tcW w:w="1695" w:type="dxa"/>
            <w:hideMark/>
          </w:tcPr>
          <w:p w14:paraId="3827A75C"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Economic Blind Spots</w:t>
            </w:r>
          </w:p>
        </w:tc>
        <w:tc>
          <w:tcPr>
            <w:tcW w:w="1947" w:type="dxa"/>
            <w:hideMark/>
          </w:tcPr>
          <w:p w14:paraId="644C52FB"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Implementation Barriers</w:t>
            </w:r>
          </w:p>
        </w:tc>
        <w:tc>
          <w:tcPr>
            <w:tcW w:w="1829" w:type="dxa"/>
            <w:hideMark/>
          </w:tcPr>
          <w:p w14:paraId="5F1849DD" w14:textId="77777777" w:rsidR="00FE013C" w:rsidRPr="00E2702F" w:rsidRDefault="00FE013C" w:rsidP="004C16FF">
            <w:pPr>
              <w:pStyle w:val="TableBody"/>
              <w:jc w:val="both"/>
              <w:rPr>
                <w:b w:val="0"/>
                <w:bCs/>
                <w:color w:val="auto"/>
                <w:sz w:val="16"/>
                <w:szCs w:val="16"/>
                <w:highlight w:val="yellow"/>
              </w:rPr>
            </w:pPr>
            <w:r w:rsidRPr="00E2702F">
              <w:rPr>
                <w:bCs/>
                <w:color w:val="auto"/>
                <w:sz w:val="16"/>
                <w:szCs w:val="16"/>
                <w:highlight w:val="yellow"/>
              </w:rPr>
              <w:t>Gap Addressed by This Framework</w:t>
            </w:r>
          </w:p>
        </w:tc>
      </w:tr>
      <w:tr w:rsidR="00FE013C" w:rsidRPr="00E2702F" w14:paraId="353811D3" w14:textId="77777777" w:rsidTr="00A2273B">
        <w:trPr>
          <w:trHeight w:val="1684"/>
        </w:trPr>
        <w:tc>
          <w:tcPr>
            <w:tcW w:w="1678" w:type="dxa"/>
            <w:hideMark/>
          </w:tcPr>
          <w:p w14:paraId="5DCFD7A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Technical-Only (Grid Studies)</w:t>
            </w:r>
          </w:p>
        </w:tc>
        <w:tc>
          <w:tcPr>
            <w:tcW w:w="1695" w:type="dxa"/>
            <w:hideMark/>
          </w:tcPr>
          <w:p w14:paraId="099228A6" w14:textId="12DFDDBE"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Strong harmonic and stability analysis (IEEE 519, IEC 62351 compliance); detailed EMT simulation</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{"citationID":"za0v7lKo","properties":{"unsorted":false,"formattedCitation":"[49], [58], [59]","plainCitation":"[49], [58], [59]","noteIndex":0},"citationItems":[{"id":1993,"uris":["http://zotero.org/users/9870935/items/2D54TKGT"],"itemData":{"id":1993,"type":"paper-conference","container-title":"2024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[49], [58], [59]</w:t>
            </w:r>
            <w:r w:rsidR="000B0F03" w:rsidRPr="00E2702F">
              <w:rPr>
                <w:bCs/>
                <w:color w:val="auto"/>
                <w:sz w:val="16"/>
                <w:szCs w:val="16"/>
                <w:highlight w:val="yellow"/>
              </w:rPr>
              <w:fldChar w:fldCharType="end"/>
            </w:r>
          </w:p>
        </w:tc>
        <w:tc>
          <w:tcPr>
            <w:tcW w:w="1695" w:type="dxa"/>
            <w:hideMark/>
          </w:tcPr>
          <w:p w14:paraId="472E1423" w14:textId="09C4796C"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No cost-benefit analysis; no integration with workload flexibility or PPA strategy</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{"citationID":"9NO494JV","properties":{"unsorted":false,"formattedCitation":"[60]","plainCitation":"[60]","noteIndex":0},"citationItems":[{"id":2119,"uris":["http://zotero.org/users/9870935/items/HCPVHF7M"],"itemData":{"id":2119,"type":"article-journal","container-title":"Energy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[60]</w:t>
            </w:r>
            <w:r w:rsidR="000B0F03" w:rsidRPr="00E2702F">
              <w:rPr>
                <w:bCs/>
                <w:color w:val="auto"/>
                <w:sz w:val="16"/>
                <w:szCs w:val="16"/>
                <w:highlight w:val="yellow"/>
              </w:rPr>
              <w:fldChar w:fldCharType="end"/>
            </w:r>
          </w:p>
        </w:tc>
        <w:tc>
          <w:tcPr>
            <w:tcW w:w="1947" w:type="dxa"/>
            <w:hideMark/>
          </w:tcPr>
          <w:p w14:paraId="4DC76685" w14:textId="5979CA31"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Assumes infinite budget; ignores capital constraints and OpEx optimization</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{"citationID":"EikesDoX","properties":{"unsorted":false,"formattedCitation":"[60]","plainCitation":"[60]","noteIndex":0},"citationItems":[{"id":2119,"uris":["http://zotero.org/users/9870935/items/HCPVHF7M"],"itemData":{"id":2119,"type":"article-journal","container-title":"Energy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[60]</w:t>
            </w:r>
            <w:r w:rsidR="000B0F03" w:rsidRPr="00E2702F">
              <w:rPr>
                <w:bCs/>
                <w:color w:val="auto"/>
                <w:sz w:val="16"/>
                <w:szCs w:val="16"/>
                <w:highlight w:val="yellow"/>
              </w:rPr>
              <w:fldChar w:fldCharType="end"/>
            </w:r>
          </w:p>
        </w:tc>
        <w:tc>
          <w:tcPr>
            <w:tcW w:w="1829" w:type="dxa"/>
            <w:hideMark/>
          </w:tcPr>
          <w:p w14:paraId="26E4B80F" w14:textId="77777777" w:rsidR="00BB0095" w:rsidRPr="00BB0095" w:rsidRDefault="00BB0095" w:rsidP="00BB0095">
            <w:pPr>
              <w:pStyle w:val="TableBody"/>
              <w:spacing w:line="300" w:lineRule="exact"/>
              <w:jc w:val="both"/>
              <w:rPr>
                <w:bCs/>
                <w:color w:val="auto"/>
                <w:sz w:val="16"/>
                <w:szCs w:val="16"/>
                <w:highlight w:val="yellow"/>
              </w:rPr>
            </w:pPr>
            <w:r w:rsidRPr="00BB0095">
              <w:rPr>
                <w:bCs/>
                <w:color w:val="auto"/>
                <w:sz w:val="16"/>
                <w:szCs w:val="16"/>
                <w:highlight w:val="yellow"/>
              </w:rPr>
              <w:t>Establishes consistent economic boundaries for comparing generation, storage, hybrid systems, and delivered electricity while identifying the inputs required for project-specific financial analysis.</w:t>
            </w:r>
          </w:p>
          <w:p w14:paraId="75B4D40E" w14:textId="3E859CFF" w:rsidR="00FE013C" w:rsidRPr="00BB0095" w:rsidRDefault="00FE013C" w:rsidP="004C16FF">
            <w:pPr>
              <w:pStyle w:val="TableBody"/>
              <w:jc w:val="both"/>
              <w:rPr>
                <w:bCs/>
                <w:color w:val="auto"/>
                <w:sz w:val="16"/>
                <w:szCs w:val="16"/>
                <w:highlight w:val="yellow"/>
                <w:lang w:val="de-DE"/>
              </w:rPr>
            </w:pPr>
          </w:p>
        </w:tc>
      </w:tr>
      <w:tr w:rsidR="00FE013C" w:rsidRPr="00E2702F" w14:paraId="15381C8C" w14:textId="77777777" w:rsidTr="00A2273B">
        <w:tc>
          <w:tcPr>
            <w:tcW w:w="1678" w:type="dxa"/>
            <w:hideMark/>
          </w:tcPr>
          <w:p w14:paraId="4310A57E"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Economic-Only (Procurement)</w:t>
            </w:r>
          </w:p>
        </w:tc>
        <w:tc>
          <w:tcPr>
            <w:tcW w:w="1695" w:type="dxa"/>
            <w:hideMark/>
          </w:tcPr>
          <w:p w14:paraId="70A9A471" w14:textId="1C64B27E"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Optimizes PPA rates ($25–50/MWh wind, $30–50/MWh solar); models energy costs independently</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{"citationID":"gxbq6i7E","properties":{"unsorted":false,"formattedCitation":"[61], [62], [63]","plainCitation":"[61], [62], [63]","noteIndex":0},"citationItems":[{"id":2132,"uris":["http://zotero.org/users/9870935/items/786EAJKN"],"itemData":{"id":2132,"type":"document","title":"Levelized Cost of Energy","URL":"https://www.lazard.com/media/eijnqja3/lazards-lcoeplus-june-2025.pdf","author":[{"family":"Lazard","given":""}]}},{"id":2166,"uris":["http://zotero.org/users/9870935/items/7HVT828C"],"itemData":{"id":2166,"type":"article-journal","abstract":"Artificial-intelligence-driven data centers are reversing two decades of flat U.S. electricity demand and have generated questions about how this growth will impact electricity prices. We quantify this effect using an hourly, unit-level least-cost dispatch model covering wholesale electricity markets in the continental United States. We find that existing data centers have already increased wholesale prices by 2 to 6% on average nationwide, with substantially larger effects in regions hosting major data center corridors. Extending the model through 2028, we show that if proposed construction proceeds under highutilization scenarios, wholesale prices could rise dramatically (50%), while more moderate build-out yields smaller (20%) but still meaningful effects. Impacts vary due to utilization and build-out assumptions. Finally, we use the model to address several policy discussions including optimal data center siting decisions and renewable build-out uncertainty.","container-title":"Federal Reserve Bank of Dallas, Working Papers","DOI":"10.24149/wp2606","issue":"2606","journalAbbreviation":"wp","language":"en","source":"DOI.org (Crossref)","title":"Processing Power: The Effect of Data Centers on Wholesale Electricity Markets","title-short":"Processing Power","URL":"https://www.dallasfed.org/research/papers/2026/wp2606","volume":"2026","author":[{"family":"Kay","given":"Owen"},{"family":"Reaser","given":"Robert"},{"family":"Taylor","given":"Reid"}],"accessed":{"date-parts":[["2026",6,6]]},"issued":{"date-parts":[["2026",3]]}}},{"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[61], [62], [63]</w:t>
            </w:r>
            <w:r w:rsidR="000B0F03" w:rsidRPr="00E2702F">
              <w:rPr>
                <w:bCs/>
                <w:color w:val="auto"/>
                <w:sz w:val="16"/>
                <w:szCs w:val="16"/>
                <w:highlight w:val="yellow"/>
              </w:rPr>
              <w:fldChar w:fldCharType="end"/>
            </w:r>
          </w:p>
        </w:tc>
        <w:tc>
          <w:tcPr>
            <w:tcW w:w="1695" w:type="dxa"/>
            <w:hideMark/>
          </w:tcPr>
          <w:p w14:paraId="371682CE" w14:textId="63AE66C3"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Ignores power quality, harmonic distortion, and system stability; assumes the grid can accommodate arbitrary generation profiles</w:t>
            </w:r>
            <w:r w:rsidR="000B0F03"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{"citationID":"jQc2q64j","properties":{"unsorted":false,"formattedCitation":"[48], [49]","plainCitation":"[48], [49]","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000B0F03" w:rsidRPr="00E2702F">
              <w:rPr>
                <w:bCs/>
                <w:color w:val="auto"/>
                <w:sz w:val="16"/>
                <w:szCs w:val="16"/>
                <w:highlight w:val="yellow"/>
              </w:rPr>
              <w:fldChar w:fldCharType="separate"/>
            </w:r>
            <w:r w:rsidR="00A95675" w:rsidRPr="00A95675">
              <w:rPr>
                <w:sz w:val="16"/>
                <w:highlight w:val="yellow"/>
              </w:rPr>
              <w:t>[48], [49]</w:t>
            </w:r>
            <w:r w:rsidR="000B0F03" w:rsidRPr="00E2702F">
              <w:rPr>
                <w:bCs/>
                <w:color w:val="auto"/>
                <w:sz w:val="16"/>
                <w:szCs w:val="16"/>
                <w:highlight w:val="yellow"/>
              </w:rPr>
              <w:fldChar w:fldCharType="end"/>
            </w:r>
          </w:p>
        </w:tc>
        <w:tc>
          <w:tcPr>
            <w:tcW w:w="1947" w:type="dxa"/>
            <w:hideMark/>
          </w:tcPr>
          <w:p w14:paraId="75A4E722" w14:textId="0DC4D7F0"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May result in renewable energy purchases that grid interconnection and protection systems cannot safely dispatch</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{"citationID":"wf5Pi7xb","properties":{"unsorted":false,"formattedCitation":"[64], [65], [66]","plainCitation":"[64], [65], [66]","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[64], [65], [66]</w:t>
            </w:r>
            <w:r w:rsidR="000B0F03" w:rsidRPr="00E2702F">
              <w:rPr>
                <w:bCs/>
                <w:color w:val="auto"/>
                <w:sz w:val="16"/>
                <w:szCs w:val="16"/>
                <w:highlight w:val="yellow"/>
              </w:rPr>
              <w:fldChar w:fldCharType="end"/>
            </w:r>
          </w:p>
        </w:tc>
        <w:tc>
          <w:tcPr>
            <w:tcW w:w="1829" w:type="dxa"/>
            <w:hideMark/>
          </w:tcPr>
          <w:p w14:paraId="5243FC6F" w14:textId="77777777" w:rsidR="00FE013C" w:rsidRPr="00E2702F" w:rsidRDefault="00FE013C" w:rsidP="004C16FF">
            <w:pPr>
              <w:pStyle w:val="TableBody"/>
              <w:jc w:val="both"/>
              <w:rPr>
                <w:bCs/>
                <w:color w:val="auto"/>
                <w:sz w:val="16"/>
                <w:szCs w:val="16"/>
                <w:highlight w:val="yellow"/>
              </w:rPr>
            </w:pPr>
            <w:r w:rsidRPr="00E2702F">
              <w:rPr>
                <w:bCs/>
                <w:color w:val="auto"/>
                <w:sz w:val="16"/>
                <w:szCs w:val="16"/>
                <w:highlight w:val="yellow"/>
              </w:rPr>
              <w:t xml:space="preserve">Adds </w:t>
            </w:r>
            <w:r w:rsidRPr="00E2702F">
              <w:rPr>
                <w:b/>
                <w:bCs/>
                <w:color w:val="auto"/>
                <w:sz w:val="16"/>
                <w:szCs w:val="16"/>
                <w:highlight w:val="yellow"/>
              </w:rPr>
              <w:t>Section 6</w:t>
            </w:r>
            <w:r w:rsidRPr="00E2702F">
              <w:rPr>
                <w:bCs/>
                <w:color w:val="auto"/>
                <w:sz w:val="16"/>
                <w:szCs w:val="16"/>
                <w:highlight w:val="yellow"/>
              </w:rPr>
              <w:t xml:space="preserve"> (power flow analysis), </w:t>
            </w:r>
            <w:r w:rsidRPr="00E2702F">
              <w:rPr>
                <w:b/>
                <w:bCs/>
                <w:color w:val="auto"/>
                <w:sz w:val="16"/>
                <w:szCs w:val="16"/>
                <w:highlight w:val="yellow"/>
              </w:rPr>
              <w:t>Section 6.3</w:t>
            </w:r>
            <w:r w:rsidRPr="00E2702F">
              <w:rPr>
                <w:bCs/>
                <w:color w:val="auto"/>
                <w:sz w:val="16"/>
                <w:szCs w:val="16"/>
                <w:highlight w:val="yellow"/>
              </w:rPr>
              <w:t xml:space="preserve"> (harmonic mitigation sizing), and a comprehensive grid integration strategy</w:t>
            </w:r>
          </w:p>
        </w:tc>
      </w:tr>
      <w:tr w:rsidR="00FE013C" w:rsidRPr="00E2702F" w14:paraId="40CC1E5C" w14:textId="77777777" w:rsidTr="00A2273B">
        <w:tc>
          <w:tcPr>
            <w:tcW w:w="1678" w:type="dxa"/>
            <w:hideMark/>
          </w:tcPr>
          <w:p w14:paraId="24ABE1C1"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Company Case Studies (Google, Meta, Microsoft)</w:t>
            </w:r>
          </w:p>
        </w:tc>
        <w:tc>
          <w:tcPr>
            <w:tcW w:w="1695" w:type="dxa"/>
            <w:hideMark/>
          </w:tcPr>
          <w:p w14:paraId="71007A1C" w14:textId="3B34010B"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t xml:space="preserve">Provides real-world deployment data; demonstrates 64–99.9% CFE performance and scalability across portfolios exceeding </w:t>
            </w:r>
            <w:r w:rsidRPr="00E2702F">
              <w:rPr>
                <w:bCs/>
                <w:color w:val="auto"/>
                <w:sz w:val="16"/>
                <w:szCs w:val="16"/>
                <w:highlight w:val="yellow"/>
              </w:rPr>
              <w:lastRenderedPageBreak/>
              <w:t>30 GW</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{"citationID":"C2SL9tNN","properties":{"unsorted":false,"formattedCitation":"[50], [52], [57], [67]","plainCitation":"[50], [52], [57], [67]","noteIndex":0},"citationItems":[{"id":1995,"uris":["http://zotero.org/users/9870935/items/ZZ4BDIPH"],"itemData":{"id":1995,"type":"post-weblog","title":"Google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[50], [52], [57], [67]</w:t>
            </w:r>
            <w:r w:rsidR="000B0F03" w:rsidRPr="00E2702F">
              <w:rPr>
                <w:bCs/>
                <w:color w:val="auto"/>
                <w:sz w:val="16"/>
                <w:szCs w:val="16"/>
                <w:highlight w:val="yellow"/>
              </w:rPr>
              <w:fldChar w:fldCharType="end"/>
            </w:r>
          </w:p>
        </w:tc>
        <w:tc>
          <w:tcPr>
            <w:tcW w:w="1695" w:type="dxa"/>
            <w:hideMark/>
          </w:tcPr>
          <w:p w14:paraId="3A596B93" w14:textId="4E9030E4"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lastRenderedPageBreak/>
              <w:t xml:space="preserve">Lacks a systematic methodology; highly geography-dependent; limited applicability for non-hyperscale operators; insufficient transparency on cost </w:t>
            </w:r>
            <w:r w:rsidRPr="00E2702F">
              <w:rPr>
                <w:bCs/>
                <w:color w:val="auto"/>
                <w:sz w:val="16"/>
                <w:szCs w:val="16"/>
                <w:highlight w:val="yellow"/>
              </w:rPr>
              <w:lastRenderedPageBreak/>
              <w:t>drivers</w:t>
            </w:r>
            <w:r w:rsidR="000B0F03" w:rsidRPr="00E2702F">
              <w:rPr>
                <w:bCs/>
                <w:color w:val="auto"/>
                <w:sz w:val="16"/>
                <w:szCs w:val="16"/>
                <w:highlight w:val="yellow"/>
              </w:rPr>
              <w:t xml:space="preserve"> </w:t>
            </w:r>
            <w:r w:rsidR="000B0F03"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{"citationID":"5YAGAcn5","properties":{"unsorted":false,"formattedCitation":"[50], [52], [57], [67]","plainCitation":"[50], [52], [57], [67]","noteIndex":0},"citationItems":[{"id":1995,"uris":["http://zotero.org/users/9870935/items/ZZ4BDIPH"],"itemData":{"id":1995,"type":"post-weblog","title":"Google Environmental Report 2025","URL":"https://sustainability.google/reports/google-2025-environmental-report/","author":[{"family":"Google","given":""}]}},{"id":1998,"uris":["http://zotero.org/users/9870935/items/3PR5HCM7"],"itemData":{"id":1998,"type":"post-weblog","title":"2025 Sustainability Report","URL":"https://sustainability.atmeta.com/wp-content/uploads/2025/08/Meta_2025-Sustainability-Report.pdf","author":[{"family":"Meta","given":""}]}},{"id":2007,"uris":["http://zotero.org/users/9870935/items/KHWRQFNN"],"itemData":{"id":2007,"type":"post-weblog","title":"Sustainability Report 2025","URL":"https://delivery-p112322-e1154416.adobeaemcloud.com/adobe/assets/deliver/urn:aaid:aem:116e6fc1-6217-4132-8fcf-1dc7096396df/Equinix-Inc_2025_Sustainability-Report.pdf","author":[{"family":"Equinix","given":""}]}},{"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000B0F03" w:rsidRPr="00E2702F">
              <w:rPr>
                <w:bCs/>
                <w:color w:val="auto"/>
                <w:sz w:val="16"/>
                <w:szCs w:val="16"/>
                <w:highlight w:val="yellow"/>
              </w:rPr>
              <w:fldChar w:fldCharType="separate"/>
            </w:r>
            <w:r w:rsidR="001D1223" w:rsidRPr="001D1223">
              <w:rPr>
                <w:sz w:val="16"/>
                <w:highlight w:val="yellow"/>
              </w:rPr>
              <w:t>[50], [52], [57], [67]</w:t>
            </w:r>
            <w:r w:rsidR="000B0F03" w:rsidRPr="00E2702F">
              <w:rPr>
                <w:bCs/>
                <w:color w:val="auto"/>
                <w:sz w:val="16"/>
                <w:szCs w:val="16"/>
                <w:highlight w:val="yellow"/>
              </w:rPr>
              <w:fldChar w:fldCharType="end"/>
            </w:r>
          </w:p>
        </w:tc>
        <w:tc>
          <w:tcPr>
            <w:tcW w:w="1947" w:type="dxa"/>
            <w:hideMark/>
          </w:tcPr>
          <w:p w14:paraId="1380B35B" w14:textId="7C165C07" w:rsidR="00FE013C" w:rsidRPr="00E2702F" w:rsidRDefault="00FE013C" w:rsidP="001D1223">
            <w:pPr>
              <w:pStyle w:val="TableBody"/>
              <w:jc w:val="both"/>
              <w:rPr>
                <w:bCs/>
                <w:color w:val="auto"/>
                <w:sz w:val="16"/>
                <w:szCs w:val="16"/>
                <w:highlight w:val="yellow"/>
              </w:rPr>
            </w:pPr>
            <w:r w:rsidRPr="00E2702F">
              <w:rPr>
                <w:bCs/>
                <w:color w:val="auto"/>
                <w:sz w:val="16"/>
                <w:szCs w:val="16"/>
                <w:highlight w:val="yellow"/>
              </w:rPr>
              <w:lastRenderedPageBreak/>
              <w:t>Solutions are often hyperscale-specific (e.g., nuclear procurement, fuel-cell deployment) and not directly transferable to 10–100 MW facilities</w:t>
            </w:r>
            <w:r w:rsidR="00B73641" w:rsidRPr="00E2702F">
              <w:rPr>
                <w:bCs/>
                <w:color w:val="auto"/>
                <w:sz w:val="16"/>
                <w:szCs w:val="16"/>
                <w:highlight w:val="yellow"/>
              </w:rPr>
              <w:fldChar w:fldCharType="begin"/>
            </w:r>
            <w:r w:rsidR="001D1223">
              <w:rPr>
                <w:bCs/>
                <w:color w:val="auto"/>
                <w:sz w:val="16"/>
                <w:szCs w:val="16"/>
                <w:highlight w:val="yellow"/>
              </w:rPr>
              <w:instrText xml:space="preserve"> ADDIN ZOTERO_ITEM CSL_CITATION {"citationID":"SO8MXGxm","properties":{"unsorted":false,"formattedCitation":"[60], [68]","plainCitation":"[60], [68]","noteIndex":0},"citationItems":[{"id":2119,"uris":["http://zotero.org/users/9870935/items/HCPVHF7M"],"itemData":{"id":2119,"type":"article-journal","container-title":"Energy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B73641" w:rsidRPr="00E2702F">
              <w:rPr>
                <w:bCs/>
                <w:color w:val="auto"/>
                <w:sz w:val="16"/>
                <w:szCs w:val="16"/>
                <w:highlight w:val="yellow"/>
              </w:rPr>
              <w:fldChar w:fldCharType="separate"/>
            </w:r>
            <w:r w:rsidR="001D1223" w:rsidRPr="001D1223">
              <w:rPr>
                <w:sz w:val="16"/>
                <w:highlight w:val="yellow"/>
              </w:rPr>
              <w:t>[60], [68]</w:t>
            </w:r>
            <w:r w:rsidR="00B73641" w:rsidRPr="00E2702F">
              <w:rPr>
                <w:bCs/>
                <w:color w:val="auto"/>
                <w:sz w:val="16"/>
                <w:szCs w:val="16"/>
                <w:highlight w:val="yellow"/>
              </w:rPr>
              <w:fldChar w:fldCharType="end"/>
            </w:r>
          </w:p>
        </w:tc>
        <w:tc>
          <w:tcPr>
            <w:tcW w:w="1829" w:type="dxa"/>
            <w:hideMark/>
          </w:tcPr>
          <w:p w14:paraId="2E1C7760" w14:textId="77777777" w:rsidR="00D57603" w:rsidRPr="00D57603" w:rsidRDefault="00D57603" w:rsidP="00D57603">
            <w:pPr>
              <w:pStyle w:val="TableBody"/>
              <w:jc w:val="both"/>
              <w:rPr>
                <w:bCs/>
                <w:color w:val="auto"/>
                <w:sz w:val="16"/>
                <w:szCs w:val="16"/>
                <w:highlight w:val="yellow"/>
              </w:rPr>
            </w:pPr>
            <w:r w:rsidRPr="00D57603">
              <w:rPr>
                <w:bCs/>
                <w:color w:val="auto"/>
                <w:sz w:val="16"/>
                <w:szCs w:val="16"/>
                <w:highlight w:val="yellow"/>
              </w:rPr>
              <w:t>Provides a modular screening framework that can be adapted to facilities of different scales, subject to project-specific data and engineering assessment.</w:t>
            </w:r>
          </w:p>
          <w:p w14:paraId="4B6D7270" w14:textId="5449CBCE" w:rsidR="00FE013C" w:rsidRPr="00E2702F" w:rsidRDefault="00FE013C" w:rsidP="004C16FF">
            <w:pPr>
              <w:pStyle w:val="TableBody"/>
              <w:jc w:val="both"/>
              <w:rPr>
                <w:bCs/>
                <w:color w:val="auto"/>
                <w:sz w:val="16"/>
                <w:szCs w:val="16"/>
                <w:highlight w:val="yellow"/>
              </w:rPr>
            </w:pPr>
          </w:p>
        </w:tc>
      </w:tr>
      <w:tr w:rsidR="00FE013C" w:rsidRPr="00C57FAE" w14:paraId="50A7E664" w14:textId="77777777" w:rsidTr="00A2273B">
        <w:tc>
          <w:tcPr>
            <w:tcW w:w="1678" w:type="dxa"/>
            <w:hideMark/>
          </w:tcPr>
          <w:p w14:paraId="71B589EF" w14:textId="77777777" w:rsidR="00FE013C" w:rsidRPr="00E2702F" w:rsidRDefault="00FE013C" w:rsidP="004C16FF">
            <w:pPr>
              <w:pStyle w:val="TableBody"/>
              <w:jc w:val="both"/>
              <w:rPr>
                <w:bCs/>
                <w:color w:val="auto"/>
                <w:sz w:val="16"/>
                <w:szCs w:val="16"/>
                <w:highlight w:val="yellow"/>
              </w:rPr>
            </w:pPr>
            <w:r w:rsidRPr="00E2702F">
              <w:rPr>
                <w:b/>
                <w:bCs/>
                <w:color w:val="auto"/>
                <w:sz w:val="16"/>
                <w:szCs w:val="16"/>
                <w:highlight w:val="yellow"/>
              </w:rPr>
              <w:t>Equipment-Centric (Battery, Inverter, Cooling Vendors)</w:t>
            </w:r>
          </w:p>
        </w:tc>
        <w:tc>
          <w:tcPr>
            <w:tcW w:w="1695" w:type="dxa"/>
            <w:hideMark/>
          </w:tcPr>
          <w:p w14:paraId="5C797FD9" w14:textId="73F4345F"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Detailed component specifications, thermal management guidance, and efficiency performance curves</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{"citationID":"hRHqbbDL","properties":{"unsorted":false,"formattedCitation":"[34], [43], [45], [69]","plainCitation":"[34], [43], [45], [69]","noteIndex":0},"citationItems":[{"id":1964,"uris":["http://zotero.org/users/9870935/items/97W4FH39"],"itemData":{"id":1964,"type":"article-journal","container-title":"Applied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[34], [43], [45], [69]</w:t>
            </w:r>
            <w:r w:rsidR="00B73641" w:rsidRPr="00E2702F">
              <w:rPr>
                <w:bCs/>
                <w:color w:val="auto"/>
                <w:sz w:val="16"/>
                <w:szCs w:val="16"/>
                <w:highlight w:val="yellow"/>
              </w:rPr>
              <w:fldChar w:fldCharType="end"/>
            </w:r>
          </w:p>
        </w:tc>
        <w:tc>
          <w:tcPr>
            <w:tcW w:w="1695" w:type="dxa"/>
            <w:hideMark/>
          </w:tcPr>
          <w:p w14:paraId="3C2A8292" w14:textId="6D45859F"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No pathway for system-level integration; neglects interactions among storage, load flexibility, and dispatch optimization</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{"citationID":"1NVFdPcj","properties":{"unsorted":false,"formattedCitation":"[69], [70], [71]","plainCitation":"[69], [70], [71]","noteIndex":0},"citationItems":[{"id":2069,"uris":["http://zotero.org/users/9870935/items/VGJ2SVN2"],"itemData":{"id":2069,"type":"article-journal","container-title":"Applied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[69], [70], [71]</w:t>
            </w:r>
            <w:r w:rsidR="00B73641" w:rsidRPr="00E2702F">
              <w:rPr>
                <w:bCs/>
                <w:color w:val="auto"/>
                <w:sz w:val="16"/>
                <w:szCs w:val="16"/>
                <w:highlight w:val="yellow"/>
              </w:rPr>
              <w:fldChar w:fldCharType="end"/>
            </w:r>
          </w:p>
        </w:tc>
        <w:tc>
          <w:tcPr>
            <w:tcW w:w="1947" w:type="dxa"/>
            <w:hideMark/>
          </w:tcPr>
          <w:p w14:paraId="45DFF39B" w14:textId="1326B52A" w:rsidR="00FE013C" w:rsidRPr="00E2702F" w:rsidRDefault="00FE013C" w:rsidP="00A95675">
            <w:pPr>
              <w:pStyle w:val="TableBody"/>
              <w:jc w:val="both"/>
              <w:rPr>
                <w:bCs/>
                <w:color w:val="auto"/>
                <w:sz w:val="16"/>
                <w:szCs w:val="16"/>
                <w:highlight w:val="yellow"/>
              </w:rPr>
            </w:pPr>
            <w:r w:rsidRPr="00E2702F">
              <w:rPr>
                <w:bCs/>
                <w:color w:val="auto"/>
                <w:sz w:val="16"/>
                <w:szCs w:val="16"/>
                <w:highlight w:val="yellow"/>
              </w:rPr>
              <w:t>Risk of over-sizing (excess capital expenditure) or under-sizing (reliability failures); lacks dispatch and coordination strategy</w:t>
            </w:r>
            <w:r w:rsidR="00B73641" w:rsidRPr="00E2702F">
              <w:rPr>
                <w:bCs/>
                <w:color w:val="auto"/>
                <w:sz w:val="16"/>
                <w:szCs w:val="16"/>
                <w:highlight w:val="yellow"/>
              </w:rPr>
              <w:t xml:space="preserve"> </w:t>
            </w:r>
            <w:r w:rsidR="00B73641" w:rsidRPr="00E2702F">
              <w:rPr>
                <w:bCs/>
                <w:color w:val="auto"/>
                <w:sz w:val="16"/>
                <w:szCs w:val="16"/>
                <w:highlight w:val="yellow"/>
              </w:rPr>
              <w:fldChar w:fldCharType="begin"/>
            </w:r>
            <w:r w:rsidR="00A95675">
              <w:rPr>
                <w:bCs/>
                <w:color w:val="auto"/>
                <w:sz w:val="16"/>
                <w:szCs w:val="16"/>
                <w:highlight w:val="yellow"/>
              </w:rPr>
              <w:instrText xml:space="preserve"> ADDIN ZOTERO_ITEM CSL_CITATION {"citationID":"jarev5d2","properties":{"unsorted":false,"formattedCitation":"[69], [70], [71]","plainCitation":"[69], [70], [71]","noteIndex":0},"citationItems":[{"id":2069,"uris":["http://zotero.org/users/9870935/items/VGJ2SVN2"],"itemData":{"id":2069,"type":"article-journal","container-title":"Applied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rsidR="00B73641" w:rsidRPr="00E2702F">
              <w:rPr>
                <w:bCs/>
                <w:color w:val="auto"/>
                <w:sz w:val="16"/>
                <w:szCs w:val="16"/>
                <w:highlight w:val="yellow"/>
              </w:rPr>
              <w:fldChar w:fldCharType="separate"/>
            </w:r>
            <w:r w:rsidR="00A95675" w:rsidRPr="00A95675">
              <w:rPr>
                <w:sz w:val="16"/>
                <w:highlight w:val="yellow"/>
              </w:rPr>
              <w:t>[69], [70], [71]</w:t>
            </w:r>
            <w:r w:rsidR="00B73641" w:rsidRPr="00E2702F">
              <w:rPr>
                <w:bCs/>
                <w:color w:val="auto"/>
                <w:sz w:val="16"/>
                <w:szCs w:val="16"/>
                <w:highlight w:val="yellow"/>
              </w:rPr>
              <w:fldChar w:fldCharType="end"/>
            </w:r>
          </w:p>
        </w:tc>
        <w:tc>
          <w:tcPr>
            <w:tcW w:w="1829" w:type="dxa"/>
            <w:hideMark/>
          </w:tcPr>
          <w:p w14:paraId="3B914F9C" w14:textId="77777777" w:rsidR="00FE013C" w:rsidRPr="00C57FAE" w:rsidRDefault="00FE013C" w:rsidP="004C16FF">
            <w:pPr>
              <w:pStyle w:val="TableBody"/>
              <w:jc w:val="both"/>
              <w:rPr>
                <w:bCs/>
                <w:color w:val="auto"/>
                <w:sz w:val="16"/>
                <w:szCs w:val="16"/>
              </w:rPr>
            </w:pPr>
            <w:r w:rsidRPr="00E2702F">
              <w:rPr>
                <w:bCs/>
                <w:color w:val="auto"/>
                <w:sz w:val="16"/>
                <w:szCs w:val="16"/>
                <w:highlight w:val="yellow"/>
              </w:rPr>
              <w:t xml:space="preserve">Adds integrated energy management through </w:t>
            </w:r>
            <w:r w:rsidRPr="00E2702F">
              <w:rPr>
                <w:b/>
                <w:bCs/>
                <w:color w:val="auto"/>
                <w:sz w:val="16"/>
                <w:szCs w:val="16"/>
                <w:highlight w:val="yellow"/>
              </w:rPr>
              <w:t>Section 5.5 (MPC Control)</w:t>
            </w:r>
            <w:r w:rsidRPr="00E2702F">
              <w:rPr>
                <w:bCs/>
                <w:color w:val="auto"/>
                <w:sz w:val="16"/>
                <w:szCs w:val="16"/>
                <w:highlight w:val="yellow"/>
              </w:rPr>
              <w:t xml:space="preserve"> and probabilistic sizing in </w:t>
            </w:r>
            <w:r w:rsidRPr="00E2702F">
              <w:rPr>
                <w:b/>
                <w:bCs/>
                <w:color w:val="auto"/>
                <w:sz w:val="16"/>
                <w:szCs w:val="16"/>
                <w:highlight w:val="yellow"/>
              </w:rPr>
              <w:t>Section 5.3</w:t>
            </w:r>
            <w:r w:rsidRPr="00E2702F">
              <w:rPr>
                <w:bCs/>
                <w:color w:val="auto"/>
                <w:sz w:val="16"/>
                <w:szCs w:val="16"/>
                <w:highlight w:val="yellow"/>
              </w:rPr>
              <w:t>, linking component selection to overall system outcomes</w:t>
            </w:r>
          </w:p>
        </w:tc>
      </w:tr>
    </w:tbl>
    <w:p w14:paraId="543E788C" w14:textId="77777777" w:rsidR="00FE013C" w:rsidRDefault="00FE013C" w:rsidP="004C16FF">
      <w:pPr>
        <w:pStyle w:val="Heading20"/>
        <w:jc w:val="both"/>
        <w:rPr>
          <w:color w:val="auto"/>
        </w:rPr>
      </w:pPr>
      <w:r>
        <w:rPr>
          <w:color w:val="auto"/>
        </w:rPr>
        <w:t xml:space="preserve">2.6.1 </w:t>
      </w:r>
      <w:r w:rsidRPr="005F1307">
        <w:rPr>
          <w:color w:val="auto"/>
        </w:rPr>
        <w:t>Key Gaps Identified in Prior Work</w:t>
      </w:r>
    </w:p>
    <w:p w14:paraId="3AF024C1" w14:textId="49508491" w:rsidR="00B25505" w:rsidRPr="0035502B" w:rsidRDefault="00B25505" w:rsidP="00FE7720">
      <w:pPr>
        <w:spacing w:after="120"/>
        <w:ind w:firstLine="480"/>
        <w:rPr>
          <w:szCs w:val="24"/>
          <w:highlight w:val="yellow"/>
        </w:rPr>
      </w:pPr>
      <w:r w:rsidRPr="0035502B">
        <w:rPr>
          <w:szCs w:val="24"/>
          <w:highlight w:val="yellow"/>
        </w:rPr>
        <w:t xml:space="preserve">Key gaps can be identified as following: </w:t>
      </w:r>
    </w:p>
    <w:p w14:paraId="25973660" w14:textId="2B05BBD4"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Comprehensive Lifecycle Costing:</w:t>
      </w:r>
      <w:r w:rsidRPr="0035502B">
        <w:rPr>
          <w:szCs w:val="24"/>
          <w:highlight w:val="yellow"/>
        </w:rPr>
        <w:t xml:space="preserve"> Technical power system and economic procurement studies often test value in isolation. This can lead to reporting lucrative generation or procurement costs that completely omit the costs of interconnection, protection, power quality, storage, workload flexibility, or firm-delivery requirements. The framework tackles this by requiring technical viability and lifecycle costs to be evaluated using uniform system boundaries.</w:t>
      </w:r>
    </w:p>
    <w:p w14:paraId="350DCE6D" w14:textId="16037AFA"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Site-Specific Screening:</w:t>
      </w:r>
      <w:r w:rsidRPr="0035502B">
        <w:rPr>
          <w:szCs w:val="24"/>
          <w:highlight w:val="yellow"/>
        </w:rPr>
        <w:t xml:space="preserve"> Hyperscale operators rely heavily on local renewable resources, electricity-market access, procurement scale, transmission, and the geographic distribution of computing demand. Because their reported performance cannot be directly applied to smaller or different locations, the framework overcomes this limitation by implementing site-specific grid, climate, and regulatory screening.</w:t>
      </w:r>
    </w:p>
    <w:p w14:paraId="6DB5055C" w14:textId="1E917CD3"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Realistic Workload Flexibility:</w:t>
      </w:r>
      <w:r w:rsidRPr="0035502B">
        <w:rPr>
          <w:szCs w:val="24"/>
          <w:highlight w:val="yellow"/>
        </w:rPr>
        <w:t xml:space="preserve"> Many power-system studies assume data-center load is constant, even though certain AI workloads are shiftable and geographically distributed. However, not every workload that is technically deferrable is commercially flexible. Therefore, the framework treats workload flexibility as a limited resource that must be checked against SLAs, latency, checkpointing, data residency, cybersecurity, and business requirements.</w:t>
      </w:r>
    </w:p>
    <w:p w14:paraId="13A9D29C" w14:textId="4E6E6060" w:rsidR="00B25505" w:rsidRPr="0035502B" w:rsidRDefault="00B25505" w:rsidP="00A347FC">
      <w:pPr>
        <w:pStyle w:val="ListParagraph"/>
        <w:numPr>
          <w:ilvl w:val="0"/>
          <w:numId w:val="36"/>
        </w:numPr>
        <w:spacing w:after="120"/>
        <w:rPr>
          <w:szCs w:val="24"/>
          <w:highlight w:val="yellow"/>
        </w:rPr>
      </w:pPr>
      <w:r w:rsidRPr="0035502B">
        <w:rPr>
          <w:b/>
          <w:bCs/>
          <w:szCs w:val="24"/>
          <w:highlight w:val="yellow"/>
        </w:rPr>
        <w:t>Transparent Metrics and Assumptions:</w:t>
      </w:r>
      <w:r w:rsidRPr="0035502B">
        <w:rPr>
          <w:szCs w:val="24"/>
          <w:highlight w:val="yellow"/>
        </w:rPr>
        <w:t xml:space="preserve"> Corporate and market reports frequently quote cost or sustainability metrics without providing the project-level assumptions needed for independent replication. To resolve this, the framework provides explicit cost boundaries, source vintage, discount rate assumptions, tariffs, interconnection costs, storage replacement assumptions, and sensitivity analyses prior to drawing project-level conclusions.</w:t>
      </w:r>
    </w:p>
    <w:p w14:paraId="4BEEECE7" w14:textId="5C466552" w:rsidR="00FE013C" w:rsidRDefault="00FE013C" w:rsidP="004C16FF">
      <w:pPr>
        <w:pStyle w:val="Heading20"/>
        <w:jc w:val="both"/>
        <w:rPr>
          <w:color w:val="auto"/>
        </w:rPr>
      </w:pPr>
      <w:r>
        <w:rPr>
          <w:color w:val="auto"/>
        </w:rPr>
        <w:t xml:space="preserve">2.6.2 </w:t>
      </w:r>
      <w:r w:rsidRPr="00915220">
        <w:rPr>
          <w:color w:val="auto"/>
        </w:rPr>
        <w:t>Critical Observations</w:t>
      </w:r>
    </w:p>
    <w:p w14:paraId="67DB77B4" w14:textId="535FA65F" w:rsidR="00A01798" w:rsidRPr="000817F5" w:rsidRDefault="00A01798" w:rsidP="000817F5">
      <w:pPr>
        <w:spacing w:after="120"/>
        <w:ind w:firstLine="480"/>
        <w:rPr>
          <w:szCs w:val="24"/>
          <w:highlight w:val="yellow"/>
          <w:lang w:val="en-CA"/>
        </w:rPr>
      </w:pPr>
      <w:r w:rsidRPr="000817F5">
        <w:rPr>
          <w:szCs w:val="24"/>
          <w:highlight w:val="yellow"/>
          <w:lang w:val="en-CA"/>
        </w:rPr>
        <w:t xml:space="preserve">While the literature reviewed shows a great amount of evidence on individual technical, operational and economic areas of renewable-powered data centers, none of these are alone enough to prove feasibility of the project. Power-system and microgrid studies offer a detailed overview of electrical architecture, stability, storage operations and control, and can potentially streamline financing, electricity-market participation, interconnection costs, and workload limitations. On the other hand, studies that are economic and procurement based can offer important cost and contracting insight, and they can separate out many other factors involved in a power quality, protection and reliability electrical system. Practice examples of renewable procurement, storage, advanced cooling, and workload-management approaches are showcased in corporate case studies, but these types of </w:t>
      </w:r>
      <w:r w:rsidRPr="000817F5">
        <w:rPr>
          <w:szCs w:val="24"/>
          <w:highlight w:val="yellow"/>
          <w:lang w:val="en-CA"/>
        </w:rPr>
        <w:lastRenderedPageBreak/>
        <w:t>results are less easily transferred directly, as they require attention to scale, geography, market structure, reporting limits, and the lack of project-level cost and operational data. Likewise, vendor and industry literature can deliver technology-performance data, but may not include interactions between components at the overall facility and grid level.</w:t>
      </w:r>
    </w:p>
    <w:p w14:paraId="3EAB8C5B" w14:textId="2DE20828" w:rsidR="00A01798" w:rsidRPr="000817F5" w:rsidRDefault="00A01798" w:rsidP="000817F5">
      <w:pPr>
        <w:spacing w:after="120"/>
        <w:ind w:firstLine="480"/>
        <w:rPr>
          <w:szCs w:val="24"/>
          <w:highlight w:val="yellow"/>
          <w:lang w:val="en-CA"/>
        </w:rPr>
      </w:pPr>
      <w:r w:rsidRPr="000817F5">
        <w:rPr>
          <w:szCs w:val="24"/>
          <w:highlight w:val="yellow"/>
          <w:lang w:val="en-CA"/>
        </w:rPr>
        <w:t>The limitations suggest that evaluating integration of renewable energy (RE) into AI data centers should not be treated as a technology comparison, but rather as a multi-faceted technical, operational, economic and sustainability problem. The key contribution of this review is to present the evidence in a common seven-component screening and decision process which include: site and resource assessment, technology selection, electrical architecture, control and dispatch, workload flexibility, economic evaluation, and resilience and sustainability. These dimensions are analyzed collectively to offer a structured framework for defining feasible pathway candidates, acknowledging significant trade-offs, and identifying areas of additional project-focused analysis.</w:t>
      </w:r>
    </w:p>
    <w:p w14:paraId="65783267" w14:textId="77777777" w:rsidR="00A01798" w:rsidRPr="000817F5" w:rsidRDefault="00A01798" w:rsidP="000817F5">
      <w:pPr>
        <w:spacing w:after="120"/>
        <w:ind w:firstLine="480"/>
        <w:rPr>
          <w:szCs w:val="24"/>
          <w:highlight w:val="yellow"/>
          <w:lang w:val="en-CA"/>
        </w:rPr>
      </w:pPr>
      <w:r w:rsidRPr="000817F5">
        <w:rPr>
          <w:szCs w:val="24"/>
          <w:highlight w:val="yellow"/>
          <w:lang w:val="en-CA"/>
        </w:rPr>
        <w:t>It should therefore be viewed as a decision support and preliminary screening framework rather than a detailed feasibility analysis or prescriptive design approach. Site-specific resource measurements, chronological load and renewable-generation data, utility tariffs, interconnection studies, protection and power-quality analysis, equipment specifications, environmental and permitting review, and investment-grade financial analysis still need to be done to make final project decisions. The separation is especially significant for AI data centers because the degree of penetration of renewables, storage needs, costs of electricity, workload flexibility, and reliability can vary dramatically from one location to another, depending on facility size, grid configuration, technology chosen, and operation standards.</w:t>
      </w:r>
    </w:p>
    <w:p w14:paraId="469BF53F" w14:textId="177E5B10" w:rsidR="00FE013C" w:rsidRDefault="00FE013C" w:rsidP="00A01798">
      <w:pPr>
        <w:pStyle w:val="Heading10"/>
        <w:jc w:val="both"/>
        <w:rPr>
          <w:color w:val="auto"/>
        </w:rPr>
      </w:pPr>
      <w:r>
        <w:rPr>
          <w:color w:val="auto"/>
          <w:lang w:eastAsia="zh-CN"/>
        </w:rPr>
        <w:t xml:space="preserve">3. </w:t>
      </w:r>
      <w:r>
        <w:rPr>
          <w:color w:val="auto"/>
        </w:rPr>
        <w:t>Electrical Fundamentals of Data Center Systems</w:t>
      </w:r>
    </w:p>
    <w:p w14:paraId="681C4C53" w14:textId="77777777" w:rsidR="00FE013C" w:rsidRDefault="00FE013C" w:rsidP="004C16FF">
      <w:pPr>
        <w:pStyle w:val="Heading20"/>
        <w:jc w:val="both"/>
        <w:rPr>
          <w:color w:val="auto"/>
        </w:rPr>
      </w:pPr>
      <w:r>
        <w:rPr>
          <w:color w:val="auto"/>
        </w:rPr>
        <w:t>3.1. Electrical Distribution Architecture</w:t>
      </w:r>
    </w:p>
    <w:p w14:paraId="20A8EF36" w14:textId="74ACE824" w:rsidR="00FE013C" w:rsidRPr="00040480" w:rsidRDefault="00FE013C" w:rsidP="00A95675">
      <w:pPr>
        <w:spacing w:after="120"/>
        <w:ind w:firstLine="480"/>
      </w:pPr>
      <w:r w:rsidRPr="00040480">
        <w:t xml:space="preserve">The electrical distribution system in a data </w:t>
      </w:r>
      <w:r w:rsidR="009F7E9F" w:rsidRPr="00040480">
        <w:t>center</w:t>
      </w:r>
      <w:r w:rsidRPr="00040480">
        <w:t xml:space="preserve"> is hierarchical, stepping down the voltage from the utility interconnection levels to the low voltage levels needed by the computing systems. Primary interconnection usually occurs at medium-voltage (MV) levels of 13.8 kV or 25 kV, and step-down transformers step down the voltage to levels required for facility distribution at 4.16 to 6.9 kV</w:t>
      </w:r>
      <w:r>
        <w:fldChar w:fldCharType="begin"/>
      </w:r>
      <w:r w:rsidR="00A95675">
        <w:instrText xml:space="preserve"> ADDIN ZOTERO_ITEM CSL_CITATION {"citationID":"PfKI6RIJ","properties":{"unsorted":false,"formattedCitation":"[72]","plainCitation":"[72]","noteIndex":0},"citationItems":[{"id":2011,"uris":["http://zotero.org/users/9870935/items/3TIRQDVC"],"itemData":{"id":2011,"type":"standard","DOI":"10.1109/IEEESTD.1998.89291","ISBN":"978-0-7381-1148-3","publisher":"IEEE","source":"DOI.org (Crossref)","title":"IEEE Recommended Practice for the Design of Reliable Industrial and Commercial Power Systems (Gold Book)","URL":"http://ieeexplore.ieee.org/document/757619/","accessed":{"date-parts":[["2026",5,16]]}}}],"schema":"https://github.com/citation-style-language/schema/raw/master/csl-citation.json"} </w:instrText>
      </w:r>
      <w:r>
        <w:fldChar w:fldCharType="separate"/>
      </w:r>
      <w:r w:rsidR="00A95675" w:rsidRPr="00A95675">
        <w:t>[72]</w:t>
      </w:r>
      <w:r>
        <w:fldChar w:fldCharType="end"/>
      </w:r>
      <w:r w:rsidRPr="00040480">
        <w:t>. Power distribution units (PDUs) deliver 480 V three-phase power to the last mile for individual equipment racks.</w:t>
      </w:r>
    </w:p>
    <w:p w14:paraId="0BEDA30B" w14:textId="72C63D03" w:rsidR="00FE013C" w:rsidRPr="00040480" w:rsidRDefault="00FE013C" w:rsidP="00A95675">
      <w:pPr>
        <w:spacing w:after="120"/>
        <w:ind w:firstLine="480"/>
      </w:pPr>
      <w:r w:rsidRPr="00E34A9C">
        <w:t xml:space="preserve">Redundancy level is the primary reliability design parameter, classified by the Uptime Institute Tier Standard as N </w:t>
      </w:r>
      <w:r w:rsidRPr="00040480">
        <w:t>(no redundancy), N+1 (one spare component), N+2 (two spare components), 2N (fully redundant, dual path), or 2(N+1)</w:t>
      </w:r>
      <w:r>
        <w:fldChar w:fldCharType="begin"/>
      </w:r>
      <w:r w:rsidR="00A95675">
        <w:instrText xml:space="preserve"> ADDIN ZOTERO_ITEM CSL_CITATION {"citationID":"s2FyWRFx","properties":{"unsorted":false,"formattedCitation":"[73]","plainCitation":"[73]","noteIndex":0},"citationItems":[{"id":2012,"uris":["http://zotero.org/users/9870935/items/BVU5PGIM"],"itemData":{"id":2012,"type":"article-journal","container-title":"Energy Conversion and Management","DOI":"10.1016/j.enconman.2023.117254","ISSN":"01968904","journalAbbreviation":"Energy Conversion and Management","language":"en","page":"117254","source":"DOI.org (Crossref)","title":"Reliability, availability, and life-cycle cost (LCC) analysis of combined cooling, heating and power (CCHP) integration to data centers considering electricity and cooling supplies","volume":"291","author":[{"family":"Keskin","given":"Ilhan"},{"family":"Soykan","given":"Gurkan"}],"issued":{"date-parts":[["2023",9]]}}}],"schema":"https://github.com/citation-style-language/schema/raw/master/csl-citation.json"} </w:instrText>
      </w:r>
      <w:r>
        <w:fldChar w:fldCharType="separate"/>
      </w:r>
      <w:r w:rsidR="00A95675" w:rsidRPr="00A95675">
        <w:t>[73]</w:t>
      </w:r>
      <w:r>
        <w:fldChar w:fldCharType="end"/>
      </w:r>
      <w:r w:rsidRPr="00040480">
        <w:t xml:space="preserve">. The typical configuration for most AI data </w:t>
      </w:r>
      <w:r w:rsidR="00580BAE">
        <w:t>center</w:t>
      </w:r>
      <w:r w:rsidRPr="00040480">
        <w:t>s is 2N, which means that each critical load is connected to two separate power paths, and the power paths are configured to switch automatically when one fails. The redundancy model also affects capital costs: For 2N designs, electrical infrastructure costs are generally 80–100</w:t>
      </w:r>
      <w:r>
        <w:t xml:space="preserve">% </w:t>
      </w:r>
      <w:r w:rsidRPr="00040480">
        <w:t>higher than those for N+1 designs; in the case of single-component failures, 2N designs offer essentially zero downtime</w:t>
      </w:r>
      <w:r>
        <w:fldChar w:fldCharType="begin"/>
      </w:r>
      <w:r w:rsidR="00A95675">
        <w:instrText xml:space="preserve"> ADDIN ZOTERO_ITEM CSL_CITATION {"citationID":"uyzrmxWp","properties":{"unsorted":false,"formattedCitation":"[74]","plainCitation":"[74]","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fldChar w:fldCharType="separate"/>
      </w:r>
      <w:r w:rsidR="00A95675" w:rsidRPr="00A95675">
        <w:t>[74]</w:t>
      </w:r>
      <w:r>
        <w:fldChar w:fldCharType="end"/>
      </w:r>
      <w:r w:rsidRPr="00040480">
        <w:t>.</w:t>
      </w:r>
    </w:p>
    <w:p w14:paraId="369487DB" w14:textId="326EDA1A" w:rsidR="00FE013C" w:rsidRPr="00040480" w:rsidRDefault="00FE013C" w:rsidP="00A95675">
      <w:pPr>
        <w:spacing w:after="120"/>
        <w:ind w:firstLine="480"/>
      </w:pPr>
      <w:r w:rsidRPr="00040480">
        <w:t xml:space="preserve">Power is distributed from the utility interconnection point through the main switchgear, which provides protection coordination and metering, to the automatic transfer switches (ATS) that control the transfer of power from the utility to the backup power source during a power outage. In high-reliability applications, the transfer time is less than 1 cycle (16.7ms) for static transfer switches (STS) </w:t>
      </w:r>
      <w:r w:rsidRPr="00040480">
        <w:lastRenderedPageBreak/>
        <w:t>and 10–30 s for electromechanical switches (EMS) in the ATS</w:t>
      </w:r>
      <w:r>
        <w:fldChar w:fldCharType="begin"/>
      </w:r>
      <w:r w:rsidR="00A95675">
        <w:instrText xml:space="preserve"> ADDIN ZOTERO_ITEM CSL_CITATION {"citationID":"EnoLyCgw","properties":{"unsorted":false,"formattedCitation":"[75]","plainCitation":"[75]","noteIndex":0},"citationItems":[{"id":2014,"uris":["http://zotero.org/users/9870935/items/YRI3RIYJ"],"itemData":{"id":2014,"type":"article-journal","abstract":"PLN's electricity supply is not always continuous in the process of distributing power, because under certain conditions there will be blackouts caused by interruptions or maintenance in the distribution system. An alternative to overcome PLN disturbances is to use renewable sources such as solar power plants and generators with an ATS automatic control system controlled using PLC. This study conducted a literature study to collect relevant theories and references about this research. PLC diagram leaders are designed for the process of transferring PLN, PLTS and Generator to load electrical power. Solar power plants operate during disruptions to PLN resources during operational hours (10 a.m. – 3 p.m.) and generators operate when solar power resources cannot supply to the load and at night outside solar power plant operating hours. The ATS system is able to switch the process of switching PLN and PLTS power sources very quickly without any time lag so that the load is directly supplied by PLN and PLTS power sources. The process of switching the generator source takes approximately 2 seconds for the starting process. The process of transferring battery power resources to critical loads without any time lag during the  generator starting process  and when generator starting failure occurs.","container-title":"International Journal of Science, Technology &amp; Management","DOI":"10.46729/ijstm.v6i3.1316","ISSN":"2722-4015","issue":"3","journalAbbreviation":"International Journal of Science, Technology &amp; Management","license":"https://creativecommons.org/licenses/by-sa/4.0/","page":"520-527","source":"DOI.org (Crossref)","title":"Design And Construction Of Automatic Transfer Switch (ATS) System With Backup Control System In Hybrid Power Plant (PLN - PLTS - GENSET)","volume":"6","author":[{"family":"Gavrila Mailuhu","given":"Jevon"},{"family":"A.F. Haurissa","given":"Marceau"},{"family":"Jamlaay","given":"Marselin"}],"issued":{"date-parts":[["2025",6,1]]}}}],"schema":"https://github.com/citation-style-language/schema/raw/master/csl-citation.json"} </w:instrText>
      </w:r>
      <w:r>
        <w:fldChar w:fldCharType="separate"/>
      </w:r>
      <w:r w:rsidR="00A95675" w:rsidRPr="00A95675">
        <w:t>[75]</w:t>
      </w:r>
      <w:r>
        <w:fldChar w:fldCharType="end"/>
      </w:r>
      <w:r w:rsidRPr="00040480">
        <w:t>. AI training workloads are typically specified with STS or flywheel-based uninterrupted power supply (UPS) systems, as a brief power interruption can disrupt the workload.</w:t>
      </w:r>
    </w:p>
    <w:p w14:paraId="7B2CB280" w14:textId="77777777" w:rsidR="00FE013C" w:rsidRDefault="00FE013C" w:rsidP="004C16FF">
      <w:pPr>
        <w:pStyle w:val="Heading20"/>
        <w:jc w:val="both"/>
        <w:rPr>
          <w:color w:val="auto"/>
        </w:rPr>
      </w:pPr>
      <w:r>
        <w:rPr>
          <w:color w:val="auto"/>
        </w:rPr>
        <w:t>3.2. AI Workload Electrical Charactersitics</w:t>
      </w:r>
    </w:p>
    <w:p w14:paraId="7CC8BF73" w14:textId="565CB4FF" w:rsidR="00FE013C" w:rsidRPr="00F166F8" w:rsidRDefault="00FE013C" w:rsidP="004C16FF">
      <w:pPr>
        <w:spacing w:after="120"/>
        <w:ind w:firstLine="480"/>
      </w:pPr>
      <w:r w:rsidRPr="00F166F8">
        <w:t xml:space="preserve">Modern AI accelerators exhibit distinctive electrical characteristics that differentiate them from conventional server loads. The NVIDIA H100 SXM GPU is rated up to 700 W, while the previous generation A100 has a maximum TDP of 250 to 400 W. Each HGX H100 server is equipped with eight GPUs, yielding a peak server power consumption of more than 10 kW when all eight GPUs are in operation, which includes memory, networking, and cooling system components. These systems generate </w:t>
      </w:r>
      <w:r w:rsidR="009F7E9F" w:rsidRPr="00F166F8">
        <w:t>localized</w:t>
      </w:r>
      <w:r w:rsidRPr="00F166F8">
        <w:t xml:space="preserve"> load pockets that consume 30 to 50 kW per rack as compared to enterprise computing, which consumes 5 to 10 kW per rack</w:t>
      </w:r>
      <w:r>
        <w:fldChar w:fldCharType="begin"/>
      </w:r>
      <w:r>
        <w:instrText xml:space="preserve"> ADDIN ZOTERO_ITEM CSL_CITATION {"citationID":"TtnTMX89","properties":{"unsorted":false,"formattedCitation":"[10]","plainCitation":"[10]","noteIndex":0},"citationItems":[{"id":1914,"uris":["http://zotero.org/users/9870935/items/MRD83LE5"],"itemData":{"id":1914,"type":"article-journal","language":"en","source":"Zotero","title":"NVIDIA Hopper Architecture In-Depth","URL":"https://developer.nvidia.com/blog/nvidia-hopper-architecture-in-depth/","author":[{"family":"Andersch","given":"Michael"},{"family":"Palmer","given":"Greg"},{"family":"Krashinsky","given":"Ronny"},{"family":"Stam","given":"Nick"},{"family":"Mehta","given":"Vishal"},{"family":"Brito","given":"Gonzalo"},{"family":"Ramaswamy","given":"Sridhar"}]}}],"schema":"https://github.com/citation-style-language/schema/raw/master/csl-citation.json"} </w:instrText>
      </w:r>
      <w:r>
        <w:fldChar w:fldCharType="separate"/>
      </w:r>
      <w:r w:rsidRPr="007D08DE">
        <w:t>[10]</w:t>
      </w:r>
      <w:r>
        <w:fldChar w:fldCharType="end"/>
      </w:r>
      <w:r w:rsidRPr="00F166F8">
        <w:t>.</w:t>
      </w:r>
    </w:p>
    <w:p w14:paraId="3C658ECC" w14:textId="25255BC1" w:rsidR="00FE013C" w:rsidRPr="00DC4621" w:rsidRDefault="00FE013C" w:rsidP="00A95675">
      <w:pPr>
        <w:spacing w:after="120"/>
        <w:ind w:firstLine="480"/>
        <w:rPr>
          <w:lang w:val="en-CA"/>
        </w:rPr>
      </w:pPr>
      <w:r w:rsidRPr="00F166F8">
        <w:t>GPU power states are heavily dependent on the workload. During the model training phase, GPUs can draw power close to their TDP under full computational load, depending on the computational operations (e.g., matrix multiplication, memory access, communication)</w:t>
      </w:r>
      <w:r>
        <w:fldChar w:fldCharType="begin"/>
      </w:r>
      <w:r w:rsidR="00A95675">
        <w:instrText xml:space="preserve"> ADDIN ZOTERO_ITEM CSL_CITATION {"citationID":"CscueCyo","properties":{"unsorted":false,"formattedCitation":"[76]","plainCitation":"[76]","noteIndex":0},"citationItems":[{"id":2016,"uris":["http://zotero.org/users/9870935/items/IGX3D6LZ"],"itemData":{"id":2016,"type":"article","abstract":"This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fldChar w:fldCharType="separate"/>
      </w:r>
      <w:r w:rsidR="00A95675" w:rsidRPr="00A95675">
        <w:t>[76]</w:t>
      </w:r>
      <w:r>
        <w:fldChar w:fldCharType="end"/>
      </w:r>
      <w:r w:rsidRPr="00F166F8">
        <w:t xml:space="preserve">. </w:t>
      </w:r>
      <w:r w:rsidR="00DC4621" w:rsidRPr="00DC4621">
        <w:rPr>
          <w:lang w:val="en-CA"/>
        </w:rPr>
        <w:t xml:space="preserve">GPU power consumption decreases substantially during idle or low-utilization operation but does not fall to zero because memory, communication interfaces, and other device components remain active. The magnitude of idle and low-utilization power depends on accelerator architecture, power-management settings, memory configuration, and system-level operating conditions </w:t>
      </w:r>
      <w:r w:rsidR="00A45922">
        <w:fldChar w:fldCharType="begin"/>
      </w:r>
      <w:r w:rsidR="00A95675">
        <w:instrText xml:space="preserve"> ADDIN ZOTERO_ITEM CSL_CITATION {"citationID":"MEzcBQyl","properties":{"unsorted":false,"formattedCitation":"[76]","plainCitation":"[76]","noteIndex":0},"citationItems":[{"id":2016,"uris":["http://zotero.org/users/9870935/items/IGX3D6LZ"],"itemData":{"id":2016,"type":"article","abstract":"This paper presents datacenter power profiles, a new NVIDIA software feature released with Blackwell B200, aimed at improving energy efficiency and/or performance. The initial feature provides coarse-grain user control for HPC and AI workloads leveraging hardware and software innovations for intelligent power management and domain knowledge of HPC and AI workloads. The resulting workload-aware optimization recipes maximize computational throughput while operating within strict facility power constraints. The phase-1 Blackwell implementation achieves up to 15% energy savings while maintaining performance levels above 97% for critical applications, enabling an overall throughput increase of up to 13% in a power-constrained facility.\n KEYWORDS GPU power management, energy efficiency, power profile, HPC optimization, Max-Q, Blackwell architecture","DOI":"10.48550/ARXIV.2510.03872","license":"Creative Commons Attribution Non Commercial No Derivatives 4.0 International","note":"version: 2","publisher":"arXiv","source":"DOI.org (Datacite)","title":"Datacenter Energy Optimized Power Profiles","URL":"https://arxiv.org/abs/2510.03872","author":[{"family":"Narayanaswamy","given":"Sreedhar"},{"family":"Patel","given":"Pratikkumar Dilipkumar"},{"family":"Karlin","given":"Ian"},{"family":"Gupta","given":"Apoorv"},{"family":"Saripalli","given":"Sudhir"},{"family":"Guo","given":"Janey"}],"accessed":{"date-parts":[["2026",5,16]]},"issued":{"date-parts":[["2025"]]}}}],"schema":"https://github.com/citation-style-language/schema/raw/master/csl-citation.json"} </w:instrText>
      </w:r>
      <w:r w:rsidR="00A45922">
        <w:fldChar w:fldCharType="separate"/>
      </w:r>
      <w:r w:rsidR="00A95675" w:rsidRPr="00A95675">
        <w:t>[76]</w:t>
      </w:r>
      <w:r w:rsidR="00A45922">
        <w:fldChar w:fldCharType="end"/>
      </w:r>
      <w:r w:rsidR="00A45922">
        <w:t xml:space="preserve">, </w:t>
      </w:r>
      <w:r>
        <w:fldChar w:fldCharType="begin"/>
      </w:r>
      <w:r w:rsidR="00A95675">
        <w:instrText xml:space="preserve"> ADDIN ZOTERO_ITEM CSL_CITATION {"citationID":"APKvRgnH","properties":{"unsorted":false,"formattedCitation":"[77]","plainCitation":"[77]","noteIndex":0},"citationItems":[{"id":2018,"uris":["http://zotero.org/users/9870935/items/XN4NHKM7"],"itemData":{"id":2018,"type":"article","abstract":"Ubiquity of AI coupled with its steep power demands make optimizing GPU power a priority as large GPUbased clusters are often employed to train and serve AI models. An important first step in optimizing GPU power consumption is high-fidelity and fine-grain power measurement of key AI computations on GPUs. To this end, we observe that as GPUs get more powerful, the resulting sub-millisecond to millisecond executions make fine-grain power analysis challenging. In this work, we first carefully identify the challenges in obtaining finegrain GPU power profiles. To address these challenges, we devise FinGraV methodology where we employ execution time binning, careful CPU-GPU time synchronization, and power profile differentiation to collect fine-grain GPU power profiles across prominent AI computations and across spectrum of scenarios. Using FinGraV power profiles, we make several observations pertaining to GPU power variation over executions and over time, GPU sub-component power consumptions across different scenarios, and power behavior over interleaved executions of multiple computations. Equipped with these observations, we conclude with several recommendations to optimize the power for these ubiquitous accelerators.","DOI":"10.48550/arXiv.2412.12426","language":"en","note":"arXiv:2412.12426 [cs.AR]","number":"arXiv:2412.12426","publisher":"arXiv","source":"arXiv.org","title":"FinGraV: Methodology for Fine-Grain GPU Power Visibility and Insights","title-short":"FinGraV","URL":"http://arxiv.org/abs/2412.12426","author":[{"family":"Singhania","given":"Varsha"},{"family":"Aga","given":"Shaizeen"},{"family":"Ibrahim","given":"Mohamed Assem"}],"accessed":{"date-parts":[["2026",5,16]]},"issued":{"date-parts":[["2025",3,28]]}}}],"schema":"https://github.com/citation-style-language/schema/raw/master/csl-citation.json"} </w:instrText>
      </w:r>
      <w:r>
        <w:fldChar w:fldCharType="separate"/>
      </w:r>
      <w:r w:rsidR="00A95675" w:rsidRPr="00A95675">
        <w:t>[77]</w:t>
      </w:r>
      <w:r>
        <w:fldChar w:fldCharType="end"/>
      </w:r>
      <w:r w:rsidRPr="00F166F8">
        <w:t>. Power capping (e.g., using the NVML power limit API) allows operators to cap the maximum power draw for lower computational throughput, offering a power management solution for the demand side.</w:t>
      </w:r>
    </w:p>
    <w:p w14:paraId="1D11450A" w14:textId="13B89276" w:rsidR="005701FE" w:rsidRDefault="005701FE" w:rsidP="0037509E">
      <w:pPr>
        <w:spacing w:after="120"/>
        <w:ind w:firstLine="480"/>
      </w:pPr>
      <w:r w:rsidRPr="005701FE">
        <w:t>Thermal design point shall consider steady state and transient thermal loads for the facility and component packaging levels. Training the GPU can reach temperatures of 80-85 °C when processors are put under heavy stress, and cooling systems need to be designed to manage the high power densities of the latest generation of high performance application specific integrated circuits (ASICs). Heat is generated from the electricity consumed in computing equipment, and the conversion of electrical energy to heat in computing equipment is virtually 100%. Advanced packaging technologies such as Co-Packaged Optics (CPO) are becoming the new thermal choke point with the increasing data flow from Artificial Intelligence, as pointed out by Yang et al. These architectures feature very high power density central ASICs and even worse thermal crosstalk from co-packaged, temperature-sensitive photonic components. Therefore, thermal design should no longer focus solely on total heat dissipation, but account for local thermal coupling and the resulting thermomechanical stresses due to coefficient of thermal expansion (CTE) mismatch.</w:t>
      </w:r>
      <w:r w:rsidR="0057418E">
        <w:t xml:space="preserve"> </w:t>
      </w:r>
      <w:r w:rsidRPr="005701FE">
        <w:t xml:space="preserve">This integration of electrical, thermal, and optical systems underscores the necessity of systemic optimization. Incorporating energy management can help reduce thermal constraints through workload optimization and clock-throttling, which will match the use of renewable energy with when the cooling system is required. </w:t>
      </w:r>
    </w:p>
    <w:p w14:paraId="3E70F8DA" w14:textId="43368175" w:rsidR="00CB4F09" w:rsidRPr="00CB4F09" w:rsidRDefault="00CB4F09" w:rsidP="00CB4F09">
      <w:pPr>
        <w:spacing w:after="120"/>
        <w:ind w:firstLine="480"/>
        <w:rPr>
          <w:lang w:val="en-CA"/>
        </w:rPr>
      </w:pPr>
      <w:r>
        <w:fldChar w:fldCharType="begin"/>
      </w:r>
      <w:r>
        <w:instrText xml:space="preserve"> REF _Ref239529353 \h </w:instrText>
      </w:r>
      <w:r>
        <w:fldChar w:fldCharType="separate"/>
      </w:r>
      <w:r>
        <w:t xml:space="preserve">Figure </w:t>
      </w:r>
      <w:r>
        <w:rPr>
          <w:noProof/>
        </w:rPr>
        <w:t>3</w:t>
      </w:r>
      <w:r>
        <w:t xml:space="preserve"> T</w:t>
      </w:r>
      <w:r w:rsidRPr="0031233A">
        <w:t xml:space="preserve">ypical </w:t>
      </w:r>
      <w:r>
        <w:t>AI</w:t>
      </w:r>
      <w:r w:rsidRPr="0031233A">
        <w:t xml:space="preserve"> data center daily power consumption profile</w:t>
      </w:r>
      <w:r>
        <w:fldChar w:fldCharType="end"/>
      </w:r>
      <w:r>
        <w:t xml:space="preserve">, </w:t>
      </w:r>
      <w:r w:rsidRPr="00CB4F09">
        <w:rPr>
          <w:lang w:val="en-CA"/>
        </w:rPr>
        <w:t>illustrates a representative daily AI data-center load profile, highlighting the different temporal characteristics of training, inference, batch-processing, and cooling loads and their potential alignment with variable solar and wind generation.</w:t>
      </w:r>
    </w:p>
    <w:p w14:paraId="1F23F0DE" w14:textId="0F079DDD" w:rsidR="00FE013C" w:rsidRDefault="00FE013C" w:rsidP="00A95675">
      <w:pPr>
        <w:spacing w:after="120"/>
        <w:ind w:firstLine="480"/>
      </w:pPr>
    </w:p>
    <w:p w14:paraId="40DC3670" w14:textId="0C8D5E1C" w:rsidR="00FE013C" w:rsidRDefault="0050327C" w:rsidP="00240FF9">
      <w:pPr>
        <w:keepNext/>
        <w:spacing w:after="120"/>
        <w:jc w:val="center"/>
      </w:pPr>
      <w:r>
        <w:rPr>
          <w:noProof/>
        </w:rPr>
        <w:lastRenderedPageBreak/>
        <w:drawing>
          <wp:inline distT="0" distB="0" distL="0" distR="0" wp14:anchorId="39FDB37F" wp14:editId="742EEAE5">
            <wp:extent cx="6192520" cy="2571750"/>
            <wp:effectExtent l="0" t="0" r="0" b="0"/>
            <wp:docPr id="464204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8305" b="29396"/>
                    <a:stretch>
                      <a:fillRect/>
                    </a:stretch>
                  </pic:blipFill>
                  <pic:spPr bwMode="auto">
                    <a:xfrm>
                      <a:off x="0" y="0"/>
                      <a:ext cx="619252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5B212C98" w14:textId="260C63B1" w:rsidR="00FE013C" w:rsidRPr="00F166F8" w:rsidRDefault="00FE013C" w:rsidP="00240FF9">
      <w:pPr>
        <w:pStyle w:val="Caption"/>
        <w:jc w:val="center"/>
      </w:pPr>
      <w:bookmarkStart w:id="7" w:name="_Ref239529353"/>
      <w:r>
        <w:t xml:space="preserve">Figure </w:t>
      </w:r>
      <w:r>
        <w:fldChar w:fldCharType="begin"/>
      </w:r>
      <w:r>
        <w:instrText xml:space="preserve"> SEQ Figure \* ARABIC </w:instrText>
      </w:r>
      <w:r>
        <w:fldChar w:fldCharType="separate"/>
      </w:r>
      <w:r w:rsidR="00807110">
        <w:rPr>
          <w:noProof/>
        </w:rPr>
        <w:t>3</w:t>
      </w:r>
      <w:r>
        <w:rPr>
          <w:noProof/>
        </w:rPr>
        <w:fldChar w:fldCharType="end"/>
      </w:r>
      <w:r>
        <w:t xml:space="preserve"> T</w:t>
      </w:r>
      <w:r w:rsidRPr="0031233A">
        <w:t xml:space="preserve">ypical </w:t>
      </w:r>
      <w:r>
        <w:t>AI</w:t>
      </w:r>
      <w:r w:rsidRPr="0031233A">
        <w:t xml:space="preserve"> data center daily power consumption profile</w:t>
      </w:r>
      <w:bookmarkEnd w:id="7"/>
    </w:p>
    <w:p w14:paraId="22B8AF1E" w14:textId="77777777" w:rsidR="00FE013C" w:rsidRDefault="00FE013C" w:rsidP="004C16FF">
      <w:pPr>
        <w:pStyle w:val="Heading20"/>
        <w:jc w:val="both"/>
        <w:rPr>
          <w:color w:val="auto"/>
        </w:rPr>
      </w:pPr>
      <w:r>
        <w:rPr>
          <w:color w:val="auto"/>
        </w:rPr>
        <w:t>3.3. Backup Power and UPS Systems</w:t>
      </w:r>
    </w:p>
    <w:p w14:paraId="2222DAF5" w14:textId="54720AE5" w:rsidR="00FE013C" w:rsidRDefault="00FE013C" w:rsidP="001D1223">
      <w:pPr>
        <w:spacing w:after="120"/>
        <w:ind w:firstLine="480"/>
        <w:rPr>
          <w:szCs w:val="24"/>
        </w:rPr>
      </w:pPr>
      <w:r>
        <w:rPr>
          <w:szCs w:val="24"/>
        </w:rPr>
        <w:t>The UPS</w:t>
      </w:r>
      <w:r w:rsidRPr="00C24F3F">
        <w:rPr>
          <w:szCs w:val="24"/>
        </w:rPr>
        <w:t xml:space="preserve"> system is the first line of defense against power quality disturbances and short outages. There are three major UPS technologies used in data </w:t>
      </w:r>
      <w:r w:rsidR="009F7E9F" w:rsidRPr="00C24F3F">
        <w:rPr>
          <w:szCs w:val="24"/>
        </w:rPr>
        <w:t>centers</w:t>
      </w:r>
      <w:r w:rsidRPr="00C24F3F">
        <w:rPr>
          <w:szCs w:val="24"/>
        </w:rPr>
        <w:t>: flywheel systems, which can deliver 10-30 s of ride-through time with kinetic energy storage; battery-based UPS, which can supply minutes to hours of backup time depending on the battery capacity; and hybrid UPS, which includes flywheels to provide immediate response and batteries to provide extended backup time</w:t>
      </w:r>
      <w:r>
        <w:rPr>
          <w:szCs w:val="24"/>
        </w:rPr>
        <w:fldChar w:fldCharType="begin"/>
      </w:r>
      <w:r w:rsidR="001D1223">
        <w:rPr>
          <w:szCs w:val="24"/>
        </w:rPr>
        <w:instrText xml:space="preserve"> ADDIN ZOTERO_ITEM CSL_CITATION {"citationID":"6s5dz7U7","properties":{"unsorted":false,"formattedCitation":"[78]","plainCitation":"[78]","noteIndex":0},"citationItems":[{"id":2021,"uris":["http://zotero.org/users/9870935/items/AHEUC4DF"],"itemData":{"id":2021,"type":"article","abstract":"Artificial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Pr>
          <w:szCs w:val="24"/>
        </w:rPr>
        <w:fldChar w:fldCharType="separate"/>
      </w:r>
      <w:r w:rsidR="001D1223" w:rsidRPr="001D1223">
        <w:t>[78]</w:t>
      </w:r>
      <w:r>
        <w:rPr>
          <w:szCs w:val="24"/>
        </w:rPr>
        <w:fldChar w:fldCharType="end"/>
      </w:r>
      <w:r>
        <w:rPr>
          <w:szCs w:val="24"/>
        </w:rPr>
        <w:t>.</w:t>
      </w:r>
      <w:r w:rsidRPr="00C24F3F">
        <w:rPr>
          <w:szCs w:val="24"/>
        </w:rPr>
        <w:t xml:space="preserve"> AI data </w:t>
      </w:r>
      <w:r w:rsidR="009F7E9F" w:rsidRPr="00C24F3F">
        <w:rPr>
          <w:szCs w:val="24"/>
        </w:rPr>
        <w:t>centers</w:t>
      </w:r>
      <w:r w:rsidRPr="00C24F3F">
        <w:rPr>
          <w:szCs w:val="24"/>
        </w:rPr>
        <w:t xml:space="preserve">, where training state can be lost during even brief interruptions, require UPS systems to have sufficient runtime to start-up and </w:t>
      </w:r>
      <w:r w:rsidR="009F7E9F" w:rsidRPr="00C24F3F">
        <w:rPr>
          <w:szCs w:val="24"/>
        </w:rPr>
        <w:t>synchronize</w:t>
      </w:r>
      <w:r w:rsidRPr="00C24F3F">
        <w:rPr>
          <w:szCs w:val="24"/>
        </w:rPr>
        <w:t xml:space="preserve"> the backup generator, usually 30–60 seconds</w:t>
      </w:r>
      <w:r>
        <w:rPr>
          <w:szCs w:val="24"/>
        </w:rPr>
        <w:fldChar w:fldCharType="begin"/>
      </w:r>
      <w:r w:rsidR="001D1223">
        <w:rPr>
          <w:szCs w:val="24"/>
        </w:rPr>
        <w:instrText xml:space="preserve"> ADDIN ZOTERO_ITEM CSL_CITATION {"citationID":"uVqeSVVe","properties":{"unsorted":false,"formattedCitation":"[79]","plainCitation":"[79]","noteIndex":0},"citationItems":[{"id":2025,"uris":["http://zotero.org/users/9870935/items/URLYJFL9"],"itemData":{"id":2025,"type":"article-journal","abstract":"Our research aims to improve energy efficiency in data centres by combining cloud computing infrastructure with machine learning techniques. We propose that dynamic resource assignment, combined with intelligent optimisation of cooling systems, can reduce power waste and operational costs. Real-time sensor data from various data centre components such as servers, cooling systems, and power distribution units is collected and fed into machine learning models for analysis. In this way, we can create power arrangements that are tailored to the resources and needs of various applications. The experimental results show that energy consumption has been reduced by an average of 30% compared to traditional methods. Furthermore, our machine learning models are quite accurate in predicting cooling system performance. For example, an Artificial Neural Network (ANN) has an accuracy rate of 98.78%. This result demonstrates the efficacy of our approach in promoting energy efficiency and operational performance in data centres: it not only provides a scalable, cost-effective solution to industry energy efficiency challenges, but it also improves day-to-day data centre operations by reducing electrical consumption. Our approach, which is based on dynamic allocation of computational resources and real-time data analysis for optimising cooling systems, not only saves energy but also improves operational efficiency. With energy in mind, we must all work towards a more sustainable and green approach to data centre management. Future research can look into other potential optimisations, as well as issues with scalability and application in real-world data centre environments.","container-title":"Journal of Electrical Systems","DOI":"10.52783/jes.1287","ISSN":"1112-5209","issue":"3s","journalAbbreviation":"jes","license":"https://creativecommons.org/licenses/by-nd/4.0","page":"286-293","source":"DOI.org (Crossref)","title":"Optimizing Data Centre Energy Efficiency with Dynamic Resource Allocation and Intelligent Cooling Management through Machine Learning","volume":"20","author":[{"literal":"Niranchana Radhakrishnan"}],"issued":{"date-parts":[["2024",4,4]]}}}],"schema":"https://github.com/citation-style-language/schema/raw/master/csl-citation.json"} </w:instrText>
      </w:r>
      <w:r>
        <w:rPr>
          <w:szCs w:val="24"/>
        </w:rPr>
        <w:fldChar w:fldCharType="separate"/>
      </w:r>
      <w:r w:rsidR="001D1223" w:rsidRPr="001D1223">
        <w:t>[79]</w:t>
      </w:r>
      <w:r>
        <w:rPr>
          <w:szCs w:val="24"/>
        </w:rPr>
        <w:fldChar w:fldCharType="end"/>
      </w:r>
      <w:r w:rsidRPr="00C24F3F">
        <w:rPr>
          <w:szCs w:val="24"/>
        </w:rPr>
        <w:t>.</w:t>
      </w:r>
    </w:p>
    <w:p w14:paraId="5CF1EAE4" w14:textId="3AC1C4BB" w:rsidR="006A3C33" w:rsidRDefault="006A3C33" w:rsidP="001D1223">
      <w:pPr>
        <w:spacing w:after="120"/>
        <w:ind w:firstLine="480"/>
        <w:rPr>
          <w:szCs w:val="24"/>
        </w:rPr>
      </w:pPr>
      <w:r w:rsidRPr="00E17E75">
        <w:rPr>
          <w:szCs w:val="24"/>
          <w:highlight w:val="yellow"/>
        </w:rPr>
        <w:t xml:space="preserve">UPS capacity should be determined from the defined critical load, power factor, allowable loading, required ride-through time, redundancy architecture, and design margin rather than from a universal facility-level multiplier. For example, a 100 MW critical load at a power factor of 0.9 corresponds to approximately 111 MVA before redundancy and design margins are applied. The final installed UPS capacity would depend on the selected N+1 or 2N architecture, module ratings, allowable loading, and concurrent-maintenance requirements. UPS topology selection likewise depends on load criticality and required power-quality performance. Double-conversion online UPS systems are commonly applied to highly critical data-center loads because they continuously isolate the load from many input-voltage and frequency disturbances, while line-interactive and standby topologies are generally more appropriate for less critical applications </w:t>
      </w:r>
      <w:r w:rsidRPr="00E17E75">
        <w:rPr>
          <w:szCs w:val="24"/>
          <w:highlight w:val="yellow"/>
        </w:rPr>
        <w:fldChar w:fldCharType="begin"/>
      </w:r>
      <w:r w:rsidR="001D1223">
        <w:rPr>
          <w:szCs w:val="24"/>
          <w:highlight w:val="yellow"/>
        </w:rPr>
        <w:instrText xml:space="preserve"> ADDIN ZOTERO_ITEM CSL_CITATION {"citationID":"qzNEaqIS","properties":{"unsorted":false,"formattedCitation":"[80]","plainCitation":"[80]","noteIndex":0},"citationItems":[{"id":2027,"uris":["http://zotero.org/users/9870935/items/84JHTAVB"],"itemData":{"id":2027,"type":"article-journal","abstract":"The rapid growth of digital services has intensified the energy demands of data centers, significantly impacting operational costs and global carbon footprints. This study leverages Machine Learning (ML) and Big Data to optimize energy management in data centers, addressing limitations in prior approaches that overlooked real-time variability. A predictive model utilizing the Random Forest algorithm was developed to reduce energy consumption based on dynamic factors, such as workload and environmental conditions like temperature. The research used a six-month dataset consisting of approximately 3 million data points from an operational data center. After preprocessing the data, the model achieved a high predictive accuracy, reflected by an R-squared value of 0.87. The findings demonstrate that the model reduces energy consumption by an average of 11.17% daily, with peak savings of up to 15.56% during off-peak hours. Key metrics, including a Mean Squared Error (MSE) of 0.034 and a Root Mean Squared Error (RMSE) of 0.184, validated the model's effectiveness and reliability. Statistical tests further confirmed its precision within a 95% confidence interval. This study contributes to the academic field by integrating real-time environmental data into predictive modeling, offering a scalable solution for energy-efficient data center operations. The outcomes support sustainability initiatives by mitigating carbon emissions and reducing operational costs. The findings also provide a framework for applying ML in broader industrial contexts requiring efficient energy management. Future research may explore incorporating additional variables, such as user behavior, to further refine predictive capabilities.","container-title":"Journal of Technology Informatics and Engineering","DOI":"10.51903/jtie.v3i3.202","ISSN":"2961-8215, 2961-9068","issue":"3","journalAbbreviation":"JTIE","license":"https://creativecommons.org/licenses/by-sa/4.0","page":"324-336","source":"DOI.org (Crossref)","title":"The Use of Machine Learning for Efficient Energy Management in Big Data-Based Computing Systems","volume":"3","author":[{"family":"Putra","given":"Toni Wijanarko Adi"},{"family":"Setiawan","given":"Nuris Dwi"},{"family":"Rusito","given":"Rusito"}],"issued":{"date-parts":[["2024",12,24]]}}}],"schema":"https://github.com/citation-style-language/schema/raw/master/csl-citation.json"} </w:instrText>
      </w:r>
      <w:r w:rsidRPr="00E17E75">
        <w:rPr>
          <w:szCs w:val="24"/>
          <w:highlight w:val="yellow"/>
        </w:rPr>
        <w:fldChar w:fldCharType="separate"/>
      </w:r>
      <w:r w:rsidR="001D1223" w:rsidRPr="001D1223">
        <w:rPr>
          <w:highlight w:val="yellow"/>
        </w:rPr>
        <w:t>[80]</w:t>
      </w:r>
      <w:r w:rsidRPr="00E17E75">
        <w:rPr>
          <w:szCs w:val="24"/>
          <w:highlight w:val="yellow"/>
        </w:rPr>
        <w:fldChar w:fldCharType="end"/>
      </w:r>
      <w:r w:rsidRPr="00E17E75">
        <w:rPr>
          <w:szCs w:val="24"/>
          <w:highlight w:val="yellow"/>
        </w:rPr>
        <w:t xml:space="preserve">, </w:t>
      </w:r>
      <w:r w:rsidRPr="00E17E75">
        <w:rPr>
          <w:szCs w:val="24"/>
          <w:highlight w:val="yellow"/>
        </w:rPr>
        <w:fldChar w:fldCharType="begin"/>
      </w:r>
      <w:r w:rsidR="001D1223">
        <w:rPr>
          <w:szCs w:val="24"/>
          <w:highlight w:val="yellow"/>
        </w:rPr>
        <w:instrText xml:space="preserve"> ADDIN ZOTERO_ITEM CSL_CITATION {"citationID":"WYKaySkz","properties":{"unsorted":false,"formattedCitation":"[81]","plainCitation":"[81]","noteIndex":0},"citationItems":[{"id":2030,"uris":["http://zotero.org/users/9870935/items/UI369LDD"],"itemData":{"id":2030,"type":"post-weblog","title":"Electrical Energy Storage","URL":"https://iec.ch/system/files/2019-09/content/media/files/iec_wp-electrical_energy_storage-en.pdf","author":[{"family":"IEC","given":""}]}}],"schema":"https://github.com/citation-style-language/schema/raw/master/csl-citation.json"} </w:instrText>
      </w:r>
      <w:r w:rsidRPr="00E17E75">
        <w:rPr>
          <w:szCs w:val="24"/>
          <w:highlight w:val="yellow"/>
        </w:rPr>
        <w:fldChar w:fldCharType="separate"/>
      </w:r>
      <w:r w:rsidR="001D1223" w:rsidRPr="001D1223">
        <w:rPr>
          <w:highlight w:val="yellow"/>
        </w:rPr>
        <w:t>[81]</w:t>
      </w:r>
      <w:r w:rsidRPr="00E17E75">
        <w:rPr>
          <w:szCs w:val="24"/>
          <w:highlight w:val="yellow"/>
        </w:rPr>
        <w:fldChar w:fldCharType="end"/>
      </w:r>
      <w:r w:rsidRPr="00E17E75">
        <w:rPr>
          <w:szCs w:val="24"/>
          <w:highlight w:val="yellow"/>
        </w:rPr>
        <w:t>.</w:t>
      </w:r>
    </w:p>
    <w:p w14:paraId="7340354C" w14:textId="624593B7" w:rsidR="00021807" w:rsidRPr="00021807" w:rsidRDefault="00021807" w:rsidP="001D1223">
      <w:pPr>
        <w:spacing w:after="120"/>
        <w:ind w:firstLine="480"/>
        <w:rPr>
          <w:szCs w:val="24"/>
        </w:rPr>
      </w:pPr>
      <w:r w:rsidRPr="00021807">
        <w:rPr>
          <w:szCs w:val="24"/>
        </w:rPr>
        <w:t xml:space="preserve">The diesel generator has been a popular choice for long-duration emergency backup in data centers for its operational maturity, quick start time, existing fuel infrastructure, and capability of providing critical loads during extended grid outages </w:t>
      </w:r>
      <w:r>
        <w:rPr>
          <w:szCs w:val="24"/>
        </w:rPr>
        <w:fldChar w:fldCharType="begin"/>
      </w:r>
      <w:r w:rsidR="001D1223">
        <w:rPr>
          <w:szCs w:val="24"/>
        </w:rPr>
        <w:instrText xml:space="preserve"> ADDIN ZOTERO_ITEM CSL_CITATION {"citationID":"VffnOBvN","properties":{"unsorted":false,"formattedCitation":"[82]","plainCitation":"[82]","noteIndex":0},"citationItems":[{"id":2031,"uris":["http://zotero.org/users/9870935/items/AC53WR7L"],"itemData":{"id":2031,"type":"article-journal","abstract":"The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1D1223" w:rsidRPr="001D1223">
        <w:t>[82]</w:t>
      </w:r>
      <w:r>
        <w:rPr>
          <w:szCs w:val="24"/>
        </w:rPr>
        <w:fldChar w:fldCharType="end"/>
      </w:r>
      <w:r w:rsidRPr="00021807">
        <w:rPr>
          <w:szCs w:val="24"/>
        </w:rPr>
        <w:t xml:space="preserve">. The required generator capacity and redundancy should not rely on a universal equipment capacity margin, but be based on the defined critical load, transient loads, PF, allowable generator loading, redundancy requirements, maintenance strategy, and electrical architecture of the facility. To support the critical-load requirement, large data centers typically use several generator units, connected via redundant distribution paths, to ensure that if one generator unit fails, the other units will provide the necessary power. The proper configuration (N+1, 2N, or any distributed redundancy schemes) is therefore dependent on the generator size, load segmentation, transfer configuration, and desired facility reliability </w:t>
      </w:r>
      <w:r>
        <w:rPr>
          <w:szCs w:val="24"/>
        </w:rPr>
        <w:fldChar w:fldCharType="begin"/>
      </w:r>
      <w:r w:rsidR="001D1223">
        <w:rPr>
          <w:szCs w:val="24"/>
        </w:rPr>
        <w:instrText xml:space="preserve"> ADDIN ZOTERO_ITEM CSL_CITATION {"citationID":"g4xl7jeT","properties":{"unsorted":false,"formattedCitation":"[82]","plainCitation":"[82]","noteIndex":0},"citationItems":[{"id":2031,"uris":["http://zotero.org/users/9870935/items/AC53WR7L"],"itemData":{"id":2031,"type":"article-journal","abstract":"The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Pr>
          <w:szCs w:val="24"/>
        </w:rPr>
        <w:fldChar w:fldCharType="separate"/>
      </w:r>
      <w:r w:rsidR="001D1223" w:rsidRPr="001D1223">
        <w:t>[82]</w:t>
      </w:r>
      <w:r>
        <w:rPr>
          <w:szCs w:val="24"/>
        </w:rPr>
        <w:fldChar w:fldCharType="end"/>
      </w:r>
      <w:r w:rsidRPr="00021807">
        <w:rPr>
          <w:szCs w:val="24"/>
        </w:rPr>
        <w:t>.</w:t>
      </w:r>
    </w:p>
    <w:p w14:paraId="0149AC0C" w14:textId="77777777" w:rsidR="00021807" w:rsidRPr="00021807" w:rsidRDefault="00021807" w:rsidP="00021807">
      <w:pPr>
        <w:spacing w:after="120"/>
        <w:ind w:firstLine="480"/>
        <w:rPr>
          <w:szCs w:val="24"/>
        </w:rPr>
      </w:pPr>
    </w:p>
    <w:p w14:paraId="47BF2C7C" w14:textId="195B8555" w:rsidR="00021807" w:rsidRDefault="00021807" w:rsidP="001D1223">
      <w:pPr>
        <w:spacing w:after="120"/>
        <w:ind w:firstLine="480"/>
        <w:rPr>
          <w:szCs w:val="24"/>
        </w:rPr>
      </w:pPr>
      <w:r w:rsidRPr="00021807">
        <w:rPr>
          <w:szCs w:val="24"/>
        </w:rPr>
        <w:t xml:space="preserve">Although diesel generators are well known as a component of an emergency power supply, there are concerns of air pollution levels such as NOx, PM, CO, and greenhouse-gas emissions during their normal operation or testing </w:t>
      </w:r>
      <w:r w:rsidR="00413A52">
        <w:rPr>
          <w:szCs w:val="24"/>
        </w:rPr>
        <w:fldChar w:fldCharType="begin"/>
      </w:r>
      <w:r w:rsidR="001D1223">
        <w:rPr>
          <w:szCs w:val="24"/>
        </w:rPr>
        <w:instrText xml:space="preserve"> ADDIN ZOTERO_ITEM CSL_CITATION {"citationID":"MhrzpTJ3","properties":{"unsorted":false,"formattedCitation":"[83]","plainCitation":"[83]","noteIndex":0},"citationItems":[{"id":2032,"uris":["http://zotero.org/users/9870935/items/3SYSZCVP"],"itemData":{"id":2032,"type":"article","abstract":"This study assesses air quality (AQ) and greenhouse gas (GHG) emissions from the rapid expansion of data centers in Texas, a major hub due to infrastructure, electricity markets, and business conditions. AQ impacts were separated from GHG emissions to clarify sources, regulations, and mitigation strategies. Electricity consumption and cooling systems dominate GHG emissions, with a 10 megawatt data center generating about 37,668 metric tons CO2 annually, while construction materials and IT equipment add substantial embodied emissions. Local AQ impacts, often overlooked, arise from diesel backup generators, construction equipment, and commuting. Generator testing alone can emit about 12 metric tons of NOx annually per facility, worsening ozone issues in regions such as Houston and Dallas-Fort Worth. Mitigation strategies include advanced cooling, renewable energy procurement, cleaner backup power (fuel cells, batteries), sustainable construction, and standardized reporting. ERCOT forecasts project 39 to 78 gigawatts of new data center load by 2030, potentially leading to 170 to 205 million metric tons of annual CO2 emissions. Aggressive adoption of renewables and advanced technologies could cut emissions by 50 to 80 percent, avoiding 85 to 165 million metric tons of CO2. The study identifies research and policy gaps, including the need for cumulative air dispersion modeling, AQ-specific regulations, and mandatory efficiency standards. Findings underscore the importance of aligning Texas digital infrastructure growth with environmental and community health protections.","DOI":"10.48550/ARXIV.2509.21312","license":"arXiv.org perpetual, non-exclusive license","note":"version: 1","publisher":"arXiv","source":"DOI.org (Datacite)","title":"Air Quality and Greenhouse Gas Emissions Assessment of Data Centers in Texas: Quantifying Impacts and Environmental Tradeoffs","title-short":"Air Quality and Greenhouse Gas Emissions Assessment of Data Centers in Texas","URL":"https://arxiv.org/abs/2509.21312","author":[{"family":"Eslami","given":"Ebrahim"}],"accessed":{"date-parts":[["2026",5,16]]},"issued":{"date-parts":[["2025"]]}}}],"schema":"https://github.com/citation-style-language/schema/raw/master/csl-citation.json"} </w:instrText>
      </w:r>
      <w:r w:rsidR="00413A52">
        <w:rPr>
          <w:szCs w:val="24"/>
        </w:rPr>
        <w:fldChar w:fldCharType="separate"/>
      </w:r>
      <w:r w:rsidR="001D1223" w:rsidRPr="001D1223">
        <w:t>[83]</w:t>
      </w:r>
      <w:r w:rsidR="00413A52">
        <w:rPr>
          <w:szCs w:val="24"/>
        </w:rPr>
        <w:fldChar w:fldCharType="end"/>
      </w:r>
      <w:r w:rsidRPr="00021807">
        <w:rPr>
          <w:szCs w:val="24"/>
        </w:rPr>
        <w:t>. While a single annual value of emissions can be broad-ranged across hyperscale facilities, it is important to recognize that the size of these emissions varies depending on the technology used by the generators, the rate of the loads, the operating schedule, the characteristics of the fuel used, the emissions control equipment, and applicable environmental regulation. The challenges being presented by these environmental and permitting factors are driving a greater consideration of alternative fuels, natural-gas generation, battery energy storage, and hydrogen fuel-cell backup systems. These options must be evaluated with respect to data-center start times, backup time, fuel or energy supply, reliability, emissions, lifecycle cost, and interconnection. In some cases, distributed storage and backup resources may also provide grid-support or ancillary services, if technically and commercially feasible, when not needed for emergency operation.</w:t>
      </w:r>
    </w:p>
    <w:p w14:paraId="0F0850E0" w14:textId="77777777" w:rsidR="00FE013C" w:rsidRDefault="00FE013C" w:rsidP="004C16FF">
      <w:pPr>
        <w:pStyle w:val="Heading20"/>
        <w:jc w:val="both"/>
        <w:rPr>
          <w:color w:val="auto"/>
        </w:rPr>
      </w:pPr>
      <w:r>
        <w:rPr>
          <w:color w:val="auto"/>
        </w:rPr>
        <w:t>3.4. Colling System Integration</w:t>
      </w:r>
    </w:p>
    <w:p w14:paraId="4D135C58" w14:textId="064AD005" w:rsidR="00FE013C" w:rsidRPr="007D6A70" w:rsidRDefault="00FE013C" w:rsidP="001D1223">
      <w:pPr>
        <w:spacing w:after="120"/>
        <w:ind w:firstLine="480"/>
        <w:rPr>
          <w:szCs w:val="24"/>
        </w:rPr>
      </w:pPr>
      <w:r w:rsidRPr="007D6A70">
        <w:rPr>
          <w:szCs w:val="24"/>
        </w:rPr>
        <w:t xml:space="preserve">Cooling systems are crucial connection points between electrical and thermal management in AI data </w:t>
      </w:r>
      <w:r w:rsidR="009F7E9F" w:rsidRPr="007D6A70">
        <w:rPr>
          <w:szCs w:val="24"/>
        </w:rPr>
        <w:t>centers</w:t>
      </w:r>
      <w:r w:rsidRPr="007D6A70">
        <w:rPr>
          <w:szCs w:val="24"/>
        </w:rPr>
        <w:t>. The cooling load and electrical energy consumption are roughly proportional, with the coefficient of performance (COP) of the cooling system dictating the number of watts of cooling for every watt of electricity consumed (typically around 2.5 to 4)</w:t>
      </w:r>
      <w:r>
        <w:rPr>
          <w:szCs w:val="24"/>
        </w:rPr>
        <w:fldChar w:fldCharType="begin"/>
      </w:r>
      <w:r w:rsidR="001D1223">
        <w:rPr>
          <w:szCs w:val="24"/>
        </w:rPr>
        <w:instrText xml:space="preserve"> ADDIN ZOTERO_ITEM CSL_CITATION {"citationID":"JmbelhlJ","properties":{"unsorted":false,"formattedCitation":"[84]","plainCitation":"[84]","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Pr>
          <w:szCs w:val="24"/>
        </w:rPr>
        <w:fldChar w:fldCharType="separate"/>
      </w:r>
      <w:r w:rsidR="001D1223" w:rsidRPr="001D1223">
        <w:t>[84]</w:t>
      </w:r>
      <w:r>
        <w:rPr>
          <w:szCs w:val="24"/>
        </w:rPr>
        <w:fldChar w:fldCharType="end"/>
      </w:r>
      <w:r w:rsidRPr="007D6A70">
        <w:rPr>
          <w:szCs w:val="24"/>
        </w:rPr>
        <w:t>. Cooling consumption can be as high as 30–40</w:t>
      </w:r>
      <w:r>
        <w:rPr>
          <w:szCs w:val="24"/>
        </w:rPr>
        <w:t xml:space="preserve">% </w:t>
      </w:r>
      <w:r w:rsidRPr="007D6A70">
        <w:rPr>
          <w:szCs w:val="24"/>
        </w:rPr>
        <w:t xml:space="preserve">of the total facility energy cost for traditional air-cooled data </w:t>
      </w:r>
      <w:r w:rsidR="009F7E9F" w:rsidRPr="007D6A70">
        <w:rPr>
          <w:szCs w:val="24"/>
        </w:rPr>
        <w:t>centers</w:t>
      </w:r>
      <w:r w:rsidRPr="007D6A70">
        <w:rPr>
          <w:szCs w:val="24"/>
        </w:rPr>
        <w:t>, which can have PUE values of greater than 1.3</w:t>
      </w:r>
      <w:r>
        <w:rPr>
          <w:szCs w:val="24"/>
        </w:rPr>
        <w:fldChar w:fldCharType="begin"/>
      </w:r>
      <w:r w:rsidR="00DC4621">
        <w:rPr>
          <w:szCs w:val="24"/>
        </w:rPr>
        <w:instrText xml:space="preserve"> ADDIN ZOTERO_ITEM CSL_CITATION {"citationID":"5AIbgttz","properties":{"unsorted":false,"formattedCitation":"[32]","plainCitation":"[32]","noteIndex":0},"citationItems":[{"id":1962,"uris":["http://zotero.org/users/9870935/items/CJR355SS"],"itemData":{"id":1962,"type":"article-journal","container-title":"Sustainable Energy Technologies and Assessments","DOI":"10.1016/j.seta.2025.104511","ISSN":"22131388","journalAbbreviation":"Sustainable Energy Technologies and Assessments","language":"en","page":"104511","source":"DOI.org (Crossref)","title":"AI-driven cooling technologies for high-performance data centres: state-of-the-art review and future directions","title-short":"AI-driven cooling technologies for high-performance data centres","volume":"82","author":[{"family":"Al Kez","given":"Dlzar"},{"family":"Foley","given":"Aoife M"},{"family":"Hasan Wong","given":"Fadhli Wong B.M."},{"family":"Dolfi","given":"Andrea"},{"family":"Srinivasan","given":"Geetha"}],"issued":{"date-parts":[["2025",10]]}}}],"schema":"https://github.com/citation-style-language/schema/raw/master/csl-citation.json"} </w:instrText>
      </w:r>
      <w:r>
        <w:rPr>
          <w:szCs w:val="24"/>
        </w:rPr>
        <w:fldChar w:fldCharType="separate"/>
      </w:r>
      <w:r w:rsidR="00DC4621" w:rsidRPr="00DC4621">
        <w:t>[32]</w:t>
      </w:r>
      <w:r>
        <w:rPr>
          <w:szCs w:val="24"/>
        </w:rPr>
        <w:fldChar w:fldCharType="end"/>
      </w:r>
      <w:r w:rsidRPr="007D6A70">
        <w:rPr>
          <w:szCs w:val="24"/>
        </w:rPr>
        <w:t>. Immersion cooling provides 30–50</w:t>
      </w:r>
      <w:r>
        <w:rPr>
          <w:szCs w:val="24"/>
        </w:rPr>
        <w:t xml:space="preserve">% </w:t>
      </w:r>
      <w:r w:rsidRPr="007D6A70">
        <w:rPr>
          <w:szCs w:val="24"/>
        </w:rPr>
        <w:t>reduction in cooling energy by taking advantage of the superior heat transfer properties of liquids over air and can be implemented in a variety of ways, such as direct-to-chip cold plates, rack-level cooling loops, and full immersion cooling</w:t>
      </w:r>
      <w:r>
        <w:rPr>
          <w:szCs w:val="24"/>
        </w:rPr>
        <w:fldChar w:fldCharType="begin"/>
      </w:r>
      <w:r w:rsidR="00DC4621">
        <w:rPr>
          <w:szCs w:val="24"/>
        </w:rPr>
        <w:instrText xml:space="preserve"> ADDIN ZOTERO_ITEM CSL_CITATION {"citationID":"MLSQB9UF","properties":{"unsorted":false,"formattedCitation":"[34]","plainCitation":"[34]","noteIndex":0},"citationItems":[{"id":1964,"uris":["http://zotero.org/users/9870935/items/97W4FH39"],"itemData":{"id":1964,"type":"article-journal","container-title":"Applied Thermal Engineering","DOI":"10.1016/j.applthermaleng.2024.123112","ISSN":"13594311","journalAbbreviation":"Applied Thermal Engineering","language":"en","page":"123112","source":"DOI.org (Crossref)","title":"Liquid cooling of data centers: A necessity facing challenges","title-short":"Liquid cooling of data centers","volume":"247","author":[{"family":"Azarifar","given":"Mohammad"},{"family":"Arik","given":"Mehmet"},{"family":"Chang","given":"Je-Young"}],"issued":{"date-parts":[["2024",6]]}}}],"schema":"https://github.com/citation-style-language/schema/raw/master/csl-citation.json"} </w:instrText>
      </w:r>
      <w:r>
        <w:rPr>
          <w:szCs w:val="24"/>
        </w:rPr>
        <w:fldChar w:fldCharType="separate"/>
      </w:r>
      <w:r w:rsidR="00DC4621" w:rsidRPr="00DC4621">
        <w:t>[34]</w:t>
      </w:r>
      <w:r>
        <w:rPr>
          <w:szCs w:val="24"/>
        </w:rPr>
        <w:fldChar w:fldCharType="end"/>
      </w:r>
      <w:r w:rsidRPr="007D6A70">
        <w:rPr>
          <w:szCs w:val="24"/>
        </w:rPr>
        <w:t>.</w:t>
      </w:r>
    </w:p>
    <w:p w14:paraId="7ACA7F6F" w14:textId="50A09582" w:rsidR="00FE013C" w:rsidRDefault="00FE013C" w:rsidP="001D1223">
      <w:pPr>
        <w:spacing w:after="120"/>
        <w:ind w:firstLine="480"/>
        <w:rPr>
          <w:szCs w:val="24"/>
        </w:rPr>
      </w:pPr>
      <w:r w:rsidRPr="007D6A70">
        <w:rPr>
          <w:szCs w:val="24"/>
        </w:rPr>
        <w:t xml:space="preserve">In suitable climates, significant energy savings can be </w:t>
      </w:r>
      <w:r w:rsidR="009F7E9F" w:rsidRPr="007D6A70">
        <w:rPr>
          <w:szCs w:val="24"/>
        </w:rPr>
        <w:t>realized</w:t>
      </w:r>
      <w:r w:rsidRPr="007D6A70">
        <w:rPr>
          <w:szCs w:val="24"/>
        </w:rPr>
        <w:t xml:space="preserve"> using a free cooling system, which </w:t>
      </w:r>
      <w:r w:rsidR="009F7E9F" w:rsidRPr="007D6A70">
        <w:rPr>
          <w:szCs w:val="24"/>
        </w:rPr>
        <w:t>utilizes</w:t>
      </w:r>
      <w:r w:rsidRPr="007D6A70">
        <w:rPr>
          <w:szCs w:val="24"/>
        </w:rPr>
        <w:t xml:space="preserve"> the ambient atmospheric temperature to supply cooling without mechanical refrigeration. In temperate climates, </w:t>
      </w:r>
      <w:r w:rsidR="009F7E9F" w:rsidRPr="007D6A70">
        <w:rPr>
          <w:szCs w:val="24"/>
        </w:rPr>
        <w:t>economizer</w:t>
      </w:r>
      <w:r w:rsidRPr="007D6A70">
        <w:rPr>
          <w:szCs w:val="24"/>
        </w:rPr>
        <w:t xml:space="preserve"> systems can deliver free cooling for 3000 to 6000 hours per year, cutting energy consumption for chillers by 40–70</w:t>
      </w:r>
      <w:r>
        <w:rPr>
          <w:szCs w:val="24"/>
        </w:rPr>
        <w:t xml:space="preserve">% </w:t>
      </w:r>
      <w:r w:rsidRPr="007D6A70">
        <w:rPr>
          <w:szCs w:val="24"/>
        </w:rPr>
        <w:t>during those hours</w:t>
      </w:r>
      <w:r>
        <w:rPr>
          <w:szCs w:val="24"/>
        </w:rPr>
        <w:fldChar w:fldCharType="begin"/>
      </w:r>
      <w:r w:rsidR="001D1223">
        <w:rPr>
          <w:szCs w:val="24"/>
        </w:rPr>
        <w:instrText xml:space="preserve"> ADDIN ZOTERO_ITEM CSL_CITATION {"citationID":"3wFuVfzc","properties":{"unsorted":false,"formattedCitation":"[85]","plainCitation":"[85]","noteIndex":0},"citationItems":[{"id":2036,"uris":["http://zotero.org/users/9870935/items/2KMJ9H69"],"itemData":{"id":2036,"type":"paper-conference","container-title":"2011 IEEE Third International Conference on Cloud Computing Technology and Science","DOI":"10.1109/CloudCom.2011.100","event-title":"2011 IEEE 3rd International Conference on Cloud Computing Technology and Science (CloudCom)","ISBN":"978-1-4673-0090-2","page":"646-651","publisher":"IEEE","publisher-place":"Athens, Greece","source":"DOI.org (Crossref)","title":"Energy Efficient Free Cooling System for Data Centers","URL":"http://ieeexplore.ieee.org/document/6133209/","author":[{"family":"D.","given":"Christy Sujatha"},{"family":"Abimannan","given":"Satheesh"}],"accessed":{"date-parts":[["2026",5,16]]},"issued":{"date-parts":[["2011",11]]}}}],"schema":"https://github.com/citation-style-language/schema/raw/master/csl-citation.json"} </w:instrText>
      </w:r>
      <w:r>
        <w:rPr>
          <w:szCs w:val="24"/>
        </w:rPr>
        <w:fldChar w:fldCharType="separate"/>
      </w:r>
      <w:r w:rsidR="001D1223" w:rsidRPr="001D1223">
        <w:t>[85]</w:t>
      </w:r>
      <w:r>
        <w:rPr>
          <w:szCs w:val="24"/>
        </w:rPr>
        <w:fldChar w:fldCharType="end"/>
      </w:r>
      <w:r w:rsidRPr="007D6A70">
        <w:rPr>
          <w:szCs w:val="24"/>
        </w:rPr>
        <w:t>. Thermal energy storage (TES) systems, specifically ice storage, can be used to shift cooling loads when electricity demand is high, and/or when renewables are abundant, by freezing water when electricity prices are low and melting when electricity prices are high and cooling loads are high</w:t>
      </w:r>
      <w:r>
        <w:rPr>
          <w:szCs w:val="24"/>
        </w:rPr>
        <w:fldChar w:fldCharType="begin"/>
      </w:r>
      <w:r w:rsidR="001D1223">
        <w:rPr>
          <w:szCs w:val="24"/>
        </w:rPr>
        <w:instrText xml:space="preserve"> ADDIN ZOTERO_ITEM CSL_CITATION {"citationID":"z2ZjfPrB","properties":{"unsorted":false,"formattedCitation":"[86]","plainCitation":"[86]","noteIndex":0},"citationItems":[{"id":2039,"uris":["http://zotero.org/users/9870935/items/LBRIR3DS"],"itemData":{"id":2039,"type":"article-journal","container-title":"Applied Thermal Engineering","DOI":"10.1016/j.applthermaleng.2024.122439","ISSN":"13594311","journalAbbreviation":"Applied Thermal Engineering","language":"en","page":"122439","source":"DOI.org (Crossref)","title":"Coupling of flexible phase change materials and servers for improving the security of data centers in emergency situations","volume":"242","author":[{"family":"Yuan","given":"Jianjuan"},{"family":"Yan","given":"Yuyao"},{"family":"Zhang","given":"Xuemei"},{"family":"Kong","given":"Xiangfei"},{"family":"Zhang","given":"Tao"}],"issued":{"date-parts":[["2024",4]]}}}],"schema":"https://github.com/citation-style-language/schema/raw/master/csl-citation.json"} </w:instrText>
      </w:r>
      <w:r>
        <w:rPr>
          <w:szCs w:val="24"/>
        </w:rPr>
        <w:fldChar w:fldCharType="separate"/>
      </w:r>
      <w:r w:rsidR="001D1223" w:rsidRPr="001D1223">
        <w:t>[86]</w:t>
      </w:r>
      <w:r>
        <w:rPr>
          <w:szCs w:val="24"/>
        </w:rPr>
        <w:fldChar w:fldCharType="end"/>
      </w:r>
      <w:r w:rsidRPr="007D6A70">
        <w:rPr>
          <w:szCs w:val="24"/>
        </w:rPr>
        <w:t>.</w:t>
      </w:r>
    </w:p>
    <w:p w14:paraId="4587B737" w14:textId="77777777" w:rsidR="00FE013C" w:rsidRDefault="00FE013C" w:rsidP="004C16FF">
      <w:pPr>
        <w:pStyle w:val="Heading20"/>
        <w:jc w:val="both"/>
        <w:rPr>
          <w:color w:val="auto"/>
        </w:rPr>
      </w:pPr>
      <w:r>
        <w:rPr>
          <w:color w:val="auto"/>
        </w:rPr>
        <w:t>3.5. Power Quality and Harmonic Analysis</w:t>
      </w:r>
    </w:p>
    <w:p w14:paraId="028C966C" w14:textId="0CD48C19" w:rsidR="00FE013C" w:rsidRPr="003D3067" w:rsidRDefault="00FE013C" w:rsidP="001D1223">
      <w:pPr>
        <w:spacing w:after="120"/>
        <w:ind w:firstLine="480"/>
        <w:rPr>
          <w:szCs w:val="24"/>
          <w:lang w:val="en-CA"/>
        </w:rPr>
      </w:pPr>
      <w:r w:rsidRPr="00145C6F">
        <w:rPr>
          <w:szCs w:val="24"/>
        </w:rPr>
        <w:t xml:space="preserve">Harmonic currents create voltage waveforms that are distorted from their ideal sinusoidal nature in non-linear loads within a data </w:t>
      </w:r>
      <w:r w:rsidR="009F7E9F" w:rsidRPr="00145C6F">
        <w:rPr>
          <w:szCs w:val="24"/>
        </w:rPr>
        <w:t>center</w:t>
      </w:r>
      <w:r w:rsidRPr="00145C6F">
        <w:rPr>
          <w:szCs w:val="24"/>
        </w:rPr>
        <w:t>, resulting in equipment malfunction, loss of efficiency, and early failure. The main sources of harmonics are switched-mode power supplies (SMPS) in servers and networking devices, variable frequency drives (VFDs) in cooling systems, and LED lighting drivers</w:t>
      </w:r>
      <w:r>
        <w:rPr>
          <w:szCs w:val="24"/>
        </w:rPr>
        <w:fldChar w:fldCharType="begin"/>
      </w:r>
      <w:r w:rsidR="001D1223">
        <w:rPr>
          <w:szCs w:val="24"/>
        </w:rPr>
        <w:instrText xml:space="preserve"> ADDIN ZOTERO_ITEM CSL_CITATION {"citationID":"NUYFmlEf","properties":{"unsorted":false,"formattedCitation":"[87]","plainCitation":"[87]","noteIndex":0},"citationItems":[{"id":2038,"uris":["http://zotero.org/users/9870935/items/D5TG8H74"],"itemData":{"id":2038,"type":"standard","DOI":"10.1109/IEEESTD.1999.90559","ISBN":"978-0-7381-1661-7","publisher":"IEEE","source":"DOI.org (Crossref)","title":"IEEE Recommended Practice for Powering and Grounding Electronic Equipment","URL":"http://ieeexplore.ieee.org/document/798784/","accessed":{"date-parts":[["2026",5,17]]}}}],"schema":"https://github.com/citation-style-language/schema/raw/master/csl-citation.json"} </w:instrText>
      </w:r>
      <w:r>
        <w:rPr>
          <w:szCs w:val="24"/>
        </w:rPr>
        <w:fldChar w:fldCharType="separate"/>
      </w:r>
      <w:r w:rsidR="001D1223" w:rsidRPr="001D1223">
        <w:t>[87]</w:t>
      </w:r>
      <w:r>
        <w:rPr>
          <w:szCs w:val="24"/>
        </w:rPr>
        <w:fldChar w:fldCharType="end"/>
      </w:r>
      <w:r w:rsidRPr="00145C6F">
        <w:rPr>
          <w:szCs w:val="24"/>
        </w:rPr>
        <w:t xml:space="preserve">. </w:t>
      </w:r>
      <w:r w:rsidR="003D3067" w:rsidRPr="003D3067">
        <w:rPr>
          <w:szCs w:val="24"/>
          <w:lang w:val="en-CA"/>
        </w:rPr>
        <w:t>IEEE 519 establishes harmonic-voltage and harmonic-current limits at the point of common coupling (PCC), with applicable limits depending on system voltage and the relationship between available short-circuit current and load current. Facility compliance should therefore be evaluated using the appropriate IEEE 519 limits for the specific interconnection rather than a single universal individual-harmonic threshold</w:t>
      </w:r>
      <w:r>
        <w:rPr>
          <w:szCs w:val="24"/>
        </w:rPr>
        <w:fldChar w:fldCharType="begin"/>
      </w:r>
      <w:r>
        <w:rPr>
          <w:szCs w:val="24"/>
        </w:rPr>
        <w:instrText xml:space="preserve"> ADDIN ZOTERO_ITEM CSL_CITATION {"citationID":"JXeXKsrb","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rPr>
          <w:szCs w:val="24"/>
        </w:rPr>
        <w:fldChar w:fldCharType="separate"/>
      </w:r>
      <w:r w:rsidRPr="005A4C37">
        <w:t>[22]</w:t>
      </w:r>
      <w:r>
        <w:rPr>
          <w:szCs w:val="24"/>
        </w:rPr>
        <w:fldChar w:fldCharType="end"/>
      </w:r>
      <w:r w:rsidRPr="00145C6F">
        <w:rPr>
          <w:szCs w:val="24"/>
        </w:rPr>
        <w:t xml:space="preserve">. Passive filters (tuned LC circuits targeting specific </w:t>
      </w:r>
      <w:r w:rsidRPr="00145C6F">
        <w:rPr>
          <w:szCs w:val="24"/>
        </w:rPr>
        <w:lastRenderedPageBreak/>
        <w:t>harmonic orders), active power filters (APFs) that inject compensating currents to cancel harmonic distortion, and system-level solutions, such as 12-pulse or 18-pulse rectifier configurations that naturally cancel lower-order harmonics</w:t>
      </w:r>
      <w:r>
        <w:rPr>
          <w:szCs w:val="24"/>
        </w:rPr>
        <w:fldChar w:fldCharType="begin"/>
      </w:r>
      <w:r w:rsidR="001D1223">
        <w:rPr>
          <w:szCs w:val="24"/>
        </w:rPr>
        <w:instrText xml:space="preserve"> ADDIN ZOTERO_ITEM CSL_CITATION {"citationID":"Mv0Kakcm","properties":{"unsorted":false,"formattedCitation":"[88]","plainCitation":"[88]","noteIndex":0},"citationItems":[{"id":2041,"uris":["http://zotero.org/users/9870935/items/QAAMKLCE"],"itemData":{"id":2041,"type":"article-journal","language":"en","source":"Zotero","title":"Active Power Filters for Harmonic Mitigation in Power Systems","author":[{"family":"Siddique","given":"Riashad"}]}}],"schema":"https://github.com/citation-style-language/schema/raw/master/csl-citation.json"} </w:instrText>
      </w:r>
      <w:r>
        <w:rPr>
          <w:szCs w:val="24"/>
        </w:rPr>
        <w:fldChar w:fldCharType="separate"/>
      </w:r>
      <w:r w:rsidR="001D1223" w:rsidRPr="001D1223">
        <w:t>[88]</w:t>
      </w:r>
      <w:r>
        <w:rPr>
          <w:szCs w:val="24"/>
        </w:rPr>
        <w:fldChar w:fldCharType="end"/>
      </w:r>
      <w:r w:rsidRPr="00145C6F">
        <w:rPr>
          <w:szCs w:val="24"/>
        </w:rPr>
        <w:t xml:space="preserve">, are all available as options for mitigation. The use of power factor correction (PFC) circuits in modern server power supplies has </w:t>
      </w:r>
      <w:r w:rsidR="00580BAE" w:rsidRPr="00145C6F">
        <w:rPr>
          <w:szCs w:val="24"/>
        </w:rPr>
        <w:t>minimized</w:t>
      </w:r>
      <w:r w:rsidRPr="00145C6F">
        <w:rPr>
          <w:szCs w:val="24"/>
        </w:rPr>
        <w:t xml:space="preserve"> the harmonic contribution from IT equipment, and most modern servers have a power factor &gt; 0.95 and THD &lt; 10</w:t>
      </w:r>
      <w:r>
        <w:rPr>
          <w:szCs w:val="24"/>
        </w:rPr>
        <w:t xml:space="preserve">% </w:t>
      </w:r>
      <w:r w:rsidRPr="00145C6F">
        <w:rPr>
          <w:szCs w:val="24"/>
        </w:rPr>
        <w:t>at the input terminals</w:t>
      </w:r>
      <w:r>
        <w:rPr>
          <w:szCs w:val="24"/>
        </w:rPr>
        <w:fldChar w:fldCharType="begin"/>
      </w:r>
      <w:r w:rsidR="001D1223">
        <w:rPr>
          <w:szCs w:val="24"/>
        </w:rPr>
        <w:instrText xml:space="preserve"> ADDIN ZOTERO_ITEM CSL_CITATION {"citationID":"pxV0xqgq","properties":{"unsorted":false,"formattedCitation":"[89]","plainCitation":"[89]","noteIndex":0},"citationItems":[{"id":2042,"uris":["http://zotero.org/users/9870935/items/PXUHJN77"],"itemData":{"id":2042,"type":"article-journal","abstract":"Advances in power electronics and their use in Miscellaneous Electric Loads (MELs) in buildings have resulted in increased interest in using low-voltage direct current (DC) power distribution as a replacement for the standard alternating current (AC) power distribution in buildings. Both systems require an endpoint converter to convert the distribution system voltage to the MELs voltage requirements. This study focused on the efficiency of these endpoint converters by testing pairs of AC/DC and DC/DC power converters powering the same load profile. In contrast to prior studies, which estimated losses based on data sheet efficiency and rated loads, in this study, we used part load data derived from real-world time-series load measurements of MELs and experimentally characterized efficiency curves for all converters. The measurements performed for this study showed no systematic efficiency advantage for commercially available DC/DC endpoint converters relative to comparable, commercially available AC/DC endpoint converters. For the eight appliances analyzed with the pair of converters tested, in 50%, the weighted energy efficiency of the DC/DC converter was higher, while, for the other 50%, the AC/DC converter was. Additionally, the measurements indicated that the common assumption of using either data sheet efficiency values or efficiency at full load may result in substantial mis-estimates of the system efficiency.","container-title":"Energies","DOI":"10.3390/en14185863","ISSN":"1996-1073","issue":"18","journalAbbreviation":"Energies","language":"en","page":"5863","source":"DOI.org (Crossref)","title":"Endpoint Use Efficiency Comparison for AC and DC Power Distribution in Commercial Buildings","volume":"14","author":[{"family":"Santos","given":"Arthur"},{"family":"Duggan","given":"Gerald"},{"family":"Frank","given":"Stephen"},{"family":"Gerber","given":"Daniel"},{"family":"Zimmerle","given":"Daniel"}],"issued":{"date-parts":[["2021",9,16]]}}}],"schema":"https://github.com/citation-style-language/schema/raw/master/csl-citation.json"} </w:instrText>
      </w:r>
      <w:r>
        <w:rPr>
          <w:szCs w:val="24"/>
        </w:rPr>
        <w:fldChar w:fldCharType="separate"/>
      </w:r>
      <w:r w:rsidR="001D1223" w:rsidRPr="001D1223">
        <w:t>[89]</w:t>
      </w:r>
      <w:r>
        <w:rPr>
          <w:szCs w:val="24"/>
        </w:rPr>
        <w:fldChar w:fldCharType="end"/>
      </w:r>
      <w:r w:rsidRPr="00145C6F">
        <w:rPr>
          <w:szCs w:val="24"/>
        </w:rPr>
        <w:t>. However, the overall impact of thousands of nonlinear loads is best addressed through facility-level harmonic analysis and mitigation.</w:t>
      </w:r>
    </w:p>
    <w:p w14:paraId="66734DC0" w14:textId="77777777" w:rsidR="00FE013C" w:rsidRDefault="00FE013C" w:rsidP="004C16FF">
      <w:pPr>
        <w:pStyle w:val="Heading20"/>
        <w:jc w:val="both"/>
        <w:rPr>
          <w:color w:val="auto"/>
        </w:rPr>
      </w:pPr>
      <w:r>
        <w:rPr>
          <w:color w:val="auto"/>
        </w:rPr>
        <w:t>3.6. Metering and Monitoring Systems</w:t>
      </w:r>
    </w:p>
    <w:p w14:paraId="707AB882" w14:textId="2EDD70D1" w:rsidR="00FE013C" w:rsidRPr="00B83856" w:rsidRDefault="00FE013C" w:rsidP="001D1223">
      <w:pPr>
        <w:spacing w:after="120"/>
        <w:ind w:firstLine="480"/>
        <w:rPr>
          <w:szCs w:val="24"/>
        </w:rPr>
      </w:pPr>
      <w:r w:rsidRPr="00B83856">
        <w:rPr>
          <w:szCs w:val="24"/>
        </w:rPr>
        <w:t xml:space="preserve">Energy management and </w:t>
      </w:r>
      <w:r w:rsidR="00580BAE" w:rsidRPr="00B83856">
        <w:rPr>
          <w:szCs w:val="24"/>
        </w:rPr>
        <w:t>optimization</w:t>
      </w:r>
      <w:r w:rsidRPr="00B83856">
        <w:rPr>
          <w:szCs w:val="24"/>
        </w:rPr>
        <w:t xml:space="preserve"> are built on comprehensive metering and monitoring infrastructure, which ensures real-time data foundation. Revenue-grade power meters are usually ANSI C12.20 Class 0.2 accurate and are used at key distribution points, such as utility interconnections, generator outputs, UPS inputs and outputs, and PDU feed circuits</w:t>
      </w:r>
      <w:r>
        <w:rPr>
          <w:szCs w:val="24"/>
        </w:rPr>
        <w:fldChar w:fldCharType="begin"/>
      </w:r>
      <w:r w:rsidR="001D1223">
        <w:rPr>
          <w:szCs w:val="24"/>
        </w:rPr>
        <w:instrText xml:space="preserve"> ADDIN ZOTERO_ITEM CSL_CITATION {"citationID":"auJULgbp","properties":{"unsorted":false,"formattedCitation":"[90]","plainCitation":"[90]","noteIndex":0},"citationItems":[{"id":2043,"uris":["http://zotero.org/users/9870935/items/S5A8TX2F"],"itemData":{"id":2043,"type":"paper-conference","container-title":"2007 Power Systems Conference: Advanced Metering, Protection, Control, Communication, and Distributed Resources","DOI":"10.1109/PSAMP.2007.4740906","event-title":"2007 Power Systems Conference: Advanced Metering, Protection, Control, Communication, and Distributed Resources","ISBN":"978-1-4244-0854-2","page":"117-122","publisher":"IEEE","publisher-place":"Clemson, SC, USA","source":"DOI.org (Crossref)","title":"The ANSI C12 protocol suite - updated and now with network capabilities","URL":"http://ieeexplore.ieee.org/document/4740906/","author":[{"family":"Snyder","given":"A. F."},{"family":"Stuber","given":"M. T. Garrison"}],"accessed":{"date-parts":[["2026",5,17]]},"issued":{"date-parts":[["2007",3]]}}}],"schema":"https://github.com/citation-style-language/schema/raw/master/csl-citation.json"} </w:instrText>
      </w:r>
      <w:r>
        <w:rPr>
          <w:szCs w:val="24"/>
        </w:rPr>
        <w:fldChar w:fldCharType="separate"/>
      </w:r>
      <w:r w:rsidR="001D1223" w:rsidRPr="001D1223">
        <w:t>[90]</w:t>
      </w:r>
      <w:r>
        <w:rPr>
          <w:szCs w:val="24"/>
        </w:rPr>
        <w:fldChar w:fldCharType="end"/>
      </w:r>
      <w:r w:rsidRPr="00B83856">
        <w:rPr>
          <w:szCs w:val="24"/>
        </w:rPr>
        <w:t xml:space="preserve">. Today's energy management systems (EMS) are designed to collect data from hundreds or thousands of metering points, provide a dashboard, trending, alarm management, and automate reporting. The system can be integrated with building management systems (BMS), which allows for the correlation of electrical consumption with environmental conditions and cooling system performance. Modern EMS platforms provide data logging and analytics features that allow for more advanced efficiency </w:t>
      </w:r>
      <w:r w:rsidR="00580BAE" w:rsidRPr="00B83856">
        <w:rPr>
          <w:szCs w:val="24"/>
        </w:rPr>
        <w:t>optimization</w:t>
      </w:r>
      <w:r w:rsidRPr="00B83856">
        <w:rPr>
          <w:szCs w:val="24"/>
        </w:rPr>
        <w:t>, such as identifying lost energy in equipment not being used, tracking unusual energy use patterns, which can signify equipment deterioration, and comparing actual energy use to predicted energy use based on weather, occupancy, and workload parameters</w:t>
      </w:r>
      <w:r>
        <w:rPr>
          <w:szCs w:val="24"/>
        </w:rPr>
        <w:fldChar w:fldCharType="begin"/>
      </w:r>
      <w:r w:rsidR="001D1223">
        <w:rPr>
          <w:szCs w:val="24"/>
        </w:rPr>
        <w:instrText xml:space="preserve"> ADDIN ZOTERO_ITEM CSL_CITATION {"citationID":"ZVmq8j39","properties":{"unsorted":false,"formattedCitation":"[91]","plainCitation":"[91]","noteIndex":0},"citationItems":[{"id":2044,"uris":["http://zotero.org/users/9870935/items/6R3YK6PU"],"itemData":{"id":2044,"type":"article","abstract":"The rapid proliferation of distributed energy resources (DERs), including photovoltaics, wind power, battery energy storage, and electric vehicles, has transformed traditional power systems into highly decentralized and data-rich environments. Virtual Power Plants (VPPs) have emerged as a key mechanism for aggregating these heterogeneous assets and enabling coordinated control, market participation, and grid-support functions. Recent advances in artificial intelligence (AI) have further elevated the scalability, autonomy, and responsiveness of VPP operations.\nThis paper presents a comprehensive review of AI for VPPs, organized around a taxonomy of machine learning, deep learning, reinforcement learning, and hybrid approaches, and examines how these methods map to core VPP functions such as forecasting, scheduling, market bidding, aggregation, and ancillary services. In parallel, we analyze enabling architectural frameworks—including centralized cloud, distributed edge, hybrid cloud–edge collaboration, and emerging 5G/LEO satellite communication infrastructures—that support real-time data exchange and scalable deployment of intelligent control. By integrating methodological, functional, and architectural perspectives, this review highlights the evolution of VPPs from rule-based coordination to intelligent, autonomous energy ecosystems. Key research challenges are identified in data quality, model interpretability, multi-agent scalability, cyber-physical resilience, and the integration of AI with digital twins and edge-native computation. These findings outline promising directions for next-generation intelligent VPPs capable of delivering secure, flexible, and self-optimizing DER aggregation at scale.","DOI":"10.20944/preprints202601.1691.v1","license":"http://creativecommons.org/licenses/by/4.0","publisher":"Engineering","source":"DOI.org (Crossref)","title":"AI Driven Virtual Power Plants: A Comprehensive Review","title-short":"AI Driven Virtual Power Plants","URL":"https://www.preprints.org/manuscript/202601.1691/v1","author":[{"family":"Li","given":"Jian"},{"family":"Wang","given":"Chenxi"},{"family":"Liu","given":"Yonghe"}],"accessed":{"date-parts":[["2026",5,17]]},"issued":{"date-parts":[["2026",1,22]]}}}],"schema":"https://github.com/citation-style-language/schema/raw/master/csl-citation.json"} </w:instrText>
      </w:r>
      <w:r>
        <w:rPr>
          <w:szCs w:val="24"/>
        </w:rPr>
        <w:fldChar w:fldCharType="separate"/>
      </w:r>
      <w:r w:rsidR="001D1223" w:rsidRPr="001D1223">
        <w:t>[91]</w:t>
      </w:r>
      <w:r>
        <w:rPr>
          <w:szCs w:val="24"/>
        </w:rPr>
        <w:fldChar w:fldCharType="end"/>
      </w:r>
      <w:r w:rsidRPr="00B83856">
        <w:rPr>
          <w:szCs w:val="24"/>
        </w:rPr>
        <w:t>. Machine learning algorithms have been shown to lower cooling energy use by 15–30</w:t>
      </w:r>
      <w:r>
        <w:rPr>
          <w:szCs w:val="24"/>
        </w:rPr>
        <w:t xml:space="preserve">% </w:t>
      </w:r>
      <w:r w:rsidRPr="00B83856">
        <w:rPr>
          <w:szCs w:val="24"/>
        </w:rPr>
        <w:t xml:space="preserve">by </w:t>
      </w:r>
      <w:r w:rsidR="00580BAE" w:rsidRPr="00B83856">
        <w:rPr>
          <w:szCs w:val="24"/>
        </w:rPr>
        <w:t>optimizing</w:t>
      </w:r>
      <w:r w:rsidRPr="00B83856">
        <w:rPr>
          <w:szCs w:val="24"/>
        </w:rPr>
        <w:t xml:space="preserve"> setpoints and scheduling equipment in EMS</w:t>
      </w:r>
      <w:r>
        <w:rPr>
          <w:szCs w:val="24"/>
        </w:rPr>
        <w:fldChar w:fldCharType="begin"/>
      </w:r>
      <w:r w:rsidR="001D1223">
        <w:rPr>
          <w:szCs w:val="24"/>
        </w:rPr>
        <w:instrText xml:space="preserve"> ADDIN ZOTERO_ITEM CSL_CITATION {"citationID":"yq9cwOWS","properties":{"unsorted":false,"formattedCitation":"[92]","plainCitation":"[92]","noteIndex":0},"citationItems":[{"id":2046,"uris":["http://zotero.org/users/9870935/items/P4BXZMCV"],"itemData":{"id":2046,"type":"article","abstract":"Data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Pr>
          <w:szCs w:val="24"/>
        </w:rPr>
        <w:fldChar w:fldCharType="separate"/>
      </w:r>
      <w:r w:rsidR="001D1223" w:rsidRPr="001D1223">
        <w:t>[92]</w:t>
      </w:r>
      <w:r>
        <w:rPr>
          <w:szCs w:val="24"/>
        </w:rPr>
        <w:fldChar w:fldCharType="end"/>
      </w:r>
      <w:r w:rsidRPr="00B83856">
        <w:rPr>
          <w:szCs w:val="24"/>
        </w:rPr>
        <w:t>.</w:t>
      </w:r>
    </w:p>
    <w:p w14:paraId="2F054A70" w14:textId="77777777" w:rsidR="00FE013C" w:rsidRDefault="00FE013C" w:rsidP="004C16FF">
      <w:pPr>
        <w:pStyle w:val="Heading10"/>
        <w:jc w:val="both"/>
        <w:rPr>
          <w:color w:val="auto"/>
        </w:rPr>
      </w:pPr>
      <w:r>
        <w:rPr>
          <w:color w:val="auto"/>
          <w:lang w:eastAsia="zh-CN"/>
        </w:rPr>
        <w:t xml:space="preserve">4. </w:t>
      </w:r>
      <w:r>
        <w:rPr>
          <w:color w:val="auto"/>
        </w:rPr>
        <w:t>Renewable Energy Resources and Assessment</w:t>
      </w:r>
    </w:p>
    <w:p w14:paraId="79058439" w14:textId="72E9945E" w:rsidR="00FE013C" w:rsidRDefault="00FE013C" w:rsidP="004C16FF">
      <w:pPr>
        <w:spacing w:after="120"/>
        <w:ind w:firstLine="480"/>
      </w:pPr>
      <w:r>
        <w:t xml:space="preserve">This section characterizes the solar, wind, and hydroelectric resources available for data </w:t>
      </w:r>
      <w:r w:rsidR="00580BAE">
        <w:t>center</w:t>
      </w:r>
      <w:r>
        <w:t xml:space="preserve"> integration, along with the methodologies used to assess these resources and quantify their variability. Understanding the resource characteristics is fundamental to optimal technology selection, system sizing, and operational strategy development for renewable-powered data </w:t>
      </w:r>
      <w:r w:rsidR="00580BAE">
        <w:t>center</w:t>
      </w:r>
      <w:r>
        <w:t>s.</w:t>
      </w:r>
    </w:p>
    <w:p w14:paraId="63AE813B" w14:textId="77777777" w:rsidR="00FE013C" w:rsidRDefault="00FE013C" w:rsidP="004C16FF">
      <w:pPr>
        <w:pStyle w:val="Heading20"/>
        <w:jc w:val="both"/>
        <w:rPr>
          <w:color w:val="auto"/>
        </w:rPr>
      </w:pPr>
      <w:r>
        <w:rPr>
          <w:color w:val="auto"/>
        </w:rPr>
        <w:t>4.1. Solar Photovoltaic Systems</w:t>
      </w:r>
    </w:p>
    <w:p w14:paraId="08DE4784" w14:textId="6D21E6FE" w:rsidR="00AF0CB4" w:rsidRDefault="00FE013C" w:rsidP="001D1223">
      <w:pPr>
        <w:spacing w:after="120"/>
        <w:ind w:firstLine="480"/>
      </w:pPr>
      <w:r w:rsidRPr="00C071A1">
        <w:t xml:space="preserve">PV is now the least expensive renewable energy option in most locations for data </w:t>
      </w:r>
      <w:r w:rsidR="00580BAE">
        <w:t>center</w:t>
      </w:r>
      <w:r w:rsidRPr="00C071A1">
        <w:t xml:space="preserve">s where the sun shines. Currently available monocrystalline modules in the commercial market have efficiencies of 20–23%, whereas high-efficiency modules with heterojunction (HJT) or tunnel oxide passivated contact (TOPCon) cell architectures have achieved efficiencies of 23–25% under standard test conditions [13]. According to the latest global market indicators, the weighted average cost of utility-scale ground-mounted solar PV systems has continued its historic decline, sitting between $0.70 and $1.30/W ($700 to $1,300/kW) in the current market, marking an approximate 87% to 90% drop from the 2010 benchmarks [14]. </w:t>
      </w:r>
      <w:r w:rsidR="0055676D" w:rsidRPr="0055676D">
        <w:t xml:space="preserve">This downward cost trajectory is expected to continue as technology learning, manufacturing scale, and supply-chain integration reduce the costs of solar PV and battery storage. IRENA's 2026 analysis of firm solar-plus-battery configurations across multiple countries projects further cost reductions of approximately 30% by 2030 and around 40% by 2035 under its </w:t>
      </w:r>
      <w:r w:rsidR="0055676D" w:rsidRPr="0055676D">
        <w:lastRenderedPageBreak/>
        <w:t>modeled technology and cost assumptions, with firm LCOEs potentially falling below USD 50/MWh at the best-performing sites by 2035</w:t>
      </w:r>
      <w:r w:rsidR="001D1223">
        <w:fldChar w:fldCharType="begin"/>
      </w:r>
      <w:r w:rsidR="001D1223">
        <w:instrText xml:space="preserve"> ADDIN ZOTERO_ITEM CSL_CITATION {"citationID":"NicOAjXF","properties":{"unsorted":false,"formattedCitation":"[93]","plainCitation":"[93]","noteIndex":0},"citationItems":[{"id":2741,"uris":["http://zotero.org/users/9870935/items/G6DN32VT"],"itemData":{"id":2741,"type":"book","ISBN":"978-92-9260-736-4","language":"spa","note":"OCLC: 1604685356","publisher":"International Renewable Energy Agency","publisher-place":"Abu Dhabi","source":"Open WorldCat","title":"24/7 renewables: the economics of firm solar and wind","title-short":"24/7 renewables","issued":{"date-parts":[["2026"]]}}}],"schema":"https://github.com/citation-style-language/schema/raw/master/csl-citation.json"} </w:instrText>
      </w:r>
      <w:r w:rsidR="001D1223">
        <w:fldChar w:fldCharType="separate"/>
      </w:r>
      <w:r w:rsidR="001D1223" w:rsidRPr="001D1223">
        <w:t>[93]</w:t>
      </w:r>
      <w:r w:rsidR="001D1223">
        <w:fldChar w:fldCharType="end"/>
      </w:r>
      <w:r w:rsidR="0055676D" w:rsidRPr="0055676D">
        <w:t>. These projections should be interpreted as scenario-based cost trajectories rather than deterministic forecasts and are based on the reliability assumptions adopted in the IRENA analysis.</w:t>
      </w:r>
    </w:p>
    <w:p w14:paraId="04EBC92C" w14:textId="0766ABED" w:rsidR="00FE013C" w:rsidRDefault="00FE013C" w:rsidP="0055676D">
      <w:pPr>
        <w:spacing w:after="120"/>
        <w:ind w:firstLine="480"/>
      </w:pPr>
      <w:r w:rsidRPr="00C071A1">
        <w:t>The geographic variability of solar capacity factors is high, with values ranging from 13% to 17</w:t>
      </w:r>
      <w:r>
        <w:t xml:space="preserve">% </w:t>
      </w:r>
      <w:r w:rsidRPr="00C071A1">
        <w:t>in the northern part of Europe and the Pacific Northwest and from 25% to 30</w:t>
      </w:r>
      <w:r>
        <w:t xml:space="preserve">% </w:t>
      </w:r>
      <w:r w:rsidRPr="00C071A1">
        <w:t>in the desert Southwest of the U.S. and the arid areas of the Middle East and North Africa</w:t>
      </w:r>
      <w:r>
        <w:fldChar w:fldCharType="begin"/>
      </w:r>
      <w:r w:rsidR="00A95675">
        <w:instrText xml:space="preserve"> ADDIN ZOTERO_ITEM CSL_CITATION {"citationID":"JNDExKFF","properties":{"unsorted":false,"formattedCitation":"[94]","plainCitation":"[94]","noteIndex":0},"citationItems":[{"id":2049,"uris":["http://zotero.org/users/9870935/items/HTQQE34D"],"itemData":{"id":2049,"type":"post-weblog","title":"National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A95675" w:rsidRPr="00A95675">
        <w:t>[94]</w:t>
      </w:r>
      <w:r>
        <w:fldChar w:fldCharType="end"/>
      </w:r>
      <w:r w:rsidRPr="00C071A1">
        <w:t>. NREL's Annual Technology Baseline reports net capacity factors spanning 21% to 34</w:t>
      </w:r>
      <w:r>
        <w:t xml:space="preserve">% </w:t>
      </w:r>
      <w:r w:rsidRPr="00C071A1">
        <w:t>for utility-scale PV across solar resource classes</w:t>
      </w:r>
      <w:r>
        <w:fldChar w:fldCharType="begin"/>
      </w:r>
      <w:r w:rsidR="00A95675">
        <w:instrText xml:space="preserve"> ADDIN ZOTERO_ITEM CSL_CITATION {"citationID":"h6U7qzDb","properties":{"unsorted":false,"formattedCitation":"[94]","plainCitation":"[94]","noteIndex":0},"citationItems":[{"id":2049,"uris":["http://zotero.org/users/9870935/items/HTQQE34D"],"itemData":{"id":2049,"type":"post-weblog","title":"National Renewable Energy Laboratory (NREL)","URL":"https://atb.nrel.gov/","author":[{"family":"NREL","given":""}]}}],"schema":"https://github.com/citation-style-language/schema/raw/master/csl-citation.json"} </w:instrText>
      </w:r>
      <w:r>
        <w:fldChar w:fldCharType="separate"/>
      </w:r>
      <w:r w:rsidR="00A95675" w:rsidRPr="00A95675">
        <w:t>[94]</w:t>
      </w:r>
      <w:r>
        <w:fldChar w:fldCharType="end"/>
      </w:r>
      <w:r w:rsidRPr="00C071A1">
        <w:t>. The performance of the inverter is a key factor; modern string and central inverters provide weighted average efficiencies of 95% to 98.5</w:t>
      </w:r>
      <w:r>
        <w:t>%</w:t>
      </w:r>
      <w:r w:rsidRPr="00C071A1">
        <w:t xml:space="preserve"> under varying irradiance and temperature conditions. Going beyond basic energy conversion, advanced inverter functions such as reactive power control, voltage ride-through, and dynamic frequency response are becoming mandatory under modern grid interconnection standards, adding crucial resilience and value to the host network</w:t>
      </w:r>
      <w:r>
        <w:fldChar w:fldCharType="begin"/>
      </w:r>
      <w:r w:rsidR="00A95675">
        <w:instrText xml:space="preserve"> ADDIN ZOTERO_ITEM CSL_CITATION {"citationID":"XP0P73le","properties":{"unsorted":false,"formattedCitation":"[95]","plainCitation":"[95]","noteIndex":0},"citationItems":[{"id":2050,"uris":["http://zotero.org/users/9870935/items/XRT6BU8P"],"itemData":{"id":2050,"type":"article-journal","DOI":"10.5445/IR/1000191363","language":"en","license":"Open Access, Creative Commons Namensnennung 4.0 International","publisher":"Elsevier","source":"DOI.org (Datacite)","title":"Photovoltaic system reduces grid voltage waveform distortions in the frequency range from 700 Hz to 1250 Hz","URL":"https://publikationen.bibliothek.kit.edu/1000191363","author":[{"family":"Förstner","given":"Ellen"},{"family":"Dughmosh","given":"Mohamad"},{"family":"Mikut","given":"Ralf"},{"family":"Haefele","given":"Karl-Heinz"},{"family":"Jakel","given":"Denis"},{"family":"Bao","given":"Kaibin"},{"family":"Maaß","given":"Heiko"},{"family":"Jumar","given":"Richard"},{"family":"Fotler","given":"Andreas"},{"family":"Kühnapfel","given":"Uwe"},{"family":"Hagenmeyer","given":"Veit"}],"accessed":{"date-parts":[["2026",5,17]]},"issued":{"date-parts":[["2026"]]}}}],"schema":"https://github.com/citation-style-language/schema/raw/master/csl-citation.json"} </w:instrText>
      </w:r>
      <w:r>
        <w:fldChar w:fldCharType="separate"/>
      </w:r>
      <w:r w:rsidR="00A95675" w:rsidRPr="00A95675">
        <w:t>[95]</w:t>
      </w:r>
      <w:r>
        <w:fldChar w:fldCharType="end"/>
      </w:r>
      <w:r w:rsidRPr="00C071A1">
        <w:t>.</w:t>
      </w:r>
      <w:r>
        <w:t xml:space="preserve"> </w:t>
      </w:r>
      <w:r w:rsidR="000720CF">
        <w:fldChar w:fldCharType="begin"/>
      </w:r>
      <w:r w:rsidR="000720CF">
        <w:instrText xml:space="preserve"> REF _Ref239530734 \h </w:instrText>
      </w:r>
      <w:r w:rsidR="000720CF">
        <w:fldChar w:fldCharType="separate"/>
      </w:r>
      <w:r w:rsidR="000720CF">
        <w:t xml:space="preserve">Table </w:t>
      </w:r>
      <w:r w:rsidR="000720CF">
        <w:rPr>
          <w:noProof/>
        </w:rPr>
        <w:t>2</w:t>
      </w:r>
      <w:r w:rsidR="000720CF">
        <w:t xml:space="preserve"> Solar PV capacity factors by U.S. region</w:t>
      </w:r>
      <w:r w:rsidR="000720CF">
        <w:fldChar w:fldCharType="end"/>
      </w:r>
      <w:r w:rsidR="000720CF">
        <w:t xml:space="preserve">, </w:t>
      </w:r>
      <w:r w:rsidRPr="008447E1">
        <w:t>compiles annual capacity factors and installed cost benchmarks across six U.S. regions, providing the site-specific input parameters needed to apply the framework's site assessment component (Component 1, Section 7.2).</w:t>
      </w:r>
    </w:p>
    <w:p w14:paraId="64914837" w14:textId="262D6A3D" w:rsidR="00FE013C" w:rsidRDefault="00FE013C" w:rsidP="004C16FF">
      <w:pPr>
        <w:pStyle w:val="Caption"/>
        <w:keepNext/>
      </w:pPr>
      <w:bookmarkStart w:id="8" w:name="_Ref239530734"/>
      <w:r>
        <w:t xml:space="preserve">Table </w:t>
      </w:r>
      <w:r>
        <w:fldChar w:fldCharType="begin"/>
      </w:r>
      <w:r>
        <w:instrText xml:space="preserve"> SEQ Table \* ARABIC </w:instrText>
      </w:r>
      <w:r>
        <w:fldChar w:fldCharType="separate"/>
      </w:r>
      <w:r w:rsidR="003A45CA">
        <w:rPr>
          <w:noProof/>
        </w:rPr>
        <w:t>2</w:t>
      </w:r>
      <w:r>
        <w:rPr>
          <w:noProof/>
        </w:rPr>
        <w:fldChar w:fldCharType="end"/>
      </w:r>
      <w:r>
        <w:t xml:space="preserve"> Solar PV capacity factors by U.S. region</w:t>
      </w:r>
      <w:bookmarkEnd w:id="8"/>
    </w:p>
    <w:tbl>
      <w:tblPr>
        <w:tblStyle w:val="Mdeck5tablebodythreelines"/>
        <w:tblW w:w="0" w:type="auto"/>
        <w:tblLook w:val="04A0" w:firstRow="1" w:lastRow="0" w:firstColumn="1" w:lastColumn="0" w:noHBand="0" w:noVBand="1"/>
      </w:tblPr>
      <w:tblGrid>
        <w:gridCol w:w="2905"/>
        <w:gridCol w:w="1683"/>
        <w:gridCol w:w="1371"/>
        <w:gridCol w:w="1323"/>
        <w:gridCol w:w="2111"/>
      </w:tblGrid>
      <w:tr w:rsidR="00FE013C" w:rsidRPr="00877478" w14:paraId="01C732C8" w14:textId="77777777" w:rsidTr="00CC7EAF">
        <w:trPr>
          <w:cnfStyle w:val="100000000000" w:firstRow="1" w:lastRow="0" w:firstColumn="0" w:lastColumn="0" w:oddVBand="0" w:evenVBand="0" w:oddHBand="0" w:evenHBand="0" w:firstRowFirstColumn="0" w:firstRowLastColumn="0" w:lastRowFirstColumn="0" w:lastRowLastColumn="0"/>
        </w:trPr>
        <w:tc>
          <w:tcPr>
            <w:tcW w:w="0" w:type="auto"/>
            <w:hideMark/>
          </w:tcPr>
          <w:p w14:paraId="348C5EC4" w14:textId="77777777" w:rsidR="00FE013C" w:rsidRPr="00CC7EAF" w:rsidRDefault="00FE013C" w:rsidP="004C16FF">
            <w:pPr>
              <w:pStyle w:val="TableBody"/>
              <w:jc w:val="both"/>
              <w:rPr>
                <w:b/>
                <w:bCs/>
                <w:color w:val="auto"/>
                <w:lang w:val="en-US"/>
              </w:rPr>
            </w:pPr>
            <w:r w:rsidRPr="00CC7EAF">
              <w:rPr>
                <w:b/>
                <w:bCs/>
                <w:color w:val="auto"/>
                <w:lang w:val="en-US"/>
              </w:rPr>
              <w:t>Region</w:t>
            </w:r>
          </w:p>
        </w:tc>
        <w:tc>
          <w:tcPr>
            <w:tcW w:w="0" w:type="auto"/>
            <w:hideMark/>
          </w:tcPr>
          <w:p w14:paraId="081C578E" w14:textId="77777777" w:rsidR="00FE013C" w:rsidRPr="00CC7EAF" w:rsidRDefault="00FE013C" w:rsidP="004C16FF">
            <w:pPr>
              <w:pStyle w:val="TableBody"/>
              <w:jc w:val="both"/>
              <w:rPr>
                <w:b/>
                <w:bCs/>
                <w:color w:val="auto"/>
                <w:lang w:val="en-US"/>
              </w:rPr>
            </w:pPr>
            <w:r w:rsidRPr="00CC7EAF">
              <w:rPr>
                <w:b/>
                <w:bCs/>
                <w:color w:val="auto"/>
                <w:lang w:val="en-US"/>
              </w:rPr>
              <w:t>Annual CF (%)</w:t>
            </w:r>
          </w:p>
        </w:tc>
        <w:tc>
          <w:tcPr>
            <w:tcW w:w="0" w:type="auto"/>
            <w:hideMark/>
          </w:tcPr>
          <w:p w14:paraId="4257879A" w14:textId="77777777" w:rsidR="00FE013C" w:rsidRPr="00CC7EAF" w:rsidRDefault="00FE013C" w:rsidP="004C16FF">
            <w:pPr>
              <w:pStyle w:val="TableBody"/>
              <w:jc w:val="both"/>
              <w:rPr>
                <w:b/>
                <w:bCs/>
                <w:color w:val="auto"/>
                <w:lang w:val="en-US"/>
              </w:rPr>
            </w:pPr>
            <w:r w:rsidRPr="00CC7EAF">
              <w:rPr>
                <w:b/>
                <w:bCs/>
                <w:color w:val="auto"/>
                <w:lang w:val="en-US"/>
              </w:rPr>
              <w:t>Peak Month</w:t>
            </w:r>
          </w:p>
        </w:tc>
        <w:tc>
          <w:tcPr>
            <w:tcW w:w="0" w:type="auto"/>
            <w:hideMark/>
          </w:tcPr>
          <w:p w14:paraId="32F9EE72" w14:textId="77777777" w:rsidR="00FE013C" w:rsidRPr="00CC7EAF" w:rsidRDefault="00FE013C" w:rsidP="004C16FF">
            <w:pPr>
              <w:pStyle w:val="TableBody"/>
              <w:jc w:val="both"/>
              <w:rPr>
                <w:b/>
                <w:bCs/>
                <w:color w:val="auto"/>
                <w:lang w:val="en-US"/>
              </w:rPr>
            </w:pPr>
            <w:r w:rsidRPr="00CC7EAF">
              <w:rPr>
                <w:b/>
                <w:bCs/>
                <w:color w:val="auto"/>
                <w:lang w:val="en-US"/>
              </w:rPr>
              <w:t>Low Month</w:t>
            </w:r>
          </w:p>
        </w:tc>
        <w:tc>
          <w:tcPr>
            <w:tcW w:w="0" w:type="auto"/>
            <w:hideMark/>
          </w:tcPr>
          <w:p w14:paraId="393D5A8A" w14:textId="77777777" w:rsidR="00FE013C" w:rsidRPr="00CC7EAF" w:rsidRDefault="00FE013C" w:rsidP="004C16FF">
            <w:pPr>
              <w:pStyle w:val="TableBody"/>
              <w:jc w:val="both"/>
              <w:rPr>
                <w:b/>
                <w:bCs/>
                <w:color w:val="auto"/>
                <w:lang w:val="en-US"/>
              </w:rPr>
            </w:pPr>
            <w:r w:rsidRPr="00CC7EAF">
              <w:rPr>
                <w:b/>
                <w:bCs/>
                <w:color w:val="auto"/>
                <w:lang w:val="en-US"/>
              </w:rPr>
              <w:t>Installed Cost ($/W)</w:t>
            </w:r>
          </w:p>
        </w:tc>
      </w:tr>
      <w:tr w:rsidR="00FE013C" w:rsidRPr="00877478" w14:paraId="0E7B20FD" w14:textId="77777777" w:rsidTr="00CC7EAF">
        <w:tc>
          <w:tcPr>
            <w:tcW w:w="0" w:type="auto"/>
            <w:hideMark/>
          </w:tcPr>
          <w:p w14:paraId="51F3E38B" w14:textId="77777777" w:rsidR="00FE013C" w:rsidRPr="00CC7EAF" w:rsidRDefault="00FE013C" w:rsidP="004C16FF">
            <w:pPr>
              <w:pStyle w:val="TableBody"/>
              <w:jc w:val="both"/>
              <w:rPr>
                <w:b/>
                <w:bCs/>
                <w:color w:val="auto"/>
                <w:lang w:val="en-US"/>
              </w:rPr>
            </w:pPr>
            <w:r w:rsidRPr="00CC7EAF">
              <w:rPr>
                <w:b/>
                <w:bCs/>
                <w:color w:val="auto"/>
                <w:lang w:val="en-US"/>
              </w:rPr>
              <w:t>Southwest (AZ, NM, NV)</w:t>
            </w:r>
          </w:p>
        </w:tc>
        <w:tc>
          <w:tcPr>
            <w:tcW w:w="0" w:type="auto"/>
            <w:hideMark/>
          </w:tcPr>
          <w:p w14:paraId="146D30E1" w14:textId="77777777" w:rsidR="00FE013C" w:rsidRPr="00CC7EAF" w:rsidRDefault="00FE013C" w:rsidP="004C16FF">
            <w:pPr>
              <w:pStyle w:val="TableBody"/>
              <w:jc w:val="both"/>
              <w:rPr>
                <w:b/>
                <w:bCs/>
                <w:color w:val="auto"/>
                <w:lang w:val="en-US"/>
              </w:rPr>
            </w:pPr>
            <w:r w:rsidRPr="00CC7EAF">
              <w:rPr>
                <w:b/>
                <w:bCs/>
                <w:color w:val="auto"/>
                <w:lang w:val="en-US"/>
              </w:rPr>
              <w:t>25–30%</w:t>
            </w:r>
          </w:p>
        </w:tc>
        <w:tc>
          <w:tcPr>
            <w:tcW w:w="0" w:type="auto"/>
            <w:hideMark/>
          </w:tcPr>
          <w:p w14:paraId="3BF8E900"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570F86DB"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9B561F1" w14:textId="77777777" w:rsidR="00FE013C" w:rsidRPr="00CC7EAF" w:rsidRDefault="00FE013C" w:rsidP="004C16FF">
            <w:pPr>
              <w:pStyle w:val="TableBody"/>
              <w:jc w:val="both"/>
              <w:rPr>
                <w:b/>
                <w:bCs/>
                <w:color w:val="auto"/>
                <w:lang w:val="en-US"/>
              </w:rPr>
            </w:pPr>
            <w:r w:rsidRPr="00CC7EAF">
              <w:rPr>
                <w:b/>
                <w:bCs/>
                <w:color w:val="auto"/>
                <w:lang w:val="en-US"/>
              </w:rPr>
              <w:t>$0.70–$0.90</w:t>
            </w:r>
          </w:p>
        </w:tc>
      </w:tr>
      <w:tr w:rsidR="00FE013C" w:rsidRPr="00877478" w14:paraId="1261FE16" w14:textId="77777777" w:rsidTr="00CC7EAF">
        <w:tc>
          <w:tcPr>
            <w:tcW w:w="0" w:type="auto"/>
            <w:hideMark/>
          </w:tcPr>
          <w:p w14:paraId="24AD337F" w14:textId="77777777" w:rsidR="00FE013C" w:rsidRPr="00CC7EAF" w:rsidRDefault="00FE013C" w:rsidP="004C16FF">
            <w:pPr>
              <w:pStyle w:val="TableBody"/>
              <w:jc w:val="both"/>
              <w:rPr>
                <w:b/>
                <w:bCs/>
                <w:color w:val="auto"/>
                <w:lang w:val="en-US"/>
              </w:rPr>
            </w:pPr>
            <w:r w:rsidRPr="00CC7EAF">
              <w:rPr>
                <w:b/>
                <w:bCs/>
                <w:color w:val="auto"/>
                <w:lang w:val="en-US"/>
              </w:rPr>
              <w:t>Southeast (FL, TX, GA)</w:t>
            </w:r>
          </w:p>
        </w:tc>
        <w:tc>
          <w:tcPr>
            <w:tcW w:w="0" w:type="auto"/>
            <w:hideMark/>
          </w:tcPr>
          <w:p w14:paraId="239D61B6" w14:textId="77777777" w:rsidR="00FE013C" w:rsidRPr="00CC7EAF" w:rsidRDefault="00FE013C" w:rsidP="004C16FF">
            <w:pPr>
              <w:pStyle w:val="TableBody"/>
              <w:jc w:val="both"/>
              <w:rPr>
                <w:b/>
                <w:bCs/>
                <w:color w:val="auto"/>
                <w:lang w:val="en-US"/>
              </w:rPr>
            </w:pPr>
            <w:r w:rsidRPr="00CC7EAF">
              <w:rPr>
                <w:b/>
                <w:bCs/>
                <w:color w:val="auto"/>
                <w:lang w:val="en-US"/>
              </w:rPr>
              <w:t>18–22%</w:t>
            </w:r>
          </w:p>
        </w:tc>
        <w:tc>
          <w:tcPr>
            <w:tcW w:w="0" w:type="auto"/>
            <w:hideMark/>
          </w:tcPr>
          <w:p w14:paraId="67BA3D09" w14:textId="77777777" w:rsidR="00FE013C" w:rsidRPr="00CC7EAF" w:rsidRDefault="00FE013C" w:rsidP="004C16FF">
            <w:pPr>
              <w:pStyle w:val="TableBody"/>
              <w:jc w:val="both"/>
              <w:rPr>
                <w:b/>
                <w:bCs/>
                <w:color w:val="auto"/>
                <w:lang w:val="en-US"/>
              </w:rPr>
            </w:pPr>
            <w:r w:rsidRPr="00CC7EAF">
              <w:rPr>
                <w:b/>
                <w:bCs/>
                <w:color w:val="auto"/>
                <w:lang w:val="en-US"/>
              </w:rPr>
              <w:t>May</w:t>
            </w:r>
          </w:p>
        </w:tc>
        <w:tc>
          <w:tcPr>
            <w:tcW w:w="0" w:type="auto"/>
            <w:hideMark/>
          </w:tcPr>
          <w:p w14:paraId="6EC46BC4"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06734D2"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65B512FD" w14:textId="77777777" w:rsidTr="00CC7EAF">
        <w:tc>
          <w:tcPr>
            <w:tcW w:w="0" w:type="auto"/>
            <w:hideMark/>
          </w:tcPr>
          <w:p w14:paraId="545D4265" w14:textId="77777777" w:rsidR="00FE013C" w:rsidRPr="00CC7EAF" w:rsidRDefault="00FE013C" w:rsidP="004C16FF">
            <w:pPr>
              <w:pStyle w:val="TableBody"/>
              <w:jc w:val="both"/>
              <w:rPr>
                <w:b/>
                <w:bCs/>
                <w:color w:val="auto"/>
                <w:lang w:val="en-US"/>
              </w:rPr>
            </w:pPr>
            <w:r w:rsidRPr="00CC7EAF">
              <w:rPr>
                <w:b/>
                <w:bCs/>
                <w:color w:val="auto"/>
                <w:lang w:val="en-US"/>
              </w:rPr>
              <w:t>Midwest (IL, MN)</w:t>
            </w:r>
          </w:p>
        </w:tc>
        <w:tc>
          <w:tcPr>
            <w:tcW w:w="0" w:type="auto"/>
            <w:hideMark/>
          </w:tcPr>
          <w:p w14:paraId="18C911F0" w14:textId="77777777" w:rsidR="00FE013C" w:rsidRPr="00CC7EAF" w:rsidRDefault="00FE013C" w:rsidP="004C16FF">
            <w:pPr>
              <w:pStyle w:val="TableBody"/>
              <w:jc w:val="both"/>
              <w:rPr>
                <w:b/>
                <w:bCs/>
                <w:color w:val="auto"/>
                <w:lang w:val="en-US"/>
              </w:rPr>
            </w:pPr>
            <w:r w:rsidRPr="00CC7EAF">
              <w:rPr>
                <w:b/>
                <w:bCs/>
                <w:color w:val="auto"/>
                <w:lang w:val="en-US"/>
              </w:rPr>
              <w:t>15–19%</w:t>
            </w:r>
          </w:p>
        </w:tc>
        <w:tc>
          <w:tcPr>
            <w:tcW w:w="0" w:type="auto"/>
            <w:hideMark/>
          </w:tcPr>
          <w:p w14:paraId="74C1E9CB"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4E330722"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16A57CE5" w14:textId="77777777" w:rsidR="00FE013C" w:rsidRPr="00CC7EAF" w:rsidRDefault="00FE013C" w:rsidP="004C16FF">
            <w:pPr>
              <w:pStyle w:val="TableBody"/>
              <w:jc w:val="both"/>
              <w:rPr>
                <w:b/>
                <w:bCs/>
                <w:color w:val="auto"/>
                <w:lang w:val="en-US"/>
              </w:rPr>
            </w:pPr>
            <w:r w:rsidRPr="00CC7EAF">
              <w:rPr>
                <w:b/>
                <w:bCs/>
                <w:color w:val="auto"/>
                <w:lang w:val="en-US"/>
              </w:rPr>
              <w:t>$0.80–$1.05</w:t>
            </w:r>
          </w:p>
        </w:tc>
      </w:tr>
      <w:tr w:rsidR="00FE013C" w:rsidRPr="00877478" w14:paraId="7AB0277E" w14:textId="77777777" w:rsidTr="00CC7EAF">
        <w:tc>
          <w:tcPr>
            <w:tcW w:w="0" w:type="auto"/>
            <w:hideMark/>
          </w:tcPr>
          <w:p w14:paraId="6EA65DC8" w14:textId="77777777" w:rsidR="00FE013C" w:rsidRPr="00CC7EAF" w:rsidRDefault="00FE013C" w:rsidP="004C16FF">
            <w:pPr>
              <w:pStyle w:val="TableBody"/>
              <w:jc w:val="both"/>
              <w:rPr>
                <w:b/>
                <w:bCs/>
                <w:color w:val="auto"/>
                <w:lang w:val="en-US"/>
              </w:rPr>
            </w:pPr>
            <w:r w:rsidRPr="00CC7EAF">
              <w:rPr>
                <w:b/>
                <w:bCs/>
                <w:color w:val="auto"/>
                <w:lang w:val="en-US"/>
              </w:rPr>
              <w:t>Mid-Atlantic (NC, VA)</w:t>
            </w:r>
          </w:p>
        </w:tc>
        <w:tc>
          <w:tcPr>
            <w:tcW w:w="0" w:type="auto"/>
            <w:hideMark/>
          </w:tcPr>
          <w:p w14:paraId="7F68B4BE" w14:textId="77777777" w:rsidR="00FE013C" w:rsidRPr="00CC7EAF" w:rsidRDefault="00FE013C" w:rsidP="004C16FF">
            <w:pPr>
              <w:pStyle w:val="TableBody"/>
              <w:jc w:val="both"/>
              <w:rPr>
                <w:b/>
                <w:bCs/>
                <w:color w:val="auto"/>
                <w:lang w:val="en-US"/>
              </w:rPr>
            </w:pPr>
            <w:r w:rsidRPr="00CC7EAF">
              <w:rPr>
                <w:b/>
                <w:bCs/>
                <w:color w:val="auto"/>
                <w:lang w:val="en-US"/>
              </w:rPr>
              <w:t>17–20%</w:t>
            </w:r>
          </w:p>
        </w:tc>
        <w:tc>
          <w:tcPr>
            <w:tcW w:w="0" w:type="auto"/>
            <w:hideMark/>
          </w:tcPr>
          <w:p w14:paraId="6EEADD39"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4335CBD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1D8F15D" w14:textId="77777777" w:rsidR="00FE013C" w:rsidRPr="00CC7EAF" w:rsidRDefault="00FE013C" w:rsidP="004C16FF">
            <w:pPr>
              <w:pStyle w:val="TableBody"/>
              <w:jc w:val="both"/>
              <w:rPr>
                <w:b/>
                <w:bCs/>
                <w:color w:val="auto"/>
                <w:lang w:val="en-US"/>
              </w:rPr>
            </w:pPr>
            <w:r w:rsidRPr="00CC7EAF">
              <w:rPr>
                <w:b/>
                <w:bCs/>
                <w:color w:val="auto"/>
                <w:lang w:val="en-US"/>
              </w:rPr>
              <w:t>$0.85–$1.10</w:t>
            </w:r>
          </w:p>
        </w:tc>
      </w:tr>
      <w:tr w:rsidR="00FE013C" w:rsidRPr="00877478" w14:paraId="7773A2FF" w14:textId="77777777" w:rsidTr="00CC7EAF">
        <w:tc>
          <w:tcPr>
            <w:tcW w:w="0" w:type="auto"/>
            <w:hideMark/>
          </w:tcPr>
          <w:p w14:paraId="52E7FB25" w14:textId="77777777" w:rsidR="00FE013C" w:rsidRPr="00CC7EAF" w:rsidRDefault="00FE013C" w:rsidP="004C16FF">
            <w:pPr>
              <w:pStyle w:val="TableBody"/>
              <w:jc w:val="both"/>
              <w:rPr>
                <w:b/>
                <w:bCs/>
                <w:color w:val="auto"/>
                <w:lang w:val="en-US"/>
              </w:rPr>
            </w:pPr>
            <w:r w:rsidRPr="00CC7EAF">
              <w:rPr>
                <w:b/>
                <w:bCs/>
                <w:color w:val="auto"/>
                <w:lang w:val="en-US"/>
              </w:rPr>
              <w:t>Pacific Northwest (WA, OR)</w:t>
            </w:r>
          </w:p>
        </w:tc>
        <w:tc>
          <w:tcPr>
            <w:tcW w:w="0" w:type="auto"/>
            <w:hideMark/>
          </w:tcPr>
          <w:p w14:paraId="289A9A47" w14:textId="77777777" w:rsidR="00FE013C" w:rsidRPr="00CC7EAF" w:rsidRDefault="00FE013C" w:rsidP="004C16FF">
            <w:pPr>
              <w:pStyle w:val="TableBody"/>
              <w:jc w:val="both"/>
              <w:rPr>
                <w:b/>
                <w:bCs/>
                <w:color w:val="auto"/>
                <w:lang w:val="en-US"/>
              </w:rPr>
            </w:pPr>
            <w:r w:rsidRPr="00CC7EAF">
              <w:rPr>
                <w:b/>
                <w:bCs/>
                <w:color w:val="auto"/>
                <w:lang w:val="en-US"/>
              </w:rPr>
              <w:t>13–16%</w:t>
            </w:r>
          </w:p>
        </w:tc>
        <w:tc>
          <w:tcPr>
            <w:tcW w:w="0" w:type="auto"/>
            <w:hideMark/>
          </w:tcPr>
          <w:p w14:paraId="4E1D557B" w14:textId="77777777" w:rsidR="00FE013C" w:rsidRPr="00CC7EAF" w:rsidRDefault="00FE013C" w:rsidP="004C16FF">
            <w:pPr>
              <w:pStyle w:val="TableBody"/>
              <w:jc w:val="both"/>
              <w:rPr>
                <w:b/>
                <w:bCs/>
                <w:color w:val="auto"/>
                <w:lang w:val="en-US"/>
              </w:rPr>
            </w:pPr>
            <w:r w:rsidRPr="00CC7EAF">
              <w:rPr>
                <w:b/>
                <w:bCs/>
                <w:color w:val="auto"/>
                <w:lang w:val="en-US"/>
              </w:rPr>
              <w:t>July</w:t>
            </w:r>
          </w:p>
        </w:tc>
        <w:tc>
          <w:tcPr>
            <w:tcW w:w="0" w:type="auto"/>
            <w:hideMark/>
          </w:tcPr>
          <w:p w14:paraId="566538A8"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043B713B" w14:textId="77777777" w:rsidR="00FE013C" w:rsidRPr="00CC7EAF" w:rsidRDefault="00FE013C" w:rsidP="004C16FF">
            <w:pPr>
              <w:pStyle w:val="TableBody"/>
              <w:jc w:val="both"/>
              <w:rPr>
                <w:b/>
                <w:bCs/>
                <w:color w:val="auto"/>
                <w:lang w:val="en-US"/>
              </w:rPr>
            </w:pPr>
            <w:r w:rsidRPr="00CC7EAF">
              <w:rPr>
                <w:b/>
                <w:bCs/>
                <w:color w:val="auto"/>
                <w:lang w:val="en-US"/>
              </w:rPr>
              <w:t>$0.95–$1.20</w:t>
            </w:r>
          </w:p>
        </w:tc>
      </w:tr>
      <w:tr w:rsidR="00FE013C" w:rsidRPr="00877478" w14:paraId="0ED80A9A" w14:textId="77777777" w:rsidTr="00CC7EAF">
        <w:tc>
          <w:tcPr>
            <w:tcW w:w="0" w:type="auto"/>
            <w:hideMark/>
          </w:tcPr>
          <w:p w14:paraId="2A41042E" w14:textId="77777777" w:rsidR="00FE013C" w:rsidRPr="00CC7EAF" w:rsidRDefault="00FE013C" w:rsidP="004C16FF">
            <w:pPr>
              <w:pStyle w:val="TableBody"/>
              <w:jc w:val="both"/>
              <w:rPr>
                <w:b/>
                <w:bCs/>
                <w:color w:val="auto"/>
                <w:lang w:val="en-US"/>
              </w:rPr>
            </w:pPr>
            <w:r w:rsidRPr="00CC7EAF">
              <w:rPr>
                <w:b/>
                <w:bCs/>
                <w:color w:val="auto"/>
                <w:lang w:val="en-US"/>
              </w:rPr>
              <w:t>Northeast (NY, MA)</w:t>
            </w:r>
          </w:p>
        </w:tc>
        <w:tc>
          <w:tcPr>
            <w:tcW w:w="0" w:type="auto"/>
            <w:hideMark/>
          </w:tcPr>
          <w:p w14:paraId="1B4A0FC9" w14:textId="77777777" w:rsidR="00FE013C" w:rsidRPr="00CC7EAF" w:rsidRDefault="00FE013C" w:rsidP="004C16FF">
            <w:pPr>
              <w:pStyle w:val="TableBody"/>
              <w:jc w:val="both"/>
              <w:rPr>
                <w:b/>
                <w:bCs/>
                <w:color w:val="auto"/>
                <w:lang w:val="en-US"/>
              </w:rPr>
            </w:pPr>
            <w:r w:rsidRPr="00CC7EAF">
              <w:rPr>
                <w:b/>
                <w:bCs/>
                <w:color w:val="auto"/>
                <w:lang w:val="en-US"/>
              </w:rPr>
              <w:t>14–17%</w:t>
            </w:r>
          </w:p>
        </w:tc>
        <w:tc>
          <w:tcPr>
            <w:tcW w:w="0" w:type="auto"/>
            <w:hideMark/>
          </w:tcPr>
          <w:p w14:paraId="034C58E8" w14:textId="77777777" w:rsidR="00FE013C" w:rsidRPr="00CC7EAF" w:rsidRDefault="00FE013C" w:rsidP="004C16FF">
            <w:pPr>
              <w:pStyle w:val="TableBody"/>
              <w:jc w:val="both"/>
              <w:rPr>
                <w:b/>
                <w:bCs/>
                <w:color w:val="auto"/>
                <w:lang w:val="en-US"/>
              </w:rPr>
            </w:pPr>
            <w:r w:rsidRPr="00CC7EAF">
              <w:rPr>
                <w:b/>
                <w:bCs/>
                <w:color w:val="auto"/>
                <w:lang w:val="en-US"/>
              </w:rPr>
              <w:t>June</w:t>
            </w:r>
          </w:p>
        </w:tc>
        <w:tc>
          <w:tcPr>
            <w:tcW w:w="0" w:type="auto"/>
            <w:hideMark/>
          </w:tcPr>
          <w:p w14:paraId="22FB6951" w14:textId="77777777" w:rsidR="00FE013C" w:rsidRPr="00CC7EAF" w:rsidRDefault="00FE013C" w:rsidP="004C16FF">
            <w:pPr>
              <w:pStyle w:val="TableBody"/>
              <w:jc w:val="both"/>
              <w:rPr>
                <w:b/>
                <w:bCs/>
                <w:color w:val="auto"/>
                <w:lang w:val="en-US"/>
              </w:rPr>
            </w:pPr>
            <w:r w:rsidRPr="00CC7EAF">
              <w:rPr>
                <w:b/>
                <w:bCs/>
                <w:color w:val="auto"/>
                <w:lang w:val="en-US"/>
              </w:rPr>
              <w:t>December</w:t>
            </w:r>
          </w:p>
        </w:tc>
        <w:tc>
          <w:tcPr>
            <w:tcW w:w="0" w:type="auto"/>
            <w:hideMark/>
          </w:tcPr>
          <w:p w14:paraId="22040246" w14:textId="77777777" w:rsidR="00FE013C" w:rsidRPr="00CC7EAF" w:rsidRDefault="00FE013C" w:rsidP="004C16FF">
            <w:pPr>
              <w:pStyle w:val="TableBody"/>
              <w:jc w:val="both"/>
              <w:rPr>
                <w:b/>
                <w:bCs/>
                <w:color w:val="auto"/>
                <w:lang w:val="en-US"/>
              </w:rPr>
            </w:pPr>
            <w:r w:rsidRPr="00CC7EAF">
              <w:rPr>
                <w:b/>
                <w:bCs/>
                <w:color w:val="auto"/>
                <w:lang w:val="en-US"/>
              </w:rPr>
              <w:t>$0.95–$1.25</w:t>
            </w:r>
          </w:p>
        </w:tc>
      </w:tr>
    </w:tbl>
    <w:p w14:paraId="111B8140" w14:textId="0AF7571A" w:rsidR="00FE013C" w:rsidRDefault="006E6341" w:rsidP="006E6341">
      <w:pPr>
        <w:spacing w:after="120"/>
        <w:ind w:firstLine="480"/>
      </w:pPr>
      <w:r>
        <w:fldChar w:fldCharType="begin"/>
      </w:r>
      <w:r>
        <w:instrText xml:space="preserve"> REF _Ref239529400 \h </w:instrText>
      </w:r>
      <w:r>
        <w:fldChar w:fldCharType="separate"/>
      </w:r>
      <w:r>
        <w:t xml:space="preserve">Figure </w:t>
      </w:r>
      <w:r>
        <w:rPr>
          <w:noProof/>
        </w:rPr>
        <w:t>4</w:t>
      </w:r>
      <w:r>
        <w:t xml:space="preserve"> </w:t>
      </w:r>
      <w:r w:rsidRPr="00B765D6">
        <w:t>Solar PV installed system cost decline (2010–2026), showing the 87–90% reduction from 2010 benchmarks</w:t>
      </w:r>
      <w:r>
        <w:fldChar w:fldCharType="end"/>
      </w:r>
      <w:r>
        <w:t xml:space="preserve">, </w:t>
      </w:r>
      <w:r w:rsidRPr="006E6341">
        <w:t>illustrates the substantial decline in utility-scale solar PV installed costs over the review period. The trend supports the increasing economic competitiveness of solar PV, although actual project costs vary with location, resource quality, financing conditions, system configuration, and interconnection requirements.</w:t>
      </w:r>
    </w:p>
    <w:p w14:paraId="673A3CC7" w14:textId="77777777" w:rsidR="00FE013C" w:rsidRDefault="00FE013C" w:rsidP="00484A3A">
      <w:pPr>
        <w:keepNext/>
        <w:jc w:val="center"/>
      </w:pPr>
      <w:r w:rsidRPr="00D65F06">
        <w:rPr>
          <w:noProof/>
          <w:lang w:val="en-CA"/>
        </w:rPr>
        <w:drawing>
          <wp:inline distT="0" distB="0" distL="0" distR="0" wp14:anchorId="2BD9BAE2" wp14:editId="5AE33A0E">
            <wp:extent cx="5615940" cy="1714500"/>
            <wp:effectExtent l="0" t="0" r="3810" b="0"/>
            <wp:docPr id="208513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15">
                      <a:extLst>
                        <a:ext uri="{28A0092B-C50C-407E-A947-70E740481C1C}">
                          <a14:useLocalDpi xmlns:a14="http://schemas.microsoft.com/office/drawing/2010/main" val="0"/>
                        </a:ext>
                      </a:extLst>
                    </a:blip>
                    <a:srcRect t="9638"/>
                    <a:stretch>
                      <a:fillRect/>
                    </a:stretch>
                  </pic:blipFill>
                  <pic:spPr bwMode="auto">
                    <a:xfrm>
                      <a:off x="0" y="0"/>
                      <a:ext cx="56159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403A97E7" w14:textId="0C9548CD" w:rsidR="00FE013C" w:rsidRDefault="00FE013C" w:rsidP="00484A3A">
      <w:pPr>
        <w:pStyle w:val="Caption"/>
        <w:jc w:val="center"/>
      </w:pPr>
      <w:bookmarkStart w:id="9" w:name="_Ref239529400"/>
      <w:r>
        <w:t xml:space="preserve">Figure </w:t>
      </w:r>
      <w:r>
        <w:fldChar w:fldCharType="begin"/>
      </w:r>
      <w:r>
        <w:instrText xml:space="preserve"> SEQ Figure \* ARABIC </w:instrText>
      </w:r>
      <w:r>
        <w:fldChar w:fldCharType="separate"/>
      </w:r>
      <w:r w:rsidR="00807110">
        <w:rPr>
          <w:noProof/>
        </w:rPr>
        <w:t>4</w:t>
      </w:r>
      <w:r>
        <w:rPr>
          <w:noProof/>
        </w:rPr>
        <w:fldChar w:fldCharType="end"/>
      </w:r>
      <w:r>
        <w:t xml:space="preserve"> </w:t>
      </w:r>
      <w:r w:rsidRPr="00B765D6">
        <w:t>Solar PV installed system cost decline (2010–2026), showing the 87–90% reduction from 2010 benchmarks</w:t>
      </w:r>
      <w:bookmarkEnd w:id="9"/>
    </w:p>
    <w:p w14:paraId="22E24B31" w14:textId="77777777" w:rsidR="00FE013C" w:rsidRDefault="00FE013C" w:rsidP="004C16FF">
      <w:pPr>
        <w:pStyle w:val="Heading20"/>
        <w:jc w:val="both"/>
        <w:rPr>
          <w:color w:val="auto"/>
        </w:rPr>
      </w:pPr>
      <w:r>
        <w:rPr>
          <w:color w:val="auto"/>
        </w:rPr>
        <w:t xml:space="preserve">4.2. </w:t>
      </w:r>
      <w:r w:rsidRPr="002068F4">
        <w:rPr>
          <w:color w:val="auto"/>
        </w:rPr>
        <w:t>Wind Energy Systems</w:t>
      </w:r>
    </w:p>
    <w:p w14:paraId="5E6B5B35" w14:textId="443B5C7C" w:rsidR="00FE013C" w:rsidRDefault="00FE013C" w:rsidP="00A95675">
      <w:pPr>
        <w:spacing w:after="120"/>
        <w:ind w:firstLine="480"/>
      </w:pPr>
      <w:r>
        <w:lastRenderedPageBreak/>
        <w:t xml:space="preserve">Wind energy contributes to a complementary generation profile to solar PV, </w:t>
      </w:r>
      <w:r w:rsidRPr="00ED54A3">
        <w:t>as it is more productive during night-time hours and winter months when solar PV output is lowest</w:t>
      </w:r>
      <w:r>
        <w:t>. In high resource areas, onshore wind turbines generally have capacity factors of 30-45%, and these are highest in areas like the U.S. Great Plains and in coastal areas which are influenced by offshore wind. The technology for generating power from offshore wind has come a long way and has reached a stage of maturity, where the capacity factor for fixed bottom installations is typically 40-55%, and for floating offshore wind, this is still in line with fixed bottom installations, with deployment to deeper waters underway. Onshore wind's levelized cost has also reduced significantly, now around $26-$50/MWh in recent analyses, making it one of the lowest cost generation sources in the world</w:t>
      </w:r>
      <w:r>
        <w:fldChar w:fldCharType="begin"/>
      </w:r>
      <w:r w:rsidR="00A95675">
        <w:instrText xml:space="preserve"> ADDIN ZOTERO_ITEM CSL_CITATION {"citationID":"h6bmKIqm","properties":{"unsorted":false,"formattedCitation":"[96]","plainCitation":"[96]","noteIndex":0},"citationItems":[{"id":2051,"uris":["http://zotero.org/users/9870935/items/4VD6QWRZ"],"itemData":{"id":2051,"type":"article-journal","abstract":"Renewable energy sources (RESs), as clean, abundant, and inexhaustible source of energy, have developed quickly in recent years and played more and more important roles around the world. However, RESs also have some disadvantages, such as the weakness of stability, and by the the estimated increase of utilizing RESs in the near future, researchers began to give more attention to these issues. This paper presents a novel output power fluctuate compensation scheme in the small-scale power system, verifying the effect of output power control using storage battery, demand response and RESs. Four scenarios are considered in the proposed approach: real-time pricing demand response employment, RESs output control use and both of demand response and RESs output control implementation. The performance of the proposed control technique is investigated using the real 10-bus power system model of Okinawa island, Japan. Moreover, the system stability is checked using the pole-zero maps for all of the control loops associated with the proposed scheme. The robustness and effectiveness of the proposed method was verified by simulation using Matlab®/Simulink®.","container-title":"Energies","DOI":"10.3390/en11123412","ISSN":"1996-1073","issue":"12","journalAbbreviation":"Energies","language":"en","page":"3412","source":"DOI.org (Crossref)","title":"Load Frequency Control Using Demand Response and Storage Battery by Considering Renewable Energy Sources","volume":"11","author":[{"family":"Liu","given":"Lei"},{"family":"Matayoshi","given":"Hidehito"},{"family":"Lotfy","given":"Mohammed Elsayed"},{"family":"Datta","given":"Manoj"},{"family":"Senjyu","given":"Tomonobu"}],"issued":{"date-parts":[["2018",12,5]]}}}],"schema":"https://github.com/citation-style-language/schema/raw/master/csl-citation.json"} </w:instrText>
      </w:r>
      <w:r>
        <w:fldChar w:fldCharType="separate"/>
      </w:r>
      <w:r w:rsidR="00A95675" w:rsidRPr="00A95675">
        <w:t>[96]</w:t>
      </w:r>
      <w:r>
        <w:fldChar w:fldCharType="end"/>
      </w:r>
      <w:r>
        <w:t>.</w:t>
      </w:r>
    </w:p>
    <w:p w14:paraId="5796FA3C" w14:textId="1B9C0F9B" w:rsidR="00FE013C" w:rsidRDefault="00FE013C" w:rsidP="00A95675">
      <w:pPr>
        <w:spacing w:after="120"/>
        <w:ind w:firstLine="480"/>
      </w:pPr>
      <w:r>
        <w:t xml:space="preserve">There have been improvements in wind resource assessment through the development of tools for measuring wind resources and atmospheric modelling. While ground-based anemometry is the standard for project-level assessment, the use of LiDAR systems is becoming common for remote wind profiling and wake </w:t>
      </w:r>
      <w:r w:rsidR="00580BAE">
        <w:t>characterization</w:t>
      </w:r>
      <w:r>
        <w:t xml:space="preserve">, providing flexible and cost-effective measurement capabilities. The use of numerical weather prediction (NWP) models and computational fluid dynamics (CFD) can now provide detailed flow </w:t>
      </w:r>
      <w:r w:rsidR="00580BAE">
        <w:t>characterization</w:t>
      </w:r>
      <w:r>
        <w:t xml:space="preserve"> of wind over complex terrain. These models account for the loss of downstream turbine energy production owing to turbine wake, which can reach 10–30% depending on spacing and atmospheric circumstances. The NREL Offshore Wind Market Report: 2024 Edition reports that the U.S. offshore wind project pipeline is nearly 80,000 MW (about 79.5 GW) in size, reflecting the scale of offshore wind installation in the country</w:t>
      </w:r>
      <w:r>
        <w:fldChar w:fldCharType="begin"/>
      </w:r>
      <w:r w:rsidR="00A95675">
        <w:instrText xml:space="preserve"> ADDIN ZOTERO_ITEM CSL_CITATION {"citationID":"vGg2z3bh","properties":{"unsorted":false,"formattedCitation":"[97]","plainCitation":"[97]","noteIndex":0},"citationItems":[{"id":2054,"uris":["http://zotero.org/users/9870935/items/9TII72A6"],"itemData":{"id":2054,"type":"article","abstract":"Recent work by Lanzilao and Meyers (2024) has shown that wind-farm blockage introduces an unfavourable pressure gradient in front of the farm and a favourable pressure gradient in the farm, which are strongly correlated with the nonlocal efﬁciency and wake efﬁciency, respectively. In particular, the favourable pressure gradient in the farm increases the farm wake efﬁciency, deﬁned as the average farm power normalized by the average front-row power. Here, we investigate the impact of blockage on wake development and the power of wind turbines using an idealized large-eddy simulation setup in which blockage conditions are artiﬁcially introduced using a rigid lid, in addition to using neutral stratiﬁcation and no wind veer. We simulate both inﬁnite and ﬁnite single turbine rows, as well as a setup with two staggered rows. Blockage strength is adjusted by varying the boundary layer height (H ) and turbine spacing (S). We ﬁnd that blockage strongly affects near-wake behaviour, altering Froude momentum theory, by introducing a favourable pressure difference (1pNW) across the turbine row. The same setup also leads to an unfavourable pressure difference (1pFW) in the far wake, which simply follows from the rigid-lid conditions and the change in momentum ﬂux due to wake recovery. A strong positive correlation of −1pNW with both the power coefﬁcient (CP) and thrust coefﬁcient (CT) is observed. Speciﬁcally, as S and H decrease, −1pNW, CP, and CT increase. At the same time, a lower induction is observed at the rotor disc, and a lower wake deﬁcit, in the near wake. The reduction of near-wake velocity deﬁcit as a result of blockage also translates into lower deﬁcits and wake widths in the far wake. When scaling the far-wake development with the initial far-wake deﬁcit and width, we do not see a direct effect of the adverse pressure gradient on the wake recovery. However, we do see a profound effect of H on the wake spreading, with higher boundary layers leading to faster spreading. This relates to the fact that the wake can more freely expand vertically in high-boundary layer cases into a larger region of high-speed ﬂow than for shallow boundary layers. Finally, we introduce a simpliﬁed Froude momentum balance to parameterize the relation between blockage, pressure drop, and near-wake properties and compare it to the large-eddy simulation results.","DOI":"10.5194/wes-2025-6","language":"en","license":"https://creativecommons.org/licenses/by/4.0/","publisher":"Fluid mechanics/Wakes and wind farm aerodynamics","source":"DOI.org (Crossref)","title":"Effect of blockage on wind turbine power and wake development","URL":"https://wes.copernicus.org/articles/10/2079/2025/wes-10-2079-2025-discussion.html","author":[{"family":"Ndindayino","given":"Olivier"},{"family":"Puel","given":"Augustin"},{"family":"Meyers","given":"Johan"}],"accessed":{"date-parts":[["2026",5,17]]},"issued":{"date-parts":[["2025",2,12]]}}}],"schema":"https://github.com/citation-style-language/schema/raw/master/csl-citation.json"} </w:instrText>
      </w:r>
      <w:r>
        <w:fldChar w:fldCharType="separate"/>
      </w:r>
      <w:r w:rsidR="00A95675" w:rsidRPr="00A95675">
        <w:t>[97]</w:t>
      </w:r>
      <w:r>
        <w:fldChar w:fldCharType="end"/>
      </w:r>
      <w:r>
        <w:t>.</w:t>
      </w:r>
    </w:p>
    <w:p w14:paraId="560AC4E9" w14:textId="77777777" w:rsidR="00FE013C" w:rsidRDefault="00FE013C" w:rsidP="004C16FF">
      <w:pPr>
        <w:pStyle w:val="Heading20"/>
        <w:jc w:val="both"/>
        <w:rPr>
          <w:color w:val="auto"/>
        </w:rPr>
      </w:pPr>
      <w:r>
        <w:rPr>
          <w:color w:val="auto"/>
        </w:rPr>
        <w:t>4.3. Hydroelectric Power</w:t>
      </w:r>
    </w:p>
    <w:p w14:paraId="7630F4CF" w14:textId="0762A85E" w:rsidR="00FE013C" w:rsidRDefault="00FE013C" w:rsidP="00A95675">
      <w:pPr>
        <w:spacing w:after="120"/>
        <w:ind w:firstLine="480"/>
      </w:pPr>
      <w:r>
        <w:t xml:space="preserve">The dispatchability and ability to use hydro assets as generation and storage resources give them special attributes for data </w:t>
      </w:r>
      <w:r w:rsidR="00580BAE">
        <w:t>center</w:t>
      </w:r>
      <w:r>
        <w:t xml:space="preserve"> integration. Run-of-river (ROR) hydroelectric projects provide relatively stable baseload production, dependent on the flow variability for a particular season, and capacity factors are generally between 40% and 60%</w:t>
      </w:r>
      <w:r>
        <w:fldChar w:fldCharType="begin"/>
      </w:r>
      <w:r w:rsidR="00A95675">
        <w:instrText xml:space="preserve"> ADDIN ZOTERO_ITEM CSL_CITATION {"citationID":"HWrKIYzN","properties":{"unsorted":false,"formattedCitation":"[41]","plainCitation":"[41]","noteIndex":0},"citationItems":[{"id":1977,"uris":["http://zotero.org/users/9870935/items/F2FF39J5"],"itemData":{"id":1977,"type":"article-journal","abstract":"Energy storage technologies are becoming increasingly important when it comes to maintaining the balance between electricity generation and consumption, especially with the increasing share of variable renewable energy sources (VRES). Pumped storage hydropower plants (PSHs) are currently the largest form of energy storage at the grid level. The aim of this study is to investigate the importance and prospects of using PSHs as part of the energy transition to decarbonize energy sources. A comparison was made between PSHs and battery energy storage systems (BESSs) in terms of technical, economic, and ecological aspects. To identify the key factors influencing the wider adoption of PSHs, a combined approach using SWOT analysis (which assesses strengths, weaknesses, opportunities, and threats) and the Analytical Hierarchy Process (AHP) as a decision support tool was applied. Regulatory and market uncertainties (13.54%) and financial inequality (12.77%) rank first and belong to the “Threats” group, with energy storage capacity (10.11%) as the most important factor from the “Strengths” group and increased demand for energy storage (9.01%) as the most important factor from the “Opportunities” group. Forecasts up to 2050 show that the capacity of PSHs must be doubled to enable the integration of 80% of VRES into the grids. The study concludes that PSHs play a key role in the energy transition, especially for long-term energy storage and grid stabilization, while BESSs offer complementary benefits for short-term storage and fast frequency regulation. Recommendations to policymakers include the development of clear, accelerated project approval procedures, financial incentives, and support for hybrid PSH systems to accelerate the energy transition and meet decarbonization targets.","container-title":"Technologies","DOI":"10.3390/technologies13070305","ISSN":"2227-7080","issue":"7","journalAbbreviation":"Technologies","language":"en","page":"305","source":"DOI.org (Crossref)","title":"SWOT-AHP Analysis of the Importance and Adoption of Pumped-Storage Hydropower","volume":"13","author":[{"family":"Bošnjaković","given":"Mladen"},{"family":"Veljić","given":"Nataša"},{"family":"Božič","given":"Jelena Topić"},{"family":"Muhič","given":"Simon"}],"issued":{"date-parts":[["2025",7,16]]}}}],"schema":"https://github.com/citation-style-language/schema/raw/master/csl-citation.json"} </w:instrText>
      </w:r>
      <w:r>
        <w:fldChar w:fldCharType="separate"/>
      </w:r>
      <w:r w:rsidR="00A95675" w:rsidRPr="00A95675">
        <w:t>[41]</w:t>
      </w:r>
      <w:r>
        <w:fldChar w:fldCharType="end"/>
      </w:r>
      <w:r>
        <w:t>. Reservoir-based systems provide storage capacity from days to months and thus can provide firming capacity for variable renewables. The largest technology for grid-scale energy storage is pumped storage hydropower (PSH), which now makes up approximately 95% of the installed storage worldwide and has a round-trip efficiency between 70% and 85%</w:t>
      </w:r>
      <w:r>
        <w:fldChar w:fldCharType="begin"/>
      </w:r>
      <w:r w:rsidR="00A95675">
        <w:instrText xml:space="preserve"> ADDIN ZOTERO_ITEM CSL_CITATION {"citationID":"iKGaFVBd","properties":{"unsorted":false,"formattedCitation":"[42]","plainCitation":"[42]","noteIndex":0},"citationItems":[{"id":1980,"uris":["http://zotero.org/users/9870935/items/LG6W4RRX"],"itemData":{"id":1980,"type":"article-journal","container-title":"Renewable Energy","DOI":"10.1016/j.renene.2024.121411","ISSN":"09601481","journalAbbreviation":"Renewable Energy","language":"en","page":"121411","source":"DOI.org (Crossref)","title":"The role of hydropower in decarbonisation scenarios","volume":"236","author":[{"family":"Catania","given":"M."},{"family":"Parolin","given":"F."},{"family":"Fattori","given":"F."},{"family":"Colbertaldo","given":"P."}],"issued":{"date-parts":[["2024",12]]}}}],"schema":"https://github.com/citation-style-language/schema/raw/master/csl-citation.json"} </w:instrText>
      </w:r>
      <w:r>
        <w:fldChar w:fldCharType="separate"/>
      </w:r>
      <w:r w:rsidR="00A95675" w:rsidRPr="00A95675">
        <w:t>[42]</w:t>
      </w:r>
      <w:r>
        <w:fldChar w:fldCharType="end"/>
      </w:r>
      <w:r>
        <w:t>.</w:t>
      </w:r>
    </w:p>
    <w:p w14:paraId="4F2CA50E" w14:textId="6751BFF7" w:rsidR="00FE013C" w:rsidRDefault="00FE013C" w:rsidP="00A95675">
      <w:pPr>
        <w:spacing w:after="120"/>
        <w:ind w:firstLine="480"/>
      </w:pPr>
      <w:r>
        <w:t xml:space="preserve">Hydro is not scalable for data </w:t>
      </w:r>
      <w:r w:rsidR="00580BAE">
        <w:t>center</w:t>
      </w:r>
      <w:r>
        <w:t xml:space="preserve"> applications, primarily due to geographic constraints. The geomorphic conditions required for developing new PSH include a large vertical difference in elevation between the upper and lower reservoirs, the presence of a data </w:t>
      </w:r>
      <w:r w:rsidR="00580BAE">
        <w:t>center</w:t>
      </w:r>
      <w:r>
        <w:t xml:space="preserve"> load </w:t>
      </w:r>
      <w:r w:rsidR="00580BAE">
        <w:t>center</w:t>
      </w:r>
      <w:r>
        <w:t>, and availability of water. New hydroelectric developments can take 5 to 10 years to obtain environmental permits, and the requirements are complex, covering impacts to aquatic ecosystems, recreational use, and recreational values</w:t>
      </w:r>
      <w:r>
        <w:fldChar w:fldCharType="begin"/>
      </w:r>
      <w:r w:rsidR="00A95675">
        <w:instrText xml:space="preserve"> ADDIN ZOTERO_ITEM CSL_CITATION {"citationID":"dA9ckfvX","properties":{"unsorted":false,"formattedCitation":"[98]","plainCitation":"[98]","noteIndex":0},"citationItems":[{"id":2055,"uris":["http://zotero.org/users/9870935/items/L7F3BAIB"],"itemData":{"id":2055,"type":"article-journal","container-title":"Journal of Energy Storage","DOI":"10.1016/j.est.2023.109306","ISSN":"2352152X","journalAbbreviation":"Journal of Energy Storage","language":"en","page":"109306","source":"DOI.org (Crossref)","title":"Optimization of pumped hydro energy storage systems under uncertainty: A review","title-short":"Optimization of pumped hydro energy storage systems under uncertainty","volume":"73","author":[{"family":"Toufani","given":"Parinaz"},{"family":"Karakoyun","given":"Ece Cigdem"},{"family":"Nadar","given":"Emre"},{"family":"Fosso","given":"Olav B."},{"family":"Kocaman","given":"Ayse Selin"}],"issued":{"date-parts":[["2023",12]]}}}],"schema":"https://github.com/citation-style-language/schema/raw/master/csl-citation.json"} </w:instrText>
      </w:r>
      <w:r>
        <w:fldChar w:fldCharType="separate"/>
      </w:r>
      <w:r w:rsidR="00A95675" w:rsidRPr="00A95675">
        <w:t>[98]</w:t>
      </w:r>
      <w:r>
        <w:fldChar w:fldCharType="end"/>
      </w:r>
      <w:r>
        <w:t xml:space="preserve">. However, current PSH facilities are an </w:t>
      </w:r>
      <w:r w:rsidR="00580BAE">
        <w:t>underutilized</w:t>
      </w:r>
      <w:r>
        <w:t xml:space="preserve"> asset in data </w:t>
      </w:r>
      <w:r w:rsidR="00580BAE">
        <w:t>center</w:t>
      </w:r>
      <w:r>
        <w:t xml:space="preserve"> integration, especially in areas with substantial capacity, such as the Appalachian Mountains (U.S.), the Alps (Europe), and the Scandinavian Peninsula.</w:t>
      </w:r>
    </w:p>
    <w:p w14:paraId="7EC4EDAA" w14:textId="77777777" w:rsidR="00FE013C" w:rsidRDefault="00FE013C" w:rsidP="004C16FF">
      <w:pPr>
        <w:pStyle w:val="Heading20"/>
        <w:jc w:val="both"/>
        <w:rPr>
          <w:color w:val="auto"/>
        </w:rPr>
      </w:pPr>
      <w:r>
        <w:rPr>
          <w:color w:val="auto"/>
        </w:rPr>
        <w:t xml:space="preserve">4.4. Resource Assessment </w:t>
      </w:r>
      <w:r w:rsidRPr="00180833">
        <w:rPr>
          <w:color w:val="auto"/>
        </w:rPr>
        <w:t>Methodologies</w:t>
      </w:r>
    </w:p>
    <w:p w14:paraId="63DE7BF5" w14:textId="6E4D23A1" w:rsidR="00FE013C" w:rsidRPr="00F432AD" w:rsidRDefault="00FE013C" w:rsidP="00A95675">
      <w:pPr>
        <w:spacing w:after="120"/>
        <w:ind w:firstLine="480"/>
      </w:pPr>
      <w:r w:rsidRPr="00F432AD">
        <w:t xml:space="preserve">Proper resource assessment is the backbone of economic success for renewable-powered data </w:t>
      </w:r>
      <w:r w:rsidR="00580BAE">
        <w:t>center</w:t>
      </w:r>
      <w:r w:rsidRPr="00F432AD">
        <w:t xml:space="preserve">s. Solar irradiance data have been drawn from databases derived from satellite observations, including the Global Solar Atlas generated by the World Bank (WB), PVGIS [94] generated by the </w:t>
      </w:r>
      <w:r w:rsidRPr="00F432AD">
        <w:lastRenderedPageBreak/>
        <w:t xml:space="preserve">European Commission Joint Research </w:t>
      </w:r>
      <w:r w:rsidR="00580BAE">
        <w:t>Center</w:t>
      </w:r>
      <w:r w:rsidRPr="00F432AD">
        <w:t xml:space="preserve"> (JRC), and ground-station measurements from networks such as the National Solar Radiation Database (NSRDB) by NREL</w:t>
      </w:r>
      <w:r>
        <w:fldChar w:fldCharType="begin"/>
      </w:r>
      <w:r w:rsidR="00A95675">
        <w:instrText xml:space="preserve"> ADDIN ZOTERO_ITEM CSL_CITATION {"citationID":"IvpZO7M8","properties":{"unsorted":false,"formattedCitation":"[99]","plainCitation":"[99]","noteIndex":0},"citationItems":[{"id":2056,"uris":["http://zotero.org/users/9870935/items/4AKN5FB8"],"itemData":{"id":2056,"type":"paper-conference","container-title":"2025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fldChar w:fldCharType="separate"/>
      </w:r>
      <w:r w:rsidR="00A95675" w:rsidRPr="00A95675">
        <w:t>[99]</w:t>
      </w:r>
      <w:r>
        <w:fldChar w:fldCharType="end"/>
      </w:r>
      <w:r w:rsidRPr="00F432AD">
        <w:t>. The standard input for energy yield simulations are datasets of typical meteorological year (TMY) data that are developed from multi-year historical records that are representative in a statistical sense. Typical uncertainty in energy yield predictions is 5% to 10% for well-characterized sites and 15% to 20% for sites with limited measurement data</w:t>
      </w:r>
      <w:r>
        <w:fldChar w:fldCharType="begin"/>
      </w:r>
      <w:r w:rsidR="00A95675">
        <w:instrText xml:space="preserve"> ADDIN ZOTERO_ITEM CSL_CITATION {"citationID":"kk3W6zUf","properties":{"unsorted":false,"formattedCitation":"[100]","plainCitation":"[100]","noteIndex":0},"citationItems":[{"id":2057,"uris":["http://zotero.org/users/9870935/items/MBI2S75Z"],"itemData":{"id":2057,"type":"article-journal","container-title":"Solar Energy","DOI":"10.1016/j.solener.2019.07.069","ISSN":"0038092X","journalAbbreviation":"Solar Energy","language":"en","page":"299-306","source":"DOI.org (Crossref)","title":"Methodology for generating high time resolution typical meteorological year data for accurate photovoltaic energy yield modelling","volume":"189","author":[{"family":"Ernst","given":"Marco"},{"family":"Gooday","given":"Jack"}],"issued":{"date-parts":[["2019",9]]}}}],"schema":"https://github.com/citation-style-language/schema/raw/master/csl-citation.json"} </w:instrText>
      </w:r>
      <w:r>
        <w:fldChar w:fldCharType="separate"/>
      </w:r>
      <w:r w:rsidR="00A95675" w:rsidRPr="00A95675">
        <w:t>[100]</w:t>
      </w:r>
      <w:r>
        <w:fldChar w:fldCharType="end"/>
      </w:r>
      <w:r w:rsidRPr="00F432AD">
        <w:t>.</w:t>
      </w:r>
    </w:p>
    <w:p w14:paraId="694640BD" w14:textId="26C47064" w:rsidR="00FE013C" w:rsidRPr="00F432AD" w:rsidRDefault="00FE013C" w:rsidP="00A95675">
      <w:pPr>
        <w:spacing w:after="120"/>
        <w:ind w:firstLine="480"/>
      </w:pPr>
      <w:r w:rsidRPr="00F432AD">
        <w:t>Geographic Information System (GIS) analysis is a powerful tool for site suitability assessment and can be used to evaluate a site based on a number of criteria, including resource availability, proximity to the grid, land cost and availability, water availability for cooling, environmental constraints, and construction accessibility</w:t>
      </w:r>
      <w:r>
        <w:fldChar w:fldCharType="begin"/>
      </w:r>
      <w:r w:rsidR="00A95675">
        <w:instrText xml:space="preserve"> ADDIN ZOTERO_ITEM CSL_CITATION {"citationID":"NqfWsidk","properties":{"unsorted":false,"formattedCitation":"[101]","plainCitation":"[101]","noteIndex":0},"citationItems":[{"id":2058,"uris":["http://zotero.org/users/9870935/items/W5T4VP3N"],"itemData":{"id":2058,"type":"article-journal","container-title":"Unconventional Resources","DOI":"10.1016/j.uncres.2025.100192","ISSN":"26665190","journalAbbreviation":"Unconventional Resources","language":"en","page":"100192","source":"DOI.org (Crossref)","title":"Multi-criteria GIS-based approach for optimal site selection of solar and wind energy","volume":"7","author":[{"family":"Nassar","given":"Ahmed K."},{"family":"Al-Dulaimi","given":"Omer"},{"family":"Fakhruldeen","given":"Hassan Falah"},{"family":"Sapaev","given":"I.B."},{"family":"Jabbar","given":"Feryal Ibrahim"},{"family":"Dawood","given":"Imad Ibrahim"},{"family":"Khalaf","given":"Doaa H."},{"family":"Algburi","given":"Sameer"}],"issued":{"date-parts":[["2025",7]]}}}],"schema":"https://github.com/citation-style-language/schema/raw/master/csl-citation.json"} </w:instrText>
      </w:r>
      <w:r>
        <w:fldChar w:fldCharType="separate"/>
      </w:r>
      <w:r w:rsidR="00A95675" w:rsidRPr="00A95675">
        <w:t>[101]</w:t>
      </w:r>
      <w:r>
        <w:fldChar w:fldCharType="end"/>
      </w:r>
      <w:r w:rsidRPr="00F432AD">
        <w:t>. These machine learning techniques have improved the GIS-based assessment by allowing for automated selection of the best sites from large geospatial datasets, potentially saving time and money in preliminary feasibility studies</w:t>
      </w:r>
      <w:r>
        <w:fldChar w:fldCharType="begin"/>
      </w:r>
      <w:r w:rsidR="00A95675">
        <w:instrText xml:space="preserve"> ADDIN ZOTERO_ITEM CSL_CITATION {"citationID":"XsHnBnNn","properties":{"unsorted":false,"formattedCitation":"[102]","plainCitation":"[102]","noteIndex":0},"citationItems":[{"id":2059,"uris":["http://zotero.org/users/9870935/items/JGZPYJ4A"],"itemData":{"id":2059,"type":"article-journal","abstract":"ABSTRACT\n            Many of the Pacific's small island‐nations have traditionally used diesel generators in the operation of their electricity grids. That said, more recently there has been a move towards greater use of renewable energy sources for electricity, in particular solar energy. A challenge to this, however, is ensuring that there is appropriate typical meteorological year data to facilitate an understanding of the output from these systems (especially at utility scale). Although there are numerous typical meteorological year datasets for the Pacific island‐nations many of these are based on satellite inferred data. In this study, a typical meteorological year was developed for the island of Rarotonga, Cook Islands, using ground‐based measurements. When compared to an existing typical meteorological year derived from satellite data, it was found that the satellite significantly overpredicted global horizontal irradiation for much of the year. This over‐prediction was found to be due, at least in part, to the satellite data not resolving the effect of water in the atmosphere, (clouds and rainfall) on the solar irradiation correctly. On this basis, it demonstrates that although typical meteorological year derived from satellite data are a useful starting point for energy simulations in the Pacific island‐nations, there is a need to improve these datasets to support their transition to renewable electricity generation.","container-title":"Journal of the Royal Society of New Zealand","DOI":"10.1080/03036758.2021.2013262","ISSN":"0303-6758, 1175-8899","issue":"5","journalAbbreviation":"Journal of the Royal Society of New Zealand","language":"en","license":"http://onlinelibrary.wiley.com/termsAndConditions#vor","page":"606-613","source":"DOI.org (Crossref)","title":"An improved typical meteorological year for solar energy simulations in Rarotonga, Cook Islands","volume":"52","author":[{"family":"Anderson","given":"Timothy"}],"issued":{"date-parts":[["2022",10]]}}}],"schema":"https://github.com/citation-style-language/schema/raw/master/csl-citation.json"} </w:instrText>
      </w:r>
      <w:r>
        <w:fldChar w:fldCharType="separate"/>
      </w:r>
      <w:r w:rsidR="00A95675" w:rsidRPr="00A95675">
        <w:t>[102]</w:t>
      </w:r>
      <w:r>
        <w:fldChar w:fldCharType="end"/>
      </w:r>
      <w:r w:rsidRPr="00F432AD">
        <w:t>.</w:t>
      </w:r>
    </w:p>
    <w:p w14:paraId="472E9197" w14:textId="77777777" w:rsidR="00FE013C" w:rsidRDefault="00FE013C" w:rsidP="004C16FF">
      <w:pPr>
        <w:pStyle w:val="Heading20"/>
        <w:jc w:val="both"/>
        <w:rPr>
          <w:color w:val="auto"/>
        </w:rPr>
      </w:pPr>
      <w:r>
        <w:rPr>
          <w:color w:val="auto"/>
        </w:rPr>
        <w:t>4.5. Geographic Variability and Seasonal Patterns</w:t>
      </w:r>
    </w:p>
    <w:p w14:paraId="50579766" w14:textId="2A61AA2A" w:rsidR="001B74A6" w:rsidRPr="001B74A6" w:rsidRDefault="00FE013C" w:rsidP="00A95675">
      <w:pPr>
        <w:spacing w:after="120"/>
        <w:ind w:firstLine="480"/>
        <w:rPr>
          <w:highlight w:val="yellow"/>
          <w:lang w:val="en-CA"/>
        </w:rPr>
      </w:pPr>
      <w:r w:rsidRPr="00F07E08">
        <w:t>It is important to appreciate the temporal variation of renewable resources when designing systems to satisfy reliability requirements. Solar generation fluctuates regularly on a diurnal and seasonal basis, typically peaking during the day (roughly between 6am and 6pm) and summer in temperate climates. Stochastic variability occurs on timescales of minutes to hours due to cloud cover, and the forecast errors on these timescales are generally between 5</w:t>
      </w:r>
      <w:r>
        <w:t>-</w:t>
      </w:r>
      <w:r w:rsidRPr="00F07E08">
        <w:t>10</w:t>
      </w:r>
      <w:r>
        <w:t xml:space="preserve">% </w:t>
      </w:r>
      <w:r w:rsidRPr="00F07E08">
        <w:t>mean absolute percentage error (MAPE)</w:t>
      </w:r>
      <w:r>
        <w:fldChar w:fldCharType="begin"/>
      </w:r>
      <w:r w:rsidR="00A95675">
        <w:instrText xml:space="preserve"> ADDIN ZOTERO_ITEM CSL_CITATION {"citationID":"OfkCYwiH","properties":{"unsorted":false,"formattedCitation":"[103]","plainCitation":"[103]","noteIndex":0},"citationItems":[{"id":2061,"uris":["http://zotero.org/users/9870935/items/9Q8RHM8Q"],"itemData":{"id":2061,"type":"article-journal","container-title":"Energy Conversion and Management","DOI":"10.1016/j.enconman.2022.116160","ISSN":"01968904","journalAbbreviation":"Energy Conversion and Management","language":"en","page":"116160","source":"DOI.org (Crossref)","title":"Projections of energy yield- and complementarity-driven wind energy expansion scenarios in the European Union","volume":"269","author":[{"family":"Jung","given":"Christopher"},{"family":"Schindler","given":"Dirk"}],"issued":{"date-parts":[["2022",10]]}}}],"schema":"https://github.com/citation-style-language/schema/raw/master/csl-citation.json"} </w:instrText>
      </w:r>
      <w:r>
        <w:fldChar w:fldCharType="separate"/>
      </w:r>
      <w:r w:rsidR="00A95675" w:rsidRPr="00A95675">
        <w:t>[103]</w:t>
      </w:r>
      <w:r>
        <w:fldChar w:fldCharType="end"/>
      </w:r>
      <w:r w:rsidRPr="00F07E08">
        <w:t>. Wind generation has also been observed to have varying temporal characteristics, in most mid-latitude regions, wind energy tends to be higher at night and through the winter season, so as to complement solar energy.</w:t>
      </w:r>
      <w:r>
        <w:t xml:space="preserve"> </w:t>
      </w:r>
      <w:r w:rsidR="00D87945">
        <w:rPr>
          <w:highlight w:val="yellow"/>
          <w:lang w:val="en-CA"/>
        </w:rPr>
        <w:fldChar w:fldCharType="begin"/>
      </w:r>
      <w:r w:rsidR="00D87945">
        <w:instrText xml:space="preserve"> REF _Ref239529471 \h </w:instrText>
      </w:r>
      <w:r w:rsidR="00D87945">
        <w:rPr>
          <w:highlight w:val="yellow"/>
          <w:lang w:val="en-CA"/>
        </w:rPr>
      </w:r>
      <w:r w:rsidR="00D87945">
        <w:rPr>
          <w:highlight w:val="yellow"/>
          <w:lang w:val="en-CA"/>
        </w:rPr>
        <w:fldChar w:fldCharType="separate"/>
      </w:r>
      <w:r w:rsidR="00D87945">
        <w:t xml:space="preserve">Figure </w:t>
      </w:r>
      <w:r w:rsidR="00D87945">
        <w:rPr>
          <w:noProof/>
        </w:rPr>
        <w:t>5</w:t>
      </w:r>
      <w:r w:rsidR="00D87945">
        <w:t xml:space="preserve"> Seasonal complementarity between wind and solar generation</w:t>
      </w:r>
      <w:r w:rsidR="00D87945">
        <w:rPr>
          <w:highlight w:val="yellow"/>
          <w:lang w:val="en-CA"/>
        </w:rPr>
        <w:fldChar w:fldCharType="end"/>
      </w:r>
      <w:r w:rsidR="00D87945">
        <w:rPr>
          <w:highlight w:val="yellow"/>
          <w:lang w:val="en-CA"/>
        </w:rPr>
        <w:t xml:space="preserve">, </w:t>
      </w:r>
      <w:r w:rsidR="00D87945" w:rsidRPr="001B74A6">
        <w:rPr>
          <w:highlight w:val="yellow"/>
          <w:lang w:val="en-CA"/>
        </w:rPr>
        <w:t>demonstrates</w:t>
      </w:r>
      <w:r w:rsidR="001B74A6" w:rsidRPr="001B74A6">
        <w:rPr>
          <w:highlight w:val="yellow"/>
          <w:lang w:val="en-CA"/>
        </w:rPr>
        <w:t xml:space="preserve"> the seasonal complementarity that may exist between wind and solar generation. In many regions, wind generation tends to be higher during periods when solar generation is reduced, particularly during winter months and nighttime hours. This complementary behavior can reduce aggregate renewable-generation variability; however, the magnitude of the benefit depends on location, climate conditions, temporal resolution, resource quality, and geographic diversity </w:t>
      </w:r>
      <w:r w:rsidR="001B74A6">
        <w:rPr>
          <w:highlight w:val="yellow"/>
          <w:lang w:val="en-CA"/>
        </w:rPr>
        <w:fldChar w:fldCharType="begin"/>
      </w:r>
      <w:r w:rsidR="00A95675">
        <w:rPr>
          <w:highlight w:val="yellow"/>
          <w:lang w:val="en-CA"/>
        </w:rPr>
        <w:instrText xml:space="preserve"> ADDIN ZOTERO_ITEM CSL_CITATION {"citationID":"PkWcZCmf","properties":{"unsorted":false,"formattedCitation":"[20],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A95675" w:rsidRPr="00A95675">
        <w:rPr>
          <w:highlight w:val="yellow"/>
          <w:lang w:val="en-CA"/>
        </w:rPr>
        <w:t>[20], [104], [105]</w:t>
      </w:r>
      <w:r w:rsidR="001B74A6">
        <w:rPr>
          <w:highlight w:val="yellow"/>
          <w:lang w:val="en-CA"/>
        </w:rPr>
        <w:fldChar w:fldCharType="end"/>
      </w:r>
      <w:r w:rsidR="001B74A6">
        <w:rPr>
          <w:lang w:val="en-CA"/>
        </w:rPr>
        <w:t>.</w:t>
      </w:r>
    </w:p>
    <w:p w14:paraId="2D08FD41" w14:textId="439042B2" w:rsidR="00FE013C" w:rsidRPr="006A4FAE" w:rsidRDefault="006A4FAE" w:rsidP="006A4FAE">
      <w:pPr>
        <w:spacing w:after="120"/>
        <w:ind w:firstLine="480"/>
        <w:rPr>
          <w:lang w:val="en-CA"/>
        </w:rPr>
      </w:pPr>
      <w:r w:rsidRPr="006A4FAE">
        <w:rPr>
          <w:noProof/>
          <w:lang w:val="en-CA"/>
        </w:rPr>
        <w:drawing>
          <wp:inline distT="0" distB="0" distL="0" distR="0" wp14:anchorId="7BC8964F" wp14:editId="2B77D325">
            <wp:extent cx="6192520" cy="2647950"/>
            <wp:effectExtent l="0" t="0" r="0" b="0"/>
            <wp:docPr id="743805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2613" b="23242"/>
                    <a:stretch>
                      <a:fillRect/>
                    </a:stretch>
                  </pic:blipFill>
                  <pic:spPr bwMode="auto">
                    <a:xfrm>
                      <a:off x="0" y="0"/>
                      <a:ext cx="619252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4CE86E78" w14:textId="6A7F29EA" w:rsidR="00FE013C" w:rsidRDefault="00FE013C" w:rsidP="00E17344">
      <w:pPr>
        <w:pStyle w:val="Caption"/>
        <w:jc w:val="center"/>
      </w:pPr>
      <w:bookmarkStart w:id="10" w:name="_Ref239529471"/>
      <w:r>
        <w:t xml:space="preserve">Figure </w:t>
      </w:r>
      <w:r>
        <w:fldChar w:fldCharType="begin"/>
      </w:r>
      <w:r>
        <w:instrText xml:space="preserve"> SEQ Figure \* ARABIC </w:instrText>
      </w:r>
      <w:r>
        <w:fldChar w:fldCharType="separate"/>
      </w:r>
      <w:r w:rsidR="00807110">
        <w:rPr>
          <w:noProof/>
        </w:rPr>
        <w:t>5</w:t>
      </w:r>
      <w:r>
        <w:rPr>
          <w:noProof/>
        </w:rPr>
        <w:fldChar w:fldCharType="end"/>
      </w:r>
      <w:r>
        <w:t xml:space="preserve"> </w:t>
      </w:r>
      <w:r w:rsidR="006A4FAE">
        <w:t>Seasonal complementarity between wind and solar generation</w:t>
      </w:r>
      <w:bookmarkEnd w:id="10"/>
    </w:p>
    <w:p w14:paraId="62D4BD41" w14:textId="53B371E7" w:rsidR="001B74A6" w:rsidRPr="001B74A6" w:rsidRDefault="00FE013C" w:rsidP="00A95675">
      <w:pPr>
        <w:spacing w:after="120"/>
        <w:ind w:firstLine="480"/>
        <w:rPr>
          <w:lang w:val="en-CA"/>
        </w:rPr>
      </w:pPr>
      <w:r w:rsidRPr="00F07E08">
        <w:lastRenderedPageBreak/>
        <w:t>The most common method for quantifying wind-solar complementarity is correlation analysis using the Spearman or Pearson correlation coefficient over various time scales (hourly, daily, or monthly). In various regions of Europe, the combined deployment of wind and solar power can benefit from cross-country coordination, which can improve the capacity factor of the combined plant by approximately 22</w:t>
      </w:r>
      <w:r>
        <w:t xml:space="preserve">% </w:t>
      </w:r>
      <w:r w:rsidRPr="00F07E08">
        <w:t>compared to a single plant deployment</w:t>
      </w:r>
      <w:r>
        <w:fldChar w:fldCharType="begin"/>
      </w:r>
      <w:r w:rsidR="00A95675">
        <w:instrText xml:space="preserve"> ADDIN ZOTERO_ITEM CSL_CITATION {"citationID":"anSnTjMg","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fldChar w:fldCharType="separate"/>
      </w:r>
      <w:r w:rsidR="00A95675" w:rsidRPr="00A95675">
        <w:t>[104]</w:t>
      </w:r>
      <w:r>
        <w:fldChar w:fldCharType="end"/>
      </w:r>
      <w:r w:rsidRPr="00F07E08">
        <w:t xml:space="preserve">. In data </w:t>
      </w:r>
      <w:r w:rsidR="00580BAE">
        <w:t>center</w:t>
      </w:r>
      <w:r w:rsidRPr="00F07E08">
        <w:t xml:space="preserve"> applications, this redundancy provides direct benefits in terms of reduced storage space and system costs. </w:t>
      </w:r>
      <w:r w:rsidR="001B74A6" w:rsidRPr="001B74A6">
        <w:rPr>
          <w:highlight w:val="yellow"/>
          <w:lang w:val="en-CA"/>
        </w:rPr>
        <w:t>For data-center applications, wind-solar complementarity may reduce renewable-generation variability and improve renewable-energy utilization. However, any reduction in storage requirements must be quantified using chronological, site-specific renewable-resource and load data rather than assumed from a universal percentage</w:t>
      </w:r>
      <w:r w:rsidR="001B74A6">
        <w:rPr>
          <w:highlight w:val="yellow"/>
          <w:lang w:val="en-CA"/>
        </w:rPr>
        <w:fldChar w:fldCharType="begin"/>
      </w:r>
      <w:r w:rsidR="00A95675">
        <w:rPr>
          <w:highlight w:val="yellow"/>
          <w:lang w:val="en-CA"/>
        </w:rPr>
        <w:instrText xml:space="preserve"> ADDIN ZOTERO_ITEM CSL_CITATION {"citationID":"jn0yMYkC","properties":{"unsorted":false,"formattedCitation":"[20],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sidR="001B74A6">
        <w:rPr>
          <w:highlight w:val="yellow"/>
          <w:lang w:val="en-CA"/>
        </w:rPr>
        <w:fldChar w:fldCharType="separate"/>
      </w:r>
      <w:r w:rsidR="00A95675" w:rsidRPr="00A95675">
        <w:rPr>
          <w:highlight w:val="yellow"/>
          <w:lang w:val="en-CA"/>
        </w:rPr>
        <w:t>[20], [104], [105]</w:t>
      </w:r>
      <w:r w:rsidR="001B74A6">
        <w:rPr>
          <w:highlight w:val="yellow"/>
          <w:lang w:val="en-CA"/>
        </w:rPr>
        <w:fldChar w:fldCharType="end"/>
      </w:r>
      <w:r w:rsidR="001B74A6">
        <w:rPr>
          <w:lang w:val="en-CA"/>
        </w:rPr>
        <w:t>.</w:t>
      </w:r>
    </w:p>
    <w:p w14:paraId="17BFC632" w14:textId="166D506A" w:rsidR="00FE013C" w:rsidRDefault="00FE013C" w:rsidP="001B74A6">
      <w:pPr>
        <w:spacing w:after="120"/>
        <w:ind w:firstLine="480"/>
        <w:rPr>
          <w:color w:val="auto"/>
        </w:rPr>
      </w:pPr>
      <w:r>
        <w:rPr>
          <w:color w:val="auto"/>
          <w:lang w:eastAsia="zh-CN"/>
        </w:rPr>
        <w:t xml:space="preserve">5. </w:t>
      </w:r>
      <w:r>
        <w:rPr>
          <w:color w:val="auto"/>
        </w:rPr>
        <w:t>Energy Storage and Backup Systems</w:t>
      </w:r>
    </w:p>
    <w:p w14:paraId="33232D34" w14:textId="38084EE3" w:rsidR="00FE013C" w:rsidRDefault="00FE013C" w:rsidP="004C16FF">
      <w:pPr>
        <w:spacing w:after="120"/>
        <w:ind w:firstLine="480"/>
      </w:pPr>
      <w:r>
        <w:t xml:space="preserve">Energy storage systems serve as critical enabling technology for renewable-powered AI data </w:t>
      </w:r>
      <w:r w:rsidR="00580BAE">
        <w:t>center</w:t>
      </w:r>
      <w:r>
        <w:t>s, bridging the temporal gaps between variable renewable generation and constant computing loads. This section examines the sizing, selection, and integration of storage technologies, including lithium-ion batteries, long-duration storage alternatives, and conventional backup power systems.</w:t>
      </w:r>
    </w:p>
    <w:p w14:paraId="6789F0D7" w14:textId="77777777" w:rsidR="00FE013C" w:rsidRDefault="00FE013C" w:rsidP="004C16FF">
      <w:pPr>
        <w:pStyle w:val="Heading20"/>
        <w:jc w:val="both"/>
        <w:rPr>
          <w:color w:val="auto"/>
        </w:rPr>
      </w:pPr>
      <w:r>
        <w:rPr>
          <w:color w:val="auto"/>
        </w:rPr>
        <w:t>5.1. Lithium-Ion Battery Systems</w:t>
      </w:r>
    </w:p>
    <w:p w14:paraId="31E956DA" w14:textId="4AA35B44" w:rsidR="00FE013C" w:rsidRDefault="00FE013C" w:rsidP="00A95675">
      <w:pPr>
        <w:spacing w:after="120"/>
        <w:ind w:firstLine="480"/>
      </w:pPr>
      <w:r w:rsidRPr="00ED11B4">
        <w:t xml:space="preserve">The cost of lithium-ion battery technology has dropped dramatically, changing the economics of integrating renewable energy. </w:t>
      </w:r>
      <w:r w:rsidRPr="00D75763">
        <w:t xml:space="preserve">BloombergNEF has reported that utility-scale lithium-ion battery pack prices have declined sharply, from approximately $300/kWh in 2020 to $108/kWh in 2025 at the pack level, with </w:t>
      </w:r>
      <w:r w:rsidR="00963C91" w:rsidRPr="00963C91">
        <w:rPr>
          <w:lang w:val="en-CA"/>
        </w:rPr>
        <w:t>Chinese cell-level prices falling below USD 65/kWh at the cell-manufacturing level, compared with a global volume-weighted average battery-pack price of approximately USD 108/kWh in 2025</w:t>
      </w:r>
      <w:r w:rsidR="00963C91">
        <w:rPr>
          <w:lang w:val="en-CA"/>
        </w:rPr>
        <w:t xml:space="preserve"> </w:t>
      </w:r>
      <w:r>
        <w:fldChar w:fldCharType="begin"/>
      </w:r>
      <w:r>
        <w:instrText xml:space="preserve"> ADDIN ZOTERO_ITEM CSL_CITATION {"citationID":"prBbKpCD","properties":{"unsorted":false,"formattedCitation":"[17]","plainCitation":"[17]","noteIndex":0},"citationItems":[{"id":1923,"uris":["http://zotero.org/users/9870935/items/K5N743Z5"],"itemData":{"id":1923,"type":"post-weblog","title":"BNEF: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fldChar w:fldCharType="separate"/>
      </w:r>
      <w:r w:rsidRPr="00A44D61">
        <w:t>[17]</w:t>
      </w:r>
      <w:r>
        <w:fldChar w:fldCharType="end"/>
      </w:r>
      <w:r w:rsidRPr="00ED11B4">
        <w:t>. This trend is expected to persist, with the most recent cost estimates from NREL predicting $147 per kWh (low case), $243 per kWh (mid case), and $339 per kWh (high case) for 4-hour utility-scale systems by 2035</w:t>
      </w:r>
      <w:r>
        <w:fldChar w:fldCharType="begin"/>
      </w:r>
      <w:r w:rsidR="00A95675">
        <w:instrText xml:space="preserve"> ADDIN ZOTERO_ITEM CSL_CITATION {"citationID":"RqYr9QXe","properties":{"unsorted":false,"formattedCitation":"[106]","plainCitation":"[106]","noteIndex":0},"citationItems":[{"id":2067,"uris":["http://zotero.org/users/9870935/items/E8HGHAUR"],"itemData":{"id":2067,"type":"article-journal","container-title":"Renewable Energy","language":"en","source":"Zotero","title":"Cost Projections for Utility-Scale Battery Storage: 2025 Update","URL":"https://docs.nrel.gov/docs/fy25osti/93281.pdf","author":[{"family":"Cole","given":"Wesley"},{"family":"Ramasamy","given":"Vignesh"},{"family":"Turan","given":"Merve"}],"issued":{"date-parts":[["2025"]]}}}],"schema":"https://github.com/citation-style-language/schema/raw/master/csl-citation.json"} </w:instrText>
      </w:r>
      <w:r>
        <w:fldChar w:fldCharType="separate"/>
      </w:r>
      <w:r w:rsidR="00A95675" w:rsidRPr="00A95675">
        <w:t>[106]</w:t>
      </w:r>
      <w:r>
        <w:fldChar w:fldCharType="end"/>
      </w:r>
      <w:r w:rsidRPr="00ED11B4">
        <w:t>. A learning rate of approximately 19% for every doubling of cumulative production has been estimated for lithium-ion batteries, indicating further cost reductions with increased production</w:t>
      </w:r>
      <w:r>
        <w:fldChar w:fldCharType="begin"/>
      </w:r>
      <w:r w:rsidR="00A95675">
        <w:instrText xml:space="preserve"> ADDIN ZOTERO_ITEM CSL_CITATION {"citationID":"KdpfBvot","properties":{"unsorted":false,"formattedCitation":"[107]","plainCitation":"[107]","noteIndex":0},"citationItems":[{"id":2068,"uris":["http://zotero.org/users/9870935/items/M4LNHX4F"],"itemData":{"id":2068,"type":"post-weblog","title":"Battery costs have declined by 99% in the last three decades, making electrified transport a reality","URL":"https://ourworldindata.org/battery-price-decline","author":[{"family":"Our World in Data","given":""}]}}],"schema":"https://github.com/citation-style-language/schema/raw/master/csl-citation.json"} </w:instrText>
      </w:r>
      <w:r>
        <w:fldChar w:fldCharType="separate"/>
      </w:r>
      <w:r w:rsidR="00A95675" w:rsidRPr="00A95675">
        <w:t>[107]</w:t>
      </w:r>
      <w:r>
        <w:fldChar w:fldCharType="end"/>
      </w:r>
      <w:r w:rsidRPr="00ED11B4">
        <w:t>.</w:t>
      </w:r>
    </w:p>
    <w:p w14:paraId="5FB5AE81" w14:textId="53BF54E9" w:rsidR="00FE013C" w:rsidRPr="00ED11B4" w:rsidRDefault="00FE013C" w:rsidP="00A95675">
      <w:pPr>
        <w:spacing w:after="120"/>
        <w:ind w:firstLine="480"/>
      </w:pPr>
      <w:r w:rsidRPr="00ED11B4">
        <w:t>The key factors for battery chemistry selection are cost, energy density, cycle life, safety, and thermal management requirements. Owing to its excellent safety (no thermal runaway risk), long cycle life of over 4,000 cycles at 80% depth of discharge, and lower cost because it eliminates the use of cobalt and nickel, LFP (lithium iron phosphate) has become the predominant chemistry for stationary storage applications</w:t>
      </w:r>
      <w:r>
        <w:fldChar w:fldCharType="begin"/>
      </w:r>
      <w:r w:rsidR="00A95675">
        <w:instrText xml:space="preserve"> ADDIN ZOTERO_ITEM CSL_CITATION {"citationID":"sMHhiSGv","properties":{"unsorted":false,"formattedCitation":"[43]","plainCitation":"[43]","noteIndex":0},"citationItems":[{"id":1982,"uris":["http://zotero.org/users/9870935/items/GEX9B6EX"],"itemData":{"id":1982,"type":"article-journal","container-title":"Future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fldChar w:fldCharType="separate"/>
      </w:r>
      <w:r w:rsidR="00A95675" w:rsidRPr="00A95675">
        <w:t>[43]</w:t>
      </w:r>
      <w:r>
        <w:fldChar w:fldCharType="end"/>
      </w:r>
      <w:r w:rsidRPr="00ED11B4">
        <w:t>. NMC chemistries provide higher energy density, lower cycle life, and higher safety concerns. Analysis shows that LFP is about 30% cheaper on a per-kWh basis compared to NMC for stationary use</w:t>
      </w:r>
      <w:r>
        <w:fldChar w:fldCharType="begin"/>
      </w:r>
      <w:r w:rsidR="00A95675">
        <w:instrText xml:space="preserve"> ADDIN ZOTERO_ITEM CSL_CITATION {"citationID":"PsY2P1Jo","properties":{"unsorted":false,"formattedCitation":"[44]","plainCitation":"[44]","noteIndex":0},"citationItems":[{"id":1983,"uris":["http://zotero.org/users/9870935/items/I5Q4VHW6"],"itemData":{"id":1983,"type":"article-journal","abstract":"Abstract\n            A significant turning point in the search for environmentally friendly energy storage options is the switch from lithium‐ion to sodium‐ion batteries. This review highlights the potential of sodium‐ion battery (NIB) technology to address the environmental and financial issues related to lithium‐ion systems by thoroughly examining recent developments in NIB technology. It is noted that sodium is more abundant and less expensive than lithium, NIBs have several benefits that could drastically lower the total cost of energy storage systems. In addition, this study examines new findings in important fields including electrolyte compositions, electrode materials, and battery performances of lithium‐ion batteries (LIBs) and NIBs. The article highlights advancements in anode and cathode materials, with a focus on improving energy density, cycle stability, and rate capability of both LIBs and NIBs. The review also covers the advances made in comprehending the electrochemical mechanisms and special difficulties associated with NIBs, such as material degradation and sodium ion diffusion. Future research directions are discussed, with an emphasis on enhancing the scalability and commercial viability of sodium‐ion technology over lithium on Electric Grid. Considering sustainability objectives and the integration of renewable energy sources, the review's assessment of sodium‐ion batteries’ possible effects on the future state of energy storage is included in its conclusion.","container-title":"The Chemical Record","DOI":"10.1002/tcr.202400176","ISSN":"1527-8999, 1528-0691","issue":"12","journalAbbreviation":"The Chemical Record","language":"en","page":"e202400176","source":"DOI.org (Crossref)","title":"From Lithium‐Ion to Sodium‐Ion Batteries for Sustainable Energy Storage: A Comprehensive Review on Recent Research Advancements and Perspectives","title-short":"From Lithium‐Ion to Sodium‐Ion Batteries for Sustainable Energy Storage","volume":"24","author":[{"family":"Chandra Bhowmik","given":"Konok"},{"family":"Rahman","given":"Md. Arafat"},{"family":"Billah","given":"Md. Muktadir"},{"family":"Paul","given":"Aoyon"}],"issued":{"date-parts":[["2024",12]]}}}],"schema":"https://github.com/citation-style-language/schema/raw/master/csl-citation.json"} </w:instrText>
      </w:r>
      <w:r>
        <w:fldChar w:fldCharType="separate"/>
      </w:r>
      <w:r w:rsidR="00A95675" w:rsidRPr="00A95675">
        <w:t>[44]</w:t>
      </w:r>
      <w:r>
        <w:fldChar w:fldCharType="end"/>
      </w:r>
      <w:r w:rsidRPr="00ED11B4">
        <w:t>.</w:t>
      </w:r>
    </w:p>
    <w:p w14:paraId="57F46560" w14:textId="1E5CAD13" w:rsidR="00FE013C" w:rsidRPr="00ED11B4" w:rsidRDefault="00FE013C" w:rsidP="00A95675">
      <w:pPr>
        <w:spacing w:after="120"/>
        <w:ind w:firstLine="480"/>
      </w:pPr>
      <w:r w:rsidRPr="00ED11B4">
        <w:t>The round-trip efficiency of lithium-ion batteries varies from 85% to 95</w:t>
      </w:r>
      <w:r>
        <w:t>%,</w:t>
      </w:r>
      <w:r w:rsidRPr="00ED11B4">
        <w:t xml:space="preserve"> depending on the chemistry, cell design, and power conversion system. Thermal management is essential to ensure optimal cell temperature (usually 20</w:t>
      </w:r>
      <w:r>
        <w:t>-</w:t>
      </w:r>
      <w:r w:rsidRPr="00ED11B4">
        <w:t>35 degrees °C) and to avoid accelerated degradation. Battery aging happens in two ways: calendar aging, which runs whether or not the battery is used, and cycle aging, which depends on how much charge or discharge the battery has experienced and at what rate</w:t>
      </w:r>
      <w:r>
        <w:fldChar w:fldCharType="begin"/>
      </w:r>
      <w:r w:rsidR="00A95675">
        <w:instrText xml:space="preserve"> ADDIN ZOTERO_ITEM CSL_CITATION {"citationID":"kxRlR2kx","properties":{"unsorted":false,"formattedCitation":"[69]","plainCitation":"[69]","noteIndex":0},"citationItems":[{"id":2069,"uris":["http://zotero.org/users/9870935/items/VGJ2SVN2"],"itemData":{"id":2069,"type":"article-journal","container-title":"Applied Energy","DOI":"10.1016/j.apenergy.2025.126443","ISSN":"03062619","journalAbbreviation":"Applied Energy","language":"en","page":"126443","source":"DOI.org (Crossref)","title":"A high-fidelity online monitoring algorithm for multiple physical fields in battery pack","volume":"398","author":[{"family":"Xie","given":"Yi"},{"family":"Ma","given":"Wensai"},{"family":"Jiang","given":"Disheng"},{"family":"Li","given":"Wei"},{"family":"Yang","given":"Rui"},{"family":"Panchal","given":"Satyam"},{"family":"Fowler","given":"Michael"},{"family":"Zhang","given":"Yangjun"}],"issued":{"date-parts":[["2025",11]]}}}],"schema":"https://github.com/citation-style-language/schema/raw/master/csl-citation.json"} </w:instrText>
      </w:r>
      <w:r>
        <w:fldChar w:fldCharType="separate"/>
      </w:r>
      <w:r w:rsidR="00A95675" w:rsidRPr="00A95675">
        <w:t>[69]</w:t>
      </w:r>
      <w:r>
        <w:fldChar w:fldCharType="end"/>
      </w:r>
      <w:r w:rsidRPr="00ED11B4">
        <w:t>. Limiting the depth of discharge to 50</w:t>
      </w:r>
      <w:r>
        <w:t xml:space="preserve">% </w:t>
      </w:r>
      <w:r w:rsidRPr="00ED11B4">
        <w:t>has been shown to approximately double the cycle life; therefore, the use of larger systems than the nominal capacity requirements can enhance the overall battery system economics of their operation over time, despite the higher up-front capital costs</w:t>
      </w:r>
      <w:r>
        <w:fldChar w:fldCharType="begin"/>
      </w:r>
      <w:r w:rsidR="00A95675">
        <w:instrText xml:space="preserve"> ADDIN ZOTERO_ITEM CSL_CITATION {"citationID":"Amui7OjS","properties":{"unsorted":false,"formattedCitation":"[70]","plainCitation":"[70]","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fldChar w:fldCharType="separate"/>
      </w:r>
      <w:r w:rsidR="00A95675" w:rsidRPr="00A95675">
        <w:t>[70]</w:t>
      </w:r>
      <w:r>
        <w:fldChar w:fldCharType="end"/>
      </w:r>
      <w:r w:rsidRPr="00ED11B4">
        <w:t>.</w:t>
      </w:r>
    </w:p>
    <w:p w14:paraId="55E1FDE6" w14:textId="77777777" w:rsidR="00FE013C" w:rsidRDefault="00FE013C" w:rsidP="004C16FF">
      <w:pPr>
        <w:pStyle w:val="Heading20"/>
        <w:jc w:val="both"/>
        <w:rPr>
          <w:color w:val="auto"/>
        </w:rPr>
      </w:pPr>
      <w:r>
        <w:rPr>
          <w:color w:val="auto"/>
        </w:rPr>
        <w:lastRenderedPageBreak/>
        <w:t>5.2. Advanced Storage Technologies</w:t>
      </w:r>
    </w:p>
    <w:p w14:paraId="05AEBA58" w14:textId="6FE9C01A" w:rsidR="004C2D51" w:rsidRPr="00CA73EB" w:rsidRDefault="004C2D51" w:rsidP="00B97835">
      <w:pPr>
        <w:spacing w:after="120"/>
        <w:ind w:firstLine="480"/>
        <w:rPr>
          <w:highlight w:val="yellow"/>
        </w:rPr>
      </w:pPr>
      <w:r w:rsidRPr="00CA73EB">
        <w:rPr>
          <w:highlight w:val="yellow"/>
        </w:rPr>
        <w:t xml:space="preserve">If the duration of the storage is longer, then the economics of lithium-ion systems can be less favorable as more battery energy is typically needed for greater time in storage. This has stimulated interest in technologies that can store energy for long durations (LDES). For instance, vanadium redox flow batteries (VRFBs) can </w:t>
      </w:r>
      <w:r w:rsidR="00B21029" w:rsidRPr="00CA73EB">
        <w:rPr>
          <w:highlight w:val="yellow"/>
        </w:rPr>
        <w:t>be</w:t>
      </w:r>
      <w:r w:rsidRPr="00CA73EB">
        <w:rPr>
          <w:highlight w:val="yellow"/>
        </w:rPr>
        <w:t xml:space="preserve"> independent and can provide long cycle life with relatively low energy capacity degradation </w:t>
      </w:r>
      <w:r w:rsidR="00B21029" w:rsidRPr="00CA73EB">
        <w:rPr>
          <w:highlight w:val="yellow"/>
        </w:rPr>
        <w:fldChar w:fldCharType="begin"/>
      </w:r>
      <w:r w:rsidR="00B21029" w:rsidRPr="00CA73EB">
        <w:rPr>
          <w:highlight w:val="yellow"/>
        </w:rPr>
        <w:instrText xml:space="preserve"> ADDIN ZOTERO_ITEM CSL_CITATION {"citationID":"QWzMyYBC","properties":{"unsorted":false,"formattedCitation":"[45]","plainCitation":"[45]","noteIndex":0},"citationItems":[{"id":1984,"uris":["http://zotero.org/users/9870935/items/M6SVEFZJ"],"itemData":{"id":1984,"type":"article-journal","container-title":"Next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S"},{"family":"Hosseinalipour","given":"S.M."}],"issued":{"date-parts":[["2025",12]]}}}],"schema":"https://github.com/citation-style-language/schema/raw/master/csl-citation.json"} </w:instrText>
      </w:r>
      <w:r w:rsidR="00B21029" w:rsidRPr="00CA73EB">
        <w:rPr>
          <w:highlight w:val="yellow"/>
        </w:rPr>
        <w:fldChar w:fldCharType="separate"/>
      </w:r>
      <w:r w:rsidR="00B21029" w:rsidRPr="00CA73EB">
        <w:rPr>
          <w:highlight w:val="yellow"/>
        </w:rPr>
        <w:t>[45]</w:t>
      </w:r>
      <w:r w:rsidR="00B21029" w:rsidRPr="00CA73EB">
        <w:rPr>
          <w:highlight w:val="yellow"/>
        </w:rPr>
        <w:fldChar w:fldCharType="end"/>
      </w:r>
      <w:r w:rsidRPr="00CA73EB">
        <w:rPr>
          <w:highlight w:val="yellow"/>
        </w:rPr>
        <w:t>. There are also commercial flow-battery systems available at multi-MWh and larger sizes, though the upfront capital cost to them is an important limitation.</w:t>
      </w:r>
    </w:p>
    <w:p w14:paraId="052F99CF" w14:textId="233CE051" w:rsidR="004C2D51" w:rsidRPr="00CA73EB" w:rsidRDefault="004C2D51" w:rsidP="00AA74AB">
      <w:pPr>
        <w:spacing w:after="120"/>
        <w:ind w:firstLine="480"/>
        <w:rPr>
          <w:highlight w:val="yellow"/>
        </w:rPr>
      </w:pPr>
      <w:r w:rsidRPr="00CA73EB">
        <w:rPr>
          <w:highlight w:val="yellow"/>
        </w:rPr>
        <w:t xml:space="preserve">Another new possibility for multi-day energy storage </w:t>
      </w:r>
      <w:r w:rsidR="006538B7" w:rsidRPr="00CA73EB">
        <w:rPr>
          <w:highlight w:val="yellow"/>
        </w:rPr>
        <w:t>is</w:t>
      </w:r>
      <w:r w:rsidRPr="00CA73EB">
        <w:rPr>
          <w:highlight w:val="yellow"/>
        </w:rPr>
        <w:t xml:space="preserve"> iron-air batteries. Form Energy is working on an iron-air battery that is driven primarily by abundant materials and plans for roughly 100 hours of storage for about USD 20/kWh </w:t>
      </w:r>
      <w:r w:rsidR="006538B7" w:rsidRPr="00CA73EB">
        <w:rPr>
          <w:highlight w:val="yellow"/>
        </w:rPr>
        <w:fldChar w:fldCharType="begin"/>
      </w:r>
      <w:r w:rsidR="006538B7" w:rsidRPr="00CA73EB">
        <w:rPr>
          <w:highlight w:val="yellow"/>
        </w:rPr>
        <w:instrText xml:space="preserve"> ADDIN ZOTERO_ITEM CSL_CITATION {"citationID":"IwjNu9hX","properties":{"unsorted":false,"formattedCitation":"[108]","plainCitation":"[108]","noteIndex":0},"citationItems":[{"id":1985,"uris":["http://zotero.org/users/9870935/items/58URKSK2"],"itemData":{"id":1985,"type":"book","abstract":"This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schema":"https://github.com/citation-style-language/schema/raw/master/csl-citation.json"} </w:instrText>
      </w:r>
      <w:r w:rsidR="006538B7" w:rsidRPr="00CA73EB">
        <w:rPr>
          <w:highlight w:val="yellow"/>
        </w:rPr>
        <w:fldChar w:fldCharType="separate"/>
      </w:r>
      <w:r w:rsidR="006538B7" w:rsidRPr="00CA73EB">
        <w:rPr>
          <w:highlight w:val="yellow"/>
        </w:rPr>
        <w:t>[108]</w:t>
      </w:r>
      <w:r w:rsidR="006538B7" w:rsidRPr="00CA73EB">
        <w:rPr>
          <w:highlight w:val="yellow"/>
        </w:rPr>
        <w:fldChar w:fldCharType="end"/>
      </w:r>
      <w:r w:rsidRPr="00CA73EB">
        <w:rPr>
          <w:highlight w:val="yellow"/>
        </w:rPr>
        <w:t xml:space="preserve">. There is no actual installed cost for this </w:t>
      </w:r>
      <w:r w:rsidR="006538B7" w:rsidRPr="00CA73EB">
        <w:rPr>
          <w:highlight w:val="yellow"/>
        </w:rPr>
        <w:t>technology,</w:t>
      </w:r>
      <w:r w:rsidRPr="00CA73EB">
        <w:rPr>
          <w:highlight w:val="yellow"/>
        </w:rPr>
        <w:t xml:space="preserve"> and it should be considered as a cost target value. AI infrastructure also has caught traction in this technology: Form Energy and Crusoe announced in March 2026 a strategic capacity agreement for 12 GWh of multi-day iron-air battery systems for AI data centers in the United States, deliveries of which were slated as starting in 2027 </w:t>
      </w:r>
      <w:r w:rsidR="005F4264" w:rsidRPr="00CA73EB">
        <w:rPr>
          <w:highlight w:val="yellow"/>
        </w:rPr>
        <w:fldChar w:fldCharType="begin"/>
      </w:r>
      <w:r w:rsidR="005F4264" w:rsidRPr="00CA73EB">
        <w:rPr>
          <w:highlight w:val="yellow"/>
        </w:rPr>
        <w:instrText xml:space="preserve"> ADDIN ZOTERO_ITEM CSL_CITATION {"citationID":"7kVGcOlZ","properties":{"unsorted":false,"formattedCitation":"[109]","plainCitation":"[109]","noteIndex":0},"citationItems":[{"id":2072,"uris":["http://zotero.org/users/9870935/items/EET8N7XP"],"itemData":{"id":2072,"type":"article","abstract":"Deep decarbonization of the power grid is only possible with mass-scale energy storage to overcome the spatiotemporal mismatch between supply from renewables and demand. Aqueous flow batteries fully decouple power and energy elements and can thus easily be scaled, a prerequisite for cheap long-duration energy storage, but low energy density is generally considered a key limitation of the technology. To date, the role of this metric for grid-scale installations has not been quantified, a crucial step for guiding further development of this potential trillion-dollar market. Here, we analyze the footprint of forty-four MWh-scale battery energy storage systems via satellite imagery and calculate their energy capacity per land area in kWh m−2, demonstrating that energy density is not critical for such installations and that the importance of this metric for grid-scale batteries is heavily overstated in academia. We suggest that a unique advantage of aqueous flow batteries, due to their intrinsic safety and vertical scalability, is their ability to provide reliable power in space-restricted sites, and we show that even with current chemistries and modest assumptions about storage tank sizes and footprints, areal energy densities five times as high as with the average lithium-ion based system can be achieved.","DOI":"10.26434/chemrxiv-2022-5ddhs","language":"en","license":"https://creativecommons.org/licenses/by-nc-nd/4.0/","source":"DOI.org (Crossref)","title":"The role of energy density for grid-scale batteries","URL":"https://chemrxiv.org/doi/full/10.26434/chemrxiv-2022-5ddhs","author":[{"family":"Reber","given":"David"},{"family":"Jarvis","given":"Sam"},{"family":"Marshak","given":"Michael"}],"accessed":{"date-parts":[["2026",5,17]]},"issued":{"date-parts":[["2022",11,17]]}}}],"schema":"https://github.com/citation-style-language/schema/raw/master/csl-citation.json"} </w:instrText>
      </w:r>
      <w:r w:rsidR="005F4264" w:rsidRPr="00CA73EB">
        <w:rPr>
          <w:highlight w:val="yellow"/>
        </w:rPr>
        <w:fldChar w:fldCharType="separate"/>
      </w:r>
      <w:r w:rsidR="005F4264" w:rsidRPr="00CA73EB">
        <w:rPr>
          <w:highlight w:val="yellow"/>
        </w:rPr>
        <w:t>[109]</w:t>
      </w:r>
      <w:r w:rsidR="005F4264" w:rsidRPr="00CA73EB">
        <w:rPr>
          <w:highlight w:val="yellow"/>
        </w:rPr>
        <w:fldChar w:fldCharType="end"/>
      </w:r>
      <w:r w:rsidRPr="00CA73EB">
        <w:rPr>
          <w:highlight w:val="yellow"/>
        </w:rPr>
        <w:t>. Consideration of the targeted low energy-capacity cost and multi-day discharge capability of the battery system makes iron-air systems an important trade-off with lower round trip efficiencies than lithium-ion batteries.</w:t>
      </w:r>
    </w:p>
    <w:p w14:paraId="31C55199" w14:textId="11F8D9A1" w:rsidR="004C2D51" w:rsidRDefault="004C2D51" w:rsidP="004C2D51">
      <w:pPr>
        <w:spacing w:after="120"/>
        <w:ind w:firstLine="480"/>
      </w:pPr>
      <w:r w:rsidRPr="00CA73EB">
        <w:rPr>
          <w:highlight w:val="yellow"/>
        </w:rPr>
        <w:t xml:space="preserve">Hydrogen is also being explored as a medium for long-duration and potentially seasonal energy storage, where stored hydrogen can be converted to electricity through use of fuel cells or other generation methods. The hydrogen fuel-cell backups have been performed on increasingly larger sizes: In 2020, a </w:t>
      </w:r>
      <w:r w:rsidR="00657402" w:rsidRPr="00CA73EB">
        <w:rPr>
          <w:highlight w:val="yellow"/>
        </w:rPr>
        <w:t>250-kW</w:t>
      </w:r>
      <w:r w:rsidRPr="00CA73EB">
        <w:rPr>
          <w:highlight w:val="yellow"/>
        </w:rPr>
        <w:t xml:space="preserve"> PEM fuel-cell system powered a line of data-center servers continuously for 48 hours, and in 2022 a 3 MW hydrogen fuel-cell system was demonstrated, which is about the size of a conventional data-center backup generator </w:t>
      </w:r>
      <w:r w:rsidR="00657402" w:rsidRPr="00CA73EB">
        <w:rPr>
          <w:highlight w:val="yellow"/>
        </w:rPr>
        <w:fldChar w:fldCharType="begin"/>
      </w:r>
      <w:r w:rsidR="00657402" w:rsidRPr="00CA73EB">
        <w:rPr>
          <w:highlight w:val="yellow"/>
        </w:rPr>
        <w:instrText xml:space="preserve"> ADDIN ZOTERO_ITEM CSL_CITATION {"citationID":"Lqa6b4Sx","properties":{"unsorted":false,"formattedCitation":"[110]","plainCitation":"[110]","noteIndex":0},"citationItems":[{"id":2074,"uris":["http://zotero.org/users/9870935/items/55X6H6ID"],"itemData":{"id":2074,"type":"article-journal","abstract":"The fastest growth in electricity demand in the industrialized world will likely come from the broad adoption of artificial intelligence (AI)—accelerated by the rise of generative AI models such as OpenAI’s ChatGPT. The global “data center arms race” is driving up power demand and grid stress, which creates local and regional challenges because people in the area understand that the additional data center-related electricity demand is coming from faraway places, and they will have to support the additional infrastructure while not directly benefiting from it. So, there is an incentive for the data center operators to manage the fast and unpredictable power surges internally so that their loads appear like a constant baseload to the electricity grid. Such high-intensity and short-duration loads can be served by hybrid energy storage systems (HESSs) that combine multiple storage technologies operating across different timescales. This review presents an overview of energy storage technologies, their classifications, and recent performance data, with a focus on their applicability to AI-driven computing. Technical requirements of storage systems, such as fast response, long cycle life, low degradation under frequent micro-cycling, and high ramping capability—which are critical for sustainable and reliable data center operations—are discussed. Based on these requirements, this review identifies lithium titanate oxide (LTO) and lithium iron phosphate (LFP) batteries paired with supercapacitors, flywheels, or superconducting magnetic energy storage (SMES) as the most suitable HESS configurations for AI data centers. This review also proposes AI-specific evaluation criteria, defines key performance metrics, and provides semi-quantitative guidance on power–energy partitioning for HESSs in AI data centers. This review concludes by identifying key challenges, AI-specific research gaps, and future directions for integrating HESSs with on-site generation to optimally manage the high variability in the data center load and build sustainable, low-carbon, and intelligent AI data centers.","container-title":"Energies","DOI":"10.3390/en19030634","ISSN":"1996-1073","issue":"3","journalAbbreviation":"Energies","language":"en","page":"634","source":"DOI.org (Crossref)","title":"Energy Storage Systems for AI Data Centers: A Review of Technologies, Characteristics, and Applicability","title-short":"Energy Storage Systems for AI Data Centers","volume":"19","author":[{"family":"Rahman","given":"Saifur"},{"family":"Khan","given":"Tafsir Ahmed"}],"issued":{"date-parts":[["2026",1,26]]}}}],"schema":"https://github.com/citation-style-language/schema/raw/master/csl-citation.json"} </w:instrText>
      </w:r>
      <w:r w:rsidR="00657402" w:rsidRPr="00CA73EB">
        <w:rPr>
          <w:highlight w:val="yellow"/>
        </w:rPr>
        <w:fldChar w:fldCharType="separate"/>
      </w:r>
      <w:r w:rsidR="00657402" w:rsidRPr="00CA73EB">
        <w:rPr>
          <w:highlight w:val="yellow"/>
        </w:rPr>
        <w:t>[110]</w:t>
      </w:r>
      <w:r w:rsidR="00657402" w:rsidRPr="00CA73EB">
        <w:rPr>
          <w:highlight w:val="yellow"/>
        </w:rPr>
        <w:fldChar w:fldCharType="end"/>
      </w:r>
      <w:r w:rsidRPr="00CA73EB">
        <w:rPr>
          <w:highlight w:val="yellow"/>
        </w:rPr>
        <w:t xml:space="preserve">. Most recently, Microsoft, Caterpillar, and Ballard showcased a 1.5 MW hydrogen fuel-cell installation in a simulated 48-hour backup-power scenario at a data center, housed by Microsoft. The round-trip efficiency, however, of the electricity-to-hydrogen-to-electricity cycle is low compared to lithium-ion storage in </w:t>
      </w:r>
      <w:r w:rsidR="00657402" w:rsidRPr="00CA73EB">
        <w:rPr>
          <w:highlight w:val="yellow"/>
        </w:rPr>
        <w:t>general and</w:t>
      </w:r>
      <w:r w:rsidRPr="00CA73EB">
        <w:rPr>
          <w:highlight w:val="yellow"/>
        </w:rPr>
        <w:t xml:space="preserve"> is on the order of approximately 30–40% for representative systems, depending on the configuration </w:t>
      </w:r>
      <w:r w:rsidR="00957900" w:rsidRPr="00CA73EB">
        <w:rPr>
          <w:highlight w:val="yellow"/>
        </w:rPr>
        <w:fldChar w:fldCharType="begin"/>
      </w:r>
      <w:r w:rsidR="00957900" w:rsidRPr="00CA73EB">
        <w:rPr>
          <w:highlight w:val="yellow"/>
        </w:rPr>
        <w:instrText xml:space="preserve"> ADDIN ZOTERO_ITEM CSL_CITATION {"citationID":"wSvLouuX","properties":{"unsorted":false,"formattedCitation":"[111]","plainCitation":"[111]","noteIndex":0},"citationItems":[{"id":1987,"uris":["http://zotero.org/users/9870935/items/2TYM8STM"],"itemData":{"id":1987,"type":"article-journal","abstract":"The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957900" w:rsidRPr="00CA73EB">
        <w:rPr>
          <w:highlight w:val="yellow"/>
        </w:rPr>
        <w:fldChar w:fldCharType="separate"/>
      </w:r>
      <w:r w:rsidR="00957900" w:rsidRPr="00CA73EB">
        <w:rPr>
          <w:highlight w:val="yellow"/>
        </w:rPr>
        <w:t>[111]</w:t>
      </w:r>
      <w:r w:rsidR="00957900" w:rsidRPr="00CA73EB">
        <w:rPr>
          <w:highlight w:val="yellow"/>
        </w:rPr>
        <w:fldChar w:fldCharType="end"/>
      </w:r>
      <w:r w:rsidRPr="00CA73EB">
        <w:rPr>
          <w:highlight w:val="yellow"/>
        </w:rPr>
        <w:t xml:space="preserve">. Hydrogen cost or break even thresholds are therefore highly scenario-dependent, and electricity prices, electrolyzer utilization, hydrogen storage and transport facilities, conversion efficiency, and equipment capital cost have significant influence on the economic competitiveness of green hydrogen, and should therefore not be used without a clear scenario </w:t>
      </w:r>
      <w:r w:rsidR="00B076D9" w:rsidRPr="00CA73EB">
        <w:rPr>
          <w:highlight w:val="yellow"/>
        </w:rPr>
        <w:fldChar w:fldCharType="begin"/>
      </w:r>
      <w:r w:rsidR="00B076D9" w:rsidRPr="00CA73EB">
        <w:rPr>
          <w:highlight w:val="yellow"/>
        </w:rPr>
        <w:instrText xml:space="preserve"> ADDIN ZOTERO_ITEM CSL_CITATION {"citationID":"EV0Ut2pY","properties":{"unsorted":false,"formattedCitation":"[112]","plainCitation":"[112]","noteIndex":0},"citationItems":[{"id":2076,"uris":["http://zotero.org/users/9870935/items/WSZ9BQJG"],"itemData":{"id":2076,"type":"article-journal","abstract":"Abstract\n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00B076D9" w:rsidRPr="00CA73EB">
        <w:rPr>
          <w:highlight w:val="yellow"/>
        </w:rPr>
        <w:fldChar w:fldCharType="separate"/>
      </w:r>
      <w:r w:rsidR="00B076D9" w:rsidRPr="00CA73EB">
        <w:rPr>
          <w:highlight w:val="yellow"/>
        </w:rPr>
        <w:t>[112]</w:t>
      </w:r>
      <w:r w:rsidR="00B076D9" w:rsidRPr="00CA73EB">
        <w:rPr>
          <w:highlight w:val="yellow"/>
        </w:rPr>
        <w:fldChar w:fldCharType="end"/>
      </w:r>
      <w:r w:rsidRPr="00CA73EB">
        <w:rPr>
          <w:highlight w:val="yellow"/>
        </w:rPr>
        <w:t>.</w:t>
      </w:r>
    </w:p>
    <w:p w14:paraId="7681B9CD" w14:textId="5BB4869C" w:rsidR="00FE013C" w:rsidRDefault="00FE013C" w:rsidP="004C16FF">
      <w:pPr>
        <w:pStyle w:val="Heading20"/>
        <w:jc w:val="both"/>
        <w:rPr>
          <w:color w:val="auto"/>
        </w:rPr>
      </w:pPr>
      <w:r>
        <w:rPr>
          <w:color w:val="auto"/>
        </w:rPr>
        <w:t xml:space="preserve">5.3. Energy Storage Sizing </w:t>
      </w:r>
      <w:r w:rsidR="007D29E8">
        <w:rPr>
          <w:color w:val="auto"/>
        </w:rPr>
        <w:t>Frameworks</w:t>
      </w:r>
    </w:p>
    <w:p w14:paraId="54B585AD" w14:textId="47B50C55" w:rsidR="00D143A6" w:rsidRPr="00D143A6" w:rsidRDefault="00D143A6" w:rsidP="00D143A6">
      <w:pPr>
        <w:spacing w:after="120"/>
        <w:ind w:firstLine="480"/>
        <w:rPr>
          <w:highlight w:val="yellow"/>
        </w:rPr>
      </w:pPr>
      <w:r w:rsidRPr="00D143A6">
        <w:rPr>
          <w:highlight w:val="yellow"/>
        </w:rPr>
        <w:t>The first challenge is energy storage sizing for renewables powered data centers that must address three competing criteria: reliability, operational efficiency and the use of renewable energy sources. Reliability is about having enough storage to ensure services during low renewable generation conditions, whereas economic performance is about keeping capital and operating costs at a minimum. Meanwhile storage must be dimensioned to make the best use of renewable energy usage and minimize the reliance on grid imports or backup from fossil-fuel generation.</w:t>
      </w:r>
    </w:p>
    <w:p w14:paraId="7CFDEE16" w14:textId="5651FAB6" w:rsidR="00D143A6" w:rsidRPr="00D143A6" w:rsidRDefault="00D143A6" w:rsidP="00A95675">
      <w:pPr>
        <w:spacing w:after="120"/>
        <w:ind w:firstLine="480"/>
        <w:rPr>
          <w:highlight w:val="yellow"/>
        </w:rPr>
      </w:pPr>
      <w:r w:rsidRPr="00D143A6">
        <w:rPr>
          <w:highlight w:val="yellow"/>
        </w:rPr>
        <w:t xml:space="preserve">The three main methods of sizing storage are deterministic, probabilistic, and optimization based. Whereas deterministic sizing assesses how much storage is needed under assumptions of worst cases, including periods of low renewable generation. A solar plant in the U.S. Southwest that relies heavily on solar power, for instance, might see low winter irradiation for a few days from clouds during </w:t>
      </w:r>
      <w:r w:rsidRPr="00D143A6">
        <w:rPr>
          <w:highlight w:val="yellow"/>
        </w:rPr>
        <w:lastRenderedPageBreak/>
        <w:t xml:space="preserve">extended periods. While this approach allows for a safety factor, it often leads to over-designed and costly storage solutions </w:t>
      </w:r>
      <w:r>
        <w:fldChar w:fldCharType="begin"/>
      </w:r>
      <w:r w:rsidR="00A95675">
        <w:instrText xml:space="preserve"> ADDIN ZOTERO_ITEM CSL_CITATION {"citationID":"DHpplHe9","properties":{"unsorted":false,"formattedCitation":"[71]","plainCitation":"[71]","noteIndex":0},"citationItems":[{"id":1988,"uris":["http://zotero.org/users/9870935/items/9LH8YF5V"],"itemData":{"id":1988,"type":"article-journal","container-title":"Future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system","volume":"7","author":[{"family":"Jaradat","given":"Tha'er"},{"family":"Khatib","given":"Tamer"}],"issued":{"date-parts":[["2025",9]]}}}],"schema":"https://github.com/citation-style-language/schema/raw/master/csl-citation.json"} </w:instrText>
      </w:r>
      <w:r>
        <w:fldChar w:fldCharType="separate"/>
      </w:r>
      <w:r w:rsidR="00A95675" w:rsidRPr="00A95675">
        <w:t>[71]</w:t>
      </w:r>
      <w:r>
        <w:fldChar w:fldCharType="end"/>
      </w:r>
      <w:r w:rsidRPr="00D143A6">
        <w:rPr>
          <w:highlight w:val="yellow"/>
        </w:rPr>
        <w:t>.</w:t>
      </w:r>
    </w:p>
    <w:p w14:paraId="074721F8" w14:textId="06C4539E" w:rsidR="00D143A6" w:rsidRDefault="00D143A6" w:rsidP="00A95675">
      <w:pPr>
        <w:spacing w:after="120"/>
        <w:ind w:firstLine="480"/>
      </w:pPr>
      <w:r w:rsidRPr="00D143A6">
        <w:rPr>
          <w:highlight w:val="yellow"/>
        </w:rPr>
        <w:t xml:space="preserve">Probabilistic sizing assesses reliability based on the picture of availability, which is expressed by the adequacy metrics Loss of Load Expectation (LOLE). When selecting the reliability goal, a 99.99% annual mean availability is used, giving a LOLE of 0.876 h/year (52.6 min/year) based on a simplified annual-duration relationship </w:t>
      </w:r>
      <w:r w:rsidR="00820347">
        <w:fldChar w:fldCharType="begin"/>
      </w:r>
      <w:r w:rsidR="00A95675">
        <w:instrText xml:space="preserve"> ADDIN ZOTERO_ITEM CSL_CITATION {"citationID":"j8SEt2Uy","properties":{"unsorted":false,"formattedCitation":"[113]","plainCitation":"[113]","noteIndex":0},"citationItems":[{"id":2078,"uris":["http://zotero.org/users/9870935/items/UAQIETIN"],"itemData":{"id":2078,"type":"article-journal","abstract":"Large-scale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820347">
        <w:fldChar w:fldCharType="separate"/>
      </w:r>
      <w:r w:rsidR="00A95675" w:rsidRPr="00A95675">
        <w:t>[113]</w:t>
      </w:r>
      <w:r w:rsidR="00820347">
        <w:fldChar w:fldCharType="end"/>
      </w:r>
      <w:r w:rsidRPr="00D143A6">
        <w:rPr>
          <w:highlight w:val="yellow"/>
        </w:rPr>
        <w:t>. Probabilistic methods offer a more realistic approximation of system performance than deterministic because they explicitly account for the incidence and duration of resource shortages. They do need chronological time series of loads, renewable generation, storage operation, and grid availability, though.</w:t>
      </w:r>
    </w:p>
    <w:p w14:paraId="1D93CD8D" w14:textId="6CB33768" w:rsidR="00FE013C" w:rsidRPr="00482AE3" w:rsidRDefault="00822298" w:rsidP="00482AE3">
      <w:pPr>
        <w:spacing w:after="120"/>
        <w:ind w:firstLine="480"/>
        <w:rPr>
          <w:highlight w:val="yellow"/>
          <w:lang w:val="en-CA"/>
        </w:rPr>
      </w:pPr>
      <w:r w:rsidRPr="00482AE3">
        <w:rPr>
          <w:highlight w:val="yellow"/>
          <w:lang w:val="en-CA"/>
        </w:rPr>
        <w:t>A deterministic approach looks at all of the energy shortfall events analysed for a specific period of renewable generation and sizes the energy storage system based on the worst energy shortfall event. Shortfall event starts at the point where available renewable necessary to meet the critical load, plus permitted, is unavailable, and terminates when sufficient is restored. Using this method, the minimum usable battery energy capacity required is given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2DE87625" w14:textId="77777777" w:rsidTr="009213EE">
        <w:tc>
          <w:tcPr>
            <w:tcW w:w="421" w:type="dxa"/>
          </w:tcPr>
          <w:p w14:paraId="4A4164A0" w14:textId="77777777" w:rsidR="00FE013C" w:rsidRDefault="00FE013C" w:rsidP="004C16FF">
            <w:pPr>
              <w:rPr>
                <w:color w:val="auto"/>
                <w:szCs w:val="24"/>
                <w:lang w:val="en-CA" w:eastAsia="en-CA"/>
              </w:rPr>
            </w:pPr>
          </w:p>
        </w:tc>
        <w:tc>
          <w:tcPr>
            <w:tcW w:w="7908" w:type="dxa"/>
          </w:tcPr>
          <w:p w14:paraId="49BE3620" w14:textId="2EA4A0B4" w:rsidR="00FE013C" w:rsidRDefault="00000000" w:rsidP="004C16FF">
            <w:pPr>
              <w:rPr>
                <w:color w:val="auto"/>
                <w:szCs w:val="24"/>
                <w:lang w:val="en-CA" w:eastAsia="en-CA"/>
              </w:rPr>
            </w:pPr>
            <m:oMathPara>
              <m:oMath>
                <m:sSub>
                  <m:sSubPr>
                    <m:ctrlPr>
                      <w:rPr>
                        <w:rFonts w:ascii="Cambria Math" w:hAnsi="Cambria Math"/>
                        <w:color w:val="auto"/>
                        <w:szCs w:val="24"/>
                      </w:rPr>
                    </m:ctrlPr>
                  </m:sSubPr>
                  <m:e>
                    <m:r>
                      <w:rPr>
                        <w:rFonts w:ascii="Cambria Math" w:hAnsi="Cambria Math"/>
                        <w:color w:val="auto"/>
                        <w:szCs w:val="24"/>
                      </w:rPr>
                      <m:t>E</m:t>
                    </m:r>
                  </m:e>
                  <m:sub>
                    <m:r>
                      <w:rPr>
                        <w:rFonts w:ascii="Cambria Math" w:hAnsi="Cambria Math"/>
                        <w:color w:val="auto"/>
                        <w:szCs w:val="24"/>
                      </w:rPr>
                      <m:t>B,det</m:t>
                    </m:r>
                  </m:sub>
                </m:sSub>
                <m:r>
                  <w:rPr>
                    <w:rFonts w:ascii="Cambria Math" w:hAnsi="Cambria Math"/>
                    <w:color w:val="auto"/>
                    <w:szCs w:val="24"/>
                  </w:rPr>
                  <m:t>=</m:t>
                </m:r>
                <m:func>
                  <m:funcPr>
                    <m:ctrlPr>
                      <w:rPr>
                        <w:rFonts w:ascii="Cambria Math" w:hAnsi="Cambria Math"/>
                        <w:color w:val="auto"/>
                        <w:szCs w:val="24"/>
                      </w:rPr>
                    </m:ctrlPr>
                  </m:funcPr>
                  <m:fName>
                    <m:limLow>
                      <m:limLowPr>
                        <m:ctrlPr>
                          <w:rPr>
                            <w:rFonts w:ascii="Cambria Math" w:hAnsi="Cambria Math"/>
                            <w:color w:val="auto"/>
                            <w:szCs w:val="24"/>
                          </w:rPr>
                        </m:ctrlPr>
                      </m:limLowPr>
                      <m:e>
                        <m:r>
                          <m:rPr>
                            <m:sty m:val="p"/>
                          </m:rPr>
                          <w:rPr>
                            <w:rFonts w:ascii="Cambria Math" w:hAnsi="Cambria Math"/>
                            <w:color w:val="auto"/>
                            <w:szCs w:val="24"/>
                          </w:rPr>
                          <m:t>max</m:t>
                        </m:r>
                      </m:e>
                      <m:lim>
                        <m:r>
                          <w:rPr>
                            <w:rFonts w:ascii="Cambria Math" w:hAnsi="Cambria Math"/>
                            <w:color w:val="auto"/>
                            <w:szCs w:val="24"/>
                          </w:rPr>
                          <m:t>i∈</m:t>
                        </m:r>
                        <m:d>
                          <m:dPr>
                            <m:begChr m:val="{"/>
                            <m:endChr m:val="}"/>
                            <m:ctrlPr>
                              <w:rPr>
                                <w:rFonts w:ascii="Cambria Math" w:hAnsi="Cambria Math"/>
                                <w:color w:val="auto"/>
                                <w:szCs w:val="24"/>
                              </w:rPr>
                            </m:ctrlPr>
                          </m:dPr>
                          <m:e>
                            <m:r>
                              <w:rPr>
                                <w:rFonts w:ascii="Cambria Math" w:hAnsi="Cambria Math"/>
                                <w:color w:val="auto"/>
                                <w:szCs w:val="24"/>
                              </w:rPr>
                              <m:t>1,…,n</m:t>
                            </m:r>
                          </m:e>
                        </m:d>
                      </m:lim>
                    </m:limLow>
                  </m:fName>
                  <m:e>
                    <m:d>
                      <m:dPr>
                        <m:ctrlPr>
                          <w:rPr>
                            <w:rFonts w:ascii="Cambria Math" w:hAnsi="Cambria Math"/>
                            <w:color w:val="auto"/>
                            <w:szCs w:val="24"/>
                          </w:rPr>
                        </m:ctrlPr>
                      </m:dPr>
                      <m:e>
                        <m:nary>
                          <m:naryPr>
                            <m:chr m:val="∑"/>
                            <m:limLoc m:val="undOvr"/>
                            <m:supHide m:val="1"/>
                            <m:ctrlPr>
                              <w:rPr>
                                <w:rFonts w:ascii="Cambria Math" w:hAnsi="Cambria Math"/>
                                <w:color w:val="auto"/>
                                <w:szCs w:val="24"/>
                              </w:rPr>
                            </m:ctrlPr>
                          </m:naryPr>
                          <m:sub>
                            <m:r>
                              <w:rPr>
                                <w:rFonts w:ascii="Cambria Math" w:hAnsi="Cambria Math"/>
                                <w:color w:val="auto"/>
                                <w:szCs w:val="24"/>
                              </w:rPr>
                              <m:t>t∈</m:t>
                            </m:r>
                            <m:sSub>
                              <m:sSubPr>
                                <m:ctrlPr>
                                  <w:rPr>
                                    <w:rFonts w:ascii="Cambria Math" w:hAnsi="Cambria Math"/>
                                    <w:color w:val="auto"/>
                                    <w:szCs w:val="24"/>
                                  </w:rPr>
                                </m:ctrlPr>
                              </m:sSubPr>
                              <m:e>
                                <m:r>
                                  <w:rPr>
                                    <w:rFonts w:ascii="Cambria Math" w:hAnsi="Cambria Math"/>
                                    <w:color w:val="auto"/>
                                    <w:szCs w:val="24"/>
                                  </w:rPr>
                                  <m:t>T</m:t>
                                </m:r>
                              </m:e>
                              <m:sub>
                                <m:r>
                                  <w:rPr>
                                    <w:rFonts w:ascii="Cambria Math" w:hAnsi="Cambria Math"/>
                                    <w:color w:val="auto"/>
                                    <w:szCs w:val="24"/>
                                  </w:rPr>
                                  <m:t>i</m:t>
                                </m:r>
                              </m:sub>
                            </m:sSub>
                          </m:sub>
                          <m:sup/>
                          <m:e>
                            <m:sSup>
                              <m:sSupPr>
                                <m:ctrlPr>
                                  <w:rPr>
                                    <w:rFonts w:ascii="Cambria Math" w:hAnsi="Cambria Math"/>
                                    <w:color w:val="auto"/>
                                    <w:szCs w:val="24"/>
                                  </w:rPr>
                                </m:ctrlPr>
                              </m:sSupPr>
                              <m:e>
                                <m:d>
                                  <m:dPr>
                                    <m:begChr m:val="["/>
                                    <m:endChr m:val="]"/>
                                    <m:ctrlPr>
                                      <w:rPr>
                                        <w:rFonts w:ascii="Cambria Math" w:hAnsi="Cambria Math"/>
                                        <w:color w:val="auto"/>
                                        <w:szCs w:val="24"/>
                                      </w:rPr>
                                    </m:ctrlPr>
                                  </m:dPr>
                                  <m:e>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crit,t</m:t>
                                        </m:r>
                                      </m:sub>
                                    </m:sSub>
                                    <m:r>
                                      <w:rPr>
                                        <w:rFonts w:ascii="Cambria Math" w:hAnsi="Cambria Math"/>
                                        <w:color w:val="auto"/>
                                        <w:szCs w:val="24"/>
                                      </w:rPr>
                                      <m:t>-</m:t>
                                    </m:r>
                                    <m:sSub>
                                      <m:sSubPr>
                                        <m:ctrlPr>
                                          <w:rPr>
                                            <w:rFonts w:ascii="Cambria Math" w:hAnsi="Cambria Math"/>
                                            <w:color w:val="auto"/>
                                            <w:szCs w:val="24"/>
                                          </w:rPr>
                                        </m:ctrlPr>
                                      </m:sSubPr>
                                      <m:e>
                                        <m:r>
                                          <w:rPr>
                                            <w:rFonts w:ascii="Cambria Math" w:hAnsi="Cambria Math"/>
                                            <w:color w:val="auto"/>
                                            <w:szCs w:val="24"/>
                                          </w:rPr>
                                          <m:t>P</m:t>
                                        </m:r>
                                      </m:e>
                                      <m:sub>
                                        <m:r>
                                          <w:rPr>
                                            <w:rFonts w:ascii="Cambria Math" w:hAnsi="Cambria Math"/>
                                            <w:color w:val="auto"/>
                                            <w:szCs w:val="24"/>
                                          </w:rPr>
                                          <m:t>supply,t</m:t>
                                        </m:r>
                                      </m:sub>
                                    </m:sSub>
                                  </m:e>
                                </m:d>
                              </m:e>
                              <m:sup>
                                <m:r>
                                  <w:rPr>
                                    <w:rFonts w:ascii="Cambria Math" w:hAnsi="Cambria Math"/>
                                    <w:color w:val="auto"/>
                                    <w:szCs w:val="24"/>
                                  </w:rPr>
                                  <m:t>+</m:t>
                                </m:r>
                              </m:sup>
                            </m:sSup>
                          </m:e>
                        </m:nary>
                        <m:r>
                          <m:rPr>
                            <m:sty m:val="p"/>
                          </m:rPr>
                          <w:rPr>
                            <w:rFonts w:ascii="Cambria Math" w:hAnsi="Cambria Math"/>
                            <w:color w:val="auto"/>
                            <w:szCs w:val="24"/>
                          </w:rPr>
                          <m:t>Δ</m:t>
                        </m:r>
                        <m:r>
                          <w:rPr>
                            <w:rFonts w:ascii="Cambria Math" w:hAnsi="Cambria Math"/>
                            <w:color w:val="auto"/>
                            <w:szCs w:val="24"/>
                          </w:rPr>
                          <m:t>t</m:t>
                        </m:r>
                      </m:e>
                    </m:d>
                  </m:e>
                </m:func>
              </m:oMath>
            </m:oMathPara>
          </w:p>
        </w:tc>
        <w:tc>
          <w:tcPr>
            <w:tcW w:w="505" w:type="dxa"/>
            <w:vAlign w:val="center"/>
          </w:tcPr>
          <w:p w14:paraId="212F47F6" w14:textId="77777777" w:rsidR="00FE013C" w:rsidRDefault="00FE013C" w:rsidP="004C16FF">
            <w:pPr>
              <w:rPr>
                <w:color w:val="auto"/>
                <w:szCs w:val="24"/>
                <w:lang w:val="en-CA" w:eastAsia="en-CA"/>
              </w:rPr>
            </w:pPr>
            <w:r>
              <w:rPr>
                <w:color w:val="auto"/>
                <w:szCs w:val="24"/>
                <w:lang w:val="en-CA" w:eastAsia="en-CA"/>
              </w:rPr>
              <w:t>(1)</w:t>
            </w:r>
          </w:p>
        </w:tc>
      </w:tr>
    </w:tbl>
    <w:p w14:paraId="2ED5C160" w14:textId="14401AA1"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E</m:t>
            </m:r>
          </m:e>
          <m:sub>
            <m:r>
              <w:rPr>
                <w:rFonts w:ascii="Cambria Math" w:hAnsi="Cambria Math" w:cstheme="majorBidi"/>
                <w:color w:val="auto"/>
                <w:szCs w:val="24"/>
                <w:highlight w:val="yellow"/>
                <w:lang w:val="en-CA" w:eastAsia="en-CA"/>
              </w:rPr>
              <m:t>B</m:t>
            </m:r>
            <m:r>
              <m:rPr>
                <m:sty m:val="p"/>
              </m:rPr>
              <w:rPr>
                <w:rFonts w:ascii="Cambria Math" w:hAnsi="Cambria Math" w:cstheme="majorBidi"/>
                <w:color w:val="auto"/>
                <w:szCs w:val="24"/>
                <w:highlight w:val="yellow"/>
                <w:lang w:val="en-CA" w:eastAsia="en-CA"/>
              </w:rPr>
              <m:t>,det</m:t>
            </m:r>
          </m:sub>
        </m:sSub>
      </m:oMath>
      <w:r w:rsidR="00783999" w:rsidRPr="00783999">
        <w:rPr>
          <w:rFonts w:ascii="Cambria Math" w:hAnsi="Cambria Math" w:cstheme="majorBidi"/>
          <w:color w:val="auto"/>
          <w:szCs w:val="24"/>
          <w:highlight w:val="yellow"/>
          <w:lang w:val="en-CA" w:eastAsia="en-CA"/>
        </w:rPr>
        <w:t xml:space="preserve">= minimum usable battery-energy capacity (MWh); </w:t>
      </w:r>
    </w:p>
    <w:p w14:paraId="59684DE0" w14:textId="7A4A4D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i</m:t>
        </m:r>
      </m:oMath>
      <w:r w:rsidRPr="00783999">
        <w:rPr>
          <w:rFonts w:ascii="Cambria Math" w:hAnsi="Cambria Math" w:cstheme="majorBidi"/>
          <w:color w:val="auto"/>
          <w:szCs w:val="24"/>
          <w:highlight w:val="yellow"/>
          <w:lang w:val="en-CA" w:eastAsia="en-CA"/>
        </w:rPr>
        <w:t xml:space="preserve">= renewable-generation deficit event; </w:t>
      </w:r>
    </w:p>
    <w:p w14:paraId="11806797" w14:textId="0F98B8D4"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n</m:t>
        </m:r>
      </m:oMath>
      <w:r w:rsidRPr="00783999">
        <w:rPr>
          <w:rFonts w:ascii="Cambria Math" w:hAnsi="Cambria Math" w:cstheme="majorBidi"/>
          <w:color w:val="auto"/>
          <w:szCs w:val="24"/>
          <w:highlight w:val="yellow"/>
          <w:lang w:val="en-CA" w:eastAsia="en-CA"/>
        </w:rPr>
        <w:t xml:space="preserve">= number of identified deficit events; </w:t>
      </w:r>
    </w:p>
    <w:p w14:paraId="0612BDD6" w14:textId="70F7456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T</m:t>
            </m:r>
          </m:e>
          <m:sub>
            <m:r>
              <w:rPr>
                <w:rFonts w:ascii="Cambria Math" w:hAnsi="Cambria Math" w:cstheme="majorBidi"/>
                <w:color w:val="auto"/>
                <w:szCs w:val="24"/>
                <w:highlight w:val="yellow"/>
                <w:lang w:val="en-CA" w:eastAsia="en-CA"/>
              </w:rPr>
              <m:t>i</m:t>
            </m:r>
          </m:sub>
        </m:sSub>
      </m:oMath>
      <w:r w:rsidR="00783999" w:rsidRPr="00783999">
        <w:rPr>
          <w:rFonts w:ascii="Cambria Math" w:hAnsi="Cambria Math" w:cstheme="majorBidi"/>
          <w:color w:val="auto"/>
          <w:szCs w:val="24"/>
          <w:highlight w:val="yellow"/>
          <w:lang w:val="en-CA" w:eastAsia="en-CA"/>
        </w:rPr>
        <w:t xml:space="preserve">= set of time intervals associated with event </w:t>
      </w:r>
      <m:oMath>
        <m:r>
          <w:rPr>
            <w:rFonts w:ascii="Cambria Math" w:hAnsi="Cambria Math" w:cstheme="majorBidi"/>
            <w:color w:val="auto"/>
            <w:szCs w:val="24"/>
            <w:highlight w:val="yellow"/>
            <w:lang w:val="en-CA" w:eastAsia="en-CA"/>
          </w:rPr>
          <m:t>i</m:t>
        </m:r>
      </m:oMath>
      <w:r w:rsidR="00783999" w:rsidRPr="00783999">
        <w:rPr>
          <w:rFonts w:ascii="Cambria Math" w:hAnsi="Cambria Math" w:cstheme="majorBidi"/>
          <w:color w:val="auto"/>
          <w:szCs w:val="24"/>
          <w:highlight w:val="yellow"/>
          <w:lang w:val="en-CA" w:eastAsia="en-CA"/>
        </w:rPr>
        <w:t xml:space="preserve">; </w:t>
      </w:r>
    </w:p>
    <w:p w14:paraId="18097424" w14:textId="592E5696"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crit,</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critical, non-deferrable load (MW); </w:t>
      </w:r>
    </w:p>
    <w:p w14:paraId="3DB941CD" w14:textId="61BC8E22" w:rsidR="00783999" w:rsidRPr="00783999" w:rsidRDefault="00000000"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supply,</m:t>
            </m:r>
            <m:r>
              <w:rPr>
                <w:rFonts w:ascii="Cambria Math" w:hAnsi="Cambria Math" w:cstheme="majorBidi"/>
                <w:color w:val="auto"/>
                <w:szCs w:val="24"/>
                <w:highlight w:val="yellow"/>
                <w:lang w:val="en-CA" w:eastAsia="en-CA"/>
              </w:rPr>
              <m:t>t</m:t>
            </m:r>
          </m:sub>
        </m:sSub>
      </m:oMath>
      <w:r w:rsidR="00783999" w:rsidRPr="00783999">
        <w:rPr>
          <w:rFonts w:ascii="Cambria Math" w:hAnsi="Cambria Math" w:cstheme="majorBidi"/>
          <w:color w:val="auto"/>
          <w:szCs w:val="24"/>
          <w:highlight w:val="yellow"/>
          <w:lang w:val="en-CA" w:eastAsia="en-CA"/>
        </w:rPr>
        <w:t xml:space="preserve">= available non-storage supply (renewables, grid imports, and backup generation) (MW); </w:t>
      </w:r>
    </w:p>
    <w:p w14:paraId="071E1C35" w14:textId="19A59FCC" w:rsidR="00783999" w:rsidRPr="00783999" w:rsidRDefault="00783999" w:rsidP="00783999">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Δ</m:t>
        </m:r>
        <m:r>
          <w:rPr>
            <w:rFonts w:ascii="Cambria Math" w:hAnsi="Cambria Math" w:cstheme="majorBidi"/>
            <w:color w:val="auto"/>
            <w:szCs w:val="24"/>
            <w:highlight w:val="yellow"/>
            <w:lang w:val="en-CA" w:eastAsia="en-CA"/>
          </w:rPr>
          <m:t>t</m:t>
        </m:r>
      </m:oMath>
      <w:r w:rsidRPr="00783999">
        <w:rPr>
          <w:rFonts w:ascii="Cambria Math" w:hAnsi="Cambria Math" w:cstheme="majorBidi"/>
          <w:color w:val="auto"/>
          <w:szCs w:val="24"/>
          <w:highlight w:val="yellow"/>
          <w:lang w:val="en-CA" w:eastAsia="en-CA"/>
        </w:rPr>
        <w:t xml:space="preserve">= simulation interval (h); </w:t>
      </w:r>
    </w:p>
    <w:p w14:paraId="76A064FC" w14:textId="0DE49469" w:rsidR="005324E9" w:rsidRPr="00712131" w:rsidRDefault="00000000" w:rsidP="00712131">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p>
          <m:sSupPr>
            <m:ctrlPr>
              <w:rPr>
                <w:rFonts w:ascii="Cambria Math" w:hAnsi="Cambria Math" w:cstheme="majorBidi"/>
                <w:color w:val="auto"/>
                <w:szCs w:val="24"/>
                <w:highlight w:val="yellow"/>
                <w:lang w:val="en-CA" w:eastAsia="en-CA"/>
              </w:rPr>
            </m:ctrlPr>
          </m:sSupPr>
          <m:e>
            <m:d>
              <m:dPr>
                <m:begChr m:val="["/>
                <m:end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d>
          </m:e>
          <m:sup>
            <m:r>
              <m:rPr>
                <m:sty m:val="p"/>
              </m:rPr>
              <w:rPr>
                <w:rFonts w:ascii="Cambria Math" w:hAnsi="Cambria Math" w:cstheme="majorBidi"/>
                <w:color w:val="auto"/>
                <w:szCs w:val="24"/>
                <w:highlight w:val="yellow"/>
                <w:lang w:val="en-CA" w:eastAsia="en-CA"/>
              </w:rPr>
              <m:t>+</m:t>
            </m:r>
          </m:sup>
        </m:sSup>
        <m:r>
          <m:rPr>
            <m:sty m:val="p"/>
          </m:rPr>
          <w:rPr>
            <w:rFonts w:ascii="Cambria Math" w:hAnsi="Cambria Math" w:cstheme="majorBidi"/>
            <w:color w:val="auto"/>
            <w:szCs w:val="24"/>
            <w:highlight w:val="yellow"/>
            <w:lang w:val="en-CA" w:eastAsia="en-CA"/>
          </w:rPr>
          <m:t>=max⁡</m:t>
        </m:r>
        <m:d>
          <m:dPr>
            <m:sepChr m:val=","/>
            <m:ctrlPr>
              <w:rPr>
                <w:rFonts w:ascii="Cambria Math" w:hAnsi="Cambria Math" w:cstheme="majorBidi"/>
                <w:color w:val="auto"/>
                <w:szCs w:val="24"/>
                <w:highlight w:val="yellow"/>
                <w:lang w:val="en-CA" w:eastAsia="en-CA"/>
              </w:rPr>
            </m:ctrlPr>
          </m:dPr>
          <m:e>
            <m:r>
              <w:rPr>
                <w:rFonts w:ascii="Cambria Math" w:hAnsi="Cambria Math" w:cstheme="majorBidi"/>
                <w:color w:val="auto"/>
                <w:szCs w:val="24"/>
                <w:highlight w:val="yellow"/>
                <w:lang w:val="en-CA" w:eastAsia="en-CA"/>
              </w:rPr>
              <m:t>x</m:t>
            </m:r>
          </m:e>
          <m:e>
            <m:r>
              <m:rPr>
                <m:sty m:val="p"/>
              </m:rPr>
              <w:rPr>
                <w:rFonts w:ascii="Cambria Math" w:hAnsi="Cambria Math" w:cstheme="majorBidi"/>
                <w:color w:val="auto"/>
                <w:szCs w:val="24"/>
                <w:highlight w:val="yellow"/>
                <w:lang w:val="en-CA" w:eastAsia="en-CA"/>
              </w:rPr>
              <m:t>0</m:t>
            </m:r>
          </m:e>
        </m:d>
      </m:oMath>
      <w:r w:rsidR="00783999" w:rsidRPr="00783999">
        <w:rPr>
          <w:rFonts w:ascii="Cambria Math" w:hAnsi="Cambria Math" w:cstheme="majorBidi"/>
          <w:color w:val="auto"/>
          <w:szCs w:val="24"/>
          <w:highlight w:val="yellow"/>
          <w:lang w:val="en-CA" w:eastAsia="en-CA"/>
        </w:rPr>
        <w:t>is the positive-part operator, ensuring that only positive energy deficits are accumulated.</w:t>
      </w:r>
    </w:p>
    <w:p w14:paraId="16F4CF6A" w14:textId="40EA4686" w:rsidR="002473F3" w:rsidRPr="002473F3" w:rsidRDefault="002473F3" w:rsidP="002473F3">
      <w:pPr>
        <w:spacing w:after="120"/>
        <w:ind w:firstLine="480"/>
        <w:rPr>
          <w:lang w:val="en-CA"/>
        </w:rPr>
      </w:pPr>
      <w:r w:rsidRPr="002473F3">
        <w:rPr>
          <w:highlight w:val="yellow"/>
          <w:lang w:val="en-CA"/>
        </w:rPr>
        <w:t>LOLE quantifies the expected duration during which available electricity supply is insufficient to meet the specified load over a defined assessment period. For an hourly chronological simulation of one year, LOLE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14:paraId="6FC60795" w14:textId="77777777" w:rsidTr="00F5352A">
        <w:tc>
          <w:tcPr>
            <w:tcW w:w="421" w:type="dxa"/>
          </w:tcPr>
          <w:p w14:paraId="40D57622" w14:textId="77777777" w:rsidR="00FE013C" w:rsidRDefault="00FE013C" w:rsidP="004C16FF">
            <w:pPr>
              <w:rPr>
                <w:color w:val="auto"/>
                <w:szCs w:val="24"/>
                <w:lang w:val="en-CA" w:eastAsia="en-CA"/>
              </w:rPr>
            </w:pPr>
          </w:p>
        </w:tc>
        <w:tc>
          <w:tcPr>
            <w:tcW w:w="7908" w:type="dxa"/>
          </w:tcPr>
          <w:p w14:paraId="5821DA4E" w14:textId="6A4F6D0D" w:rsidR="00FE013C" w:rsidRPr="005704B6" w:rsidRDefault="00FF34AA" w:rsidP="004C16FF">
            <w:pPr>
              <w:rPr>
                <w:rFonts w:asciiTheme="majorBidi" w:hAnsiTheme="majorBidi" w:cstheme="majorBidi"/>
                <w:color w:val="auto"/>
                <w:szCs w:val="24"/>
                <w:lang w:val="fr-FR" w:eastAsia="en-CA"/>
              </w:rPr>
            </w:pPr>
            <m:oMathPara>
              <m:oMath>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m:t>
                </m:r>
                <m:nary>
                  <m:naryPr>
                    <m:chr m:val="∑"/>
                    <m:limLoc m:val="undOvr"/>
                    <m:ctrlPr>
                      <w:rPr>
                        <w:rFonts w:ascii="Cambria Math" w:hAnsi="Cambria Math" w:cstheme="majorBidi"/>
                      </w:rPr>
                    </m:ctrlPr>
                  </m:naryPr>
                  <m:sub>
                    <m:r>
                      <w:rPr>
                        <w:rFonts w:ascii="Cambria Math" w:hAnsi="Cambria Math" w:cstheme="majorBidi"/>
                      </w:rPr>
                      <m:t>t=1</m:t>
                    </m:r>
                  </m:sub>
                  <m:sup>
                    <m:r>
                      <w:rPr>
                        <w:rFonts w:ascii="Cambria Math" w:hAnsi="Cambria Math" w:cstheme="majorBidi"/>
                      </w:rPr>
                      <m:t>T</m:t>
                    </m:r>
                  </m:sup>
                  <m:e>
                    <m:r>
                      <m:rPr>
                        <m:sty m:val="b"/>
                      </m:rPr>
                      <w:rPr>
                        <w:rFonts w:ascii="Cambria Math" w:hAnsi="Cambria Math" w:cstheme="majorBidi"/>
                      </w:rPr>
                      <m:t>1</m:t>
                    </m:r>
                  </m:e>
                </m:nary>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avail,t</m:t>
                        </m:r>
                      </m:sub>
                    </m:sSub>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&lt;</m:t>
                    </m:r>
                    <m:sSub>
                      <m:sSubPr>
                        <m:ctrlPr>
                          <w:rPr>
                            <w:rFonts w:ascii="Cambria Math" w:hAnsi="Cambria Math" w:cstheme="majorBidi"/>
                          </w:rPr>
                        </m:ctrlPr>
                      </m:sSubPr>
                      <m:e>
                        <m:r>
                          <w:rPr>
                            <w:rFonts w:ascii="Cambria Math" w:hAnsi="Cambria Math" w:cstheme="majorBidi"/>
                          </w:rPr>
                          <m:t>P</m:t>
                        </m:r>
                      </m:e>
                      <m:sub>
                        <m:r>
                          <w:rPr>
                            <w:rFonts w:ascii="Cambria Math" w:hAnsi="Cambria Math" w:cstheme="majorBidi"/>
                          </w:rPr>
                          <m:t>crit,t</m:t>
                        </m:r>
                      </m:sub>
                    </m:sSub>
                  </m:e>
                </m:d>
                <m:r>
                  <m:rPr>
                    <m:sty m:val="p"/>
                  </m:rPr>
                  <w:rPr>
                    <w:rFonts w:ascii="Cambria Math" w:hAnsi="Cambria Math" w:cstheme="majorBidi"/>
                  </w:rPr>
                  <m:t>Δ</m:t>
                </m:r>
                <m:r>
                  <w:rPr>
                    <w:rFonts w:ascii="Cambria Math" w:hAnsi="Cambria Math" w:cstheme="majorBidi"/>
                  </w:rPr>
                  <m:t>t</m:t>
                </m:r>
              </m:oMath>
            </m:oMathPara>
          </w:p>
        </w:tc>
        <w:tc>
          <w:tcPr>
            <w:tcW w:w="505" w:type="dxa"/>
            <w:vAlign w:val="center"/>
          </w:tcPr>
          <w:p w14:paraId="25C0C804" w14:textId="77777777" w:rsidR="00FE013C" w:rsidRDefault="00FE013C" w:rsidP="004C16FF">
            <w:pPr>
              <w:rPr>
                <w:color w:val="auto"/>
                <w:szCs w:val="24"/>
                <w:lang w:val="en-CA" w:eastAsia="en-CA"/>
              </w:rPr>
            </w:pPr>
            <w:r>
              <w:rPr>
                <w:color w:val="auto"/>
                <w:szCs w:val="24"/>
                <w:lang w:val="en-CA" w:eastAsia="en-CA"/>
              </w:rPr>
              <w:t>(2)</w:t>
            </w:r>
          </w:p>
        </w:tc>
      </w:tr>
    </w:tbl>
    <w:p w14:paraId="50635876" w14:textId="3A496FD4" w:rsidR="004F2081" w:rsidRPr="0088346E" w:rsidRDefault="00000000"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sSub>
          <m:sSubPr>
            <m:ctrlPr>
              <w:rPr>
                <w:rFonts w:ascii="Cambria Math" w:hAnsi="Cambria Math" w:cstheme="majorBidi"/>
                <w:color w:val="auto"/>
                <w:szCs w:val="24"/>
                <w:highlight w:val="yellow"/>
                <w:lang w:val="en-CA" w:eastAsia="en-CA"/>
              </w:rPr>
            </m:ctrlPr>
          </m:sSubPr>
          <m:e>
            <m:r>
              <w:rPr>
                <w:rFonts w:ascii="Cambria Math" w:hAnsi="Cambria Math" w:cstheme="majorBidi"/>
                <w:color w:val="auto"/>
                <w:szCs w:val="24"/>
                <w:highlight w:val="yellow"/>
                <w:lang w:val="en-CA" w:eastAsia="en-CA"/>
              </w:rPr>
              <m:t>P</m:t>
            </m:r>
          </m:e>
          <m:sub>
            <m:r>
              <m:rPr>
                <m:sty m:val="p"/>
              </m:rPr>
              <w:rPr>
                <w:rFonts w:ascii="Cambria Math" w:hAnsi="Cambria Math" w:cstheme="majorBidi"/>
                <w:color w:val="auto"/>
                <w:szCs w:val="24"/>
                <w:highlight w:val="yellow"/>
                <w:lang w:val="en-CA" w:eastAsia="en-CA"/>
              </w:rPr>
              <m:t>avail,</m:t>
            </m:r>
            <m:r>
              <w:rPr>
                <w:rFonts w:ascii="Cambria Math" w:hAnsi="Cambria Math" w:cstheme="majorBidi"/>
                <w:color w:val="auto"/>
                <w:szCs w:val="24"/>
                <w:highlight w:val="yellow"/>
                <w:lang w:val="en-CA" w:eastAsia="en-CA"/>
              </w:rPr>
              <m:t>t</m:t>
            </m:r>
          </m:sub>
        </m:sSub>
      </m:oMath>
      <w:r w:rsidR="004F2081" w:rsidRPr="0088346E">
        <w:rPr>
          <w:rFonts w:ascii="Cambria Math" w:hAnsi="Cambria Math" w:cstheme="majorBidi"/>
          <w:color w:val="auto"/>
          <w:szCs w:val="24"/>
          <w:highlight w:val="yellow"/>
          <w:lang w:val="en-CA" w:eastAsia="en-CA"/>
        </w:rPr>
        <w:t xml:space="preserve">= total available power including renewable generation, battery discharge, grid imports, and backup generation; </w:t>
      </w:r>
    </w:p>
    <w:p w14:paraId="0E457A0A" w14:textId="2E53FB26" w:rsidR="004F2081" w:rsidRPr="0088346E" w:rsidRDefault="004F2081" w:rsidP="0088346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m:rPr>
            <m:sty m:val="p"/>
          </m:rPr>
          <w:rPr>
            <w:rFonts w:ascii="Cambria Math" w:hAnsi="Cambria Math" w:cstheme="majorBidi"/>
            <w:color w:val="auto"/>
            <w:szCs w:val="24"/>
            <w:highlight w:val="yellow"/>
            <w:lang w:val="en-CA" w:eastAsia="en-CA"/>
          </w:rPr>
          <m:t>1</m:t>
        </m:r>
        <m:d>
          <m:dPr>
            <m:begChr m:val="["/>
            <m:endChr m:val="]"/>
            <m:ctrlPr>
              <w:rPr>
                <w:rFonts w:ascii="Cambria Math" w:hAnsi="Cambria Math" w:cstheme="majorBidi"/>
                <w:color w:val="auto"/>
                <w:szCs w:val="24"/>
                <w:highlight w:val="yellow"/>
                <w:lang w:val="en-CA" w:eastAsia="en-CA"/>
              </w:rPr>
            </m:ctrlPr>
          </m:dPr>
          <m:e>
            <m:r>
              <m:rPr>
                <m:sty m:val="p"/>
              </m:rPr>
              <w:rPr>
                <w:rFonts w:ascii="Cambria Math" w:hAnsi="Cambria Math" w:cstheme="majorBidi"/>
                <w:color w:val="auto"/>
                <w:szCs w:val="24"/>
                <w:highlight w:val="yellow"/>
                <w:lang w:val="en-CA" w:eastAsia="en-CA"/>
              </w:rPr>
              <m:t>⋅</m:t>
            </m:r>
          </m:e>
        </m:d>
      </m:oMath>
      <w:r w:rsidRPr="0088346E">
        <w:rPr>
          <w:rFonts w:ascii="Cambria Math" w:hAnsi="Cambria Math" w:cstheme="majorBidi"/>
          <w:color w:val="auto"/>
          <w:szCs w:val="24"/>
          <w:highlight w:val="yellow"/>
          <w:lang w:val="en-CA" w:eastAsia="en-CA"/>
        </w:rPr>
        <w:t xml:space="preserve">= indicator function; </w:t>
      </w:r>
    </w:p>
    <w:p w14:paraId="6424CFDE" w14:textId="47641B1D" w:rsidR="0088346E" w:rsidRPr="009A3F4E" w:rsidRDefault="004F2081" w:rsidP="009A3F4E">
      <w:pPr>
        <w:numPr>
          <w:ilvl w:val="0"/>
          <w:numId w:val="27"/>
        </w:numPr>
        <w:spacing w:before="100" w:beforeAutospacing="1" w:after="100" w:afterAutospacing="1"/>
        <w:rPr>
          <w:rFonts w:ascii="Cambria Math" w:hAnsi="Cambria Math" w:cstheme="majorBidi"/>
          <w:color w:val="auto"/>
          <w:szCs w:val="24"/>
          <w:highlight w:val="yellow"/>
          <w:lang w:val="en-CA" w:eastAsia="en-CA"/>
        </w:rPr>
      </w:pPr>
      <m:oMath>
        <m:r>
          <w:rPr>
            <w:rFonts w:ascii="Cambria Math" w:hAnsi="Cambria Math" w:cstheme="majorBidi"/>
            <w:color w:val="auto"/>
            <w:szCs w:val="24"/>
            <w:highlight w:val="yellow"/>
            <w:lang w:val="en-CA" w:eastAsia="en-CA"/>
          </w:rPr>
          <m:t>T</m:t>
        </m:r>
      </m:oMath>
      <w:r w:rsidRPr="0088346E">
        <w:rPr>
          <w:rFonts w:ascii="Cambria Math" w:hAnsi="Cambria Math" w:cstheme="majorBidi"/>
          <w:color w:val="auto"/>
          <w:szCs w:val="24"/>
          <w:highlight w:val="yellow"/>
          <w:lang w:val="en-CA" w:eastAsia="en-CA"/>
        </w:rPr>
        <w:t>= total number of simulation intervals.</w:t>
      </w:r>
    </w:p>
    <w:p w14:paraId="556E0CBF" w14:textId="77777777" w:rsidR="002473F3" w:rsidRPr="002473F3" w:rsidRDefault="002473F3" w:rsidP="002473F3">
      <w:pPr>
        <w:spacing w:after="120"/>
        <w:ind w:firstLine="480"/>
        <w:rPr>
          <w:highlight w:val="yellow"/>
          <w:lang w:val="en-CA"/>
        </w:rPr>
      </w:pPr>
      <w:r w:rsidRPr="002473F3">
        <w:rPr>
          <w:highlight w:val="yellow"/>
          <w:lang w:val="en-CA"/>
        </w:rPr>
        <w:t xml:space="preserve">The reliability criterion adopted throughout this review is 99.99% annual availability, corresponding to a maximum shortfall duration of 0.876 h/year, or approximately 52.6 min/year, under </w:t>
      </w:r>
      <w:r w:rsidRPr="002473F3">
        <w:rPr>
          <w:highlight w:val="yellow"/>
          <w:lang w:val="en-CA"/>
        </w:rPr>
        <w:lastRenderedPageBreak/>
        <w:t>the simplified relationship between annual availability and shortfall duration. Accordingly, the minimum battery capacity under an LOLE-based sizing approach may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2473F3" w14:paraId="698E61B3" w14:textId="77777777" w:rsidTr="001E5821">
        <w:tc>
          <w:tcPr>
            <w:tcW w:w="421" w:type="dxa"/>
          </w:tcPr>
          <w:p w14:paraId="29A5ABCC" w14:textId="77777777" w:rsidR="002473F3" w:rsidRDefault="002473F3" w:rsidP="001E5821">
            <w:pPr>
              <w:rPr>
                <w:color w:val="auto"/>
                <w:szCs w:val="24"/>
                <w:lang w:val="en-CA" w:eastAsia="en-CA"/>
              </w:rPr>
            </w:pPr>
          </w:p>
        </w:tc>
        <w:tc>
          <w:tcPr>
            <w:tcW w:w="7908" w:type="dxa"/>
          </w:tcPr>
          <w:p w14:paraId="53BC7033" w14:textId="3963A38D" w:rsidR="002473F3" w:rsidRPr="00333CD8" w:rsidRDefault="00000000" w:rsidP="001E5821">
            <w:pPr>
              <w:rPr>
                <w:rFonts w:asciiTheme="majorBidi" w:hAnsiTheme="majorBidi" w:cstheme="majorBidi"/>
                <w:color w:val="auto"/>
                <w:szCs w:val="24"/>
                <w:lang w:val="en-CA" w:eastAsia="en-CA"/>
              </w:rPr>
            </w:pPr>
            <m:oMathPara>
              <m:oMath>
                <m:sSubSup>
                  <m:sSubSupPr>
                    <m:ctrlPr>
                      <w:rPr>
                        <w:rFonts w:ascii="Cambria Math" w:hAnsi="Cambria Math" w:cstheme="majorBidi"/>
                      </w:rPr>
                    </m:ctrlPr>
                  </m:sSubSupPr>
                  <m:e>
                    <m:r>
                      <w:rPr>
                        <w:rFonts w:ascii="Cambria Math" w:hAnsi="Cambria Math" w:cstheme="majorBidi"/>
                      </w:rPr>
                      <m:t>E</m:t>
                    </m:r>
                  </m:e>
                  <m:sub>
                    <m:r>
                      <w:rPr>
                        <w:rFonts w:ascii="Cambria Math" w:hAnsi="Cambria Math" w:cstheme="majorBidi"/>
                      </w:rPr>
                      <m:t>B</m:t>
                    </m:r>
                  </m:sub>
                  <m:sup>
                    <m:r>
                      <w:rPr>
                        <w:rFonts w:ascii="Cambria Math" w:hAnsi="Cambria Math" w:cstheme="majorBidi"/>
                      </w:rPr>
                      <m:t>*</m:t>
                    </m:r>
                  </m:sup>
                </m:sSubSup>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arg</m:t>
                    </m:r>
                  </m:fName>
                  <m:e>
                    <m:func>
                      <m:funcPr>
                        <m:ctrlPr>
                          <w:rPr>
                            <w:rFonts w:ascii="Cambria Math" w:hAnsi="Cambria Math" w:cstheme="majorBidi"/>
                          </w:rPr>
                        </m:ctrlPr>
                      </m:funcPr>
                      <m:fName>
                        <m:limLow>
                          <m:limLowPr>
                            <m:ctrlPr>
                              <w:rPr>
                                <w:rFonts w:ascii="Cambria Math" w:hAnsi="Cambria Math" w:cstheme="majorBidi"/>
                              </w:rPr>
                            </m:ctrlPr>
                          </m:limLowPr>
                          <m:e>
                            <m:r>
                              <m:rPr>
                                <m:sty m:val="p"/>
                              </m:rPr>
                              <w:rPr>
                                <w:rFonts w:ascii="Cambria Math" w:hAnsi="Cambria Math" w:cstheme="majorBidi"/>
                              </w:rPr>
                              <m:t>min</m:t>
                            </m:r>
                          </m:e>
                          <m:lim>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≥0</m:t>
                            </m:r>
                          </m:lim>
                        </m:limLow>
                      </m:fName>
                      <m:e>
                        <m:d>
                          <m:dPr>
                            <m:begChr m:val="{"/>
                            <m:endChr m:val="}"/>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r>
                              <w:rPr>
                                <w:rFonts w:ascii="Cambria Math" w:hAnsi="Cambria Math" w:cstheme="majorBidi"/>
                              </w:rPr>
                              <m:t>:LOLE</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B</m:t>
                                    </m:r>
                                  </m:sub>
                                </m:sSub>
                              </m:e>
                            </m:d>
                            <m:r>
                              <w:rPr>
                                <w:rFonts w:ascii="Cambria Math" w:hAnsi="Cambria Math" w:cstheme="majorBidi"/>
                              </w:rPr>
                              <m:t>≤0.876</m:t>
                            </m:r>
                          </m:e>
                        </m:d>
                      </m:e>
                    </m:func>
                  </m:e>
                </m:func>
              </m:oMath>
            </m:oMathPara>
          </w:p>
        </w:tc>
        <w:tc>
          <w:tcPr>
            <w:tcW w:w="505" w:type="dxa"/>
            <w:vAlign w:val="center"/>
          </w:tcPr>
          <w:p w14:paraId="7F292C1D" w14:textId="7A91438E" w:rsidR="002473F3" w:rsidRDefault="002473F3" w:rsidP="001E5821">
            <w:pPr>
              <w:rPr>
                <w:color w:val="auto"/>
                <w:szCs w:val="24"/>
                <w:lang w:val="en-CA" w:eastAsia="en-CA"/>
              </w:rPr>
            </w:pPr>
            <w:r>
              <w:rPr>
                <w:color w:val="auto"/>
                <w:szCs w:val="24"/>
                <w:lang w:val="en-CA" w:eastAsia="en-CA"/>
              </w:rPr>
              <w:t>(3)</w:t>
            </w:r>
          </w:p>
        </w:tc>
      </w:tr>
    </w:tbl>
    <w:p w14:paraId="416E6540" w14:textId="77777777" w:rsidR="003A221C" w:rsidRPr="003A221C" w:rsidRDefault="003A221C" w:rsidP="003A221C">
      <w:pPr>
        <w:spacing w:after="120"/>
        <w:ind w:firstLine="480"/>
        <w:rPr>
          <w:highlight w:val="yellow"/>
          <w:lang w:val="en-CA"/>
        </w:rPr>
      </w:pPr>
      <w:r w:rsidRPr="003A221C">
        <w:rPr>
          <w:highlight w:val="yellow"/>
          <w:lang w:val="en-CA"/>
        </w:rPr>
        <w:t>Application of this formulation requires chronological load, renewable-generation, battery-dispatch, grid-availability, and backup-generation data. The resulting storage capacity is site-specific and should not be interpreted as a universal design value.</w:t>
      </w:r>
    </w:p>
    <w:p w14:paraId="0016921F" w14:textId="0694655B" w:rsidR="00FE013C" w:rsidRDefault="00FE013C" w:rsidP="004C16FF">
      <w:pPr>
        <w:spacing w:after="120"/>
        <w:ind w:firstLine="480"/>
      </w:pPr>
      <w:r w:rsidRPr="006701FD">
        <w:t xml:space="preserve">The </w:t>
      </w:r>
      <w:r w:rsidR="00580BAE" w:rsidRPr="006701FD">
        <w:t>optimization</w:t>
      </w:r>
      <w:r w:rsidRPr="006701FD">
        <w:t xml:space="preserve">-based approach constructs storage sizing as a mathematical programming problem to </w:t>
      </w:r>
      <w:r w:rsidR="00580BAE" w:rsidRPr="006701FD">
        <w:t>minimize</w:t>
      </w:r>
      <w:r w:rsidRPr="006701FD">
        <w:t xml:space="preserve"> the total system costs (capital expenditure plus operational expenditure throughout the project life cycle) while satisfying the reliability, carbon emission, and capacity constraints of the interconnection. Time-series dispatch simulation is a modelling approach that allows for detailed energy balance calculations at hourly or sub-hourly resolutions for one or more representative years to assess system performance in a realistic operating environment.</w:t>
      </w:r>
      <w:r>
        <w:t xml:space="preserve"> </w:t>
      </w:r>
      <w:r w:rsidR="00713A76">
        <w:fldChar w:fldCharType="begin"/>
      </w:r>
      <w:r w:rsidR="00713A76">
        <w:instrText xml:space="preserve"> REF _Ref239530748 \h </w:instrText>
      </w:r>
      <w:r w:rsidR="00713A76">
        <w:fldChar w:fldCharType="separate"/>
      </w:r>
      <w:r w:rsidR="00713A76">
        <w:t xml:space="preserve">Table </w:t>
      </w:r>
      <w:r w:rsidR="00713A76">
        <w:rPr>
          <w:noProof/>
        </w:rPr>
        <w:t>3</w:t>
      </w:r>
      <w:r w:rsidR="00713A76">
        <w:t xml:space="preserve"> </w:t>
      </w:r>
      <w:r w:rsidR="00713A76" w:rsidRPr="001641AD">
        <w:t xml:space="preserve">Storage </w:t>
      </w:r>
      <w:r w:rsidR="00713A76">
        <w:t>d</w:t>
      </w:r>
      <w:r w:rsidR="00713A76" w:rsidRPr="001641AD">
        <w:t xml:space="preserve">uration </w:t>
      </w:r>
      <w:r w:rsidR="00713A76">
        <w:t>o</w:t>
      </w:r>
      <w:r w:rsidR="00713A76" w:rsidRPr="001641AD">
        <w:t xml:space="preserve">ptions and </w:t>
      </w:r>
      <w:r w:rsidR="00713A76">
        <w:t>t</w:t>
      </w:r>
      <w:r w:rsidR="00713A76" w:rsidRPr="001641AD">
        <w:t>rade-offs</w:t>
      </w:r>
      <w:r w:rsidR="00713A76">
        <w:fldChar w:fldCharType="end"/>
      </w:r>
      <w:r w:rsidR="00713A76">
        <w:t xml:space="preserve">, </w:t>
      </w:r>
      <w:r w:rsidR="00580BAE" w:rsidRPr="002B3E4F">
        <w:t>synthesizes</w:t>
      </w:r>
      <w:r w:rsidRPr="002B3E4F">
        <w:t xml:space="preserve"> the five primary storage duration tiers considered in this framework, comparing the technology options, 2025 cost ranges, round-trip efficiency, recommended sizing methodology, optimal data </w:t>
      </w:r>
      <w:r w:rsidR="00580BAE">
        <w:t>center</w:t>
      </w:r>
      <w:r w:rsidRPr="002B3E4F">
        <w:t xml:space="preserve"> application, and key limitations for each duration class.</w:t>
      </w:r>
    </w:p>
    <w:p w14:paraId="7CF04D61" w14:textId="6EBBF9EB" w:rsidR="00FE013C" w:rsidRDefault="00FE013C" w:rsidP="004C16FF">
      <w:pPr>
        <w:pStyle w:val="Caption"/>
        <w:keepNext/>
      </w:pPr>
      <w:bookmarkStart w:id="11" w:name="_Ref239530748"/>
      <w:r>
        <w:t xml:space="preserve">Table </w:t>
      </w:r>
      <w:r>
        <w:fldChar w:fldCharType="begin"/>
      </w:r>
      <w:r>
        <w:instrText xml:space="preserve"> SEQ Table \* ARABIC </w:instrText>
      </w:r>
      <w:r>
        <w:fldChar w:fldCharType="separate"/>
      </w:r>
      <w:r w:rsidR="003A45CA">
        <w:rPr>
          <w:noProof/>
        </w:rPr>
        <w:t>3</w:t>
      </w:r>
      <w:r>
        <w:rPr>
          <w:noProof/>
        </w:rPr>
        <w:fldChar w:fldCharType="end"/>
      </w:r>
      <w:r>
        <w:t xml:space="preserve"> </w:t>
      </w:r>
      <w:r w:rsidRPr="001641AD">
        <w:t xml:space="preserve">Storage </w:t>
      </w:r>
      <w:r>
        <w:t>d</w:t>
      </w:r>
      <w:r w:rsidRPr="001641AD">
        <w:t xml:space="preserve">uration </w:t>
      </w:r>
      <w:r>
        <w:t>o</w:t>
      </w:r>
      <w:r w:rsidRPr="001641AD">
        <w:t xml:space="preserve">ptions and </w:t>
      </w:r>
      <w:r>
        <w:t>t</w:t>
      </w:r>
      <w:r w:rsidRPr="001641AD">
        <w:t>rade-offs</w:t>
      </w:r>
      <w:bookmarkEnd w:id="11"/>
    </w:p>
    <w:tbl>
      <w:tblPr>
        <w:tblStyle w:val="Mdeck5tablebodythreelines"/>
        <w:tblW w:w="0" w:type="auto"/>
        <w:tblLook w:val="04A0" w:firstRow="1" w:lastRow="0" w:firstColumn="1" w:lastColumn="0" w:noHBand="0" w:noVBand="1"/>
      </w:tblPr>
      <w:tblGrid>
        <w:gridCol w:w="839"/>
        <w:gridCol w:w="1280"/>
        <w:gridCol w:w="1423"/>
        <w:gridCol w:w="1176"/>
        <w:gridCol w:w="1450"/>
        <w:gridCol w:w="1891"/>
        <w:gridCol w:w="1693"/>
      </w:tblGrid>
      <w:tr w:rsidR="00FE013C" w:rsidRPr="007E3FC3" w14:paraId="74EB6BC7" w14:textId="77777777" w:rsidTr="00AF3016">
        <w:trPr>
          <w:cnfStyle w:val="100000000000" w:firstRow="1" w:lastRow="0" w:firstColumn="0" w:lastColumn="0" w:oddVBand="0" w:evenVBand="0" w:oddHBand="0" w:evenHBand="0" w:firstRowFirstColumn="0" w:firstRowLastColumn="0" w:lastRowFirstColumn="0" w:lastRowLastColumn="0"/>
        </w:trPr>
        <w:tc>
          <w:tcPr>
            <w:tcW w:w="0" w:type="auto"/>
            <w:hideMark/>
          </w:tcPr>
          <w:p w14:paraId="29D58331"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Duration</w:t>
            </w:r>
          </w:p>
        </w:tc>
        <w:tc>
          <w:tcPr>
            <w:tcW w:w="0" w:type="auto"/>
            <w:hideMark/>
          </w:tcPr>
          <w:p w14:paraId="7F16C723"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Technology</w:t>
            </w:r>
          </w:p>
        </w:tc>
        <w:tc>
          <w:tcPr>
            <w:tcW w:w="0" w:type="auto"/>
            <w:hideMark/>
          </w:tcPr>
          <w:p w14:paraId="27E28FD7" w14:textId="7471D78B"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 xml:space="preserve">Cost </w:t>
            </w:r>
            <w:r w:rsidR="00A232F6" w:rsidRPr="007E3FC3">
              <w:rPr>
                <w:b/>
                <w:bCs/>
                <w:color w:val="auto"/>
                <w:sz w:val="16"/>
                <w:szCs w:val="16"/>
                <w:highlight w:val="yellow"/>
                <w:lang w:val="en-US"/>
              </w:rPr>
              <w:t>Bas</w:t>
            </w:r>
            <w:r w:rsidR="007F0967" w:rsidRPr="007E3FC3">
              <w:rPr>
                <w:b/>
                <w:bCs/>
                <w:color w:val="auto"/>
                <w:sz w:val="16"/>
                <w:szCs w:val="16"/>
                <w:highlight w:val="yellow"/>
                <w:lang w:val="en-US"/>
              </w:rPr>
              <w:t>is</w:t>
            </w:r>
            <w:r w:rsidRPr="007E3FC3">
              <w:rPr>
                <w:b/>
                <w:bCs/>
                <w:color w:val="auto"/>
                <w:sz w:val="16"/>
                <w:szCs w:val="16"/>
                <w:highlight w:val="yellow"/>
                <w:lang w:val="en-US"/>
              </w:rPr>
              <w:t xml:space="preserve"> (2025)</w:t>
            </w:r>
          </w:p>
        </w:tc>
        <w:tc>
          <w:tcPr>
            <w:tcW w:w="0" w:type="auto"/>
            <w:hideMark/>
          </w:tcPr>
          <w:p w14:paraId="39B4E3FA"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Efficiency</w:t>
            </w:r>
          </w:p>
        </w:tc>
        <w:tc>
          <w:tcPr>
            <w:tcW w:w="0" w:type="auto"/>
            <w:hideMark/>
          </w:tcPr>
          <w:p w14:paraId="6B9AC27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Sizing Method</w:t>
            </w:r>
          </w:p>
        </w:tc>
        <w:tc>
          <w:tcPr>
            <w:tcW w:w="0" w:type="auto"/>
            <w:hideMark/>
          </w:tcPr>
          <w:p w14:paraId="2B2418F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Best Application (Data Center Context)</w:t>
            </w:r>
          </w:p>
        </w:tc>
        <w:tc>
          <w:tcPr>
            <w:tcW w:w="0" w:type="auto"/>
            <w:hideMark/>
          </w:tcPr>
          <w:p w14:paraId="22DF8B30"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Key Limitation</w:t>
            </w:r>
          </w:p>
        </w:tc>
      </w:tr>
      <w:tr w:rsidR="00FE013C" w:rsidRPr="007E3FC3" w14:paraId="1DEB16FB" w14:textId="77777777" w:rsidTr="00AF3016">
        <w:tc>
          <w:tcPr>
            <w:tcW w:w="0" w:type="auto"/>
            <w:hideMark/>
          </w:tcPr>
          <w:p w14:paraId="0692AC1B"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 h</w:t>
            </w:r>
          </w:p>
        </w:tc>
        <w:tc>
          <w:tcPr>
            <w:tcW w:w="0" w:type="auto"/>
            <w:hideMark/>
          </w:tcPr>
          <w:p w14:paraId="43E13032"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63D938CF"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 xml:space="preserve">Battery-pack price: approximately USD 108/kWh </w:t>
            </w:r>
          </w:p>
          <w:p w14:paraId="3102C455" w14:textId="64341976" w:rsidR="00FE013C"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fldChar w:fldCharType="begin"/>
            </w:r>
            <w:r w:rsidRPr="007E3FC3">
              <w:rPr>
                <w:color w:val="auto"/>
                <w:sz w:val="16"/>
                <w:szCs w:val="16"/>
                <w:highlight w:val="yellow"/>
                <w:lang w:val="en-CA"/>
              </w:rPr>
              <w:instrText xml:space="preserve"> ADDIN ZOTERO_ITEM CSL_CITATION {"citationID":"xf3Tsy3x","properties":{"unsorted":false,"formattedCitation":"[17]","plainCitation":"[17]","noteIndex":0},"citationItems":[{"id":1923,"uris":["http://zotero.org/users/9870935/items/K5N743Z5"],"itemData":{"id":1923,"type":"post-weblog","title":"BNEF: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Pr="007E3FC3">
              <w:rPr>
                <w:color w:val="auto"/>
                <w:sz w:val="16"/>
                <w:szCs w:val="16"/>
                <w:highlight w:val="yellow"/>
                <w:lang w:val="en-CA"/>
              </w:rPr>
              <w:fldChar w:fldCharType="separate"/>
            </w:r>
            <w:r w:rsidRPr="007E3FC3">
              <w:rPr>
                <w:sz w:val="16"/>
                <w:highlight w:val="yellow"/>
                <w:lang w:val="en-CA"/>
              </w:rPr>
              <w:t>[17]</w:t>
            </w:r>
            <w:r w:rsidRPr="007E3FC3">
              <w:rPr>
                <w:color w:val="auto"/>
                <w:sz w:val="16"/>
                <w:szCs w:val="16"/>
                <w:highlight w:val="yellow"/>
                <w:lang w:val="en-CA"/>
              </w:rPr>
              <w:fldChar w:fldCharType="end"/>
            </w:r>
          </w:p>
        </w:tc>
        <w:tc>
          <w:tcPr>
            <w:tcW w:w="0" w:type="auto"/>
            <w:hideMark/>
          </w:tcPr>
          <w:p w14:paraId="5232C65F" w14:textId="42A9AB6D"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85–95%</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{"citationID":"bO4ebft7","properties":{"unsorted":false,"formattedCitation":"[43]","plainCitation":"[43]","noteIndex":0},"citationItems":[{"id":1982,"uris":["http://zotero.org/users/9870935/items/GEX9B6EX"],"itemData":{"id":1982,"type":"article-journal","container-title":"Future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[43]</w:t>
            </w:r>
            <w:r w:rsidRPr="007E3FC3">
              <w:rPr>
                <w:color w:val="auto"/>
                <w:sz w:val="16"/>
                <w:szCs w:val="16"/>
                <w:highlight w:val="yellow"/>
              </w:rPr>
              <w:fldChar w:fldCharType="end"/>
            </w:r>
            <w:r w:rsidRPr="007E3FC3">
              <w:rPr>
                <w:color w:val="auto"/>
                <w:sz w:val="16"/>
                <w:szCs w:val="16"/>
                <w:highlight w:val="yellow"/>
                <w:lang w:val="en-US"/>
              </w:rPr>
              <w:t xml:space="preserve"> </w:t>
            </w:r>
          </w:p>
        </w:tc>
        <w:tc>
          <w:tcPr>
            <w:tcW w:w="0" w:type="auto"/>
            <w:hideMark/>
          </w:tcPr>
          <w:p w14:paraId="00F10E05" w14:textId="3905684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Deterministic or Probabilistic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{"citationID":"0PMpbWjw","properties":{"unsorted":false,"formattedCitation":"[46], [78]","plainCitation":"[46], [78]","noteIndex":0},"citationItems":[{"id":1989,"uris":["http://zotero.org/users/9870935/items/3AV4CVJ6"],"itemData":{"id":1989,"type":"article-journal","container-title":"Journal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[46], [78]</w:t>
            </w:r>
            <w:r w:rsidRPr="007E3FC3">
              <w:rPr>
                <w:color w:val="auto"/>
                <w:sz w:val="16"/>
                <w:szCs w:val="16"/>
                <w:highlight w:val="yellow"/>
              </w:rPr>
              <w:fldChar w:fldCharType="end"/>
            </w:r>
          </w:p>
        </w:tc>
        <w:tc>
          <w:tcPr>
            <w:tcW w:w="0" w:type="auto"/>
            <w:hideMark/>
          </w:tcPr>
          <w:p w14:paraId="3AB391AF" w14:textId="135485B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Intra-day peak shaving; frequency regulation during solar ramp events; UPS replacement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{"citationID":"FmJd4TSi","properties":{"unsorted":false,"formattedCitation":"[60],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[114]</w:t>
            </w:r>
            <w:r w:rsidRPr="007E3FC3">
              <w:rPr>
                <w:color w:val="auto"/>
                <w:sz w:val="16"/>
                <w:szCs w:val="16"/>
                <w:highlight w:val="yellow"/>
              </w:rPr>
              <w:fldChar w:fldCharType="end"/>
            </w:r>
          </w:p>
        </w:tc>
        <w:tc>
          <w:tcPr>
            <w:tcW w:w="0" w:type="auto"/>
            <w:hideMark/>
          </w:tcPr>
          <w:p w14:paraId="15E8C570" w14:textId="1E3BA886"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Insufficient for multi-day cloudiness; requires grid backup or workload deferral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{"citationID":"kbgWUIaN","properties":{"unsorted":false,"formattedCitation":"[78], [115]","plainCitation":"[78], [115]","noteIndex":0},"citationItems":[{"id":2021,"uris":["http://zotero.org/users/9870935/items/AHEUC4DF"],"itemData":{"id":2021,"type":"article","abstract":"Artificial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id":2084,"uris":["http://zotero.org/users/9870935/items/TIB5XQM5"],"itemData":{"id":2084,"type":"post-weblog","title":"Electric Power Annual 2024","URL":"https://www.eia.gov/electricity/annual/pdf/epa.pdf","author":[{"family":"EIA","given":""}]}}],"schema":"https://github.com/citation-style-language/schema/raw/master/csl-citation.json"}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[78], [115]</w:t>
            </w:r>
            <w:r w:rsidRPr="007E3FC3">
              <w:rPr>
                <w:color w:val="auto"/>
                <w:sz w:val="16"/>
                <w:szCs w:val="16"/>
                <w:highlight w:val="yellow"/>
              </w:rPr>
              <w:fldChar w:fldCharType="end"/>
            </w:r>
          </w:p>
        </w:tc>
      </w:tr>
      <w:tr w:rsidR="00FE013C" w:rsidRPr="007E3FC3" w14:paraId="39BDEAB9" w14:textId="77777777" w:rsidTr="00AF3016">
        <w:tc>
          <w:tcPr>
            <w:tcW w:w="0" w:type="auto"/>
            <w:hideMark/>
          </w:tcPr>
          <w:p w14:paraId="5EDD64FD"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4–8 h</w:t>
            </w:r>
          </w:p>
        </w:tc>
        <w:tc>
          <w:tcPr>
            <w:tcW w:w="0" w:type="auto"/>
            <w:hideMark/>
          </w:tcPr>
          <w:p w14:paraId="6E78148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Li-ion LFP</w:t>
            </w:r>
          </w:p>
        </w:tc>
        <w:tc>
          <w:tcPr>
            <w:tcW w:w="0" w:type="auto"/>
            <w:hideMark/>
          </w:tcPr>
          <w:p w14:paraId="34061474"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Installed-system cost: USD 180–320/kWh-system</w:t>
            </w:r>
          </w:p>
          <w:p w14:paraId="0FB857FC" w14:textId="618960A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{"citationID":"3cdqhCT9","properties":{"unsorted":false,"formattedCitation":"[17], [116]","plainCitation":"[17], [116]","noteIndex":0},"citationItems":[{"id":1923,"uris":["http://zotero.org/users/9870935/items/K5N743Z5"],"itemData":{"id":1923,"type":"post-weblog","title":"BNEF: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id":2715,"uris":["http://zotero.org/users/9870935/items/7394XZ5J"],"itemData":{"id":2715,"type":"post-weblog","title":"Annual Technoogy Baseline","URL":"https://atb-archive.nlr.gov/","author":[{"literal":"NREL"}]}}],"schema":"https://github.com/citation-style-language/schema/raw/master/csl-citation.json"}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[17], [116]</w:t>
            </w:r>
            <w:r w:rsidRPr="007E3FC3">
              <w:rPr>
                <w:color w:val="auto"/>
                <w:sz w:val="16"/>
                <w:szCs w:val="16"/>
                <w:highlight w:val="yellow"/>
              </w:rPr>
              <w:fldChar w:fldCharType="end"/>
            </w:r>
          </w:p>
        </w:tc>
        <w:tc>
          <w:tcPr>
            <w:tcW w:w="0" w:type="auto"/>
            <w:hideMark/>
          </w:tcPr>
          <w:p w14:paraId="2E142967" w14:textId="4530B54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85–95%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{"citationID":"78MVeDMD","properties":{"unsorted":false,"formattedCitation":"[43]","plainCitation":"[43]","noteIndex":0},"citationItems":[{"id":1982,"uris":["http://zotero.org/users/9870935/items/GEX9B6EX"],"itemData":{"id":1982,"type":"article-journal","container-title":"Future Batteries","DOI":"10.1016/j.fub.2024.100007","ISSN":"29502640","journalAbbreviation":"Future Batteries","language":"en","page":"100007","source":"DOI.org (Crossref)","title":"Navigating battery choices: A comparative study of lithium iron phosphate and nickel manganese cobalt battery technologies","title-short":"Navigating battery choices","volume":"4","author":[{"family":"Evro","given":"Solomon"},{"family":"Ajumobi","given":"Abdurahman"},{"family":"Mayon","given":"Darrell"},{"family":"Tomomewo","given":"Olusegun Stanley"}],"issued":{"date-parts":[["2024",12]]}}}],"schema":"https://github.com/citation-style-language/schema/raw/master/csl-citation.json"}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[43]</w:t>
            </w:r>
            <w:r w:rsidRPr="007E3FC3">
              <w:rPr>
                <w:color w:val="auto"/>
                <w:sz w:val="16"/>
                <w:szCs w:val="16"/>
                <w:highlight w:val="yellow"/>
              </w:rPr>
              <w:fldChar w:fldCharType="end"/>
            </w:r>
          </w:p>
        </w:tc>
        <w:tc>
          <w:tcPr>
            <w:tcW w:w="0" w:type="auto"/>
            <w:hideMark/>
          </w:tcPr>
          <w:p w14:paraId="56851980" w14:textId="46EA6721"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Probabilistic (LOLE targeting 99.9%–99.99%)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{"citationID":"AtlXoIhz","properties":{"unsorted":false,"formattedCitation":"[46], [78]","plainCitation":"[46], [78]","noteIndex":0},"citationItems":[{"id":1989,"uris":["http://zotero.org/users/9870935/items/3AV4CVJ6"],"itemData":{"id":1989,"type":"article-journal","container-title":"Journal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[46], [78]</w:t>
            </w:r>
            <w:r w:rsidRPr="007E3FC3">
              <w:rPr>
                <w:color w:val="auto"/>
                <w:sz w:val="16"/>
                <w:szCs w:val="16"/>
                <w:highlight w:val="yellow"/>
              </w:rPr>
              <w:fldChar w:fldCharType="end"/>
            </w:r>
          </w:p>
        </w:tc>
        <w:tc>
          <w:tcPr>
            <w:tcW w:w="0" w:type="auto"/>
            <w:hideMark/>
          </w:tcPr>
          <w:p w14:paraId="4B302F79" w14:textId="24CA9FED"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Overnight solar-to-solar shifting; seasonal solar dip management; cost reduction vs deterministic design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{"citationID":"m5ijxbq1","properties":{"unsorted":false,"formattedCitation":"[60], [64]","plainCitation":"[60], [64]","noteIndex":0},"citationItems":[{"id":2119,"uris":["http://zotero.org/users/9870935/items/HCPVHF7M"],"itemData":{"id":2119,"type":"article-journal","container-title":"Energy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[64]</w:t>
            </w:r>
            <w:r w:rsidRPr="007E3FC3">
              <w:rPr>
                <w:color w:val="auto"/>
                <w:sz w:val="16"/>
                <w:szCs w:val="16"/>
                <w:highlight w:val="yellow"/>
              </w:rPr>
              <w:fldChar w:fldCharType="end"/>
            </w:r>
          </w:p>
        </w:tc>
        <w:tc>
          <w:tcPr>
            <w:tcW w:w="0" w:type="auto"/>
            <w:hideMark/>
          </w:tcPr>
          <w:p w14:paraId="129A04FC" w14:textId="71C02C8C"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Efficiency loss (5–15%); degradation limits 20–25 yr economic life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{"citationID":"cLfqQeVF","properties":{"unsorted":false,"formattedCitation":"[64], [71]","plainCitation":"[64], [71]","noteIndex":0},"citationItems":[{"id":1988,"uris":["http://zotero.org/users/9870935/items/9LH8YF5V"],"itemData":{"id":1988,"type":"article-journal","container-title":"Future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[64], [71]</w:t>
            </w:r>
            <w:r w:rsidRPr="007E3FC3">
              <w:rPr>
                <w:color w:val="auto"/>
                <w:sz w:val="16"/>
                <w:szCs w:val="16"/>
                <w:highlight w:val="yellow"/>
              </w:rPr>
              <w:fldChar w:fldCharType="end"/>
            </w:r>
          </w:p>
        </w:tc>
      </w:tr>
      <w:tr w:rsidR="00FE013C" w:rsidRPr="007E3FC3" w14:paraId="0A6DEBE1" w14:textId="77777777" w:rsidTr="00AF3016">
        <w:tc>
          <w:tcPr>
            <w:tcW w:w="0" w:type="auto"/>
            <w:hideMark/>
          </w:tcPr>
          <w:p w14:paraId="45E2975E"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8–24 h</w:t>
            </w:r>
          </w:p>
        </w:tc>
        <w:tc>
          <w:tcPr>
            <w:tcW w:w="0" w:type="auto"/>
            <w:hideMark/>
          </w:tcPr>
          <w:p w14:paraId="20D5DB06"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Flow Battery (VRFB) or Li-ion extended DoD</w:t>
            </w:r>
          </w:p>
        </w:tc>
        <w:tc>
          <w:tcPr>
            <w:tcW w:w="0" w:type="auto"/>
            <w:hideMark/>
          </w:tcPr>
          <w:p w14:paraId="06AE34D2" w14:textId="77777777" w:rsidR="00286292" w:rsidRPr="007E3FC3" w:rsidRDefault="00286292" w:rsidP="00286292">
            <w:pPr>
              <w:pStyle w:val="TableBody"/>
              <w:jc w:val="both"/>
              <w:rPr>
                <w:color w:val="auto"/>
                <w:sz w:val="16"/>
                <w:szCs w:val="16"/>
                <w:highlight w:val="yellow"/>
                <w:lang w:val="en-CA"/>
              </w:rPr>
            </w:pPr>
            <w:r w:rsidRPr="007E3FC3">
              <w:rPr>
                <w:color w:val="auto"/>
                <w:sz w:val="16"/>
                <w:szCs w:val="16"/>
                <w:highlight w:val="yellow"/>
                <w:lang w:val="en-CA"/>
              </w:rPr>
              <w:t>Installed-system cost: USD 180–350/kWh-system</w:t>
            </w:r>
          </w:p>
          <w:p w14:paraId="474041E8" w14:textId="5AB6C697"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{"citationID":"kGRd6P2t","properties":{"unsorted":false,"formattedCitation":"[45], [94]","plainCitation":"[45], [94]","noteIndex":0},"citationItems":[{"id":1984,"uris":["http://zotero.org/users/9870935/items/M6SVEFZJ"],"itemData":{"id":1984,"type":"article-journal","container-title":"Next Research","DOI":"10.1016/j.nexres.2025.100767","ISSN":"30504759","issue":"4","journalAbbreviation":"Next Research","language":"en","page":"100767","source":"DOI.org (Crossref)","title":"A comprehensive review of vanadium redox flow batteries: Principles, benefits, and applications","title-short":"A comprehensive review of vanadium redox flow batteries","volume":"2","author":[{"family":"Barzigar","given":"Amirhossein"},{"family":"Ebadati","given":"Erfan"},{"family":"Mujumdar","given":"Arun S"},{"family":"Hosseinalipour","given":"S.M."}],"issued":{"date-parts":[["2025",12]]}}},{"id":2049,"uris":["http://zotero.org/users/9870935/items/HTQQE34D"],"itemData":{"id":2049,"type":"post-weblog","title":"National Renewable Energy Laboratory (NREL)","URL":"https://atb.nrel.gov/","author":[{"family":"NREL","given":""}]}}],"schema":"https://github.com/citation-style-language/schema/raw/master/csl-citation.json"}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[45], [94]</w:t>
            </w:r>
            <w:r w:rsidRPr="007E3FC3">
              <w:rPr>
                <w:color w:val="auto"/>
                <w:sz w:val="16"/>
                <w:szCs w:val="16"/>
                <w:highlight w:val="yellow"/>
              </w:rPr>
              <w:fldChar w:fldCharType="end"/>
            </w:r>
          </w:p>
        </w:tc>
        <w:tc>
          <w:tcPr>
            <w:tcW w:w="0" w:type="auto"/>
            <w:hideMark/>
          </w:tcPr>
          <w:p w14:paraId="072D3B20"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65–80% </w:t>
            </w:r>
            <w:r w:rsidRPr="007E3FC3">
              <w:rPr>
                <w:sz w:val="16"/>
                <w:highlight w:val="yellow"/>
                <w:lang w:val="en-US"/>
              </w:rPr>
              <w:t>[47]</w:t>
            </w:r>
          </w:p>
        </w:tc>
        <w:tc>
          <w:tcPr>
            <w:tcW w:w="0" w:type="auto"/>
            <w:hideMark/>
          </w:tcPr>
          <w:p w14:paraId="6D41E5EE" w14:textId="0C063D1F"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Optimization (MILP with reliability constraint)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{"citationID":"RhyYQ92V","properties":{"unsorted":false,"formattedCitation":"[71], [78]","plainCitation":"[71], [78]","noteIndex":0},"citationItems":[{"id":1988,"uris":["http://zotero.org/users/9870935/items/9LH8YF5V"],"itemData":{"id":1988,"type":"article-journal","container-title":"Future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[71], [78]</w:t>
            </w:r>
            <w:r w:rsidRPr="007E3FC3">
              <w:rPr>
                <w:color w:val="auto"/>
                <w:sz w:val="16"/>
                <w:szCs w:val="16"/>
                <w:highlight w:val="yellow"/>
              </w:rPr>
              <w:fldChar w:fldCharType="end"/>
            </w:r>
          </w:p>
        </w:tc>
        <w:tc>
          <w:tcPr>
            <w:tcW w:w="0" w:type="auto"/>
            <w:hideMark/>
          </w:tcPr>
          <w:p w14:paraId="141EDB37" w14:textId="0DE39FE9"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Multi-day firming; weak-grid support; MPC-integrated dispatch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{"citationID":"c2qz5NNw","properties":{"unsorted":false,"formattedCitation":"[60], [117], [118]","plainCitation":"[60], [117], [118]","noteIndex":0},"citationItems":[{"id":2119,"uris":["http://zotero.org/users/9870935/items/HCPVHF7M"],"itemData":{"id":2119,"type":"article-journal","container-title":"Energy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[60], [117], [118]</w:t>
            </w:r>
            <w:r w:rsidRPr="007E3FC3">
              <w:rPr>
                <w:color w:val="auto"/>
                <w:sz w:val="16"/>
                <w:szCs w:val="16"/>
                <w:highlight w:val="yellow"/>
              </w:rPr>
              <w:fldChar w:fldCharType="end"/>
            </w:r>
          </w:p>
        </w:tc>
        <w:tc>
          <w:tcPr>
            <w:tcW w:w="0" w:type="auto"/>
            <w:hideMark/>
          </w:tcPr>
          <w:p w14:paraId="7ECC9B47"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 xml:space="preserve">Higher CapEx; VRFB still emerging at scale </w:t>
            </w:r>
            <w:r w:rsidRPr="007E3FC3">
              <w:rPr>
                <w:sz w:val="16"/>
                <w:highlight w:val="yellow"/>
                <w:lang w:val="en-US"/>
              </w:rPr>
              <w:t>[47]</w:t>
            </w:r>
          </w:p>
        </w:tc>
      </w:tr>
      <w:tr w:rsidR="00FE013C" w:rsidRPr="007E3FC3" w14:paraId="13657801" w14:textId="77777777" w:rsidTr="00AF3016">
        <w:tc>
          <w:tcPr>
            <w:tcW w:w="0" w:type="auto"/>
            <w:hideMark/>
          </w:tcPr>
          <w:p w14:paraId="35FEDE98"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24–100 h</w:t>
            </w:r>
          </w:p>
        </w:tc>
        <w:tc>
          <w:tcPr>
            <w:tcW w:w="0" w:type="auto"/>
            <w:hideMark/>
          </w:tcPr>
          <w:p w14:paraId="0DAE4E7B"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Iron-Air / CAES</w:t>
            </w:r>
          </w:p>
        </w:tc>
        <w:tc>
          <w:tcPr>
            <w:tcW w:w="0" w:type="auto"/>
            <w:hideMark/>
          </w:tcPr>
          <w:p w14:paraId="78096A53" w14:textId="77777777" w:rsidR="00B07A7D" w:rsidRPr="007E3FC3" w:rsidRDefault="00B07A7D" w:rsidP="00B07A7D">
            <w:pPr>
              <w:pStyle w:val="TableBody"/>
              <w:jc w:val="both"/>
              <w:rPr>
                <w:color w:val="auto"/>
                <w:sz w:val="16"/>
                <w:szCs w:val="16"/>
                <w:highlight w:val="yellow"/>
                <w:lang w:val="en-CA"/>
              </w:rPr>
            </w:pPr>
            <w:r w:rsidRPr="007E3FC3">
              <w:rPr>
                <w:color w:val="auto"/>
                <w:sz w:val="16"/>
                <w:szCs w:val="16"/>
                <w:highlight w:val="yellow"/>
                <w:lang w:val="en-CA"/>
              </w:rPr>
              <w:t xml:space="preserve">Technology-specific reported system costs </w:t>
            </w:r>
          </w:p>
          <w:p w14:paraId="73056F51" w14:textId="6DF014F3"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{"citationID":"1u4tqan1","properties":{"unsorted":false,"formattedCitation":"[108], [119]","plainCitation":"[108], [119]","noteIndex":0},"citationItems":[{"id":1985,"uris":["http://zotero.org/users/9870935/items/58URKSK2"],"itemData":{"id":1985,"type":"book","abstract":"This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[108], [119]</w:t>
            </w:r>
            <w:r w:rsidRPr="007E3FC3">
              <w:rPr>
                <w:color w:val="auto"/>
                <w:sz w:val="16"/>
                <w:szCs w:val="16"/>
                <w:highlight w:val="yellow"/>
              </w:rPr>
              <w:fldChar w:fldCharType="end"/>
            </w:r>
          </w:p>
        </w:tc>
        <w:tc>
          <w:tcPr>
            <w:tcW w:w="0" w:type="auto"/>
            <w:hideMark/>
          </w:tcPr>
          <w:p w14:paraId="328C5DD4" w14:textId="42D2CC6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40–70%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{"citationID":"uEb1ccwo","properties":{"unsorted":false,"formattedCitation":"[108], [119]","plainCitation":"[108], [119]","noteIndex":0},"citationItems":[{"id":1985,"uris":["http://zotero.org/users/9870935/items/58URKSK2"],"itemData":{"id":1985,"type":"book","abstract":"This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[108], [119]</w:t>
            </w:r>
            <w:r w:rsidRPr="007E3FC3">
              <w:rPr>
                <w:color w:val="auto"/>
                <w:sz w:val="16"/>
                <w:szCs w:val="16"/>
                <w:highlight w:val="yellow"/>
              </w:rPr>
              <w:fldChar w:fldCharType="end"/>
            </w:r>
          </w:p>
        </w:tc>
        <w:tc>
          <w:tcPr>
            <w:tcW w:w="0" w:type="auto"/>
            <w:hideMark/>
          </w:tcPr>
          <w:p w14:paraId="4DF85AF7" w14:textId="66CEFF93"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Optimization with seasonal reliability constraints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{"citationID":"1raQF4FR","properties":{"unsorted":false,"formattedCitation":"[71], [78]","plainCitation":"[71], [78]","noteIndex":0},"citationItems":[{"id":1988,"uris":["http://zotero.org/users/9870935/items/9LH8YF5V"],"itemData":{"id":1988,"type":"article-journal","container-title":"Future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[71], [78]</w:t>
            </w:r>
            <w:r w:rsidRPr="007E3FC3">
              <w:rPr>
                <w:color w:val="auto"/>
                <w:sz w:val="16"/>
                <w:szCs w:val="16"/>
                <w:highlight w:val="yellow"/>
              </w:rPr>
              <w:fldChar w:fldCharType="end"/>
            </w:r>
          </w:p>
        </w:tc>
        <w:tc>
          <w:tcPr>
            <w:tcW w:w="0" w:type="auto"/>
            <w:hideMark/>
          </w:tcPr>
          <w:p w14:paraId="4BC6A479" w14:textId="3A4EE2E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Multi-day drought resilience; renewable firming in high variability climates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{"citationID":"8mVrVFgP","properties":{"unsorted":false,"formattedCitation":"[104], [120]","plainCitation":"[104], [120]","noteIndex":0},"citationItems":[{"id":2063,"uris":["http://zotero.org/users/9870935/items/47PEXHYC"],"itemData":{"id":2063,"type":"article-journal","container-title":"Communications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2065,"uris":["http://zotero.org/users/9870935/items/QGKY5D4X"],"itemData":{"id":2065,"type":"article-journal","container-title":"Advances in Climate Change Research","DOI":"10.1016/j.accre.2025.04.015","ISSN":"16749278","issue":"4","journalAbbreviation":"Advances in Climate Change Research","language":"en","page":"730-746","source":"DOI.org (Crossref)","title":"The impact of climate change on wind and solar photovoltaic power potential and distribution in China","volume":"16","author":[{"family":"Zhu","given":"Xiang-Rong"},{"family":"Tian","given":"Jun-Hao"},{"family":"Wang","given":"Yu"}],"issued":{"date-parts":[["2025",8]]}}}],"schema":"https://github.com/citation-style-language/schema/raw/master/csl-citation.json"}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[104], [120]</w:t>
            </w:r>
            <w:r w:rsidRPr="007E3FC3">
              <w:rPr>
                <w:color w:val="auto"/>
                <w:sz w:val="16"/>
                <w:szCs w:val="16"/>
                <w:highlight w:val="yellow"/>
              </w:rPr>
              <w:fldChar w:fldCharType="end"/>
            </w:r>
          </w:p>
        </w:tc>
        <w:tc>
          <w:tcPr>
            <w:tcW w:w="0" w:type="auto"/>
            <w:hideMark/>
          </w:tcPr>
          <w:p w14:paraId="1EA0A1A2" w14:textId="545FEF60" w:rsidR="00FE013C" w:rsidRPr="007E3FC3" w:rsidRDefault="00FE013C" w:rsidP="001D1223">
            <w:pPr>
              <w:pStyle w:val="TableBody"/>
              <w:jc w:val="both"/>
              <w:rPr>
                <w:color w:val="auto"/>
                <w:sz w:val="16"/>
                <w:szCs w:val="16"/>
                <w:highlight w:val="yellow"/>
                <w:lang w:val="en-US"/>
              </w:rPr>
            </w:pPr>
            <w:r w:rsidRPr="007E3FC3">
              <w:rPr>
                <w:color w:val="auto"/>
                <w:sz w:val="16"/>
                <w:szCs w:val="16"/>
                <w:highlight w:val="yellow"/>
                <w:lang w:val="en-US"/>
              </w:rPr>
              <w:t xml:space="preserve">Low round-trip efficiency; limited commercial deployment </w:t>
            </w:r>
            <w:r w:rsidRPr="007E3FC3">
              <w:rPr>
                <w:color w:val="auto"/>
                <w:sz w:val="16"/>
                <w:szCs w:val="16"/>
                <w:highlight w:val="yellow"/>
              </w:rPr>
              <w:fldChar w:fldCharType="begin"/>
            </w:r>
            <w:r w:rsidR="001D1223">
              <w:rPr>
                <w:color w:val="auto"/>
                <w:sz w:val="16"/>
                <w:szCs w:val="16"/>
                <w:highlight w:val="yellow"/>
                <w:lang w:val="en-US"/>
              </w:rPr>
              <w:instrText xml:space="preserve"> ADDIN ZOTERO_ITEM CSL_CITATION {"citationID":"t4hhsG9p","properties":{"unsorted":false,"formattedCitation":"[78], [108]","plainCitation":"[78], [108]","noteIndex":0},"citationItems":[{"id":1985,"uris":["http://zotero.org/users/9870935/items/58URKSK2"],"itemData":{"id":1985,"type":"book","abstract":"This report on batteries addresses technology development, EU research and innovation activities, global and EU markets and market players and assesses the competitiveness of the EU battery sector and its positioning in the global battery market. Special attention is given to provide a broad overview of battery technologies. This report also contains an assessment of market developments, production, trade, patenting, and sustainability of Li-ion batteries. The report shows that the EU does not have a competitive advantage over its main competitors. To change the current situation and improve the competitiveness of battery production in the EU, the following key actions should be taken to address the key drivers of competitiveness: increase the currently limited internal supply of raw and processed materials, significantly reduce the cost of energy, labour, and investment, urgently develop skilled and experienced work force, simplify legislation reduce times to set up new production and secure demand for EU-produced batteries. The EU is also not leading anymore in battery research. Despite this, the EU makes an effort to build its battery sector and increase its ability to cover at least part of battery demand from internal sources. This applies mainly to the high-performance batteries for premium-class Electric Vehicles (EVs), while batteries for lower-classes EVs and stationary energy storage are falling short. This report is an output of the Clean Energy Technologies Observatory (CETO) and provides an evidence-based analysis of the overall battery landscape to support the EU policy making process. It is part of the series of reports on clean energy technologies needed for the delivery of the European Green Deal, and it is a continuation and extension of earlier editions of the CETO report on batteries.","collection-title":"EUR","DOI":"10.2760/2686206","ISBN":"978-92-68-38735-1","ISSN":"1831-9424","language":"eng","publisher":"Publications Office of the European Union","publisher-place":"LU","source":"DOI.org (CSL JSON)","title":"Clean Energy Technology Observatory","URL":"https://data.europa.eu/doi/10.2760/2686206","author":[{"literal":"European Commission. Joint Research Centre"},{"family":"Bielewski","given":"Marek"},{"family":"Pfrang","given":"Andreas"},{"family":"Quintero Pulido","given":"Diego Fernando"},{"family":"Peters","given":"Jens"},{"family":"Bobba","given":"Silvia"},{"family":"Leccisi","given":"Enrica"},{"family":"Mancini","given":"Lucia"},{"family":"Schade","given":"Burkhard"},{"family":"Georgakaki","given":"Aliki"},{"family":"Letout","given":"Simon"},{"family":"Mountraki","given":"Aikaterini"},{"family":"Ince","given":"Ela"}],"accessed":{"date-parts":[["2026",5,16]]},"issued":{"date-parts":[["2026"]]}}},{"id":2021,"uris":["http://zotero.org/users/9870935/items/AHEUC4DF"],"itemData":{"id":2021,"type":"article","abstract":"Artificial intelligence (AI) is driving unprecedented growth in data center (DC) scale and power demand. AI workloads impose highly dynamic, difficult-to-forecast power profiles on the utility grid, creating reliability and stability challenges that conventional DC architectures are not designed to address. This paper provides a critical review of energy storage systems (ESSs) as the key enabling technology for reliable grid integration of AI DCs. We organize the review around a four-layer hierarchical taxonomy, namely chip-level buffering, rack/server-level ESSs, facility-level uninterruptible power supply (UPS) systems, and grid-scale battery energy storage systems (BESSs), supplemented by non-battery technologies including fuel cells (FCs) and thermal energy storage (TES). Each layer is analyzed with respect to response timescale, power and energy ratings, operational role, integration challenges, and coordination requirements. Key findings include: (i) AI DC load profiles differ fundamentally from traditional loads in their sub-second variability, making conventional ESS dispatch strategies insufficient; (ii) hierarchical, coordinated ESS deployment across all layers is necessary for effective load smoothing and grid support; and (iii) significant gaps remain in simulation tools, degradation modeling, load forecasting, and optimal multi-layer sizing. This review identifies open research challenges and future directions at the intersection of AI computing infrastructure and power system integration.","DOI":"10.48550/arXiv.2603.00415","note":"arXiv:2603.00415 [eess.SY]","number":"arXiv:2603.00415","publisher":"arXiv","source":"arXiv.org","title":"Grid Integration of AI Data Centers: A Critical Review of Energy Storage Solutions","title-short":"Grid Integration of AI Data Centers","URL":"http://arxiv.org/abs/2603.00415","author":[{"family":"Mohammadi","given":"Sina"},{"family":"Wang","given":"Wayne"},{"family":"Wada","given":"Marcus Chen I."},{"family":"Haghighi","given":"Rouzbeh"},{"family":"Hassan","given":"Ali"},{"family":"Liu","given":"Hualong"},{"family":"Bhatnagar","given":"Archit"},{"family":"Chen","given":"Ang"},{"family":"Su","given":"Wencong"}],"accessed":{"date-parts":[["2026",5,16]]},"issued":{"date-parts":[["2026",5,5]]}}}],"schema":"https://github.com/citation-style-language/schema/raw/master/csl-citation.json"} </w:instrText>
            </w:r>
            <w:r w:rsidRPr="007E3FC3">
              <w:rPr>
                <w:color w:val="auto"/>
                <w:sz w:val="16"/>
                <w:szCs w:val="16"/>
                <w:highlight w:val="yellow"/>
              </w:rPr>
              <w:fldChar w:fldCharType="separate"/>
            </w:r>
            <w:r w:rsidR="001D1223" w:rsidRPr="001D1223">
              <w:rPr>
                <w:sz w:val="16"/>
                <w:highlight w:val="yellow"/>
                <w:lang w:val="en-US"/>
              </w:rPr>
              <w:t>[78], [108]</w:t>
            </w:r>
            <w:r w:rsidRPr="007E3FC3">
              <w:rPr>
                <w:color w:val="auto"/>
                <w:sz w:val="16"/>
                <w:szCs w:val="16"/>
                <w:highlight w:val="yellow"/>
              </w:rPr>
              <w:fldChar w:fldCharType="end"/>
            </w:r>
          </w:p>
        </w:tc>
      </w:tr>
      <w:tr w:rsidR="00FE013C" w:rsidRPr="00AF3016" w14:paraId="2F482E53" w14:textId="77777777" w:rsidTr="00AF3016">
        <w:tc>
          <w:tcPr>
            <w:tcW w:w="0" w:type="auto"/>
            <w:hideMark/>
          </w:tcPr>
          <w:p w14:paraId="36B98206" w14:textId="77777777" w:rsidR="00FE013C" w:rsidRPr="007E3FC3" w:rsidRDefault="00FE013C" w:rsidP="004C16FF">
            <w:pPr>
              <w:pStyle w:val="TableBody"/>
              <w:jc w:val="both"/>
              <w:rPr>
                <w:b/>
                <w:bCs/>
                <w:color w:val="auto"/>
                <w:sz w:val="16"/>
                <w:szCs w:val="16"/>
                <w:highlight w:val="yellow"/>
                <w:lang w:val="en-US"/>
              </w:rPr>
            </w:pPr>
            <w:r w:rsidRPr="007E3FC3">
              <w:rPr>
                <w:b/>
                <w:bCs/>
                <w:color w:val="auto"/>
                <w:sz w:val="16"/>
                <w:szCs w:val="16"/>
                <w:highlight w:val="yellow"/>
                <w:lang w:val="en-US"/>
              </w:rPr>
              <w:t>100+ h</w:t>
            </w:r>
          </w:p>
        </w:tc>
        <w:tc>
          <w:tcPr>
            <w:tcW w:w="0" w:type="auto"/>
            <w:hideMark/>
          </w:tcPr>
          <w:p w14:paraId="05BDFAD9" w14:textId="77777777" w:rsidR="00FE013C" w:rsidRPr="007E3FC3" w:rsidRDefault="00FE013C" w:rsidP="004C16FF">
            <w:pPr>
              <w:pStyle w:val="TableBody"/>
              <w:jc w:val="both"/>
              <w:rPr>
                <w:color w:val="auto"/>
                <w:sz w:val="16"/>
                <w:szCs w:val="16"/>
                <w:highlight w:val="yellow"/>
                <w:lang w:val="en-US"/>
              </w:rPr>
            </w:pPr>
            <w:r w:rsidRPr="007E3FC3">
              <w:rPr>
                <w:color w:val="auto"/>
                <w:sz w:val="16"/>
                <w:szCs w:val="16"/>
                <w:highlight w:val="yellow"/>
                <w:lang w:val="en-US"/>
              </w:rPr>
              <w:t>Green H₂ / Seasonal thermal storage</w:t>
            </w:r>
          </w:p>
        </w:tc>
        <w:tc>
          <w:tcPr>
            <w:tcW w:w="0" w:type="auto"/>
            <w:hideMark/>
          </w:tcPr>
          <w:p w14:paraId="140EB887" w14:textId="77777777" w:rsidR="00831EE0" w:rsidRPr="007E3FC3" w:rsidRDefault="00831EE0" w:rsidP="00831EE0">
            <w:pPr>
              <w:pStyle w:val="TableBody"/>
              <w:jc w:val="both"/>
              <w:rPr>
                <w:color w:val="auto"/>
                <w:sz w:val="16"/>
                <w:szCs w:val="16"/>
                <w:highlight w:val="yellow"/>
                <w:lang w:val="en-CA"/>
              </w:rPr>
            </w:pPr>
            <w:r w:rsidRPr="007E3FC3">
              <w:rPr>
                <w:color w:val="auto"/>
                <w:sz w:val="16"/>
                <w:szCs w:val="16"/>
                <w:highlight w:val="yellow"/>
                <w:lang w:val="en-CA"/>
              </w:rPr>
              <w:t>Technology-specific system cost basis</w:t>
            </w:r>
          </w:p>
          <w:p w14:paraId="644D0210" w14:textId="59DE8D23"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{"citationID":"fVrMURwJ","properties":{"unsorted":false,"formattedCitation":"[111], [112]","plainCitation":"[111], [112]","noteIndex":0},"citationItems":[{"id":1987,"uris":["http://zotero.org/users/9870935/items/2TYM8STM"],"itemData":{"id":1987,"type":"article-journal","abstract":"The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[112]</w:t>
            </w:r>
            <w:r w:rsidRPr="007E3FC3">
              <w:rPr>
                <w:color w:val="auto"/>
                <w:sz w:val="16"/>
                <w:szCs w:val="16"/>
                <w:highlight w:val="yellow"/>
              </w:rPr>
              <w:fldChar w:fldCharType="end"/>
            </w:r>
          </w:p>
        </w:tc>
        <w:tc>
          <w:tcPr>
            <w:tcW w:w="0" w:type="auto"/>
            <w:hideMark/>
          </w:tcPr>
          <w:p w14:paraId="79551898" w14:textId="36F13932"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30–41% (H₂), 60–80% (thermal)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{"citationID":"f34Vou48","properties":{"unsorted":false,"formattedCitation":"[111], [112]","plainCitation":"[111], [112]","noteIndex":0},"citationItems":[{"id":1987,"uris":["http://zotero.org/users/9870935/items/2TYM8STM"],"itemData":{"id":1987,"type":"article-journal","abstract":"The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[112]</w:t>
            </w:r>
            <w:r w:rsidRPr="007E3FC3">
              <w:rPr>
                <w:color w:val="auto"/>
                <w:sz w:val="16"/>
                <w:szCs w:val="16"/>
                <w:highlight w:val="yellow"/>
              </w:rPr>
              <w:fldChar w:fldCharType="end"/>
            </w:r>
          </w:p>
        </w:tc>
        <w:tc>
          <w:tcPr>
            <w:tcW w:w="0" w:type="auto"/>
            <w:hideMark/>
          </w:tcPr>
          <w:p w14:paraId="509D77ED" w14:textId="17BFD7DC"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Optimization with inter-seasonal constraints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{"citationID":"NFfiyigM","properties":{"unsorted":false,"formattedCitation":"[71], [121]","plainCitation":"[71], [121]","noteIndex":0},"citationItems":[{"id":1988,"uris":["http://zotero.org/users/9870935/items/9LH8YF5V"],"itemData":{"id":1988,"type":"article-journal","container-title":"Future Batteries","DOI":"10.1016/j.fub.2025.100106","ISSN":"29502640","journalAbbreviation":"Future Batteries","language":"en","page":"100106","source":"DOI.org (Crossref)","title":"A review of battery energy storage system for renewable energy penetration in electrical power system: Environmental impact, sizing methods, market features, and policy frameworks","title-short":"A review of battery energy storage system for renewable energy penetration in electrical power system","volume":"7","author":[{"family":"Jaradat","given":"Tha'er"},{"family":"Khatib","given":"Tamer"}],"issued":{"date-parts":[["2025",9]]}}},{"id":2110,"uris":["http://zotero.org/users/9870935/items/WXV5HE5P"],"itemData":{"id":2110,"type":"book","abstract":"This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[71], [121]</w:t>
            </w:r>
            <w:r w:rsidRPr="007E3FC3">
              <w:rPr>
                <w:color w:val="auto"/>
                <w:sz w:val="16"/>
                <w:szCs w:val="16"/>
                <w:highlight w:val="yellow"/>
              </w:rPr>
              <w:fldChar w:fldCharType="end"/>
            </w:r>
          </w:p>
        </w:tc>
        <w:tc>
          <w:tcPr>
            <w:tcW w:w="0" w:type="auto"/>
            <w:hideMark/>
          </w:tcPr>
          <w:p w14:paraId="440EB0EA" w14:textId="352D2CF4" w:rsidR="00FE013C" w:rsidRPr="007E3FC3" w:rsidRDefault="00FE013C" w:rsidP="00A95675">
            <w:pPr>
              <w:pStyle w:val="TableBody"/>
              <w:jc w:val="both"/>
              <w:rPr>
                <w:color w:val="auto"/>
                <w:sz w:val="16"/>
                <w:szCs w:val="16"/>
                <w:highlight w:val="yellow"/>
                <w:lang w:val="en-US"/>
              </w:rPr>
            </w:pPr>
            <w:r w:rsidRPr="007E3FC3">
              <w:rPr>
                <w:color w:val="auto"/>
                <w:sz w:val="16"/>
                <w:szCs w:val="16"/>
                <w:highlight w:val="yellow"/>
                <w:lang w:val="en-US"/>
              </w:rPr>
              <w:t xml:space="preserve">Seasonal shifting; long-duration backup for extreme events; grid independence support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{"citationID":"pVfEVGCr","properties":{"unsorted":false,"formattedCitation":"[122], [123]","plainCitation":"[122], [123]","noteIndex":0},"citationItems":[{"id":2141,"uris":["http://zotero.org/users/9870935/items/G3GVLHVX"],"itemData":{"id":2141,"type":"article-journal","container-title":"Renewable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[122], [123]</w:t>
            </w:r>
            <w:r w:rsidRPr="007E3FC3">
              <w:rPr>
                <w:color w:val="auto"/>
                <w:sz w:val="16"/>
                <w:szCs w:val="16"/>
                <w:highlight w:val="yellow"/>
              </w:rPr>
              <w:fldChar w:fldCharType="end"/>
            </w:r>
          </w:p>
        </w:tc>
        <w:tc>
          <w:tcPr>
            <w:tcW w:w="0" w:type="auto"/>
            <w:hideMark/>
          </w:tcPr>
          <w:p w14:paraId="02A5D77B" w14:textId="74285D71" w:rsidR="00FE013C" w:rsidRPr="00D31E21" w:rsidRDefault="00FE013C" w:rsidP="00A95675">
            <w:pPr>
              <w:pStyle w:val="TableBody"/>
              <w:jc w:val="both"/>
              <w:rPr>
                <w:color w:val="auto"/>
                <w:sz w:val="16"/>
                <w:szCs w:val="16"/>
                <w:lang w:val="en-US"/>
              </w:rPr>
            </w:pPr>
            <w:r w:rsidRPr="007E3FC3">
              <w:rPr>
                <w:color w:val="auto"/>
                <w:sz w:val="16"/>
                <w:szCs w:val="16"/>
                <w:highlight w:val="yellow"/>
                <w:lang w:val="en-US"/>
              </w:rPr>
              <w:t xml:space="preserve">High losses; weak economic maturity; infrastructure dependency </w:t>
            </w:r>
            <w:r w:rsidRPr="007E3FC3">
              <w:rPr>
                <w:color w:val="auto"/>
                <w:sz w:val="16"/>
                <w:szCs w:val="16"/>
                <w:highlight w:val="yellow"/>
              </w:rPr>
              <w:fldChar w:fldCharType="begin"/>
            </w:r>
            <w:r w:rsidR="00A95675">
              <w:rPr>
                <w:color w:val="auto"/>
                <w:sz w:val="16"/>
                <w:szCs w:val="16"/>
                <w:highlight w:val="yellow"/>
                <w:lang w:val="en-US"/>
              </w:rPr>
              <w:instrText xml:space="preserve"> ADDIN ZOTERO_ITEM CSL_CITATION {"citationID":"QpAKC3k6","properties":{"unsorted":false,"formattedCitation":"[111], [122]","plainCitation":"[111], [122]","noteIndex":0},"citationItems":[{"id":1987,"uris":["http://zotero.org/users/9870935/items/2TYM8STM"],"itemData":{"id":1987,"type":"article-journal","abstract":"The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Pr="007E3FC3">
              <w:rPr>
                <w:color w:val="auto"/>
                <w:sz w:val="16"/>
                <w:szCs w:val="16"/>
                <w:highlight w:val="yellow"/>
              </w:rPr>
              <w:fldChar w:fldCharType="separate"/>
            </w:r>
            <w:r w:rsidR="00A95675" w:rsidRPr="00A95675">
              <w:rPr>
                <w:sz w:val="16"/>
                <w:highlight w:val="yellow"/>
                <w:lang w:val="en-US"/>
              </w:rPr>
              <w:t>[111], [122]</w:t>
            </w:r>
            <w:r w:rsidRPr="007E3FC3">
              <w:rPr>
                <w:color w:val="auto"/>
                <w:sz w:val="16"/>
                <w:szCs w:val="16"/>
                <w:highlight w:val="yellow"/>
              </w:rPr>
              <w:fldChar w:fldCharType="end"/>
            </w:r>
          </w:p>
        </w:tc>
      </w:tr>
    </w:tbl>
    <w:p w14:paraId="2BAC50E7" w14:textId="51C20BF6" w:rsidR="000665E7" w:rsidRDefault="000665E7" w:rsidP="000665E7">
      <w:pPr>
        <w:spacing w:after="120"/>
        <w:ind w:firstLine="480"/>
        <w:rPr>
          <w:lang w:val="en-CA"/>
        </w:rPr>
      </w:pPr>
      <w:r w:rsidRPr="009A7CA8">
        <w:rPr>
          <w:highlight w:val="yellow"/>
          <w:lang w:val="en-CA"/>
        </w:rPr>
        <w:lastRenderedPageBreak/>
        <w:t>Lithium-ion values in Table 3 refer to battery-pack prices where indicated. Installed battery-system costs are higher because they include power-conversion equipment, thermal management, controls, engineering, procurement, construction, and grid-interconnection costs.</w:t>
      </w:r>
      <w:r w:rsidR="00B204E7">
        <w:rPr>
          <w:lang w:val="en-CA"/>
        </w:rPr>
        <w:t xml:space="preserve"> </w:t>
      </w:r>
    </w:p>
    <w:p w14:paraId="069C975C" w14:textId="22E6E423" w:rsidR="00B204E7" w:rsidRPr="000665E7" w:rsidRDefault="00B204E7" w:rsidP="00B204E7">
      <w:pPr>
        <w:spacing w:after="120"/>
        <w:ind w:firstLine="480"/>
        <w:rPr>
          <w:lang w:val="en-CA"/>
        </w:rPr>
      </w:pPr>
      <w:r w:rsidRPr="00B204E7">
        <w:rPr>
          <w:highlight w:val="yellow"/>
          <w:lang w:val="en-CA"/>
        </w:rPr>
        <w:t>The following equations provide a generic mathematical structure for optimization-based storage and generation sizing. They are included as a conceptual formulation synthesized from the literature and were not used in this review to generate site-specific numerical results. Application of the formulation requires project-specific time-series data, technology parameters, reliability assumptions, and validation.</w:t>
      </w:r>
    </w:p>
    <w:p w14:paraId="6ED507B7" w14:textId="2E0FB555" w:rsidR="00FE013C" w:rsidRDefault="00FE013C" w:rsidP="004C16FF">
      <w:pPr>
        <w:spacing w:after="120"/>
        <w:ind w:firstLine="480"/>
      </w:pPr>
      <w:r w:rsidRPr="00A91FD2">
        <w:t xml:space="preserve">The </w:t>
      </w:r>
      <w:r w:rsidR="00580BAE" w:rsidRPr="00A91FD2">
        <w:t>optimization</w:t>
      </w:r>
      <w:r w:rsidRPr="00A91FD2">
        <w:t xml:space="preserve"> approach formulates storage (and renewable) sizing as a mixed-integer linear program (MILP) to </w:t>
      </w:r>
      <w:r w:rsidR="00580BAE" w:rsidRPr="00A91FD2">
        <w:t>minimize</w:t>
      </w:r>
      <w:r w:rsidRPr="00A91FD2">
        <w:t xml:space="preserve"> lifecycle cost while satisfying reliability and regulatory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2396E331" w14:textId="77777777" w:rsidTr="00F5352A">
        <w:tc>
          <w:tcPr>
            <w:tcW w:w="421" w:type="dxa"/>
          </w:tcPr>
          <w:p w14:paraId="7D95E5B2" w14:textId="77777777" w:rsidR="00FE013C" w:rsidRDefault="00FE013C" w:rsidP="004C16FF">
            <w:pPr>
              <w:rPr>
                <w:color w:val="auto"/>
                <w:szCs w:val="24"/>
                <w:lang w:val="en-CA" w:eastAsia="en-CA"/>
              </w:rPr>
            </w:pPr>
          </w:p>
        </w:tc>
        <w:tc>
          <w:tcPr>
            <w:tcW w:w="7908" w:type="dxa"/>
          </w:tcPr>
          <w:p w14:paraId="7A99E55B" w14:textId="702FAD7A" w:rsidR="00FE013C" w:rsidRPr="009C0925" w:rsidRDefault="00000000" w:rsidP="004C16FF">
            <w:pPr>
              <w:rPr>
                <w:rFonts w:asciiTheme="majorBidi" w:hAnsiTheme="majorBidi" w:cstheme="majorBidi"/>
                <w:color w:val="auto"/>
                <w:sz w:val="22"/>
                <w:szCs w:val="22"/>
                <w:highlight w:val="yellow"/>
                <w:lang w:val="en-CA" w:eastAsia="en-CA"/>
              </w:rPr>
            </w:pPr>
            <m:oMathPara>
              <m:oMath>
                <m:func>
                  <m:funcPr>
                    <m:ctrlPr>
                      <w:rPr>
                        <w:rFonts w:ascii="Cambria Math" w:hAnsi="Cambria Math"/>
                        <w:color w:val="auto"/>
                        <w:sz w:val="22"/>
                        <w:szCs w:val="22"/>
                        <w:highlight w:val="yellow"/>
                      </w:rPr>
                    </m:ctrlPr>
                  </m:funcPr>
                  <m:fName>
                    <m:r>
                      <m:rPr>
                        <m:sty m:val="p"/>
                      </m:rPr>
                      <w:rPr>
                        <w:rFonts w:ascii="Cambria Math" w:hAnsi="Cambria Math"/>
                        <w:color w:val="auto"/>
                        <w:sz w:val="22"/>
                        <w:szCs w:val="22"/>
                        <w:highlight w:val="yellow"/>
                      </w:rPr>
                      <m:t>min</m:t>
                    </m:r>
                  </m:fName>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total</m:t>
                        </m:r>
                      </m:sub>
                    </m:sSub>
                  </m:e>
                </m:func>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cap</m:t>
                    </m:r>
                  </m:sub>
                </m:sSub>
                <m:r>
                  <w:rPr>
                    <w:rFonts w:ascii="Cambria Math" w:hAnsi="Cambria Math"/>
                    <w:color w:val="auto"/>
                    <w:sz w:val="22"/>
                    <w:szCs w:val="22"/>
                    <w:highlight w:val="yellow"/>
                  </w:rPr>
                  <m:t>+</m:t>
                </m:r>
                <m:nary>
                  <m:naryPr>
                    <m:chr m:val="∑"/>
                    <m:limLoc m:val="undOvr"/>
                    <m:ctrlPr>
                      <w:rPr>
                        <w:rFonts w:ascii="Cambria Math" w:hAnsi="Cambria Math"/>
                        <w:color w:val="auto"/>
                        <w:sz w:val="22"/>
                        <w:szCs w:val="22"/>
                        <w:highlight w:val="yellow"/>
                      </w:rPr>
                    </m:ctrlPr>
                  </m:naryPr>
                  <m:sub>
                    <m:r>
                      <w:rPr>
                        <w:rFonts w:ascii="Cambria Math" w:hAnsi="Cambria Math"/>
                        <w:color w:val="auto"/>
                        <w:sz w:val="22"/>
                        <w:szCs w:val="22"/>
                        <w:highlight w:val="yellow"/>
                      </w:rPr>
                      <m:t>t=1</m:t>
                    </m:r>
                  </m:sub>
                  <m:sup>
                    <m:r>
                      <w:rPr>
                        <w:rFonts w:ascii="Cambria Math" w:hAnsi="Cambria Math"/>
                        <w:color w:val="auto"/>
                        <w:sz w:val="22"/>
                        <w:szCs w:val="22"/>
                        <w:highlight w:val="yellow"/>
                      </w:rPr>
                      <m:t>T</m:t>
                    </m:r>
                  </m:sup>
                  <m:e>
                    <m:d>
                      <m:dPr>
                        <m:ctrlPr>
                          <w:rPr>
                            <w:rFonts w:ascii="Cambria Math" w:hAnsi="Cambria Math"/>
                            <w:color w:val="auto"/>
                            <w:sz w:val="22"/>
                            <w:szCs w:val="22"/>
                            <w:highlight w:val="yellow"/>
                          </w:rPr>
                        </m:ctrlPr>
                      </m:dPr>
                      <m:e>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op,t</m:t>
                            </m:r>
                          </m:sub>
                        </m:sSub>
                        <m:r>
                          <w:rPr>
                            <w:rFonts w:ascii="Cambria Math" w:hAnsi="Cambria Math"/>
                            <w:color w:val="auto"/>
                            <w:sz w:val="22"/>
                            <w:szCs w:val="22"/>
                            <w:highlight w:val="yellow"/>
                          </w:rPr>
                          <m:t>+</m:t>
                        </m:r>
                        <m:sSub>
                          <m:sSubPr>
                            <m:ctrlPr>
                              <w:rPr>
                                <w:rFonts w:ascii="Cambria Math" w:hAnsi="Cambria Math"/>
                                <w:color w:val="auto"/>
                                <w:sz w:val="22"/>
                                <w:szCs w:val="22"/>
                                <w:highlight w:val="yellow"/>
                              </w:rPr>
                            </m:ctrlPr>
                          </m:sSubPr>
                          <m:e>
                            <m:r>
                              <w:rPr>
                                <w:rFonts w:ascii="Cambria Math" w:hAnsi="Cambria Math"/>
                                <w:color w:val="auto"/>
                                <w:sz w:val="22"/>
                                <w:szCs w:val="22"/>
                                <w:highlight w:val="yellow"/>
                              </w:rPr>
                              <m:t>C</m:t>
                            </m:r>
                          </m:e>
                          <m:sub>
                            <m:r>
                              <w:rPr>
                                <w:rFonts w:ascii="Cambria Math" w:hAnsi="Cambria Math"/>
                                <w:color w:val="auto"/>
                                <w:sz w:val="22"/>
                                <w:szCs w:val="22"/>
                                <w:highlight w:val="yellow"/>
                              </w:rPr>
                              <m:t>deg,t</m:t>
                            </m:r>
                          </m:sub>
                        </m:sSub>
                      </m:e>
                    </m:d>
                  </m:e>
                </m:nary>
              </m:oMath>
            </m:oMathPara>
          </w:p>
        </w:tc>
        <w:tc>
          <w:tcPr>
            <w:tcW w:w="505" w:type="dxa"/>
            <w:vAlign w:val="center"/>
          </w:tcPr>
          <w:p w14:paraId="7D00D276"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(4)</w:t>
            </w:r>
          </w:p>
        </w:tc>
      </w:tr>
    </w:tbl>
    <w:p w14:paraId="0DE9B04A" w14:textId="77777777" w:rsidR="00C53C94" w:rsidRPr="00C53C94" w:rsidRDefault="00C53C94" w:rsidP="00C53C94">
      <w:pPr>
        <w:spacing w:before="100" w:beforeAutospacing="1" w:after="100" w:afterAutospacing="1"/>
        <w:rPr>
          <w:color w:val="auto"/>
          <w:szCs w:val="24"/>
          <w:highlight w:val="yellow"/>
          <w:lang w:eastAsia="en-CA"/>
        </w:rPr>
      </w:pPr>
      <w:r w:rsidRPr="00C53C94">
        <w:rPr>
          <w:color w:val="auto"/>
          <w:szCs w:val="24"/>
          <w:highlight w:val="yellow"/>
          <w:lang w:eastAsia="en-CA"/>
        </w:rPr>
        <w:t>where</w:t>
      </w:r>
    </w:p>
    <w:p w14:paraId="591CB736" w14:textId="1669E819"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cap</m:t>
            </m:r>
          </m:sub>
        </m:sSub>
      </m:oMath>
      <w:r w:rsidR="00C53C94" w:rsidRPr="00C53C94">
        <w:rPr>
          <w:color w:val="auto"/>
          <w:szCs w:val="24"/>
          <w:highlight w:val="yellow"/>
          <w:lang w:eastAsia="en-CA"/>
        </w:rPr>
        <w:t>= annualized capital cost;</w:t>
      </w:r>
    </w:p>
    <w:p w14:paraId="3DAD7287" w14:textId="72A74F0C"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op</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operating cost;</w:t>
      </w:r>
    </w:p>
    <w:p w14:paraId="420F6BB3" w14:textId="78A8B790" w:rsidR="00C53C94" w:rsidRPr="00C53C94" w:rsidRDefault="00000000" w:rsidP="00C53C94">
      <w:pPr>
        <w:numPr>
          <w:ilvl w:val="0"/>
          <w:numId w:val="29"/>
        </w:numPr>
        <w:spacing w:before="100" w:beforeAutospacing="1" w:after="100" w:afterAutospacing="1"/>
        <w:rPr>
          <w:color w:val="auto"/>
          <w:szCs w:val="24"/>
          <w:highlight w:val="yellow"/>
          <w:lang w:eastAsia="en-CA"/>
        </w:rPr>
      </w:pPr>
      <m:oMath>
        <m:sSub>
          <m:sSubPr>
            <m:ctrlPr>
              <w:rPr>
                <w:rFonts w:ascii="Cambria Math" w:hAnsi="Cambria Math"/>
                <w:color w:val="auto"/>
                <w:szCs w:val="24"/>
                <w:highlight w:val="yellow"/>
                <w:lang w:eastAsia="en-CA"/>
              </w:rPr>
            </m:ctrlPr>
          </m:sSubPr>
          <m:e>
            <m:r>
              <w:rPr>
                <w:rFonts w:ascii="Cambria Math" w:hAnsi="Cambria Math"/>
                <w:color w:val="auto"/>
                <w:szCs w:val="24"/>
                <w:highlight w:val="yellow"/>
                <w:lang w:eastAsia="en-CA"/>
              </w:rPr>
              <m:t>C</m:t>
            </m:r>
          </m:e>
          <m:sub>
            <m:r>
              <m:rPr>
                <m:sty m:val="p"/>
              </m:rPr>
              <w:rPr>
                <w:rFonts w:ascii="Cambria Math" w:hAnsi="Cambria Math"/>
                <w:color w:val="auto"/>
                <w:szCs w:val="24"/>
                <w:highlight w:val="yellow"/>
                <w:lang w:eastAsia="en-CA"/>
              </w:rPr>
              <m:t>deg</m:t>
            </m:r>
            <m:r>
              <w:rPr>
                <w:rFonts w:ascii="Cambria Math" w:hAnsi="Cambria Math"/>
                <w:color w:val="auto"/>
                <w:szCs w:val="24"/>
                <w:highlight w:val="yellow"/>
                <w:lang w:eastAsia="en-CA"/>
              </w:rPr>
              <m:t>,t</m:t>
            </m:r>
          </m:sub>
        </m:sSub>
      </m:oMath>
      <w:r w:rsidR="00C53C94" w:rsidRPr="00C53C94">
        <w:rPr>
          <w:color w:val="auto"/>
          <w:szCs w:val="24"/>
          <w:highlight w:val="yellow"/>
          <w:lang w:eastAsia="en-CA"/>
        </w:rPr>
        <w:t>= battery degradation cost.</w:t>
      </w:r>
    </w:p>
    <w:p w14:paraId="6E969F0C" w14:textId="1E2C0508" w:rsidR="00FE013C" w:rsidRPr="009C0925" w:rsidRDefault="00FE013C" w:rsidP="004C16FF">
      <w:pPr>
        <w:spacing w:before="100" w:beforeAutospacing="1" w:after="100" w:afterAutospacing="1"/>
        <w:rPr>
          <w:color w:val="auto"/>
          <w:szCs w:val="24"/>
          <w:highlight w:val="yellow"/>
          <w:lang w:val="en-CA" w:eastAsia="en-CA"/>
        </w:rPr>
      </w:pPr>
      <w:r w:rsidRPr="009C0925">
        <w:rPr>
          <w:color w:val="auto"/>
          <w:szCs w:val="24"/>
          <w:highlight w:val="yellow"/>
          <w:lang w:val="en-CA" w:eastAsia="en-CA"/>
        </w:rPr>
        <w:t>subject to:</w:t>
      </w:r>
    </w:p>
    <w:p w14:paraId="23607DCE" w14:textId="7777777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Energy Balance (hourly):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799DB136" w14:textId="77777777" w:rsidTr="00F5352A">
        <w:tc>
          <w:tcPr>
            <w:tcW w:w="421" w:type="dxa"/>
          </w:tcPr>
          <w:p w14:paraId="47C717C9" w14:textId="77777777" w:rsidR="00FE013C" w:rsidRPr="009C0925" w:rsidRDefault="00FE013C" w:rsidP="004C16FF">
            <w:pPr>
              <w:rPr>
                <w:color w:val="auto"/>
                <w:szCs w:val="24"/>
                <w:highlight w:val="yellow"/>
                <w:lang w:val="en-CA" w:eastAsia="en-CA"/>
              </w:rPr>
            </w:pPr>
          </w:p>
        </w:tc>
        <w:tc>
          <w:tcPr>
            <w:tcW w:w="7908" w:type="dxa"/>
          </w:tcPr>
          <w:p w14:paraId="3BE84C97" w14:textId="42EF9EF8" w:rsidR="00FE013C" w:rsidRPr="009C0925" w:rsidRDefault="00000000" w:rsidP="004C16FF">
            <w:pPr>
              <w:rPr>
                <w:rFonts w:asciiTheme="majorBidi" w:hAnsiTheme="majorBidi" w:cstheme="majorBidi"/>
                <w:color w:val="auto"/>
                <w:sz w:val="22"/>
                <w:szCs w:val="22"/>
                <w:highlight w:val="yellow"/>
                <w:lang w:val="en-CA" w:eastAsia="en-CA"/>
              </w:rPr>
            </w:pPr>
            <m:oMathPara>
              <m:oMath>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load,t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curt,t</m:t>
                    </m:r>
                  </m:sub>
                </m:sSub>
              </m:oMath>
            </m:oMathPara>
          </w:p>
        </w:tc>
        <w:tc>
          <w:tcPr>
            <w:tcW w:w="505" w:type="dxa"/>
            <w:vAlign w:val="center"/>
          </w:tcPr>
          <w:p w14:paraId="59CF1D2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(5)</w:t>
            </w:r>
          </w:p>
        </w:tc>
      </w:tr>
    </w:tbl>
    <w:p w14:paraId="31A45B3B" w14:textId="6DA55487" w:rsidR="00FE013C" w:rsidRPr="009C0925" w:rsidRDefault="00FE013C" w:rsidP="004C16FF">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 xml:space="preserve">Battery State-of-Charge </w:t>
      </w:r>
      <w:r w:rsidR="009238A0" w:rsidRPr="009C0925">
        <w:rPr>
          <w:b/>
          <w:bCs/>
          <w:color w:val="auto"/>
          <w:szCs w:val="24"/>
          <w:highlight w:val="yellow"/>
          <w:lang w:val="en-CA" w:eastAsia="en-CA"/>
        </w:rPr>
        <w:t>Equation</w:t>
      </w:r>
      <w:r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323BBD1E" w14:textId="77777777" w:rsidTr="00F5352A">
        <w:tc>
          <w:tcPr>
            <w:tcW w:w="421" w:type="dxa"/>
          </w:tcPr>
          <w:p w14:paraId="094CAE98" w14:textId="77777777" w:rsidR="00FE013C" w:rsidRPr="009C0925" w:rsidRDefault="00FE013C" w:rsidP="004C16FF">
            <w:pPr>
              <w:rPr>
                <w:color w:val="auto"/>
                <w:szCs w:val="24"/>
                <w:highlight w:val="yellow"/>
                <w:lang w:val="en-CA" w:eastAsia="en-CA"/>
              </w:rPr>
            </w:pPr>
          </w:p>
        </w:tc>
        <w:tc>
          <w:tcPr>
            <w:tcW w:w="7908" w:type="dxa"/>
          </w:tcPr>
          <w:p w14:paraId="5DD2AD9F" w14:textId="39372E74" w:rsidR="00FE013C" w:rsidRPr="009C0925" w:rsidRDefault="00DB02E1"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t+1</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ch</m:t>
                    </m:r>
                  </m:sub>
                </m:sSub>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m:rPr>
                    <m:sty m:val="p"/>
                  </m:rPr>
                  <w:rPr>
                    <w:rFonts w:ascii="Cambria Math" w:hAnsi="Cambria Math"/>
                    <w:color w:val="auto"/>
                    <w:szCs w:val="24"/>
                    <w:highlight w:val="yellow"/>
                  </w:rPr>
                  <m:t>Δ</m:t>
                </m:r>
                <m:r>
                  <w:rPr>
                    <w:rFonts w:ascii="Cambria Math" w:hAnsi="Cambria Math"/>
                    <w:color w:val="auto"/>
                    <w:szCs w:val="24"/>
                    <w:highlight w:val="yellow"/>
                  </w:rPr>
                  <m:t>t-</m:t>
                </m:r>
                <m:f>
                  <m:fPr>
                    <m:ctrlPr>
                      <w:rPr>
                        <w:rFonts w:ascii="Cambria Math" w:hAnsi="Cambria Math"/>
                        <w:color w:val="auto"/>
                        <w:szCs w:val="24"/>
                        <w:highlight w:val="yellow"/>
                      </w:rPr>
                    </m:ctrlPr>
                  </m:fPr>
                  <m:num>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m:rPr>
                        <m:sty m:val="p"/>
                      </m:rPr>
                      <w:rPr>
                        <w:rFonts w:ascii="Cambria Math" w:hAnsi="Cambria Math"/>
                        <w:color w:val="auto"/>
                        <w:szCs w:val="24"/>
                        <w:highlight w:val="yellow"/>
                      </w:rPr>
                      <m:t>Δ</m:t>
                    </m:r>
                    <m:r>
                      <w:rPr>
                        <w:rFonts w:ascii="Cambria Math" w:hAnsi="Cambria Math"/>
                        <w:color w:val="auto"/>
                        <w:szCs w:val="24"/>
                        <w:highlight w:val="yellow"/>
                      </w:rPr>
                      <m:t>t</m:t>
                    </m:r>
                  </m:num>
                  <m:den>
                    <m:sSub>
                      <m:sSubPr>
                        <m:ctrlPr>
                          <w:rPr>
                            <w:rFonts w:ascii="Cambria Math" w:hAnsi="Cambria Math"/>
                            <w:color w:val="auto"/>
                            <w:szCs w:val="24"/>
                            <w:highlight w:val="yellow"/>
                          </w:rPr>
                        </m:ctrlPr>
                      </m:sSubPr>
                      <m:e>
                        <m:r>
                          <w:rPr>
                            <w:rFonts w:ascii="Cambria Math" w:hAnsi="Cambria Math"/>
                            <w:color w:val="auto"/>
                            <w:szCs w:val="24"/>
                            <w:highlight w:val="yellow"/>
                          </w:rPr>
                          <m:t>η</m:t>
                        </m:r>
                      </m:e>
                      <m:sub>
                        <m:r>
                          <w:rPr>
                            <w:rFonts w:ascii="Cambria Math" w:hAnsi="Cambria Math"/>
                            <w:color w:val="auto"/>
                            <w:szCs w:val="24"/>
                            <w:highlight w:val="yellow"/>
                          </w:rPr>
                          <m:t>dis</m:t>
                        </m:r>
                      </m:sub>
                    </m:sSub>
                  </m:den>
                </m:f>
              </m:oMath>
            </m:oMathPara>
          </w:p>
        </w:tc>
        <w:tc>
          <w:tcPr>
            <w:tcW w:w="505" w:type="dxa"/>
            <w:vAlign w:val="center"/>
          </w:tcPr>
          <w:p w14:paraId="765B93A3" w14:textId="77777777"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(6)</w:t>
            </w:r>
          </w:p>
        </w:tc>
      </w:tr>
    </w:tbl>
    <w:p w14:paraId="0110B78D" w14:textId="77777777" w:rsidR="009238A0" w:rsidRPr="009C0925" w:rsidRDefault="009238A0" w:rsidP="009238A0">
      <w:pPr>
        <w:spacing w:before="100" w:beforeAutospacing="1" w:after="100" w:afterAutospacing="1"/>
        <w:rPr>
          <w:b/>
          <w:bCs/>
          <w:color w:val="auto"/>
          <w:szCs w:val="24"/>
          <w:highlight w:val="yellow"/>
          <w:lang w:val="en-CA" w:eastAsia="en-CA"/>
        </w:rPr>
      </w:pPr>
      <w:r w:rsidRPr="009C0925">
        <w:rPr>
          <w:b/>
          <w:bCs/>
          <w:color w:val="auto"/>
          <w:szCs w:val="24"/>
          <w:highlight w:val="yellow"/>
          <w:lang w:val="en-CA" w:eastAsia="en-CA"/>
        </w:rPr>
        <w:t>Battery State-of-Charge Constraints: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9238A0" w:rsidRPr="009C0925" w14:paraId="235A0989" w14:textId="77777777" w:rsidTr="001E5821">
        <w:tc>
          <w:tcPr>
            <w:tcW w:w="421" w:type="dxa"/>
          </w:tcPr>
          <w:p w14:paraId="795E3C4A" w14:textId="77777777" w:rsidR="009238A0" w:rsidRPr="009C0925" w:rsidRDefault="009238A0" w:rsidP="001E5821">
            <w:pPr>
              <w:rPr>
                <w:color w:val="auto"/>
                <w:szCs w:val="24"/>
                <w:highlight w:val="yellow"/>
                <w:lang w:val="en-CA" w:eastAsia="en-CA"/>
              </w:rPr>
            </w:pPr>
          </w:p>
        </w:tc>
        <w:tc>
          <w:tcPr>
            <w:tcW w:w="7908" w:type="dxa"/>
          </w:tcPr>
          <w:p w14:paraId="2F3BD932" w14:textId="601F0EFD" w:rsidR="009238A0" w:rsidRPr="009C0925" w:rsidRDefault="0083233D" w:rsidP="001E5821">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min</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max</m:t>
                    </m:r>
                  </m:sub>
                </m:sSub>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608315A" w14:textId="2D303BDC" w:rsidR="009238A0" w:rsidRPr="009C0925" w:rsidRDefault="009238A0" w:rsidP="001E5821">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7</w:t>
            </w:r>
            <w:r w:rsidRPr="009C0925">
              <w:rPr>
                <w:color w:val="auto"/>
                <w:szCs w:val="24"/>
                <w:highlight w:val="yellow"/>
                <w:lang w:val="en-CA" w:eastAsia="en-CA"/>
              </w:rPr>
              <w:t>)</w:t>
            </w:r>
          </w:p>
        </w:tc>
      </w:tr>
    </w:tbl>
    <w:p w14:paraId="38D2E6C4" w14:textId="10B52A21" w:rsidR="00FE013C" w:rsidRPr="009C0925" w:rsidRDefault="006F30FD"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Battery Power Limits</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505"/>
      </w:tblGrid>
      <w:tr w:rsidR="00FE013C" w:rsidRPr="009C0925" w14:paraId="663CE828" w14:textId="77777777" w:rsidTr="00F5352A">
        <w:tc>
          <w:tcPr>
            <w:tcW w:w="421" w:type="dxa"/>
          </w:tcPr>
          <w:p w14:paraId="0DEBAFE5" w14:textId="77777777" w:rsidR="00FE013C" w:rsidRPr="009C0925" w:rsidRDefault="00FE013C" w:rsidP="004C16FF">
            <w:pPr>
              <w:rPr>
                <w:color w:val="auto"/>
                <w:szCs w:val="24"/>
                <w:highlight w:val="yellow"/>
                <w:lang w:val="en-CA" w:eastAsia="en-CA"/>
              </w:rPr>
            </w:pPr>
          </w:p>
        </w:tc>
        <w:tc>
          <w:tcPr>
            <w:tcW w:w="7908" w:type="dxa"/>
          </w:tcPr>
          <w:p w14:paraId="25C78AA2" w14:textId="5E02CDA9" w:rsidR="00FE013C" w:rsidRPr="00F57AF4" w:rsidRDefault="00BB2420"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ch,t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ch</m:t>
                    </m:r>
                  </m:sub>
                  <m:sup>
                    <m:r>
                      <w:rPr>
                        <w:rFonts w:ascii="Cambria Math" w:hAnsi="Cambria Math"/>
                        <w:color w:val="auto"/>
                        <w:szCs w:val="24"/>
                        <w:highlight w:val="yellow"/>
                      </w:rPr>
                      <m:t>max</m:t>
                    </m:r>
                  </m:sup>
                </m:sSubSup>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731E234B" w14:textId="5E5FE2C4"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8</w:t>
            </w:r>
            <w:r w:rsidRPr="009C0925">
              <w:rPr>
                <w:color w:val="auto"/>
                <w:szCs w:val="24"/>
                <w:highlight w:val="yellow"/>
                <w:lang w:val="en-CA" w:eastAsia="en-CA"/>
              </w:rPr>
              <w:t>)</w:t>
            </w:r>
          </w:p>
        </w:tc>
      </w:tr>
      <w:tr w:rsidR="00FE013C" w:rsidRPr="009C0925" w14:paraId="72947D45" w14:textId="77777777" w:rsidTr="00FF0DBE">
        <w:tc>
          <w:tcPr>
            <w:tcW w:w="421" w:type="dxa"/>
          </w:tcPr>
          <w:p w14:paraId="49A346BC" w14:textId="77777777" w:rsidR="00FE013C" w:rsidRPr="009C0925" w:rsidRDefault="00FE013C" w:rsidP="004C16FF">
            <w:pPr>
              <w:rPr>
                <w:color w:val="auto"/>
                <w:szCs w:val="24"/>
                <w:highlight w:val="yellow"/>
                <w:lang w:val="en-CA" w:eastAsia="en-CA"/>
              </w:rPr>
            </w:pPr>
          </w:p>
        </w:tc>
        <w:tc>
          <w:tcPr>
            <w:tcW w:w="7908" w:type="dxa"/>
          </w:tcPr>
          <w:p w14:paraId="17DD6BF9" w14:textId="70E00028" w:rsidR="00FE013C" w:rsidRPr="00F57AF4" w:rsidRDefault="00F57AF4"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dis,t</m:t>
                    </m:r>
                  </m:sub>
                </m:sSub>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P</m:t>
                    </m:r>
                  </m:e>
                  <m:sub>
                    <m:r>
                      <w:rPr>
                        <w:rFonts w:ascii="Cambria Math" w:hAnsi="Cambria Math"/>
                        <w:color w:val="auto"/>
                        <w:szCs w:val="24"/>
                        <w:highlight w:val="yellow"/>
                      </w:rPr>
                      <m:t>dis</m:t>
                    </m:r>
                  </m:sub>
                  <m:sup>
                    <m:r>
                      <w:rPr>
                        <w:rFonts w:ascii="Cambria Math" w:hAnsi="Cambria Math"/>
                        <w:color w:val="auto"/>
                        <w:szCs w:val="24"/>
                        <w:highlight w:val="yellow"/>
                      </w:rPr>
                      <m:t>max</m:t>
                    </m:r>
                  </m:sup>
                </m:sSubSup>
              </m:oMath>
            </m:oMathPara>
          </w:p>
        </w:tc>
        <w:tc>
          <w:tcPr>
            <w:tcW w:w="505" w:type="dxa"/>
          </w:tcPr>
          <w:p w14:paraId="2483E27C" w14:textId="431C8F35"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994C5A" w:rsidRPr="009C0925">
              <w:rPr>
                <w:color w:val="auto"/>
                <w:szCs w:val="24"/>
                <w:highlight w:val="yellow"/>
                <w:lang w:val="en-CA" w:eastAsia="en-CA"/>
              </w:rPr>
              <w:t>9</w:t>
            </w:r>
            <w:r w:rsidRPr="009C0925">
              <w:rPr>
                <w:color w:val="auto"/>
                <w:szCs w:val="24"/>
                <w:highlight w:val="yellow"/>
                <w:lang w:val="en-CA" w:eastAsia="en-CA"/>
              </w:rPr>
              <w:t>)</w:t>
            </w:r>
          </w:p>
        </w:tc>
      </w:tr>
    </w:tbl>
    <w:p w14:paraId="4596B22F" w14:textId="1BCC231C" w:rsidR="00FE013C" w:rsidRPr="009C0925" w:rsidRDefault="00F57AF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t>Charge/Discharge Exclusivity</w:t>
      </w:r>
      <w:r w:rsidR="00FE013C" w:rsidRPr="009C0925">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rsidRPr="009C0925" w14:paraId="601130DC" w14:textId="77777777" w:rsidTr="00F5352A">
        <w:tc>
          <w:tcPr>
            <w:tcW w:w="421" w:type="dxa"/>
          </w:tcPr>
          <w:p w14:paraId="413E8120" w14:textId="77777777" w:rsidR="00FE013C" w:rsidRPr="009C0925" w:rsidRDefault="00FE013C" w:rsidP="004C16FF">
            <w:pPr>
              <w:rPr>
                <w:color w:val="auto"/>
                <w:szCs w:val="24"/>
                <w:highlight w:val="yellow"/>
                <w:lang w:val="en-CA" w:eastAsia="en-CA"/>
              </w:rPr>
            </w:pPr>
          </w:p>
        </w:tc>
        <w:tc>
          <w:tcPr>
            <w:tcW w:w="7908" w:type="dxa"/>
          </w:tcPr>
          <w:p w14:paraId="15EC907A" w14:textId="1CE86AD7" w:rsidR="00FE013C" w:rsidRPr="009C0925" w:rsidRDefault="00000000" w:rsidP="004C16FF">
            <w:pPr>
              <w:rPr>
                <w:rFonts w:asciiTheme="majorBidi" w:hAnsiTheme="majorBidi" w:cstheme="majorBidi"/>
                <w:color w:val="auto"/>
                <w:sz w:val="22"/>
                <w:szCs w:val="22"/>
                <w:highlight w:val="yellow"/>
                <w:lang w:val="en-CA" w:eastAsia="en-CA"/>
              </w:rPr>
            </w:pPr>
            <m:oMathPara>
              <m:oMath>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ch</m:t>
                    </m:r>
                  </m:sup>
                </m:sSubSup>
                <m:r>
                  <w:rPr>
                    <w:rFonts w:ascii="Cambria Math" w:hAnsi="Cambria Math"/>
                    <w:color w:val="auto"/>
                    <w:szCs w:val="24"/>
                    <w:highlight w:val="yellow"/>
                  </w:rPr>
                  <m:t>+</m:t>
                </m:r>
                <m:sSubSup>
                  <m:sSubSupPr>
                    <m:ctrlPr>
                      <w:rPr>
                        <w:rFonts w:ascii="Cambria Math" w:hAnsi="Cambria Math"/>
                        <w:color w:val="auto"/>
                        <w:szCs w:val="24"/>
                        <w:highlight w:val="yellow"/>
                      </w:rPr>
                    </m:ctrlPr>
                  </m:sSubSupPr>
                  <m:e>
                    <m:r>
                      <w:rPr>
                        <w:rFonts w:ascii="Cambria Math" w:hAnsi="Cambria Math"/>
                        <w:color w:val="auto"/>
                        <w:szCs w:val="24"/>
                        <w:highlight w:val="yellow"/>
                      </w:rPr>
                      <m:t>u</m:t>
                    </m:r>
                  </m:e>
                  <m:sub>
                    <m:r>
                      <w:rPr>
                        <w:rFonts w:ascii="Cambria Math" w:hAnsi="Cambria Math"/>
                        <w:color w:val="auto"/>
                        <w:szCs w:val="24"/>
                        <w:highlight w:val="yellow"/>
                      </w:rPr>
                      <m:t>t</m:t>
                    </m:r>
                  </m:sub>
                  <m:sup>
                    <m:r>
                      <w:rPr>
                        <w:rFonts w:ascii="Cambria Math" w:hAnsi="Cambria Math"/>
                        <w:color w:val="auto"/>
                        <w:szCs w:val="24"/>
                        <w:highlight w:val="yellow"/>
                      </w:rPr>
                      <m:t>dis</m:t>
                    </m:r>
                  </m:sup>
                </m:sSubSup>
                <m:r>
                  <w:rPr>
                    <w:rFonts w:ascii="Cambria Math" w:hAnsi="Cambria Math"/>
                    <w:color w:val="auto"/>
                    <w:szCs w:val="24"/>
                    <w:highlight w:val="yellow"/>
                  </w:rPr>
                  <m:t>≤1</m:t>
                </m:r>
                <m:r>
                  <w:rPr>
                    <w:rFonts w:ascii="Cambria Math" w:hAnsi="Cambria Math"/>
                    <w:i/>
                    <w:color w:val="auto"/>
                    <w:szCs w:val="24"/>
                    <w:highlight w:val="yellow"/>
                  </w:rPr>
                  <m:t> </m:t>
                </m:r>
                <m:r>
                  <w:rPr>
                    <w:rFonts w:ascii="Cambria Math" w:hAnsi="Cambria Math"/>
                    <w:color w:val="auto"/>
                    <w:szCs w:val="24"/>
                    <w:highlight w:val="yellow"/>
                  </w:rPr>
                  <m:t>∀t</m:t>
                </m:r>
              </m:oMath>
            </m:oMathPara>
          </w:p>
        </w:tc>
        <w:tc>
          <w:tcPr>
            <w:tcW w:w="505" w:type="dxa"/>
            <w:vAlign w:val="center"/>
          </w:tcPr>
          <w:p w14:paraId="2F6F68B8" w14:textId="78E4859A" w:rsidR="00FE013C" w:rsidRPr="009C0925" w:rsidRDefault="00FE013C" w:rsidP="004C16FF">
            <w:pPr>
              <w:rPr>
                <w:color w:val="auto"/>
                <w:szCs w:val="24"/>
                <w:highlight w:val="yellow"/>
                <w:lang w:val="en-CA" w:eastAsia="en-CA"/>
              </w:rPr>
            </w:pPr>
            <w:r w:rsidRPr="009C0925">
              <w:rPr>
                <w:color w:val="auto"/>
                <w:szCs w:val="24"/>
                <w:highlight w:val="yellow"/>
                <w:lang w:val="en-CA" w:eastAsia="en-CA"/>
              </w:rPr>
              <w:t>(</w:t>
            </w:r>
            <w:r w:rsidR="00D524ED">
              <w:rPr>
                <w:color w:val="auto"/>
                <w:szCs w:val="24"/>
                <w:highlight w:val="yellow"/>
                <w:lang w:val="en-CA" w:eastAsia="en-CA"/>
              </w:rPr>
              <w:t>10</w:t>
            </w:r>
            <w:r w:rsidRPr="009C0925">
              <w:rPr>
                <w:color w:val="auto"/>
                <w:szCs w:val="24"/>
                <w:highlight w:val="yellow"/>
                <w:lang w:val="en-CA" w:eastAsia="en-CA"/>
              </w:rPr>
              <w:t>)</w:t>
            </w:r>
          </w:p>
        </w:tc>
      </w:tr>
    </w:tbl>
    <w:p w14:paraId="77DBA264" w14:textId="6FC875CE" w:rsidR="00D65E78" w:rsidRPr="00D65E78" w:rsidRDefault="00D65E78" w:rsidP="00D65E78">
      <w:pPr>
        <w:spacing w:before="100" w:beforeAutospacing="1" w:after="100" w:afterAutospacing="1"/>
        <w:rPr>
          <w:color w:val="auto"/>
          <w:szCs w:val="24"/>
          <w:highlight w:val="yellow"/>
          <w:lang w:eastAsia="en-CA"/>
        </w:rPr>
      </w:pPr>
      <w:r w:rsidRPr="00D65E78">
        <w:rPr>
          <w:color w:val="auto"/>
          <w:szCs w:val="24"/>
          <w:highlight w:val="yellow"/>
          <w:lang w:eastAsia="en-CA"/>
        </w:rPr>
        <w:t xml:space="preserve">where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ch</m:t>
            </m:r>
          </m:sup>
        </m:sSubSup>
      </m:oMath>
      <w:r w:rsidRPr="00D65E78">
        <w:rPr>
          <w:color w:val="auto"/>
          <w:szCs w:val="24"/>
          <w:highlight w:val="yellow"/>
          <w:lang w:eastAsia="en-CA"/>
        </w:rPr>
        <w:t xml:space="preserve">and </w:t>
      </w:r>
      <m:oMath>
        <m:sSubSup>
          <m:sSubSupPr>
            <m:ctrlPr>
              <w:rPr>
                <w:rFonts w:ascii="Cambria Math" w:hAnsi="Cambria Math"/>
                <w:color w:val="auto"/>
                <w:szCs w:val="24"/>
                <w:highlight w:val="yellow"/>
                <w:lang w:eastAsia="en-CA"/>
              </w:rPr>
            </m:ctrlPr>
          </m:sSubSupPr>
          <m:e>
            <m:r>
              <w:rPr>
                <w:rFonts w:ascii="Cambria Math" w:hAnsi="Cambria Math"/>
                <w:color w:val="auto"/>
                <w:szCs w:val="24"/>
                <w:highlight w:val="yellow"/>
                <w:lang w:eastAsia="en-CA"/>
              </w:rPr>
              <m:t>u</m:t>
            </m:r>
          </m:e>
          <m:sub>
            <m:r>
              <w:rPr>
                <w:rFonts w:ascii="Cambria Math" w:hAnsi="Cambria Math"/>
                <w:color w:val="auto"/>
                <w:szCs w:val="24"/>
                <w:highlight w:val="yellow"/>
                <w:lang w:eastAsia="en-CA"/>
              </w:rPr>
              <m:t>t</m:t>
            </m:r>
          </m:sub>
          <m:sup>
            <m:r>
              <w:rPr>
                <w:rFonts w:ascii="Cambria Math" w:hAnsi="Cambria Math"/>
                <w:color w:val="auto"/>
                <w:szCs w:val="24"/>
                <w:highlight w:val="yellow"/>
                <w:lang w:eastAsia="en-CA"/>
              </w:rPr>
              <m:t>dis</m:t>
            </m:r>
          </m:sup>
        </m:sSubSup>
      </m:oMath>
      <w:r w:rsidRPr="00D65E78">
        <w:rPr>
          <w:color w:val="auto"/>
          <w:szCs w:val="24"/>
          <w:highlight w:val="yellow"/>
          <w:lang w:eastAsia="en-CA"/>
        </w:rPr>
        <w:t>are binary variables preventing simultaneous charging and discharging.</w:t>
      </w:r>
    </w:p>
    <w:p w14:paraId="0E8C55D8" w14:textId="693C92E9" w:rsidR="00FE013C" w:rsidRPr="009C0925" w:rsidRDefault="00D22FD4" w:rsidP="004C16FF">
      <w:pPr>
        <w:spacing w:before="100" w:beforeAutospacing="1" w:after="100" w:afterAutospacing="1"/>
        <w:rPr>
          <w:b/>
          <w:bCs/>
          <w:color w:val="auto"/>
          <w:szCs w:val="24"/>
          <w:highlight w:val="yellow"/>
          <w:lang w:val="en-CA" w:eastAsia="en-CA"/>
        </w:rPr>
      </w:pPr>
      <w:r>
        <w:rPr>
          <w:b/>
          <w:bCs/>
          <w:color w:val="auto"/>
          <w:szCs w:val="24"/>
          <w:highlight w:val="yellow"/>
          <w:lang w:val="en-CA" w:eastAsia="en-CA"/>
        </w:rPr>
        <w:lastRenderedPageBreak/>
        <w:t>Renewable-Generation Limits</w:t>
      </w:r>
      <w:r w:rsidR="00787DBF">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418CEACA" w14:textId="77777777" w:rsidTr="003A4B5D">
        <w:tc>
          <w:tcPr>
            <w:tcW w:w="421" w:type="dxa"/>
          </w:tcPr>
          <w:p w14:paraId="38C604DA" w14:textId="77777777" w:rsidR="00FE013C" w:rsidRPr="009C0925" w:rsidRDefault="00FE013C" w:rsidP="004C16FF">
            <w:pPr>
              <w:rPr>
                <w:color w:val="auto"/>
                <w:szCs w:val="24"/>
                <w:highlight w:val="yellow"/>
                <w:lang w:val="en-CA" w:eastAsia="en-CA"/>
              </w:rPr>
            </w:pPr>
          </w:p>
        </w:tc>
        <w:tc>
          <w:tcPr>
            <w:tcW w:w="7908" w:type="dxa"/>
          </w:tcPr>
          <w:p w14:paraId="1FB500AE" w14:textId="37889D69" w:rsidR="00FE013C" w:rsidRPr="009C0925" w:rsidRDefault="00787DBF"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PV</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PV,t</m:t>
                    </m:r>
                  </m:sub>
                </m:sSub>
              </m:oMath>
            </m:oMathPara>
          </w:p>
        </w:tc>
        <w:tc>
          <w:tcPr>
            <w:tcW w:w="616" w:type="dxa"/>
            <w:vAlign w:val="center"/>
          </w:tcPr>
          <w:p w14:paraId="7DE7D2BF" w14:textId="3055A272" w:rsidR="00FE013C" w:rsidRDefault="00FE013C" w:rsidP="004C16FF">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1</w:t>
            </w:r>
            <w:r w:rsidRPr="009C0925">
              <w:rPr>
                <w:color w:val="auto"/>
                <w:szCs w:val="24"/>
                <w:highlight w:val="yellow"/>
                <w:lang w:val="en-CA" w:eastAsia="en-CA"/>
              </w:rPr>
              <w:t>)</w:t>
            </w:r>
          </w:p>
        </w:tc>
      </w:tr>
      <w:tr w:rsidR="003A4B5D" w14:paraId="16B3DBCC" w14:textId="77777777" w:rsidTr="00246B4C">
        <w:tc>
          <w:tcPr>
            <w:tcW w:w="421" w:type="dxa"/>
          </w:tcPr>
          <w:p w14:paraId="61BCC342" w14:textId="77777777" w:rsidR="003A4B5D" w:rsidRPr="009C0925" w:rsidRDefault="003A4B5D" w:rsidP="000B7FFD">
            <w:pPr>
              <w:rPr>
                <w:color w:val="auto"/>
                <w:szCs w:val="24"/>
                <w:highlight w:val="yellow"/>
                <w:lang w:val="en-CA" w:eastAsia="en-CA"/>
              </w:rPr>
            </w:pPr>
          </w:p>
        </w:tc>
        <w:tc>
          <w:tcPr>
            <w:tcW w:w="7908" w:type="dxa"/>
          </w:tcPr>
          <w:p w14:paraId="219BA97F" w14:textId="12551703" w:rsidR="003A4B5D" w:rsidRPr="009C0925" w:rsidRDefault="00B07900"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wind</m:t>
                    </m:r>
                  </m:sub>
                </m:sSub>
                <m:r>
                  <w:rPr>
                    <w:rFonts w:ascii="Cambria Math" w:hAnsi="Cambria Math"/>
                    <w:color w:val="auto"/>
                    <w:szCs w:val="24"/>
                    <w:highlight w:val="yellow"/>
                  </w:rPr>
                  <m:t>C</m:t>
                </m:r>
                <m:sSub>
                  <m:sSubPr>
                    <m:ctrlPr>
                      <w:rPr>
                        <w:rFonts w:ascii="Cambria Math" w:hAnsi="Cambria Math"/>
                        <w:color w:val="auto"/>
                        <w:szCs w:val="24"/>
                        <w:highlight w:val="yellow"/>
                      </w:rPr>
                    </m:ctrlPr>
                  </m:sSubPr>
                  <m:e>
                    <m:r>
                      <w:rPr>
                        <w:rFonts w:ascii="Cambria Math" w:hAnsi="Cambria Math"/>
                        <w:color w:val="auto"/>
                        <w:szCs w:val="24"/>
                        <w:highlight w:val="yellow"/>
                      </w:rPr>
                      <m:t>F</m:t>
                    </m:r>
                  </m:e>
                  <m:sub>
                    <m:r>
                      <w:rPr>
                        <w:rFonts w:ascii="Cambria Math" w:hAnsi="Cambria Math"/>
                        <w:color w:val="auto"/>
                        <w:szCs w:val="24"/>
                        <w:highlight w:val="yellow"/>
                      </w:rPr>
                      <m:t>wind,t</m:t>
                    </m:r>
                  </m:sub>
                </m:sSub>
              </m:oMath>
            </m:oMathPara>
          </w:p>
        </w:tc>
        <w:tc>
          <w:tcPr>
            <w:tcW w:w="616" w:type="dxa"/>
          </w:tcPr>
          <w:p w14:paraId="6BC243E7" w14:textId="710A0B7D" w:rsidR="003A4B5D" w:rsidRDefault="003A4B5D" w:rsidP="000B7FFD">
            <w:pPr>
              <w:rPr>
                <w:color w:val="auto"/>
                <w:szCs w:val="24"/>
                <w:lang w:val="en-CA" w:eastAsia="en-CA"/>
              </w:rPr>
            </w:pPr>
            <w:r w:rsidRPr="009C0925">
              <w:rPr>
                <w:color w:val="auto"/>
                <w:szCs w:val="24"/>
                <w:highlight w:val="yellow"/>
                <w:lang w:val="en-CA" w:eastAsia="en-CA"/>
              </w:rPr>
              <w:t>(1</w:t>
            </w:r>
            <w:r w:rsidR="00D524ED">
              <w:rPr>
                <w:color w:val="auto"/>
                <w:szCs w:val="24"/>
                <w:highlight w:val="yellow"/>
                <w:lang w:val="en-CA" w:eastAsia="en-CA"/>
              </w:rPr>
              <w:t>2</w:t>
            </w:r>
            <w:r w:rsidRPr="009C0925">
              <w:rPr>
                <w:color w:val="auto"/>
                <w:szCs w:val="24"/>
                <w:highlight w:val="yellow"/>
                <w:lang w:val="en-CA" w:eastAsia="en-CA"/>
              </w:rPr>
              <w:t>)</w:t>
            </w:r>
          </w:p>
        </w:tc>
      </w:tr>
    </w:tbl>
    <w:p w14:paraId="56181588" w14:textId="55D86C76" w:rsidR="00FE013C" w:rsidRDefault="0027718E" w:rsidP="004C16FF">
      <w:pPr>
        <w:rPr>
          <w:b/>
          <w:bCs/>
          <w:color w:val="auto"/>
          <w:szCs w:val="24"/>
          <w:lang w:val="en-CA" w:eastAsia="en-CA"/>
        </w:rPr>
      </w:pPr>
      <w:r w:rsidRPr="00050446">
        <w:rPr>
          <w:b/>
          <w:bCs/>
          <w:color w:val="auto"/>
          <w:szCs w:val="24"/>
          <w:highlight w:val="yellow"/>
          <w:lang w:val="en-CA" w:eastAsia="en-CA"/>
        </w:rPr>
        <w:t>Grid Import/Export Limits</w:t>
      </w:r>
      <w:r w:rsidR="00FE013C"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FE013C" w14:paraId="3104FF9E" w14:textId="77777777" w:rsidTr="00C469F6">
        <w:tc>
          <w:tcPr>
            <w:tcW w:w="421" w:type="dxa"/>
          </w:tcPr>
          <w:p w14:paraId="74FEED8D" w14:textId="77777777" w:rsidR="00FE013C" w:rsidRDefault="00FE013C" w:rsidP="004C16FF">
            <w:pPr>
              <w:rPr>
                <w:color w:val="auto"/>
                <w:szCs w:val="24"/>
                <w:lang w:val="en-CA" w:eastAsia="en-CA"/>
              </w:rPr>
            </w:pPr>
          </w:p>
        </w:tc>
        <w:tc>
          <w:tcPr>
            <w:tcW w:w="7908" w:type="dxa"/>
          </w:tcPr>
          <w:p w14:paraId="72EC30AE" w14:textId="54BD108A" w:rsidR="00FE013C" w:rsidRPr="00DF6FAE" w:rsidRDefault="00450642" w:rsidP="004C16FF">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grid,exp</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grid,imp</m:t>
                    </m:r>
                  </m:sub>
                </m:sSub>
              </m:oMath>
            </m:oMathPara>
          </w:p>
        </w:tc>
        <w:tc>
          <w:tcPr>
            <w:tcW w:w="616" w:type="dxa"/>
            <w:vAlign w:val="center"/>
          </w:tcPr>
          <w:p w14:paraId="6A148A28" w14:textId="099D3FBD" w:rsidR="00FE013C" w:rsidRPr="00DF6FAE" w:rsidRDefault="00FE013C" w:rsidP="004C16FF">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3</w:t>
            </w:r>
            <w:r w:rsidRPr="00DF6FAE">
              <w:rPr>
                <w:color w:val="auto"/>
                <w:szCs w:val="24"/>
                <w:highlight w:val="yellow"/>
                <w:lang w:val="en-CA" w:eastAsia="en-CA"/>
              </w:rPr>
              <w:t>)</w:t>
            </w:r>
          </w:p>
        </w:tc>
      </w:tr>
    </w:tbl>
    <w:p w14:paraId="2AC0B359" w14:textId="306242ED" w:rsidR="00C469F6" w:rsidRDefault="001B3BFE" w:rsidP="00C469F6">
      <w:pPr>
        <w:rPr>
          <w:b/>
          <w:bCs/>
          <w:color w:val="auto"/>
          <w:szCs w:val="24"/>
          <w:lang w:val="en-CA" w:eastAsia="en-CA"/>
        </w:rPr>
      </w:pPr>
      <w:r>
        <w:rPr>
          <w:b/>
          <w:bCs/>
          <w:color w:val="auto"/>
          <w:szCs w:val="24"/>
          <w:highlight w:val="yellow"/>
          <w:lang w:val="en-CA" w:eastAsia="en-CA"/>
        </w:rPr>
        <w:t>Backup-Generation Limits</w:t>
      </w:r>
      <w:r w:rsidR="00C469F6" w:rsidRPr="00050446">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469F6" w14:paraId="66EDAF75" w14:textId="77777777" w:rsidTr="009D1777">
        <w:tc>
          <w:tcPr>
            <w:tcW w:w="421" w:type="dxa"/>
          </w:tcPr>
          <w:p w14:paraId="3DAD372C" w14:textId="77777777" w:rsidR="00C469F6" w:rsidRDefault="00C469F6" w:rsidP="000B7FFD">
            <w:pPr>
              <w:rPr>
                <w:color w:val="auto"/>
                <w:szCs w:val="24"/>
                <w:lang w:val="en-CA" w:eastAsia="en-CA"/>
              </w:rPr>
            </w:pPr>
          </w:p>
        </w:tc>
        <w:tc>
          <w:tcPr>
            <w:tcW w:w="7908" w:type="dxa"/>
          </w:tcPr>
          <w:p w14:paraId="392A64A8" w14:textId="3C5D25F8" w:rsidR="00C469F6" w:rsidRPr="00DF6FAE" w:rsidRDefault="00A746D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0≤</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m:t>
                    </m:r>
                  </m:sub>
                </m:sSub>
              </m:oMath>
            </m:oMathPara>
          </w:p>
        </w:tc>
        <w:tc>
          <w:tcPr>
            <w:tcW w:w="616" w:type="dxa"/>
            <w:vAlign w:val="center"/>
          </w:tcPr>
          <w:p w14:paraId="2A645A6C" w14:textId="326131B6" w:rsidR="00C469F6" w:rsidRPr="00DF6FAE" w:rsidRDefault="00C469F6" w:rsidP="000B7FFD">
            <w:pPr>
              <w:rPr>
                <w:color w:val="auto"/>
                <w:szCs w:val="24"/>
                <w:highlight w:val="yellow"/>
                <w:lang w:val="en-CA" w:eastAsia="en-CA"/>
              </w:rPr>
            </w:pPr>
            <w:r w:rsidRPr="00DF6FAE">
              <w:rPr>
                <w:color w:val="auto"/>
                <w:szCs w:val="24"/>
                <w:highlight w:val="yellow"/>
                <w:lang w:val="en-CA" w:eastAsia="en-CA"/>
              </w:rPr>
              <w:t>(1</w:t>
            </w:r>
            <w:r w:rsidR="00D524ED">
              <w:rPr>
                <w:color w:val="auto"/>
                <w:szCs w:val="24"/>
                <w:highlight w:val="yellow"/>
                <w:lang w:val="en-CA" w:eastAsia="en-CA"/>
              </w:rPr>
              <w:t>4</w:t>
            </w:r>
            <w:r w:rsidRPr="00DF6FAE">
              <w:rPr>
                <w:color w:val="auto"/>
                <w:szCs w:val="24"/>
                <w:highlight w:val="yellow"/>
                <w:lang w:val="en-CA" w:eastAsia="en-CA"/>
              </w:rPr>
              <w:t>)</w:t>
            </w:r>
          </w:p>
        </w:tc>
      </w:tr>
    </w:tbl>
    <w:p w14:paraId="303E347A" w14:textId="41B48433" w:rsidR="009D1777" w:rsidRPr="00727E3B" w:rsidRDefault="0023740C" w:rsidP="009D1777">
      <w:pPr>
        <w:rPr>
          <w:b/>
          <w:bCs/>
          <w:color w:val="auto"/>
          <w:szCs w:val="24"/>
          <w:highlight w:val="yellow"/>
          <w:lang w:val="en-CA" w:eastAsia="en-CA"/>
        </w:rPr>
      </w:pPr>
      <w:r w:rsidRPr="00727E3B">
        <w:rPr>
          <w:b/>
          <w:bCs/>
          <w:color w:val="auto"/>
          <w:szCs w:val="24"/>
          <w:highlight w:val="yellow"/>
          <w:lang w:val="en-CA" w:eastAsia="en-CA"/>
        </w:rPr>
        <w:t>Reliability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6815963C" w14:textId="77777777" w:rsidTr="009D1777">
        <w:tc>
          <w:tcPr>
            <w:tcW w:w="421" w:type="dxa"/>
          </w:tcPr>
          <w:p w14:paraId="5D7001AA" w14:textId="77777777" w:rsidR="009D1777" w:rsidRPr="00727E3B" w:rsidRDefault="009D1777" w:rsidP="000B7FFD">
            <w:pPr>
              <w:rPr>
                <w:color w:val="auto"/>
                <w:szCs w:val="24"/>
                <w:highlight w:val="yellow"/>
                <w:lang w:val="en-CA" w:eastAsia="en-CA"/>
              </w:rPr>
            </w:pPr>
          </w:p>
        </w:tc>
        <w:tc>
          <w:tcPr>
            <w:tcW w:w="7908" w:type="dxa"/>
          </w:tcPr>
          <w:p w14:paraId="2CFCAC54" w14:textId="351B9292" w:rsidR="009D1777" w:rsidRPr="00727E3B" w:rsidRDefault="002445F9"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LOLE≤0.876</m:t>
                </m:r>
                <m:r>
                  <m:rPr>
                    <m:nor/>
                  </m:rPr>
                  <w:rPr>
                    <w:rFonts w:ascii="Cambria Math" w:hAnsi="Cambria Math"/>
                    <w:color w:val="auto"/>
                    <w:szCs w:val="24"/>
                    <w:highlight w:val="yellow"/>
                  </w:rPr>
                  <m:t> h/year</m:t>
                </m:r>
              </m:oMath>
            </m:oMathPara>
          </w:p>
        </w:tc>
        <w:tc>
          <w:tcPr>
            <w:tcW w:w="616" w:type="dxa"/>
            <w:vAlign w:val="center"/>
          </w:tcPr>
          <w:p w14:paraId="746BD69F" w14:textId="491264C0"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5</w:t>
            </w:r>
            <w:r w:rsidRPr="00727E3B">
              <w:rPr>
                <w:color w:val="auto"/>
                <w:szCs w:val="24"/>
                <w:highlight w:val="yellow"/>
                <w:lang w:val="en-CA" w:eastAsia="en-CA"/>
              </w:rPr>
              <w:t>)</w:t>
            </w:r>
          </w:p>
        </w:tc>
      </w:tr>
    </w:tbl>
    <w:p w14:paraId="6D096A00" w14:textId="2B896E52" w:rsidR="009D1777" w:rsidRPr="00727E3B" w:rsidRDefault="00000154" w:rsidP="009D1777">
      <w:pPr>
        <w:rPr>
          <w:b/>
          <w:bCs/>
          <w:color w:val="auto"/>
          <w:szCs w:val="24"/>
          <w:highlight w:val="yellow"/>
          <w:lang w:val="en-CA" w:eastAsia="en-CA"/>
        </w:rPr>
      </w:pPr>
      <w:r w:rsidRPr="00727E3B">
        <w:rPr>
          <w:b/>
          <w:bCs/>
          <w:color w:val="auto"/>
          <w:szCs w:val="24"/>
          <w:highlight w:val="yellow"/>
          <w:lang w:val="en-CA" w:eastAsia="en-CA"/>
        </w:rPr>
        <w:t xml:space="preserve">Cyclic End-State </w:t>
      </w:r>
      <w:r w:rsidR="0016087D" w:rsidRPr="00727E3B">
        <w:rPr>
          <w:b/>
          <w:bCs/>
          <w:color w:val="auto"/>
          <w:szCs w:val="24"/>
          <w:highlight w:val="yellow"/>
          <w:lang w:val="en-CA" w:eastAsia="en-CA"/>
        </w:rPr>
        <w:t>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rsidRPr="00727E3B" w14:paraId="06EF487A" w14:textId="77777777" w:rsidTr="009D1777">
        <w:tc>
          <w:tcPr>
            <w:tcW w:w="421" w:type="dxa"/>
          </w:tcPr>
          <w:p w14:paraId="1D346788" w14:textId="77777777" w:rsidR="009D1777" w:rsidRPr="00727E3B" w:rsidRDefault="009D1777" w:rsidP="000B7FFD">
            <w:pPr>
              <w:rPr>
                <w:color w:val="auto"/>
                <w:szCs w:val="24"/>
                <w:highlight w:val="yellow"/>
                <w:lang w:val="en-CA" w:eastAsia="en-CA"/>
              </w:rPr>
            </w:pPr>
          </w:p>
        </w:tc>
        <w:tc>
          <w:tcPr>
            <w:tcW w:w="7908" w:type="dxa"/>
          </w:tcPr>
          <w:p w14:paraId="7E7484AD" w14:textId="4512CD0C" w:rsidR="009D1777" w:rsidRPr="00727E3B" w:rsidRDefault="001F01F2" w:rsidP="000B7FFD">
            <w:pPr>
              <w:rPr>
                <w:rFonts w:asciiTheme="majorBidi" w:hAnsiTheme="majorBidi" w:cstheme="majorBidi"/>
                <w:color w:val="auto"/>
                <w:sz w:val="22"/>
                <w:szCs w:val="22"/>
                <w:highlight w:val="yellow"/>
                <w:lang w:val="en-CA" w:eastAsia="en-CA"/>
              </w:rPr>
            </w:pPr>
            <m:oMathPara>
              <m:oMath>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T</m:t>
                    </m:r>
                  </m:sub>
                </m:sSub>
                <m:r>
                  <w:rPr>
                    <w:rFonts w:ascii="Cambria Math" w:hAnsi="Cambria Math"/>
                    <w:color w:val="auto"/>
                    <w:szCs w:val="24"/>
                    <w:highlight w:val="yellow"/>
                  </w:rPr>
                  <m:t>=SO</m:t>
                </m:r>
                <m:sSub>
                  <m:sSubPr>
                    <m:ctrlPr>
                      <w:rPr>
                        <w:rFonts w:ascii="Cambria Math" w:hAnsi="Cambria Math"/>
                        <w:color w:val="auto"/>
                        <w:szCs w:val="24"/>
                        <w:highlight w:val="yellow"/>
                      </w:rPr>
                    </m:ctrlPr>
                  </m:sSubPr>
                  <m:e>
                    <m:r>
                      <w:rPr>
                        <w:rFonts w:ascii="Cambria Math" w:hAnsi="Cambria Math"/>
                        <w:color w:val="auto"/>
                        <w:szCs w:val="24"/>
                        <w:highlight w:val="yellow"/>
                      </w:rPr>
                      <m:t>C</m:t>
                    </m:r>
                  </m:e>
                  <m:sub>
                    <m:r>
                      <w:rPr>
                        <w:rFonts w:ascii="Cambria Math" w:hAnsi="Cambria Math"/>
                        <w:color w:val="auto"/>
                        <w:szCs w:val="24"/>
                        <w:highlight w:val="yellow"/>
                      </w:rPr>
                      <m:t>1</m:t>
                    </m:r>
                  </m:sub>
                </m:sSub>
              </m:oMath>
            </m:oMathPara>
          </w:p>
        </w:tc>
        <w:tc>
          <w:tcPr>
            <w:tcW w:w="616" w:type="dxa"/>
            <w:vAlign w:val="center"/>
          </w:tcPr>
          <w:p w14:paraId="5712CA7F" w14:textId="7B725F29"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6</w:t>
            </w:r>
            <w:r w:rsidRPr="00727E3B">
              <w:rPr>
                <w:color w:val="auto"/>
                <w:szCs w:val="24"/>
                <w:highlight w:val="yellow"/>
                <w:lang w:val="en-CA" w:eastAsia="en-CA"/>
              </w:rPr>
              <w:t>)</w:t>
            </w:r>
          </w:p>
        </w:tc>
      </w:tr>
    </w:tbl>
    <w:p w14:paraId="6CF96D39" w14:textId="41371520" w:rsidR="009D1777" w:rsidRPr="00727E3B" w:rsidRDefault="0016087D" w:rsidP="009D1777">
      <w:pPr>
        <w:rPr>
          <w:b/>
          <w:bCs/>
          <w:color w:val="auto"/>
          <w:szCs w:val="24"/>
          <w:highlight w:val="yellow"/>
          <w:lang w:val="en-CA" w:eastAsia="en-CA"/>
        </w:rPr>
      </w:pPr>
      <w:r w:rsidRPr="00727E3B">
        <w:rPr>
          <w:b/>
          <w:bCs/>
          <w:color w:val="auto"/>
          <w:szCs w:val="24"/>
          <w:highlight w:val="yellow"/>
          <w:lang w:val="en-CA" w:eastAsia="en-CA"/>
        </w:rPr>
        <w:t>Optional Emissions Constraint</w:t>
      </w:r>
      <w:r w:rsidR="009D1777" w:rsidRPr="00727E3B">
        <w:rPr>
          <w:b/>
          <w:bCs/>
          <w:color w:val="auto"/>
          <w:szCs w:val="24"/>
          <w:highlight w:val="yellow"/>
          <w:lang w:val="en-CA" w:eastAsia="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9D1777" w14:paraId="5C1D77AD" w14:textId="77777777" w:rsidTr="007732EC">
        <w:tc>
          <w:tcPr>
            <w:tcW w:w="421" w:type="dxa"/>
          </w:tcPr>
          <w:p w14:paraId="37E014A0" w14:textId="77777777" w:rsidR="009D1777" w:rsidRPr="00727E3B" w:rsidRDefault="009D1777" w:rsidP="000B7FFD">
            <w:pPr>
              <w:rPr>
                <w:color w:val="auto"/>
                <w:szCs w:val="24"/>
                <w:highlight w:val="yellow"/>
                <w:lang w:val="en-CA" w:eastAsia="en-CA"/>
              </w:rPr>
            </w:pPr>
          </w:p>
        </w:tc>
        <w:tc>
          <w:tcPr>
            <w:tcW w:w="7908" w:type="dxa"/>
          </w:tcPr>
          <w:p w14:paraId="2A840DC7" w14:textId="52B69279" w:rsidR="009D1777" w:rsidRPr="00727E3B" w:rsidRDefault="00000000" w:rsidP="000B7FFD">
            <w:pPr>
              <w:rPr>
                <w:rFonts w:asciiTheme="majorBidi" w:hAnsiTheme="majorBidi" w:cstheme="majorBidi"/>
                <w:color w:val="auto"/>
                <w:sz w:val="22"/>
                <w:szCs w:val="22"/>
                <w:highlight w:val="yellow"/>
                <w:lang w:val="en-CA" w:eastAsia="en-CA"/>
              </w:rPr>
            </w:pPr>
            <m:oMathPara>
              <m:oMath>
                <m:nary>
                  <m:naryPr>
                    <m:chr m:val="∑"/>
                    <m:limLoc m:val="undOvr"/>
                    <m:subHide m:val="1"/>
                    <m:supHide m:val="1"/>
                    <m:ctrlPr>
                      <w:rPr>
                        <w:rFonts w:ascii="Cambria Math" w:hAnsi="Cambria Math"/>
                        <w:color w:val="auto"/>
                        <w:szCs w:val="24"/>
                        <w:highlight w:val="yellow"/>
                      </w:rPr>
                    </m:ctrlPr>
                  </m:naryPr>
                  <m:sub/>
                  <m:sup/>
                  <m:e>
                    <m:sSubSup>
                      <m:sSubSupPr>
                        <m:ctrlPr>
                          <w:rPr>
                            <w:rFonts w:ascii="Cambria Math" w:hAnsi="Cambria Math"/>
                            <w:color w:val="auto"/>
                            <w:szCs w:val="24"/>
                            <w:highlight w:val="yellow"/>
                          </w:rPr>
                        </m:ctrlPr>
                      </m:sSubSupPr>
                      <m:e>
                        <m:r>
                          <w:rPr>
                            <w:rFonts w:ascii="Cambria Math" w:hAnsi="Cambria Math"/>
                            <w:color w:val="auto"/>
                            <w:szCs w:val="24"/>
                            <w:highlight w:val="yellow"/>
                          </w:rPr>
                          <m:t>C</m:t>
                        </m:r>
                      </m:e>
                      <m:sub>
                        <m:r>
                          <w:rPr>
                            <w:rFonts w:ascii="Cambria Math" w:hAnsi="Cambria Math"/>
                            <w:color w:val="auto"/>
                            <w:szCs w:val="24"/>
                            <w:highlight w:val="yellow"/>
                          </w:rPr>
                          <m:t>I</m:t>
                        </m:r>
                      </m:sub>
                      <m:sup>
                        <m:r>
                          <w:rPr>
                            <w:rFonts w:ascii="Cambria Math" w:hAnsi="Cambria Math"/>
                            <w:color w:val="auto"/>
                            <w:szCs w:val="24"/>
                            <w:highlight w:val="yellow"/>
                          </w:rPr>
                          <m:t>t</m:t>
                        </m:r>
                      </m:sup>
                    </m:sSubSup>
                  </m:e>
                </m:nary>
                <m:d>
                  <m:dPr>
                    <m:ctrlPr>
                      <w:rPr>
                        <w:rFonts w:ascii="Cambria Math" w:hAnsi="Cambria Math"/>
                        <w:color w:val="auto"/>
                        <w:szCs w:val="24"/>
                        <w:highlight w:val="yellow"/>
                      </w:rPr>
                    </m:ctrlPr>
                  </m:dPr>
                  <m:e>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grid,t</m:t>
                        </m:r>
                      </m:sub>
                    </m:sSub>
                    <m:r>
                      <w:rPr>
                        <w:rFonts w:ascii="Cambria Math" w:hAnsi="Cambria Math"/>
                        <w:color w:val="auto"/>
                        <w:szCs w:val="24"/>
                        <w:highlight w:val="yellow"/>
                      </w:rPr>
                      <m:t>+</m:t>
                    </m:r>
                    <m:sSub>
                      <m:sSubPr>
                        <m:ctrlPr>
                          <w:rPr>
                            <w:rFonts w:ascii="Cambria Math" w:hAnsi="Cambria Math"/>
                            <w:color w:val="auto"/>
                            <w:szCs w:val="24"/>
                            <w:highlight w:val="yellow"/>
                          </w:rPr>
                        </m:ctrlPr>
                      </m:sSubPr>
                      <m:e>
                        <m:r>
                          <w:rPr>
                            <w:rFonts w:ascii="Cambria Math" w:hAnsi="Cambria Math"/>
                            <w:color w:val="auto"/>
                            <w:szCs w:val="24"/>
                            <w:highlight w:val="yellow"/>
                          </w:rPr>
                          <m:t>P</m:t>
                        </m:r>
                      </m:e>
                      <m:sub>
                        <m:r>
                          <w:rPr>
                            <w:rFonts w:ascii="Cambria Math" w:hAnsi="Cambria Math"/>
                            <w:color w:val="auto"/>
                            <w:szCs w:val="24"/>
                            <w:highlight w:val="yellow"/>
                          </w:rPr>
                          <m:t>backup,t</m:t>
                        </m:r>
                      </m:sub>
                    </m:sSub>
                  </m:e>
                </m:d>
                <m:r>
                  <m:rPr>
                    <m:sty m:val="p"/>
                  </m:rPr>
                  <w:rPr>
                    <w:rFonts w:ascii="Cambria Math" w:hAnsi="Cambria Math"/>
                    <w:color w:val="auto"/>
                    <w:szCs w:val="24"/>
                    <w:highlight w:val="yellow"/>
                  </w:rPr>
                  <m:t>Δ</m:t>
                </m:r>
                <m:r>
                  <w:rPr>
                    <w:rFonts w:ascii="Cambria Math" w:hAnsi="Cambria Math"/>
                    <w:color w:val="auto"/>
                    <w:szCs w:val="24"/>
                    <w:highlight w:val="yellow"/>
                  </w:rPr>
                  <m:t>t≤C</m:t>
                </m:r>
                <m:sSubSup>
                  <m:sSubSupPr>
                    <m:ctrlPr>
                      <w:rPr>
                        <w:rFonts w:ascii="Cambria Math" w:hAnsi="Cambria Math"/>
                        <w:color w:val="auto"/>
                        <w:szCs w:val="24"/>
                        <w:highlight w:val="yellow"/>
                      </w:rPr>
                    </m:ctrlPr>
                  </m:sSubSupPr>
                  <m:e>
                    <m:r>
                      <w:rPr>
                        <w:rFonts w:ascii="Cambria Math" w:hAnsi="Cambria Math"/>
                        <w:color w:val="auto"/>
                        <w:szCs w:val="24"/>
                        <w:highlight w:val="yellow"/>
                      </w:rPr>
                      <m:t>O</m:t>
                    </m:r>
                  </m:e>
                  <m:sub>
                    <m:r>
                      <w:rPr>
                        <w:rFonts w:ascii="Cambria Math" w:hAnsi="Cambria Math"/>
                        <w:color w:val="auto"/>
                        <w:szCs w:val="24"/>
                        <w:highlight w:val="yellow"/>
                      </w:rPr>
                      <m:t>2</m:t>
                    </m:r>
                  </m:sub>
                  <m:sup>
                    <m:r>
                      <w:rPr>
                        <w:rFonts w:ascii="Cambria Math" w:hAnsi="Cambria Math"/>
                        <w:color w:val="auto"/>
                        <w:szCs w:val="24"/>
                        <w:highlight w:val="yellow"/>
                      </w:rPr>
                      <m:t>target</m:t>
                    </m:r>
                  </m:sup>
                </m:sSubSup>
              </m:oMath>
            </m:oMathPara>
          </w:p>
        </w:tc>
        <w:tc>
          <w:tcPr>
            <w:tcW w:w="616" w:type="dxa"/>
            <w:vAlign w:val="center"/>
          </w:tcPr>
          <w:p w14:paraId="271141FE" w14:textId="0658BA12" w:rsidR="009D1777" w:rsidRPr="00727E3B" w:rsidRDefault="009D1777" w:rsidP="000B7FFD">
            <w:pPr>
              <w:rPr>
                <w:color w:val="auto"/>
                <w:szCs w:val="24"/>
                <w:highlight w:val="yellow"/>
                <w:lang w:val="en-CA" w:eastAsia="en-CA"/>
              </w:rPr>
            </w:pPr>
            <w:r w:rsidRPr="00727E3B">
              <w:rPr>
                <w:color w:val="auto"/>
                <w:szCs w:val="24"/>
                <w:highlight w:val="yellow"/>
                <w:lang w:val="en-CA" w:eastAsia="en-CA"/>
              </w:rPr>
              <w:t>(1</w:t>
            </w:r>
            <w:r w:rsidR="00D524ED">
              <w:rPr>
                <w:color w:val="auto"/>
                <w:szCs w:val="24"/>
                <w:highlight w:val="yellow"/>
                <w:lang w:val="en-CA" w:eastAsia="en-CA"/>
              </w:rPr>
              <w:t>7</w:t>
            </w:r>
            <w:r w:rsidRPr="00727E3B">
              <w:rPr>
                <w:color w:val="auto"/>
                <w:szCs w:val="24"/>
                <w:highlight w:val="yellow"/>
                <w:lang w:val="en-CA" w:eastAsia="en-CA"/>
              </w:rPr>
              <w:t>)</w:t>
            </w:r>
          </w:p>
        </w:tc>
      </w:tr>
    </w:tbl>
    <w:p w14:paraId="509261BF" w14:textId="5504B830" w:rsidR="007732EC" w:rsidRPr="00B56231" w:rsidRDefault="007732EC" w:rsidP="00510910">
      <w:pPr>
        <w:spacing w:after="120"/>
        <w:ind w:firstLine="480"/>
      </w:pPr>
      <w:r w:rsidRPr="00510910">
        <w:rPr>
          <w:highlight w:val="yellow"/>
        </w:rPr>
        <w:t>Deterministic, probabilistic, and optimization-based approaches serve different planning purposes. Deterministic sizing estimates storage requirements under specified deficit conditions and may be appropriate where conservative margins are required. Probabilistic methods quantify supply inadequacy against a stated reliability criterion, while optimization-based methods jointly consider capital cost, operating cost, emissions, and physical constraints. Each approach requires transparent input data, assumptions, formulation, time resolution, solver information where applicable, and validation procedures. This review does not claim a universal storage reduction or a site-specific Pareto-optimal configuration.</w:t>
      </w:r>
      <w:r w:rsidR="00510910" w:rsidRPr="00510910">
        <w:rPr>
          <w:highlight w:val="yellow"/>
        </w:rPr>
        <w:t xml:space="preserve"> </w:t>
      </w:r>
      <w:r w:rsidR="00510910" w:rsidRPr="00510910">
        <w:rPr>
          <w:highlight w:val="yellow"/>
        </w:rPr>
        <w:fldChar w:fldCharType="begin"/>
      </w:r>
      <w:r w:rsidR="00510910" w:rsidRPr="00510910">
        <w:rPr>
          <w:highlight w:val="yellow"/>
        </w:rPr>
        <w:instrText xml:space="preserve"> REF _Ref239529506 \h </w:instrText>
      </w:r>
      <w:r w:rsidR="00510910" w:rsidRPr="00510910">
        <w:rPr>
          <w:highlight w:val="yellow"/>
        </w:rPr>
      </w:r>
      <w:r w:rsidR="00510910">
        <w:rPr>
          <w:highlight w:val="yellow"/>
        </w:rPr>
        <w:instrText xml:space="preserve"> \* MERGEFORMAT </w:instrText>
      </w:r>
      <w:r w:rsidR="00510910" w:rsidRPr="00510910">
        <w:rPr>
          <w:highlight w:val="yellow"/>
        </w:rPr>
        <w:fldChar w:fldCharType="separate"/>
      </w:r>
      <w:r w:rsidR="00510910" w:rsidRPr="00510910">
        <w:rPr>
          <w:highlight w:val="yellow"/>
        </w:rPr>
        <w:t xml:space="preserve">Figure </w:t>
      </w:r>
      <w:r w:rsidR="00510910" w:rsidRPr="00510910">
        <w:rPr>
          <w:noProof/>
          <w:highlight w:val="yellow"/>
        </w:rPr>
        <w:t>6</w:t>
      </w:r>
      <w:r w:rsidR="00510910" w:rsidRPr="00510910">
        <w:rPr>
          <w:highlight w:val="yellow"/>
        </w:rPr>
        <w:t xml:space="preserve"> Energy storage technology landscape: duration vs. cost trade-offs</w:t>
      </w:r>
      <w:r w:rsidR="00510910" w:rsidRPr="00510910">
        <w:rPr>
          <w:highlight w:val="yellow"/>
        </w:rPr>
        <w:fldChar w:fldCharType="end"/>
      </w:r>
      <w:r w:rsidR="00510910" w:rsidRPr="00510910">
        <w:rPr>
          <w:highlight w:val="yellow"/>
        </w:rPr>
        <w:t xml:space="preserve">, </w:t>
      </w:r>
      <w:r w:rsidR="00510910" w:rsidRPr="00510910">
        <w:rPr>
          <w:highlight w:val="yellow"/>
        </w:rPr>
        <w:t>summarizes the principal trade-off between storage duration, technology characteristics, and relative cost, illustrating why different storage technologies are suited to different operational timescales rather than representing interchangeable alternatives.</w:t>
      </w:r>
    </w:p>
    <w:p w14:paraId="7EED3019" w14:textId="34CF6C19" w:rsidR="00FE013C" w:rsidRDefault="00FE013C" w:rsidP="00FC3188">
      <w:pPr>
        <w:keepNext/>
        <w:spacing w:after="120"/>
        <w:jc w:val="center"/>
      </w:pPr>
      <w:r w:rsidRPr="00582570">
        <w:rPr>
          <w:noProof/>
          <w:lang w:val="en-CA"/>
        </w:rPr>
        <w:drawing>
          <wp:inline distT="0" distB="0" distL="0" distR="0" wp14:anchorId="30D28A52" wp14:editId="3DCC70FB">
            <wp:extent cx="5537835" cy="3016250"/>
            <wp:effectExtent l="0" t="0" r="5715" b="0"/>
            <wp:docPr id="130172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23768"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317" b="8983"/>
                    <a:stretch>
                      <a:fillRect/>
                    </a:stretch>
                  </pic:blipFill>
                  <pic:spPr bwMode="auto">
                    <a:xfrm>
                      <a:off x="0" y="0"/>
                      <a:ext cx="5539079" cy="3016928"/>
                    </a:xfrm>
                    <a:prstGeom prst="rect">
                      <a:avLst/>
                    </a:prstGeom>
                    <a:noFill/>
                    <a:ln>
                      <a:noFill/>
                    </a:ln>
                    <a:extLst>
                      <a:ext uri="{53640926-AAD7-44D8-BBD7-CCE9431645EC}">
                        <a14:shadowObscured xmlns:a14="http://schemas.microsoft.com/office/drawing/2010/main"/>
                      </a:ext>
                    </a:extLst>
                  </pic:spPr>
                </pic:pic>
              </a:graphicData>
            </a:graphic>
          </wp:inline>
        </w:drawing>
      </w:r>
    </w:p>
    <w:p w14:paraId="6C5B3953" w14:textId="175FD557" w:rsidR="00FE013C" w:rsidRDefault="00FE013C" w:rsidP="00FC3188">
      <w:pPr>
        <w:pStyle w:val="Caption"/>
        <w:jc w:val="center"/>
      </w:pPr>
      <w:bookmarkStart w:id="12" w:name="_Ref239529506"/>
      <w:r w:rsidRPr="00BA3D74">
        <w:rPr>
          <w:highlight w:val="yellow"/>
        </w:rPr>
        <w:t xml:space="preserve">Figure </w:t>
      </w:r>
      <w:r w:rsidRPr="00BA3D74">
        <w:rPr>
          <w:highlight w:val="yellow"/>
        </w:rPr>
        <w:fldChar w:fldCharType="begin"/>
      </w:r>
      <w:r w:rsidRPr="00BA3D74">
        <w:rPr>
          <w:highlight w:val="yellow"/>
        </w:rPr>
        <w:instrText xml:space="preserve"> SEQ Figure \* ARABIC </w:instrText>
      </w:r>
      <w:r w:rsidRPr="00BA3D74">
        <w:rPr>
          <w:highlight w:val="yellow"/>
        </w:rPr>
        <w:fldChar w:fldCharType="separate"/>
      </w:r>
      <w:r w:rsidR="00807110" w:rsidRPr="00BA3D74">
        <w:rPr>
          <w:noProof/>
          <w:highlight w:val="yellow"/>
        </w:rPr>
        <w:t>6</w:t>
      </w:r>
      <w:r w:rsidRPr="00BA3D74">
        <w:rPr>
          <w:noProof/>
          <w:highlight w:val="yellow"/>
        </w:rPr>
        <w:fldChar w:fldCharType="end"/>
      </w:r>
      <w:r w:rsidRPr="00BA3D74">
        <w:rPr>
          <w:highlight w:val="yellow"/>
        </w:rPr>
        <w:t xml:space="preserve"> Energy storage technology landscape: duration vs. cost trade-offs</w:t>
      </w:r>
      <w:bookmarkEnd w:id="12"/>
    </w:p>
    <w:p w14:paraId="02B303F1" w14:textId="77777777" w:rsidR="00FE013C" w:rsidRDefault="00FE013C" w:rsidP="004C16FF">
      <w:pPr>
        <w:pStyle w:val="Heading20"/>
        <w:jc w:val="both"/>
        <w:rPr>
          <w:color w:val="auto"/>
        </w:rPr>
      </w:pPr>
      <w:r>
        <w:rPr>
          <w:color w:val="auto"/>
        </w:rPr>
        <w:t>5.4. Hybrid Backup Power Systems</w:t>
      </w:r>
    </w:p>
    <w:p w14:paraId="28AADF7D" w14:textId="7F9F099E" w:rsidR="00FE013C" w:rsidRPr="00EE0471" w:rsidRDefault="00FE013C" w:rsidP="00A95675">
      <w:pPr>
        <w:spacing w:after="120"/>
        <w:ind w:firstLine="480"/>
      </w:pPr>
      <w:r w:rsidRPr="00EE0471">
        <w:lastRenderedPageBreak/>
        <w:t>Choosing a technology for backup power means balancing reliability, cost, emissions, and fuel logistics. Despite the declining economic viability of fossil fuels and the drive to reduce carbon emissions, diesel generators are the most widely adopted backup solution, with capital costs between $300 to $600 per kW, a track record of reliability, and well-established fuel supply chains. However, diesel generators generate substantial air pollutants (NOx, PM2.5) and CO</w:t>
      </w:r>
      <w:r w:rsidRPr="00ED5900">
        <w:rPr>
          <w:vertAlign w:val="subscript"/>
        </w:rPr>
        <w:t>2</w:t>
      </w:r>
      <w:r w:rsidRPr="00EE0471">
        <w:t xml:space="preserve"> emissions locally, which conflicts with corporate sustainability objectives</w:t>
      </w:r>
      <w:r>
        <w:fldChar w:fldCharType="begin"/>
      </w:r>
      <w:r w:rsidR="00A95675">
        <w:instrText xml:space="preserve"> ADDIN ZOTERO_ITEM CSL_CITATION {"citationID":"y7cVLr5U","properties":{"unsorted":false,"formattedCitation":"[124]","plainCitation":"[124]","noteIndex":0},"citationItems":[{"id":2079,"uris":["http://zotero.org/users/9870935/items/NE8T8CB2"],"itemData":{"id":2079,"type":"article-journal","container-title":"Carbon Capture Science &amp; Technology","DOI":"10.1016/j.ccst.2025.100379","ISSN":"27726568","journalAbbreviation":"Carbon Capture Science &amp; Technology","language":"en","page":"100379","source":"DOI.org (Crossref)","title":"Emission control and carbon capture from diesel generators and engines: A decade-long perspective","title-short":"Emission control and carbon capture from diesel generators and engines","volume":"14","author":[{"family":"Babamohammadi","given":"Shervan"},{"family":"Birss","given":"Amy R"},{"family":"Pouran","given":"Hamid"},{"family":"Pandhal","given":"Jagroop"},{"family":"Borhani","given":"Tohid N."}],"issued":{"date-parts":[["2025",3]]}}}],"schema":"https://github.com/citation-style-language/schema/raw/master/csl-citation.json"} </w:instrText>
      </w:r>
      <w:r>
        <w:fldChar w:fldCharType="separate"/>
      </w:r>
      <w:r w:rsidR="00A95675" w:rsidRPr="00A95675">
        <w:t>[124]</w:t>
      </w:r>
      <w:r>
        <w:fldChar w:fldCharType="end"/>
      </w:r>
      <w:r w:rsidRPr="00EE0471">
        <w:t xml:space="preserve">. Typical diesel generator installations for a 100 MW data </w:t>
      </w:r>
      <w:r w:rsidR="00580BAE">
        <w:t>center</w:t>
      </w:r>
      <w:r w:rsidRPr="00EE0471">
        <w:t xml:space="preserve"> with N+1 redundancy are about 20 to 30 MW, with 24 to 72 hours of fuel storage to operate at full load.</w:t>
      </w:r>
    </w:p>
    <w:p w14:paraId="3E4C74F6" w14:textId="2E2D6597" w:rsidR="00FE013C" w:rsidRPr="00EE0471" w:rsidRDefault="00FE013C" w:rsidP="00A95675">
      <w:pPr>
        <w:spacing w:after="120"/>
        <w:ind w:firstLine="480"/>
      </w:pPr>
      <w:r w:rsidRPr="00EE0471">
        <w:t>Natural gas generators produce lower emissions than diesel. CO</w:t>
      </w:r>
      <w:r w:rsidRPr="004A0F17">
        <w:rPr>
          <w:vertAlign w:val="subscript"/>
        </w:rPr>
        <w:t>2</w:t>
      </w:r>
      <w:r w:rsidRPr="00EE0471">
        <w:t xml:space="preserve"> emissions are approximately 20–30</w:t>
      </w:r>
      <w:r>
        <w:t xml:space="preserve">% </w:t>
      </w:r>
      <w:r w:rsidRPr="00EE0471">
        <w:t>lower per kWh, and the local air quality impact is much lower. Capital costs are similar to those of diesel ($350 - $650/kW), but the reliability of the fuel supply is dependent on the natural gas pipeline infrastructure, which might be vulnerable during extreme weather events</w:t>
      </w:r>
      <w:r>
        <w:fldChar w:fldCharType="begin"/>
      </w:r>
      <w:r w:rsidR="00A95675">
        <w:instrText xml:space="preserve"> ADDIN ZOTERO_ITEM CSL_CITATION {"citationID":"KkWqXrYg","properties":{"unsorted":false,"formattedCitation":"[125]","plainCitation":"[125]","noteIndex":0},"citationItems":[{"id":2080,"uris":["http://zotero.org/users/9870935/items/WJJ79X93"],"itemData":{"id":2080,"type":"article-journal","container-title":"Energy Reports","DOI":"10.1016/j.egyr.2026.109178","ISSN":"23524847","journalAbbreviation":"Energy Reports","language":"en","page":"109178","source":"DOI.org (Crossref)","title":"Scalable data centers – Power generation and delivery challenges and solutions","volume":"15","author":[{"family":"Ghosh","given":"Soham"},{"family":"Damodara","given":"Jaya"}],"issued":{"date-parts":[["2026",6]]}}}],"schema":"https://github.com/citation-style-language/schema/raw/master/csl-citation.json"} </w:instrText>
      </w:r>
      <w:r>
        <w:fldChar w:fldCharType="separate"/>
      </w:r>
      <w:r w:rsidR="00A95675" w:rsidRPr="00A95675">
        <w:t>[125]</w:t>
      </w:r>
      <w:r>
        <w:fldChar w:fldCharType="end"/>
      </w:r>
      <w:r w:rsidRPr="00EE0471">
        <w:t>. Microturbines, which are powered by natural gas or biogas, have lower efficiencies (25–35</w:t>
      </w:r>
      <w:r>
        <w:t>%</w:t>
      </w:r>
      <w:r w:rsidRPr="00EE0471">
        <w:t>) than reciprocating engines and have smaller footprints and less maintenance</w:t>
      </w:r>
      <w:r>
        <w:fldChar w:fldCharType="begin"/>
      </w:r>
      <w:r w:rsidR="00F77E8E">
        <w:instrText xml:space="preserve"> ADDIN ZOTERO_ITEM CSL_CITATION {"citationID":"H0M4Pu4F","properties":{"unsorted":false,"formattedCitation":"[117]","plainCitation":"[117]","dontUpdate":true,"noteIndex":0},"citationItems":[{"id":2082,"uris":["http://zotero.org/users/9870935/items/PZTN4HPZ"],"itemData":{"id":2082,"type":"post-weblog","title":"Powering Data Centers with Clean Energy","URL":"https://gain.inl.gov/content/uploads/4/2024/11/INL-RPT-24-79307-Powering-Data-Cneters-with-Clean-Energy.pdf","author":[{"family":"Idaho National Lab","given":""}]}}],"schema":"https://github.com/citation-style-language/schema/raw/master/csl-citation.json"} </w:instrText>
      </w:r>
      <w:r>
        <w:fldChar w:fldCharType="separate"/>
      </w:r>
      <w:r w:rsidRPr="00584BC7">
        <w:t xml:space="preserve"> requirements [117]</w:t>
      </w:r>
      <w:r>
        <w:fldChar w:fldCharType="end"/>
      </w:r>
      <w:r w:rsidRPr="00EE0471">
        <w:t>.</w:t>
      </w:r>
    </w:p>
    <w:p w14:paraId="162FD4D7" w14:textId="28E87308" w:rsidR="00FE013C" w:rsidRPr="00EE0471" w:rsidRDefault="00FE013C" w:rsidP="00A95675">
      <w:pPr>
        <w:spacing w:after="120"/>
        <w:ind w:firstLine="480"/>
      </w:pPr>
      <w:r w:rsidRPr="00EE0471">
        <w:t xml:space="preserve">Assessing grid connection as a backup method assumes that the utility grid is reliable and has dual utility feeds from separate substations, </w:t>
      </w:r>
      <w:r w:rsidR="00580BAE" w:rsidRPr="00EE0471">
        <w:t>minimizing</w:t>
      </w:r>
      <w:r w:rsidRPr="00EE0471">
        <w:t xml:space="preserve"> the likelihood of a dual outage. Tiered power contracts are a mix of firm capacity and interruptible lower-powered rates that offer economic flexibility along with backup power</w:t>
      </w:r>
      <w:r>
        <w:fldChar w:fldCharType="begin"/>
      </w:r>
      <w:r w:rsidR="00A95675">
        <w:instrText xml:space="preserve"> ADDIN ZOTERO_ITEM CSL_CITATION {"citationID":"a5J6f3tN","properties":{"unsorted":false,"formattedCitation":"[126]","plainCitation":"[126]","noteIndex":0},"citationItems":[{"id":2083,"uris":["http://zotero.org/users/9870935/items/XWHBFKKT"],"itemData":{"id":2083,"type":"post-weblog","title":"Powering Data Centers in the AI Era","URL":"https://energie.hec.ca/wp-content/uploads/2025/10/PPT_EPRI.pdf","author":[{"family":"EPRI","given":""}]}}],"schema":"https://github.com/citation-style-language/schema/raw/master/csl-citation.json"} </w:instrText>
      </w:r>
      <w:r>
        <w:fldChar w:fldCharType="separate"/>
      </w:r>
      <w:r w:rsidR="00A95675" w:rsidRPr="00A95675">
        <w:t>[126]</w:t>
      </w:r>
      <w:r>
        <w:fldChar w:fldCharType="end"/>
      </w:r>
      <w:r w:rsidRPr="00EE0471">
        <w:t>. Grid backup varies widely from region to region, with an average of 1.5 to 6 hours of utility outages per year in the U.S. for each utility and geographic area</w:t>
      </w:r>
      <w:r>
        <w:fldChar w:fldCharType="begin"/>
      </w:r>
      <w:r w:rsidR="00A95675">
        <w:instrText xml:space="preserve"> ADDIN ZOTERO_ITEM CSL_CITATION {"citationID":"UpEoxyqs","properties":{"unsorted":false,"formattedCitation":"[115]","plainCitation":"[115]","noteIndex":0},"citationItems":[{"id":2084,"uris":["http://zotero.org/users/9870935/items/TIB5XQM5"],"itemData":{"id":2084,"type":"post-weblog","title":"Electric Power Annual 2024","URL":"https://www.eia.gov/electricity/annual/pdf/epa.pdf","author":[{"family":"EIA","given":""}]}}],"schema":"https://github.com/citation-style-language/schema/raw/master/csl-citation.json"} </w:instrText>
      </w:r>
      <w:r>
        <w:fldChar w:fldCharType="separate"/>
      </w:r>
      <w:r w:rsidR="00A95675" w:rsidRPr="00A95675">
        <w:t>[115]</w:t>
      </w:r>
      <w:r>
        <w:fldChar w:fldCharType="end"/>
      </w:r>
      <w:r w:rsidRPr="00EE0471">
        <w:t>.</w:t>
      </w:r>
    </w:p>
    <w:p w14:paraId="4404FCEB" w14:textId="77777777" w:rsidR="00FE013C" w:rsidRDefault="00FE013C" w:rsidP="004C16FF">
      <w:pPr>
        <w:pStyle w:val="Heading20"/>
        <w:jc w:val="both"/>
        <w:rPr>
          <w:color w:val="auto"/>
        </w:rPr>
      </w:pPr>
      <w:r>
        <w:rPr>
          <w:color w:val="auto"/>
        </w:rPr>
        <w:t>5.5. Integration and Control Architecture</w:t>
      </w:r>
    </w:p>
    <w:p w14:paraId="56AD0648" w14:textId="71255FCD" w:rsidR="009A7507" w:rsidRPr="004E7A62" w:rsidRDefault="009A7507" w:rsidP="009A7507">
      <w:pPr>
        <w:spacing w:after="120"/>
        <w:ind w:firstLine="480"/>
        <w:rPr>
          <w:highlight w:val="yellow"/>
        </w:rPr>
      </w:pPr>
      <w:r w:rsidRPr="004E7A62">
        <w:rPr>
          <w:highlight w:val="yellow"/>
        </w:rPr>
        <w:t>A renewable-powered data-center microgrid includes an energy management system (EMS) that manages the coordination of renewable generation, energy-storage dispatch, exchange with the grid, energy backups, and eligible demand-side flexibility. These functions can be structured in a hierarchical control architecture spanning multiple timescales. The power-electronic interface and local electrical variables are regulated at the device level, whereas the facility-level EMS monitors, optimizes, and coordinates the dispatching of distributed energy resources. Higher-level coordination may additionally incorporate energy-procurement decisions and flexible computing workloads. IEEE Standard for Specification of Microgrid Controllers offers standardized functional specification and testing of microgrid-controller capabilities</w:t>
      </w:r>
      <w:r w:rsidRPr="004E7A62">
        <w:rPr>
          <w:highlight w:val="yellow"/>
        </w:rPr>
        <w:fldChar w:fldCharType="begin"/>
      </w:r>
      <w:r w:rsidRPr="004E7A62">
        <w:rPr>
          <w:highlight w:val="yellow"/>
        </w:rPr>
        <w:instrText xml:space="preserve"> ADDIN ZOTERO_ITEM CSL_CITATION {"citationID":"Su7JK8qA","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Pr="004E7A62">
        <w:rPr>
          <w:highlight w:val="yellow"/>
        </w:rPr>
        <w:fldChar w:fldCharType="separate"/>
      </w:r>
      <w:r w:rsidRPr="004E7A62">
        <w:rPr>
          <w:highlight w:val="yellow"/>
        </w:rPr>
        <w:t>[127]</w:t>
      </w:r>
      <w:r w:rsidRPr="004E7A62">
        <w:rPr>
          <w:highlight w:val="yellow"/>
        </w:rPr>
        <w:fldChar w:fldCharType="end"/>
      </w:r>
      <w:r w:rsidRPr="004E7A62">
        <w:rPr>
          <w:highlight w:val="yellow"/>
        </w:rPr>
        <w:t>.</w:t>
      </w:r>
    </w:p>
    <w:p w14:paraId="3A7F5298" w14:textId="65E84A08" w:rsidR="009A7507" w:rsidRPr="004E7A62" w:rsidRDefault="009A7507" w:rsidP="004E7A62">
      <w:pPr>
        <w:spacing w:after="120"/>
        <w:ind w:firstLine="480"/>
        <w:rPr>
          <w:highlight w:val="yellow"/>
        </w:rPr>
      </w:pPr>
      <w:r w:rsidRPr="004E7A62">
        <w:rPr>
          <w:highlight w:val="yellow"/>
        </w:rPr>
        <w:t xml:space="preserve">Model-predictive control (MPC) is an established technique that can easily incorporate forecasts, measured or estimated system state and operational constraints in a receding-horizon optimization framework, making it a suitable technique for energy management and microgrid-dispatch applications </w:t>
      </w:r>
      <w:r w:rsidRPr="004E7A62">
        <w:rPr>
          <w:highlight w:val="yellow"/>
        </w:rPr>
        <w:fldChar w:fldCharType="begin"/>
      </w:r>
      <w:r w:rsidRPr="004E7A62">
        <w:rPr>
          <w:highlight w:val="yellow"/>
        </w:rPr>
        <w:instrText xml:space="preserve"> ADDIN ZOTERO_ITEM CSL_CITATION {"citationID":"jnwOrutm","properties":{"unsorted":false,"formattedCitation":"[117], [118], [128]","plainCitation":"[117], [118], [128]","noteIndex":0},"citationItems":[{"id":2086,"uris":["http://zotero.org/users/9870935/items/PSX5T5NE"],"itemData":{"id":2086,"type":"article-journal","abstract":"Renewable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rsidRPr="004E7A62">
        <w:rPr>
          <w:highlight w:val="yellow"/>
        </w:rPr>
        <w:fldChar w:fldCharType="separate"/>
      </w:r>
      <w:r w:rsidRPr="004E7A62">
        <w:rPr>
          <w:highlight w:val="yellow"/>
        </w:rPr>
        <w:t>[117], [118], [128]</w:t>
      </w:r>
      <w:r w:rsidRPr="004E7A62">
        <w:rPr>
          <w:highlight w:val="yellow"/>
        </w:rPr>
        <w:fldChar w:fldCharType="end"/>
      </w:r>
      <w:r w:rsidRPr="004E7A62">
        <w:rPr>
          <w:highlight w:val="yellow"/>
        </w:rPr>
        <w:t xml:space="preserve">. The MPC objective function can incorporate energy-procurement costs, battery-degradation costs, demand-related charges, carbon-related terms, or weighted combinations of these, as long as they are constrained by battery state of charge, charging/discharging power limits, inverter ratings, or limits on grid-import/export, etc. </w:t>
      </w:r>
      <w:r w:rsidR="00EC74AE" w:rsidRPr="004E7A62">
        <w:rPr>
          <w:highlight w:val="yellow"/>
        </w:rPr>
        <w:fldChar w:fldCharType="begin"/>
      </w:r>
      <w:r w:rsidR="00EC74AE" w:rsidRPr="004E7A62">
        <w:rPr>
          <w:highlight w:val="yellow"/>
        </w:rPr>
        <w:instrText xml:space="preserve"> ADDIN ZOTERO_ITEM CSL_CITATION {"citationID":"mjbGEcPS","properties":{"unsorted":false,"formattedCitation":"[118]","plainCitation":"[118]","noteIndex":0},"citationItems":[{"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EC74AE" w:rsidRPr="004E7A62">
        <w:rPr>
          <w:highlight w:val="yellow"/>
        </w:rPr>
        <w:fldChar w:fldCharType="separate"/>
      </w:r>
      <w:r w:rsidR="00EC74AE" w:rsidRPr="004E7A62">
        <w:rPr>
          <w:highlight w:val="yellow"/>
        </w:rPr>
        <w:t>[118]</w:t>
      </w:r>
      <w:r w:rsidR="00EC74AE" w:rsidRPr="004E7A62">
        <w:rPr>
          <w:highlight w:val="yellow"/>
        </w:rPr>
        <w:fldChar w:fldCharType="end"/>
      </w:r>
      <w:r w:rsidRPr="004E7A62">
        <w:rPr>
          <w:highlight w:val="yellow"/>
        </w:rPr>
        <w:t xml:space="preserve">. Renewable generation and load forecasts can be included in the optimization to ensure that dispatch decisions at least periodically are adjusted to the new forecasts and measurements of the system. The prediction horizon and the control interval can vary from short-term operational control to day-ahead scheduling, depending on the application. Despite this, MPC performance relies on the quality of the forecasting, the fidelity of the model, the computational demand, the choice of prediction horizon, the formulation of the objective function and </w:t>
      </w:r>
      <w:r w:rsidRPr="004E7A62">
        <w:rPr>
          <w:highlight w:val="yellow"/>
        </w:rPr>
        <w:lastRenderedPageBreak/>
        <w:t>constraints, and a number of other factors. While some studies have presented technical or economic gains over conventional control methods, these gains vary by study and should not be assumed to be valid without similar load, tariff, renewable-resource, storage-degradation, and reliability assumptions</w:t>
      </w:r>
      <w:r w:rsidR="004E7A62" w:rsidRPr="004E7A62">
        <w:rPr>
          <w:highlight w:val="yellow"/>
        </w:rPr>
        <w:fldChar w:fldCharType="begin"/>
      </w:r>
      <w:r w:rsidR="004E7A62" w:rsidRPr="004E7A62">
        <w:rPr>
          <w:highlight w:val="yellow"/>
        </w:rPr>
        <w:instrText xml:space="preserve"> ADDIN ZOTERO_ITEM CSL_CITATION {"citationID":"ZomZ0nse","properties":{"unsorted":false,"formattedCitation":"[117], [118]","plainCitation":"[117], [118]","noteIndex":0},"citationItems":[{"id":2086,"uris":["http://zotero.org/users/9870935/items/PSX5T5NE"],"itemData":{"id":2086,"type":"article-journal","abstract":"Renewable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id":2087,"uris":["http://zotero.org/users/9870935/items/4BDYURFT"],"itemData":{"id":2087,"type":"article-journal","container-title":"Energy","DOI":"10.1016/j.energy.2025.138205","ISSN":"03605442","journalAbbreviation":"Energy","language":"en","page":"138205","source":"DOI.org (Crossref)","title":"An economic model predictive control strategy for EV-integrated microgrids considering battery degradation","volume":"335","author":[{"family":"Hu","given":"Yunfeng"},{"family":"Li","given":"Zeying"},{"family":"Cui","given":"Jinghan"}],"issued":{"date-parts":[["2025",10]]}}}],"schema":"https://github.com/citation-style-language/schema/raw/master/csl-citation.json"} </w:instrText>
      </w:r>
      <w:r w:rsidR="004E7A62" w:rsidRPr="004E7A62">
        <w:rPr>
          <w:highlight w:val="yellow"/>
        </w:rPr>
        <w:fldChar w:fldCharType="separate"/>
      </w:r>
      <w:r w:rsidR="004E7A62" w:rsidRPr="004E7A62">
        <w:rPr>
          <w:highlight w:val="yellow"/>
        </w:rPr>
        <w:t>[117], [118]</w:t>
      </w:r>
      <w:r w:rsidR="004E7A62" w:rsidRPr="004E7A62">
        <w:rPr>
          <w:highlight w:val="yellow"/>
        </w:rPr>
        <w:fldChar w:fldCharType="end"/>
      </w:r>
      <w:r w:rsidRPr="004E7A62">
        <w:rPr>
          <w:highlight w:val="yellow"/>
        </w:rPr>
        <w:t>.</w:t>
      </w:r>
    </w:p>
    <w:p w14:paraId="3AA2776D" w14:textId="6AD4D394" w:rsidR="009A7507" w:rsidRPr="009A7507" w:rsidRDefault="009A7507" w:rsidP="004E7A62">
      <w:pPr>
        <w:spacing w:after="120"/>
        <w:ind w:firstLine="480"/>
      </w:pPr>
      <w:r w:rsidRPr="004E7A62">
        <w:rPr>
          <w:highlight w:val="yellow"/>
        </w:rPr>
        <w:t>Fault detection, redundancy and failover mechanisms suitable for the criticality of the controlled functions are also required for reliable EMS operation. The critical controllers, communication paths, and monitoring systems therefore can be designed in a redundant manner, meaning that no single component or communication failure need block essential control functions</w:t>
      </w:r>
      <w:r w:rsidR="004E7A62" w:rsidRPr="004E7A62">
        <w:rPr>
          <w:highlight w:val="yellow"/>
        </w:rPr>
        <w:fldChar w:fldCharType="begin"/>
      </w:r>
      <w:r w:rsidR="004E7A62" w:rsidRPr="004E7A62">
        <w:rPr>
          <w:highlight w:val="yellow"/>
        </w:rPr>
        <w:instrText xml:space="preserve"> ADDIN ZOTERO_ITEM CSL_CITATION {"citationID":"Ba1QrXi0","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rsidR="004E7A62" w:rsidRPr="004E7A62">
        <w:rPr>
          <w:highlight w:val="yellow"/>
        </w:rPr>
        <w:fldChar w:fldCharType="separate"/>
      </w:r>
      <w:r w:rsidR="004E7A62" w:rsidRPr="004E7A62">
        <w:rPr>
          <w:highlight w:val="yellow"/>
        </w:rPr>
        <w:t>[127]</w:t>
      </w:r>
      <w:r w:rsidR="004E7A62" w:rsidRPr="004E7A62">
        <w:rPr>
          <w:highlight w:val="yellow"/>
        </w:rPr>
        <w:fldChar w:fldCharType="end"/>
      </w:r>
      <w:r w:rsidRPr="004E7A62">
        <w:rPr>
          <w:highlight w:val="yellow"/>
        </w:rPr>
        <w:t xml:space="preserve">. Cybersecurity is also significant since the EMS connects to operational technology (OT), power-electronic equipment, metering and control systems, and enterprise information technology (IT). Cybersecurity mechanisms for power-system communication environments encompass authentication, access control, power-system communications security, and other mechanisms designed to ensure the security of operational data and control functions; IEC 61850 based systems </w:t>
      </w:r>
      <w:r w:rsidR="004E7A62" w:rsidRPr="004E7A62">
        <w:rPr>
          <w:highlight w:val="yellow"/>
        </w:rPr>
        <w:fldChar w:fldCharType="begin"/>
      </w:r>
      <w:r w:rsidR="004E7A62" w:rsidRPr="004E7A62">
        <w:rPr>
          <w:highlight w:val="yellow"/>
        </w:rPr>
        <w:instrText xml:space="preserve"> ADDIN ZOTERO_ITEM CSL_CITATION {"citationID":"ydGD47UY","properties":{"unsorted":false,"formattedCitation":"[129]","plainCitation":"[129]","noteIndex":0},"citationItems":[{"id":2153,"uris":["http://zotero.org/users/9870935/items/BM962LGX"],"itemData":{"id":2153,"type":"article-journal","abstract":"Power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004E7A62" w:rsidRPr="004E7A62">
        <w:rPr>
          <w:highlight w:val="yellow"/>
        </w:rPr>
        <w:fldChar w:fldCharType="separate"/>
      </w:r>
      <w:r w:rsidR="004E7A62" w:rsidRPr="004E7A62">
        <w:rPr>
          <w:highlight w:val="yellow"/>
        </w:rPr>
        <w:t>[129]</w:t>
      </w:r>
      <w:r w:rsidR="004E7A62" w:rsidRPr="004E7A62">
        <w:rPr>
          <w:highlight w:val="yellow"/>
        </w:rPr>
        <w:fldChar w:fldCharType="end"/>
      </w:r>
      <w:r w:rsidRPr="004E7A62">
        <w:rPr>
          <w:highlight w:val="yellow"/>
        </w:rPr>
        <w:t xml:space="preserve"> are an important, standards-based framework for protecting power-system communications.</w:t>
      </w:r>
    </w:p>
    <w:p w14:paraId="75B69A05" w14:textId="7C072EFC" w:rsidR="00FE013C" w:rsidRDefault="00FE013C" w:rsidP="009A7507">
      <w:pPr>
        <w:pStyle w:val="Heading10"/>
        <w:jc w:val="both"/>
        <w:rPr>
          <w:color w:val="auto"/>
        </w:rPr>
      </w:pPr>
      <w:r>
        <w:rPr>
          <w:color w:val="auto"/>
          <w:lang w:eastAsia="zh-CN"/>
        </w:rPr>
        <w:t xml:space="preserve">6. </w:t>
      </w:r>
      <w:r>
        <w:rPr>
          <w:color w:val="auto"/>
        </w:rPr>
        <w:t>Power System Modeling and Simulation</w:t>
      </w:r>
    </w:p>
    <w:p w14:paraId="793FB34A" w14:textId="3DFC4318" w:rsidR="00FE013C" w:rsidRDefault="00FE013C" w:rsidP="004C16FF">
      <w:pPr>
        <w:spacing w:after="120"/>
        <w:ind w:firstLine="480"/>
      </w:pPr>
      <w:r>
        <w:t xml:space="preserve">This section examines the tools, methodologies, and validation approaches for the design and analysis of hybrid microgrid systems for renewable-powered AI data </w:t>
      </w:r>
      <w:r w:rsidR="00580BAE">
        <w:t>center</w:t>
      </w:r>
      <w:r>
        <w:t xml:space="preserve">s. Accurate modelling is essential for predicting system performance under varying operating conditions, </w:t>
      </w:r>
      <w:r w:rsidR="00580BAE">
        <w:t>optimizing</w:t>
      </w:r>
      <w:r>
        <w:t xml:space="preserve"> component sizes, and validating control strategies before deployment.</w:t>
      </w:r>
    </w:p>
    <w:p w14:paraId="1BCE194B" w14:textId="77777777" w:rsidR="00FE013C" w:rsidRDefault="00FE013C" w:rsidP="004C16FF">
      <w:pPr>
        <w:pStyle w:val="Heading20"/>
        <w:jc w:val="both"/>
        <w:rPr>
          <w:color w:val="auto"/>
        </w:rPr>
      </w:pPr>
      <w:r>
        <w:rPr>
          <w:color w:val="auto"/>
        </w:rPr>
        <w:t>6.1. Steady-State Power Flow Analysis</w:t>
      </w:r>
    </w:p>
    <w:p w14:paraId="4CAD0C04" w14:textId="5DFA634F" w:rsidR="00FE013C" w:rsidRPr="00970159" w:rsidRDefault="00FE013C" w:rsidP="004E7A62">
      <w:pPr>
        <w:spacing w:after="120"/>
        <w:ind w:firstLine="480"/>
      </w:pPr>
      <w:r w:rsidRPr="00970159">
        <w:t xml:space="preserve">The voltage profile, power flow, and losses derived from the steady-state power flow analysis are the basis for the design of electrical systems, as they define equipment ratings and protection settings. The power flow equations are nonlinear, and the Newton–Raphson method is the standard algorithm used to solve them, requiring four to eight iterations to converge for well-conditioned systems </w:t>
      </w:r>
      <w:r>
        <w:fldChar w:fldCharType="begin"/>
      </w:r>
      <w:r w:rsidR="001D1223">
        <w:instrText xml:space="preserve"> ADDIN ZOTERO_ITEM CSL_CITATION {"citationID":"R69gUmT3","properties":{"unsorted":false,"formattedCitation":"[58]","plainCitation":"[58]","noteIndex":0},"citationItems":[{"id":2090,"uris":["http://zotero.org/users/9870935/items/MW6JYBRT"],"itemData":{"id":2090,"type":"article-journal","container-title":"IEEE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1D1223" w:rsidRPr="001D1223">
        <w:t>[58]</w:t>
      </w:r>
      <w:r>
        <w:fldChar w:fldCharType="end"/>
      </w:r>
      <w:r w:rsidRPr="00970159">
        <w:t xml:space="preserve">. The DC power flow approximation also includes a </w:t>
      </w:r>
      <w:r w:rsidR="00580BAE" w:rsidRPr="00970159">
        <w:t>linearization</w:t>
      </w:r>
      <w:r w:rsidRPr="00970159">
        <w:t xml:space="preserve"> of the AC power flow equations, omitting reactive power and voltage magnitude changes, and leads to computationally efficient results appropriate for screening-level analysis and large-scale system studies</w:t>
      </w:r>
      <w:r>
        <w:fldChar w:fldCharType="begin"/>
      </w:r>
      <w:r w:rsidR="004E7A62">
        <w:instrText xml:space="preserve"> ADDIN ZOTERO_ITEM CSL_CITATION {"citationID":"mJtqhMx4","properties":{"unsorted":false,"formattedCitation":"[130]","plainCitation":"[130]","noteIndex":0},"citationItems":[{"id":2091,"uris":["http://zotero.org/users/9870935/items/P7FFXDCA"],"itemData":{"id":2091,"type":"article-journal","container-title":"IEEE Transactions on Power Systems","DOI":"10.1109/59.99396","ISSN":"08858950","issue":"4","journalAbbreviation":"IEEE Trans. Power Syst.","license":"https://ieeexplore.ieee.org/Xplorehelp/downloads/license-information/IEEE.html","page":"1425-1431","source":"DOI.org (Crossref)","title":"Fast decoupled load flow: hypothesis, derivations, and testing","title-short":"Fast decoupled load flow","volume":"5","author":[{"family":"Monticelli","given":"A.J."},{"family":"Garcia","given":"A."},{"family":"Saavedra","given":"O.R."}],"issued":{"date-parts":[["1990",11]]}}}],"schema":"https://github.com/citation-style-language/schema/raw/master/csl-citation.json"} </w:instrText>
      </w:r>
      <w:r>
        <w:fldChar w:fldCharType="separate"/>
      </w:r>
      <w:r w:rsidR="004E7A62" w:rsidRPr="004E7A62">
        <w:t>[130]</w:t>
      </w:r>
      <w:r>
        <w:fldChar w:fldCharType="end"/>
      </w:r>
      <w:r w:rsidRPr="00970159">
        <w:t>.</w:t>
      </w:r>
    </w:p>
    <w:p w14:paraId="25B2D104" w14:textId="5FA4C4DE" w:rsidR="00FE013C" w:rsidRPr="00970159" w:rsidRDefault="00FE013C" w:rsidP="004E7A62">
      <w:pPr>
        <w:spacing w:after="120"/>
        <w:ind w:firstLine="480"/>
      </w:pPr>
      <w:r w:rsidRPr="00970159">
        <w:t xml:space="preserve">Optimal power flow (OPF) is an extension of the basic power flow formulation with an objective function (typically cost or loss </w:t>
      </w:r>
      <w:r w:rsidR="00580BAE" w:rsidRPr="00970159">
        <w:t>minimization</w:t>
      </w:r>
      <w:r w:rsidRPr="00970159">
        <w:t xml:space="preserve">) and operational constraints on voltage magnitudes, line flows, and generator outputs. OPF can be employed in renewable-powered data </w:t>
      </w:r>
      <w:r w:rsidR="00580BAE">
        <w:t>center</w:t>
      </w:r>
      <w:r w:rsidRPr="00970159">
        <w:t xml:space="preserve">s to </w:t>
      </w:r>
      <w:r w:rsidR="00580BAE" w:rsidRPr="00970159">
        <w:t>optimize</w:t>
      </w:r>
      <w:r w:rsidRPr="00970159">
        <w:t xml:space="preserve"> the dispatch of renewable generators, battery storage, and grid interconnection to </w:t>
      </w:r>
      <w:r w:rsidR="00580BAE" w:rsidRPr="00970159">
        <w:t>minimize</w:t>
      </w:r>
      <w:r w:rsidRPr="00970159">
        <w:t xml:space="preserve"> energy costs while maintaining power quality and reliability</w:t>
      </w:r>
      <w:r>
        <w:fldChar w:fldCharType="begin"/>
      </w:r>
      <w:r w:rsidR="004E7A62">
        <w:instrText xml:space="preserve"> ADDIN ZOTERO_ITEM CSL_CITATION {"citationID":"ZkcxuEkd","properties":{"unsorted":false,"formattedCitation":"[131]","plainCitation":"[131]","noteIndex":0},"citationItems":[{"id":2092,"uris":["http://zotero.org/users/9870935/items/5VTNPVIA"],"itemData":{"id":2092,"type":"article-journal","container-title":"IEEE Transactions on Power Systems","DOI":"10.1109/59.76723","ISSN":"08858950","issue":"2","journalAbbreviation":"IEEE Trans. Power Syst.","license":"https://ieeexplore.ieee.org/Xplorehelp/downloads/license-information/IEEE.html","page":"762-770","source":"DOI.org (Crossref)","title":"A survey of the optimal power flow literature","volume":"6","author":[{"family":"Huneault","given":"M."},{"family":"Galiana","given":"F.D."}],"issued":{"date-parts":[["1991",5]]}}}],"schema":"https://github.com/citation-style-language/schema/raw/master/csl-citation.json"} </w:instrText>
      </w:r>
      <w:r>
        <w:fldChar w:fldCharType="separate"/>
      </w:r>
      <w:r w:rsidR="004E7A62" w:rsidRPr="004E7A62">
        <w:t>[131]</w:t>
      </w:r>
      <w:r>
        <w:fldChar w:fldCharType="end"/>
      </w:r>
      <w:r w:rsidRPr="00970159">
        <w:t>. In contingency analysis, which is based on the N-1 reliability criterion, the performance of a system is tested when one component fails to ensure that the system can still operate satisfactorily after this failure</w:t>
      </w:r>
      <w:r>
        <w:fldChar w:fldCharType="begin"/>
      </w:r>
      <w:r w:rsidR="004E7A62">
        <w:instrText xml:space="preserve"> ADDIN ZOTERO_ITEM CSL_CITATION {"citationID":"ipICDqP7","properties":{"unsorted":false,"formattedCitation":"[132]","plainCitation":"[132]","noteIndex":0},"citationItems":[{"id":2093,"uris":["http://zotero.org/users/9870935/items/LIMXCIJ4"],"itemData":{"id":2093,"type":"paper-conference","container-title":"2016 IEEE Power and Energy Society General Meeting (PESGM)","DOI":"10.1109/PESGM.2016.7741072","event-title":"2016 IEEE Power and Energy Society General Meeting (PESGM)","ISBN":"978-1-5090-4168-8","page":"1-5","publisher":"IEEE","publisher-place":"Boston, MA, USA","source":"DOI.org (Crossref)","title":"NERC TPL-001-4 transient voltage performance compliance study - criteria development, study methodology and case studies","URL":"http://ieeexplore.ieee.org/document/7741072/","author":[{"literal":"Xiaokang Xu"},{"family":"Kandlawala","given":"M. Fareed"},{"literal":"Ming Wu"}],"accessed":{"date-parts":[["2026",5,18]]},"issued":{"date-parts":[["2016",7]]}}}],"schema":"https://github.com/citation-style-language/schema/raw/master/csl-citation.json"} </w:instrText>
      </w:r>
      <w:r>
        <w:fldChar w:fldCharType="separate"/>
      </w:r>
      <w:r w:rsidR="004E7A62" w:rsidRPr="004E7A62">
        <w:t>[132]</w:t>
      </w:r>
      <w:r>
        <w:fldChar w:fldCharType="end"/>
      </w:r>
      <w:r w:rsidRPr="00970159">
        <w:t>. The tools often used for power flow analysis are MATPOWER, an open-source MATLAB toolbox; PSS/E, a commercial tool; and DIgSILENT PowerFactory, a commercial and popular tool in Europe</w:t>
      </w:r>
      <w:r>
        <w:fldChar w:fldCharType="begin"/>
      </w:r>
      <w:r w:rsidR="004E7A62">
        <w:instrText xml:space="preserve"> ADDIN ZOTERO_ITEM CSL_CITATION {"citationID":"BkNp7by7","properties":{"unsorted":false,"formattedCitation":"[133]","plainCitation":"[133]","noteIndex":0},"citationItems":[{"id":2094,"uris":["http://zotero.org/users/9870935/items/4RTVK2FK"],"itemData":{"id":2094,"type":"paper-conference","container-title":"2019 International Conference on Clean Electrical Power (ICCEP)","DOI":"10.1109/ICCEP.2019.8890163","event-title":"2019 International Conference on Clean Electrical Power (ICCEP)","ISBN":"978-1-7281-1356-2","license":"https://ieeexplore.ieee.org/Xplorehelp/downloads/license-information/IEEE.html","page":"82-86","publisher":"IEEE","publisher-place":"Otranto, Italy","source":"DOI.org (Crossref)","title":"Comparison of different tools for power flow analysis with high wind power integration","URL":"https://ieeexplore.ieee.org/document/8890163/","author":[{"family":"Fernandez-Guillamon","given":"A."},{"family":"Molina-Garcia","given":"A."},{"family":"Das","given":"K."},{"family":"Altin","given":"M."}],"accessed":{"date-parts":[["2026",5,18]]},"issued":{"date-parts":[["2019",7]]}}}],"schema":"https://github.com/citation-style-language/schema/raw/master/csl-citation.json"} </w:instrText>
      </w:r>
      <w:r>
        <w:fldChar w:fldCharType="separate"/>
      </w:r>
      <w:r w:rsidR="004E7A62" w:rsidRPr="004E7A62">
        <w:t>[133]</w:t>
      </w:r>
      <w:r>
        <w:fldChar w:fldCharType="end"/>
      </w:r>
      <w:r w:rsidRPr="00970159">
        <w:t>.</w:t>
      </w:r>
    </w:p>
    <w:p w14:paraId="58095EF1" w14:textId="77777777" w:rsidR="00FE013C" w:rsidRDefault="00FE013C" w:rsidP="004C16FF">
      <w:pPr>
        <w:pStyle w:val="Heading20"/>
        <w:jc w:val="both"/>
        <w:rPr>
          <w:color w:val="auto"/>
        </w:rPr>
      </w:pPr>
      <w:r>
        <w:rPr>
          <w:color w:val="auto"/>
        </w:rPr>
        <w:t>6.2. Transient Stability and Grid Dynamics</w:t>
      </w:r>
    </w:p>
    <w:p w14:paraId="7A8C313E" w14:textId="36648CF5" w:rsidR="00FE013C" w:rsidRPr="0070515F" w:rsidRDefault="00FE013C" w:rsidP="004E7A62">
      <w:pPr>
        <w:spacing w:after="120"/>
        <w:ind w:firstLine="480"/>
      </w:pPr>
      <w:r w:rsidRPr="0070515F">
        <w:t xml:space="preserve">Transient stability analysis involves studying the transient dynamic response of the power system after a large fault, generator trip, or sudden load change. Transient stability is also an important issue </w:t>
      </w:r>
      <w:r w:rsidRPr="0070515F">
        <w:lastRenderedPageBreak/>
        <w:t xml:space="preserve">for microgrids in data </w:t>
      </w:r>
      <w:r w:rsidR="00580BAE">
        <w:t>center</w:t>
      </w:r>
      <w:r w:rsidRPr="0070515F">
        <w:t xml:space="preserve">s with high renewable penetration owing to the lack of inherent rotational inertia in inverter-based resources. Virtual inertia can be achieved by grid-forming inverters, where the reference voltage and frequency are generated by the inverter without using a grid </w:t>
      </w:r>
      <w:r w:rsidR="00580BAE" w:rsidRPr="0070515F">
        <w:t>synchronizing</w:t>
      </w:r>
      <w:r w:rsidRPr="0070515F">
        <w:t xml:space="preserve"> signal, by controlling their dynamic response, as that of a synchronous machine</w:t>
      </w:r>
      <w:r>
        <w:fldChar w:fldCharType="begin"/>
      </w:r>
      <w:r w:rsidR="004E7A62">
        <w:instrText xml:space="preserve"> ADDIN ZOTERO_ITEM CSL_CITATION {"citationID":"EnZx5jNZ","properties":{"unsorted":false,"formattedCitation":"[18], [134]","plainCitation":"[18], [134]","noteIndex":0},"citationItems":[{"id":1927,"uris":["http://zotero.org/users/9870935/items/PZK7R79L"],"itemData":{"id":1927,"type":"article-journal","abstract":"The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2095,"uris":["http://zotero.org/users/9870935/items/GBR6LIAE"],"itemData":{"id":2095,"type":"paper-conference","container-title":"2024 IEEE PES Innovative Smart Grid Technologies Europe (ISGT EUROPE)","DOI":"10.1109/ISGTEUROPE62998.2024.10863434","event-title":"2024 IEEE PES Innovative Smart Grid Technologies Europe (ISGT EUROPE)","ISBN":"979-8-3503-9042-1","license":"https://doi.org/10.15223/policy-029","page":"1-5","publisher":"IEEE","publisher-place":"Dubrovnik, Croatia","source":"DOI.org (Crossref)","title":"Power System Stability Improvements Through Grid Forming Inverters for Systems with High Penetration of Grid Following Inverters","URL":"https://ieeexplore.ieee.org/document/10863434/","author":[{"family":"Geekiyanage","given":"Viduruwan"},{"family":"Seppänen","given":"Janne"}],"accessed":{"date-parts":[["2026",5,18]]},"issued":{"date-parts":[["2024",10,14]]}}}],"schema":"https://github.com/citation-style-language/schema/raw/master/csl-citation.json"} </w:instrText>
      </w:r>
      <w:r>
        <w:fldChar w:fldCharType="separate"/>
      </w:r>
      <w:r w:rsidR="004E7A62" w:rsidRPr="004E7A62">
        <w:t>[18], [134]</w:t>
      </w:r>
      <w:r>
        <w:fldChar w:fldCharType="end"/>
      </w:r>
      <w:r w:rsidRPr="0070515F">
        <w:t>. The transition from on-grid to off-grid (islanded operation) is a significant transient event that occurs when the utility grid suffers a disturbance, and for which careful design of inverter control parameters, protection settings, and load shedding schemes is required</w:t>
      </w:r>
      <w:r>
        <w:fldChar w:fldCharType="begin"/>
      </w:r>
      <w:r w:rsidR="009A7507">
        <w:instrText xml:space="preserve"> ADDIN ZOTERO_ITEM CSL_CITATION {"citationID":"AdxixQhk","properties":{"unsorted":false,"formattedCitation":"[127]","plainCitation":"[127]","noteIndex":0},"citationItems":[{"id":2096,"uris":["http://zotero.org/users/9870935/items/M5N4Z7YA"],"itemData":{"id":2096,"type":"standard","DOI":"10.1109/IEEESTD.2018.8340204","ISBN":"978-1-5044-4515-3","license":"https://doi.org/10.15223/policy-029","publisher":"IEEE","source":"DOI.org (Crossref)","title":"IEEE Standard for the Specification of Microgrid Controllers","URL":"https://ieeexplore.ieee.org/document/8340204/","accessed":{"date-parts":[["2026",5,18]]}}}],"schema":"https://github.com/citation-style-language/schema/raw/master/csl-citation.json"} </w:instrText>
      </w:r>
      <w:r>
        <w:fldChar w:fldCharType="separate"/>
      </w:r>
      <w:r w:rsidR="009A7507" w:rsidRPr="009A7507">
        <w:t>[127]</w:t>
      </w:r>
      <w:r>
        <w:fldChar w:fldCharType="end"/>
      </w:r>
      <w:r w:rsidRPr="0070515F">
        <w:t>.</w:t>
      </w:r>
    </w:p>
    <w:p w14:paraId="6F4A14BA" w14:textId="274E0066" w:rsidR="00FE013C" w:rsidRPr="0070515F" w:rsidRDefault="00FE013C" w:rsidP="004E7A62">
      <w:pPr>
        <w:spacing w:after="120"/>
        <w:ind w:firstLine="480"/>
      </w:pPr>
      <w:r w:rsidRPr="0070515F">
        <w:t xml:space="preserve">The challenge of PLL stability arises with increasing renewable penetration. However, PLL-based grid-following inverters can suffer from oscillatory operation or complete loss of </w:t>
      </w:r>
      <w:r w:rsidR="00580BAE" w:rsidRPr="0070515F">
        <w:t>synchronization</w:t>
      </w:r>
      <w:r w:rsidRPr="0070515F">
        <w:t xml:space="preserve"> in weak grid conditions when the short circuit ratio (SCR) at the point of interconnection is low, which can cause cascading failures</w:t>
      </w:r>
      <w:r>
        <w:fldChar w:fldCharType="begin"/>
      </w:r>
      <w:r w:rsidR="004E7A62">
        <w:instrText xml:space="preserve"> ADDIN ZOTERO_ITEM CSL_CITATION {"citationID":"nNqJkW4n","properties":{"unsorted":false,"formattedCitation":"[135]","plainCitation":"[135]","noteIndex":0},"citationItems":[{"id":2097,"uris":["http://zotero.org/users/9870935/items/KGQXJHH9"],"itemData":{"id":2097,"type":"article-journal","container-title":"IEEE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M."},{"family":"Abu-Rub","given":"Haitham"}],"issued":{"date-parts":[["2025"]]}}}],"schema":"https://github.com/citation-style-language/schema/raw/master/csl-citation.json"} </w:instrText>
      </w:r>
      <w:r>
        <w:fldChar w:fldCharType="separate"/>
      </w:r>
      <w:r w:rsidR="004E7A62" w:rsidRPr="004E7A62">
        <w:t>[135]</w:t>
      </w:r>
      <w:r>
        <w:fldChar w:fldCharType="end"/>
      </w:r>
      <w:r w:rsidRPr="0070515F">
        <w:t>. There are several well-documented examples of the occurrence of the sub-synchronous resonance (SSR) phenomenon between the inverter controls and series-compensated (SC) transmission lines, and these interactions require detailed electromagnetic transient (EMT) simulation studies for grid-connected renewable plants</w:t>
      </w:r>
      <w:r>
        <w:fldChar w:fldCharType="begin"/>
      </w:r>
      <w:r w:rsidR="004E7A62">
        <w:instrText xml:space="preserve"> ADDIN ZOTERO_ITEM CSL_CITATION {"citationID":"VvGA3otY","properties":{"unsorted":false,"formattedCitation":"[136]","plainCitation":"[136]","noteIndex":0},"citationItems":[{"id":2100,"uris":["http://zotero.org/users/9870935/items/CW9DIYPL"],"itemData":{"id":2100,"type":"document","title":"Inverter-Based Resource Performance Issues","URL":"https://www.nerc.com/globalassets/programs/bpsa/alerts/2023/nerc-alert-r-2023-03-14-01-level-2---inverter-based-resource-performance-issues.pdf","author":[{"family":"NERC","given":""}]}}],"schema":"https://github.com/citation-style-language/schema/raw/master/csl-citation.json"} </w:instrText>
      </w:r>
      <w:r>
        <w:fldChar w:fldCharType="separate"/>
      </w:r>
      <w:r w:rsidR="004E7A62" w:rsidRPr="004E7A62">
        <w:t>[136]</w:t>
      </w:r>
      <w:r>
        <w:fldChar w:fldCharType="end"/>
      </w:r>
      <w:r w:rsidRPr="0070515F">
        <w:t>.</w:t>
      </w:r>
    </w:p>
    <w:p w14:paraId="080A117E" w14:textId="77777777" w:rsidR="00FE013C" w:rsidRDefault="00FE013C" w:rsidP="004C16FF">
      <w:pPr>
        <w:pStyle w:val="Heading20"/>
        <w:jc w:val="both"/>
        <w:rPr>
          <w:color w:val="auto"/>
        </w:rPr>
      </w:pPr>
      <w:r>
        <w:rPr>
          <w:color w:val="auto"/>
        </w:rPr>
        <w:t>6.3. Harmonic Analysis and Power Quality</w:t>
      </w:r>
    </w:p>
    <w:p w14:paraId="054DD43C" w14:textId="7370BD52" w:rsidR="00FE013C" w:rsidRPr="00637E25" w:rsidRDefault="00FE013C" w:rsidP="001D1223">
      <w:pPr>
        <w:spacing w:after="120"/>
        <w:ind w:firstLine="480"/>
      </w:pPr>
      <w:r w:rsidRPr="00637E25">
        <w:t xml:space="preserve">Harmonic analysis is crucial to ensure compliance with power quality standards set in IEEE 519 and to help develop the correct mitigation. The harmonic profile of a data </w:t>
      </w:r>
      <w:r w:rsidR="00580BAE">
        <w:t>center</w:t>
      </w:r>
      <w:r w:rsidRPr="00637E25">
        <w:t xml:space="preserve"> microgrid depends on the combined effect of all the data </w:t>
      </w:r>
      <w:r w:rsidR="00580BAE">
        <w:t>center</w:t>
      </w:r>
      <w:r w:rsidRPr="00637E25">
        <w:t xml:space="preserve"> nonlinear loads such as IT equipment SMPSs, cooling system VFDs, LED lights, and the harmonic currents produced by the renewable inverter</w:t>
      </w:r>
      <w:r>
        <w:fldChar w:fldCharType="begin"/>
      </w:r>
      <w:r>
        <w:instrText xml:space="preserve"> ADDIN ZOTERO_ITEM CSL_CITATION {"citationID":"rFvXbkfi","properties":{"unsorted":false,"formattedCitation":"[22]","plainCitation":"[22]","noteIndex":0},"citationItems":[{"id":1944,"uris":["http://zotero.org/users/9870935/items/XZS2JQRQ"],"itemData":{"id":1944,"type":"standard","DOI":"10.1109/IEEESTD.2022.9848440","ISBN":"978-1-5044-8727-6","license":"https://doi.org/10.15223/policy-029","publisher":"IEEE","source":"DOI.org (Crossref)","title":"IEEE Standard for Harmonic Control in Electric Power Systems","URL":"https://ieeexplore.ieee.org/document/9848440/","accessed":{"date-parts":[["2026",5,10]]}}}],"schema":"https://github.com/citation-style-language/schema/raw/master/csl-citation.json"} </w:instrText>
      </w:r>
      <w:r>
        <w:fldChar w:fldCharType="separate"/>
      </w:r>
      <w:r w:rsidRPr="00C44659">
        <w:t>[22]</w:t>
      </w:r>
      <w:r>
        <w:fldChar w:fldCharType="end"/>
      </w:r>
      <w:r w:rsidRPr="00637E25">
        <w:t>. Frequency-domain analysis techniques such as Fourier decomposition and harmonic impedance scanning are employed to detect resonance conditions which could increase the level of specific harmonic orders</w:t>
      </w:r>
      <w:r>
        <w:fldChar w:fldCharType="begin"/>
      </w:r>
      <w:r w:rsidR="001D1223">
        <w:instrText xml:space="preserve"> ADDIN ZOTERO_ITEM CSL_CITATION {"citationID":"9pAXEXox","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1D1223" w:rsidRPr="001D1223">
        <w:t>[59]</w:t>
      </w:r>
      <w:r>
        <w:fldChar w:fldCharType="end"/>
      </w:r>
      <w:r w:rsidRPr="00637E25">
        <w:t>.</w:t>
      </w:r>
    </w:p>
    <w:p w14:paraId="15D3C3E3" w14:textId="681DD8CA" w:rsidR="00FE013C" w:rsidRPr="00637E25" w:rsidRDefault="00FE013C" w:rsidP="004E7A62">
      <w:pPr>
        <w:spacing w:after="120"/>
        <w:ind w:firstLine="480"/>
      </w:pPr>
      <w:r w:rsidRPr="00637E25">
        <w:t xml:space="preserve">Passive filters (tuned LC circuits), active power filters (APFs), multi-pulse rectifier configurations, and advanced inverter control algorithms can be used to reduce harmonic current injection </w:t>
      </w:r>
      <w:r>
        <w:fldChar w:fldCharType="begin"/>
      </w:r>
      <w:r w:rsidR="001D1223">
        <w:instrText xml:space="preserve"> ADDIN ZOTERO_ITEM CSL_CITATION {"citationID":"mqXTld0r","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fldChar w:fldCharType="separate"/>
      </w:r>
      <w:r w:rsidR="001D1223" w:rsidRPr="001D1223">
        <w:t>[59]</w:t>
      </w:r>
      <w:r>
        <w:fldChar w:fldCharType="end"/>
      </w:r>
      <w:r w:rsidRPr="00637E25">
        <w:t xml:space="preserve">. The choice of mitigation technology depends on the harmonic spectrum, loading dynamics, and cost considerations. Active filters are the preferred choice for AI data </w:t>
      </w:r>
      <w:r w:rsidR="00580BAE">
        <w:t>center</w:t>
      </w:r>
      <w:r w:rsidRPr="00637E25">
        <w:t>s, where the loads are often irregular, as they can continuously adapt to shifts in the harmonic profile</w:t>
      </w:r>
      <w:r>
        <w:fldChar w:fldCharType="begin"/>
      </w:r>
      <w:r w:rsidR="004E7A62">
        <w:instrText xml:space="preserve"> ADDIN ZOTERO_ITEM CSL_CITATION {"citationID":"dBxza6Dz","properties":{"unsorted":false,"formattedCitation":"[137]","plainCitation":"[137]","noteIndex":0},"citationItems":[{"id":2102,"uris":["http://zotero.org/users/9870935/items/V6QTZZ73"],"itemData":{"id":2102,"type":"article-journal","abstract":"Power quality issues have become a critical concern in modern industrial systems due to the increasing use of nonlinear loads, power electronic converters, and renewable energy integration. These factors significantly contribute to harmonic distortion, reactive power imbalance, voltage fluctuations, and reduced power factor, which can degrade system performance and shorten equipment lifespan. This study aims to analyze the effectiveness of active power filters in improving power quality in industrial environments. The research adopts a qualitative analytical approach by synthesizing recent empirical and simulation-based studies on shunt, series, and hybrid active power filter configurations. The findings indicate that active power filters provide superior harmonic mitigation, dynamic reactive power compensation, and voltage stabilization compared to conventional passive solutions. Shunt active power filters are particularly effective in reducing current harmonics, while series active power filters address voltage-related disturbances such as sags and swells. The study concludes that active power filters represent a robust and flexible solution for enhancing industrial power quality, supporting compliance with international standards and improving overall system reliability.","container-title":"RESWARA: Jurnal Riset Ilmu Teknik","DOI":"10.70716/reswara.v3i2.404","ISSN":"3025-9444","issue":"2","journalAbbreviation":"Reswara J. Ris. Ilmu Tek.","license":"https://creativecommons.org/licenses/by-sa/4.0","page":"44-50","source":"DOI.org (Crossref)","title":"Power Quality Improvement Using Active Power Filters in Industrial Systems","volume":"3","author":[{"family":"Anindya","given":"Mikaela Shopie"},{"family":"Zaro","given":"Fouad"},{"family":"Popescu","given":"Mihaela"}],"issued":{"date-parts":[["2025",4,26]]}}}],"schema":"https://github.com/citation-style-language/schema/raw/master/csl-citation.json"} </w:instrText>
      </w:r>
      <w:r>
        <w:fldChar w:fldCharType="separate"/>
      </w:r>
      <w:r w:rsidR="004E7A62" w:rsidRPr="004E7A62">
        <w:t>[137]</w:t>
      </w:r>
      <w:r>
        <w:fldChar w:fldCharType="end"/>
      </w:r>
      <w:r w:rsidRPr="00637E25">
        <w:t>.</w:t>
      </w:r>
    </w:p>
    <w:p w14:paraId="780E96E1" w14:textId="77777777" w:rsidR="00FE013C" w:rsidRDefault="00FE013C" w:rsidP="004C16FF">
      <w:pPr>
        <w:pStyle w:val="Heading20"/>
        <w:jc w:val="both"/>
        <w:rPr>
          <w:color w:val="auto"/>
        </w:rPr>
      </w:pPr>
      <w:r>
        <w:rPr>
          <w:color w:val="auto"/>
        </w:rPr>
        <w:t>6.4. Microgrid Modeling Frameworks</w:t>
      </w:r>
    </w:p>
    <w:p w14:paraId="62BF3783" w14:textId="030075B4" w:rsidR="00FE013C" w:rsidRPr="0014185D" w:rsidRDefault="00FE013C" w:rsidP="004E7A62">
      <w:pPr>
        <w:spacing w:after="120"/>
        <w:ind w:firstLine="480"/>
      </w:pPr>
      <w:r w:rsidRPr="0014185D">
        <w:t xml:space="preserve">There are a variety of software packages for microgrid modelling and simulation, ranging in fidelity and efficiency. HOMER (Hybrid Optimization Model for Electric Renewables), developed by NREL and Modeled by UL Solutions, is a dispatch simulation that combines economic </w:t>
      </w:r>
      <w:r w:rsidR="00580BAE" w:rsidRPr="0014185D">
        <w:t>optimization</w:t>
      </w:r>
      <w:r w:rsidRPr="0014185D">
        <w:t xml:space="preserve"> and is particularly useful for sizing applications and comparison of technologies</w:t>
      </w:r>
      <w:r>
        <w:fldChar w:fldCharType="begin"/>
      </w:r>
      <w:r w:rsidR="004E7A62">
        <w:instrText xml:space="preserve"> ADDIN ZOTERO_ITEM CSL_CITATION {"citationID":"TEOEDiB7","properties":{"unsorted":false,"formattedCitation":"[138]","plainCitation":"[138]","noteIndex":0},"citationItems":[{"id":2104,"uris":["http://zotero.org/users/9870935/items/VUEBTNAU"],"itemData":{"id":2104,"type":"post-weblog","title":"Microgrid and Hybrid Power Modeling","URL":"https://homerenergy.com/","author":[{"family":"HOMER","given":""}]}}],"schema":"https://github.com/citation-style-language/schema/raw/master/csl-citation.json"} </w:instrText>
      </w:r>
      <w:r>
        <w:fldChar w:fldCharType="separate"/>
      </w:r>
      <w:r w:rsidR="004E7A62" w:rsidRPr="004E7A62">
        <w:t>[138]</w:t>
      </w:r>
      <w:r>
        <w:fldChar w:fldCharType="end"/>
      </w:r>
      <w:r w:rsidRPr="0014185D">
        <w:t>. HOMER Pro has built-in component models of solar PV, wind turbines, batteries, generators, and grid interconnection, and sensitivity analysis to explore parameter uncertainty. However, HOMER’s hourly time resolution may not be adequate for sub-hourly phenomena, such as frequency regulation and voltage transients.</w:t>
      </w:r>
    </w:p>
    <w:p w14:paraId="5CC18D81" w14:textId="10EF4C93" w:rsidR="00FE013C" w:rsidRPr="0014185D" w:rsidRDefault="00FE013C" w:rsidP="004E7A62">
      <w:pPr>
        <w:spacing w:after="120"/>
        <w:ind w:firstLine="480"/>
      </w:pPr>
      <w:r w:rsidRPr="0014185D">
        <w:t xml:space="preserve">For detailed electromagnetic transient simulations, MATLAB Simulink with the Simscape Electrical toolbox delivers analysis of the dynamics of inverter control, protection system co-ordination, and fast-switching power electronics. Several open-source tools are available, such as Pandapower (Python power flow), </w:t>
      </w:r>
      <w:r w:rsidRPr="002A1323">
        <w:t xml:space="preserve">PYPOWER (a Python port of the MATPOWER optimal power </w:t>
      </w:r>
      <w:r w:rsidRPr="002A1323">
        <w:lastRenderedPageBreak/>
        <w:t>flow toolbox)</w:t>
      </w:r>
      <w:r w:rsidRPr="0014185D">
        <w:t>, and OpenModelica (equation-based modelling) for research and preliminary engineering studies</w:t>
      </w:r>
      <w:r>
        <w:fldChar w:fldCharType="begin"/>
      </w:r>
      <w:r w:rsidR="001D1223">
        <w:instrText xml:space="preserve"> ADDIN ZOTERO_ITEM CSL_CITATION {"citationID":"9MlNjf5g","properties":{"unsorted":false,"formattedCitation":"[58]","plainCitation":"[58]","noteIndex":0},"citationItems":[{"id":2090,"uris":["http://zotero.org/users/9870935/items/MW6JYBRT"],"itemData":{"id":2090,"type":"article-journal","container-title":"IEEE Transactions on Power Systems","DOI":"10.1109/TPWRS.2010.2051168","ISSN":"0885-8950, 1558-0679","issue":"1","journalAbbreviation":"IEEE Trans. Power Syst.","license":"https://ieeexplore.ieee.org/Xplorehelp/downloads/license-information/IEEE.html","page":"12-19","source":"DOI.org (Crossref)","title":"MATPOWER: Steady-State Operations, Planning, and Analysis Tools for Power Systems Research and Education","title-short":"MATPOWER","volume":"26","author":[{"family":"Zimmerman","given":"Ray Daniel"},{"family":"Murillo-Sanchez","given":"Carlos Edmundo"},{"family":"Thomas","given":"Robert John"}],"issued":{"date-parts":[["2011",2]]}}}],"schema":"https://github.com/citation-style-language/schema/raw/master/csl-citation.json"} </w:instrText>
      </w:r>
      <w:r>
        <w:fldChar w:fldCharType="separate"/>
      </w:r>
      <w:r w:rsidR="001D1223" w:rsidRPr="001D1223">
        <w:t>[58]</w:t>
      </w:r>
      <w:r>
        <w:fldChar w:fldCharType="end"/>
      </w:r>
      <w:r w:rsidRPr="0014185D">
        <w:t xml:space="preserve">. The choice of the modelling framework should be determined by the analysis needs: HOMER for system sizing and economic </w:t>
      </w:r>
      <w:r w:rsidR="00580BAE" w:rsidRPr="0014185D">
        <w:t>optimization</w:t>
      </w:r>
      <w:r w:rsidRPr="0014185D">
        <w:t>, MATLAB/ETAP for detailed electrical design and protection coordination, and PSCAD/EMTDC for electromagnetic transient studies of inverter-dominated systems</w:t>
      </w:r>
      <w:r>
        <w:fldChar w:fldCharType="begin"/>
      </w:r>
      <w:r w:rsidR="004E7A62">
        <w:instrText xml:space="preserve"> ADDIN ZOTERO_ITEM CSL_CITATION {"citationID":"B1rst5wh","properties":{"unsorted":false,"formattedCitation":"[139]","plainCitation":"[139]","noteIndex":0},"citationItems":[{"id":2108,"uris":["http://zotero.org/users/9870935/items/QMWE3DSP"],"itemData":{"id":2108,"type":"paper-conference","container-title":"2015 IEEE Power &amp; Energy Society General Meeting","DOI":"10.1109/PESGM.2015.7285986","event-title":"2015 IEEE Power &amp; Energy Society General Meeting","ISBN":"978-1-4673-8040-9","page":"1-5","publisher":"IEEE","publisher-place":"Denver, CO, USA","source":"DOI.org (Crossref)","title":"Towards consistent model exchange and simulation of VSC-HVdc controls for EMT studies","URL":"http://ieeexplore.ieee.org/document/7285986/","author":[{"family":"Rogersten","given":"Robert"},{"family":"Vanfretti","given":"Luigi"},{"family":"Li","given":"Wei"}],"accessed":{"date-parts":[["2026",5,18]]},"issued":{"date-parts":[["2015",7]]}}}],"schema":"https://github.com/citation-style-language/schema/raw/master/csl-citation.json"} </w:instrText>
      </w:r>
      <w:r>
        <w:fldChar w:fldCharType="separate"/>
      </w:r>
      <w:r w:rsidR="004E7A62" w:rsidRPr="004E7A62">
        <w:t>[139]</w:t>
      </w:r>
      <w:r>
        <w:fldChar w:fldCharType="end"/>
      </w:r>
      <w:r w:rsidRPr="0014185D">
        <w:t>.</w:t>
      </w:r>
    </w:p>
    <w:p w14:paraId="085E83CE" w14:textId="77777777" w:rsidR="00FE013C" w:rsidRDefault="00FE013C" w:rsidP="004C16FF">
      <w:pPr>
        <w:pStyle w:val="Heading20"/>
        <w:jc w:val="both"/>
        <w:rPr>
          <w:color w:val="auto"/>
        </w:rPr>
      </w:pPr>
      <w:r>
        <w:rPr>
          <w:color w:val="auto"/>
        </w:rPr>
        <w:t>6.5. Time-Series Simulation and Forecasting</w:t>
      </w:r>
    </w:p>
    <w:p w14:paraId="2CF32591" w14:textId="5102F4AD" w:rsidR="00FE013C" w:rsidRPr="00AA52FF" w:rsidRDefault="00FE013C" w:rsidP="009A7507">
      <w:pPr>
        <w:spacing w:after="120"/>
        <w:ind w:firstLine="480"/>
      </w:pPr>
      <w:r w:rsidRPr="00AA52FF">
        <w:t xml:space="preserve">To assess renewable energy-based data </w:t>
      </w:r>
      <w:r w:rsidR="00580BAE">
        <w:t>center</w:t>
      </w:r>
      <w:r w:rsidRPr="00AA52FF">
        <w:t xml:space="preserve"> systems under realistic operating conditions, time-series simulation at hourly or sub-hourly resolution is crucial. Hourly simulation accounts for the diurnal and seasonal variation in renewable generation and load demand, and it can be used to provide the energy balance calculations required to determine the storage capacity required, energy demand and supply from the grid, and energy balance metrics for system reliability</w:t>
      </w:r>
      <w:r>
        <w:fldChar w:fldCharType="begin"/>
      </w:r>
      <w:r w:rsidR="009A7507">
        <w:instrText xml:space="preserve"> ADDIN ZOTERO_ITEM CSL_CITATION {"citationID":"bPQv1yvI","properties":{"unsorted":false,"formattedCitation":"[128]","plainCitation":"[128]","noteIndex":0},"citationItems":[{"id":2109,"uris":["http://zotero.org/users/9870935/items/EHIDCCEW"],"itemData":{"id":2109,"type":"paper-conference","container-title":"2023 IEEE 9th International Conference on Smart Instrumentation, Measurement and Applications (ICSIMA)","DOI":"10.1109/ICSIMA59853.2023.10373520","event-title":"2023 IEEE 9th International Conference on Smart Instrumentation, Measurement and Applications (ICSIMA)","ISBN":"979-8-3503-4338-0","license":"https://doi.org/10.15223/policy-029","page":"263-268","publisher":"IEEE","publisher-place":"Kuala Lumpur, Malaysia","source":"DOI.org (Crossref)","title":"Using Model Predictive Control in Renewable Energy Sources","URL":"https://ieeexplore.ieee.org/document/10373520/","author":[{"family":"Rosli","given":"Anis Najwa"},{"family":"Yusoff","given":"Siti Hajar"},{"family":"Mansor","given":"Hasmah"},{"family":"Sapihie","given":"Siti Nadiah Mohd"},{"family":"Fahmi","given":"Muhammad Aqil Muqri Muhamad"}],"accessed":{"date-parts":[["2026",5,21]]},"issued":{"date-parts":[["2023",10,17]]}}}],"schema":"https://github.com/citation-style-language/schema/raw/master/csl-citation.json"} </w:instrText>
      </w:r>
      <w:r>
        <w:fldChar w:fldCharType="separate"/>
      </w:r>
      <w:r w:rsidR="009A7507" w:rsidRPr="009A7507">
        <w:t>[128]</w:t>
      </w:r>
      <w:r>
        <w:fldChar w:fldCharType="end"/>
      </w:r>
      <w:r w:rsidRPr="00AA52FF">
        <w:t>. At 5–15-min resolution, sub-hourly simulation can capture the rapid transients from cloud transients, wind gusts, and load steps, which impact power quality and frequency regulation.</w:t>
      </w:r>
    </w:p>
    <w:p w14:paraId="06F4FA34" w14:textId="372F4F56" w:rsidR="00FE013C" w:rsidRPr="00AA52FF" w:rsidRDefault="00FE013C" w:rsidP="004E7A62">
      <w:pPr>
        <w:spacing w:after="120"/>
        <w:ind w:firstLine="480"/>
      </w:pPr>
      <w:r w:rsidRPr="00AA52FF">
        <w:t xml:space="preserve">Stochastic simulation methods, especially Monte Carlo methods, can be used to quantify uncertainty in the performance of a system, resulting from errors in forecasts, equipment failures, and climate variability. Monte Carlo analysis runs thousands of simulation runs, with the input parameters randomly sampled across the range, which generates a probability distribution of key output metrics such as annual energy cost, LOLE, and renewable </w:t>
      </w:r>
      <w:r w:rsidR="00580BAE" w:rsidRPr="00AA52FF">
        <w:t>utilization</w:t>
      </w:r>
      <w:r w:rsidRPr="00AA52FF">
        <w:t xml:space="preserve"> fraction</w:t>
      </w:r>
      <w:r>
        <w:fldChar w:fldCharType="begin"/>
      </w:r>
      <w:r w:rsidR="00A95675">
        <w:instrText xml:space="preserve"> ADDIN ZOTERO_ITEM CSL_CITATION {"citationID":"axvHbxNa","properties":{"unsorted":false,"formattedCitation":"[121]","plainCitation":"[121]","noteIndex":0},"citationItems":[{"id":2110,"uris":["http://zotero.org/users/9870935/items/WXV5HE5P"],"itemData":{"id":2110,"type":"book","abstract":"This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fldChar w:fldCharType="separate"/>
      </w:r>
      <w:r w:rsidR="00A95675" w:rsidRPr="00A95675">
        <w:t>[121]</w:t>
      </w:r>
      <w:r>
        <w:fldChar w:fldCharType="end"/>
      </w:r>
      <w:r w:rsidRPr="00AA52FF">
        <w:t>. Forecast integration is essential for model-predictive control strategies and for day-ahead dispatch planning, a prediction horizon of 6 to 48 hours for solar and wind is needed. The accuracy of these forecasts directly impacts the performance of optimization-based dispatch, with day-ahead solar forecast errors of 10</w:t>
      </w:r>
      <w:r>
        <w:t>-15%</w:t>
      </w:r>
      <w:r w:rsidRPr="00AA52FF">
        <w:t xml:space="preserve"> MAPE and intra-day errors of </w:t>
      </w:r>
      <w:r>
        <w:t>5-10%</w:t>
      </w:r>
      <w:r w:rsidRPr="00AA52FF">
        <w:t xml:space="preserve"> MAPE being typical of state-of-the-art systems</w:t>
      </w:r>
      <w:r>
        <w:fldChar w:fldCharType="begin"/>
      </w:r>
      <w:r w:rsidR="004E7A62">
        <w:instrText xml:space="preserve"> ADDIN ZOTERO_ITEM CSL_CITATION {"citationID":"ExCX3b0d","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4E7A62" w:rsidRPr="004E7A62">
        <w:t>[140]</w:t>
      </w:r>
      <w:r>
        <w:fldChar w:fldCharType="end"/>
      </w:r>
      <w:r w:rsidRPr="00AA52FF">
        <w:t>.</w:t>
      </w:r>
    </w:p>
    <w:p w14:paraId="7F2F5E26" w14:textId="77777777" w:rsidR="00FE013C" w:rsidRDefault="00FE013C" w:rsidP="004C16FF">
      <w:pPr>
        <w:pStyle w:val="Heading20"/>
        <w:jc w:val="both"/>
        <w:rPr>
          <w:color w:val="auto"/>
        </w:rPr>
      </w:pPr>
      <w:r>
        <w:rPr>
          <w:color w:val="auto"/>
        </w:rPr>
        <w:t>6.6. Machine Learning for Control and Forecasting</w:t>
      </w:r>
    </w:p>
    <w:p w14:paraId="729A9149" w14:textId="6DCBF5A0" w:rsidR="006D572A" w:rsidRPr="008F308F" w:rsidRDefault="006D572A" w:rsidP="00E842C0">
      <w:pPr>
        <w:spacing w:after="120"/>
        <w:ind w:firstLine="480"/>
        <w:rPr>
          <w:highlight w:val="yellow"/>
        </w:rPr>
      </w:pPr>
      <w:r w:rsidRPr="008F308F">
        <w:rPr>
          <w:highlight w:val="yellow"/>
        </w:rPr>
        <w:t xml:space="preserve">Machine learning methods are used for prediction, energy management and control in renewable energy systems more and more. Data-driven methods can be used in conjunction with traditional physical and statistical forecasting techniques to capture the nonlinear dependencies and temporal dynamics among meteorological parameters and renewable energy generation. Performance forecasting, however, is highly dependent on the data set under consideration, the prediction horizon, geographic and climatic conditions, features used as input to the model, model architecture, and benchmark method. It is important, therefore, to recognize that any reported improvement for this study over the conventional forecasting methods is study-specific, and no common percentage improvement is adopted in this review </w:t>
      </w:r>
      <w:r w:rsidRPr="008F308F">
        <w:rPr>
          <w:highlight w:val="yellow"/>
        </w:rPr>
        <w:fldChar w:fldCharType="begin"/>
      </w:r>
      <w:r w:rsidRPr="008F308F">
        <w:rPr>
          <w:highlight w:val="yellow"/>
        </w:rPr>
        <w:instrText xml:space="preserve"> ADDIN ZOTERO_ITEM CSL_CITATION {"citationID":"aXxbu5p8","properties":{"unsorted":false,"formattedCitation":"[141]","plainCitation":"[141]","noteIndex":0},"citationItems":[{"id":2113,"uris":["http://zotero.org/users/9870935/items/SPP98TI7"],"itemData":{"id":2113,"type":"article-journal","container-title":"Artificial Intelligence Review","DOI":"10.1007/s10462-026-11545-2","ISSN":"1573-7462","journalAbbreviation":"Artif Intell Rev","language":"en","source":"DOI.org (Crossref)","title":"Generative AI and LLM applications in renewable energy and smart grids: a systematic review for the sustainable energy transition","title-short":"Generative AI and LLM applications in renewable energy and smart grids","URL":"https://link.springer.com/10.1007/s10462-026-11545-2","author":[{"family":"Cali","given":"Umit"},{"family":"Halden","given":"Ugur"},{"family":"Andoni","given":"Merlinda"},{"family":"Catak","given":"Ferhat Ozgur"},{"family":"Chen","given":"Si"},{"family":"Couraud","given":"Benoit"},{"family":"Kantar","given":"Emre"},{"family":"Knapper","given":"Samuel"},{"family":"Kucukdemiral","given":"Ibrahim"},{"family":"Kusetogullari","given":"Huseyin"},{"family":"Kuzlu","given":"Murat"},{"family":"Mousavi","given":"Yashar"},{"family":"Norbu","given":"Sonam"},{"family":"Ustun","given":"Taha Selim"},{"family":"Flynn","given":"David"}],"accessed":{"date-parts":[["2026",5,21]]},"issued":{"date-parts":[["2026",4,7]]}}}],"schema":"https://github.com/citation-style-language/schema/raw/master/csl-citation.json"} </w:instrText>
      </w:r>
      <w:r w:rsidRPr="008F308F">
        <w:rPr>
          <w:highlight w:val="yellow"/>
        </w:rPr>
        <w:fldChar w:fldCharType="separate"/>
      </w:r>
      <w:r w:rsidRPr="008F308F">
        <w:rPr>
          <w:highlight w:val="yellow"/>
        </w:rPr>
        <w:t>[141]</w:t>
      </w:r>
      <w:r w:rsidRPr="008F308F">
        <w:rPr>
          <w:highlight w:val="yellow"/>
        </w:rPr>
        <w:fldChar w:fldCharType="end"/>
      </w:r>
      <w:r w:rsidRPr="008F308F">
        <w:rPr>
          <w:highlight w:val="yellow"/>
        </w:rPr>
        <w:t xml:space="preserve">. Deep reinforcement learning (DRL) is also a promising solution for microgrid energy management where an agent iteratively interacts with the simulated or real environment and attempts to learn a dispatch policy to achieve a defined objective under certain constraints on the system </w:t>
      </w:r>
      <w:r w:rsidR="00503D6B" w:rsidRPr="008F308F">
        <w:rPr>
          <w:highlight w:val="yellow"/>
        </w:rPr>
        <w:fldChar w:fldCharType="begin"/>
      </w:r>
      <w:r w:rsidR="00E842C0">
        <w:rPr>
          <w:highlight w:val="yellow"/>
        </w:rPr>
        <w:instrText xml:space="preserve"> ADDIN ZOTERO_ITEM CSL_CITATION {"citationID":"atzHcWL3","properties":{"unsorted":false,"formattedCitation":"[142]","plainCitation":"[142]","noteIndex":0},"citationItems":[{"id":2115,"uris":["http://zotero.org/users/9870935/items/6L86NR5W"],"itemData":{"id":2115,"type":"article-journal","container-title":"Energy Reports","DOI":"10.1016/j.egyr.2026.109218","ISSN":"23524847","journalAbbreviation":"Energy Reports","language":"en","page":"109218","source":"DOI.org (Crossref)","title":"Digital twin applications and case studies in modern power grid management","volume":"15","author":[{"family":"Subramanian","given":"N."},{"family":"Stonier","given":"Albert Alexander"}],"issued":{"date-parts":[["2026",6]]}}}],"schema":"https://github.com/citation-style-language/schema/raw/master/csl-citation.json"} </w:instrText>
      </w:r>
      <w:r w:rsidR="00503D6B" w:rsidRPr="008F308F">
        <w:rPr>
          <w:highlight w:val="yellow"/>
        </w:rPr>
        <w:fldChar w:fldCharType="separate"/>
      </w:r>
      <w:r w:rsidR="00E842C0" w:rsidRPr="00E842C0">
        <w:rPr>
          <w:highlight w:val="yellow"/>
        </w:rPr>
        <w:t>[142]</w:t>
      </w:r>
      <w:r w:rsidR="00503D6B" w:rsidRPr="008F308F">
        <w:rPr>
          <w:highlight w:val="yellow"/>
        </w:rPr>
        <w:fldChar w:fldCharType="end"/>
      </w:r>
      <w:r w:rsidRPr="008F308F">
        <w:rPr>
          <w:highlight w:val="yellow"/>
        </w:rPr>
        <w:t>.</w:t>
      </w:r>
    </w:p>
    <w:p w14:paraId="13ADDC7D" w14:textId="78E5A14D" w:rsidR="006D572A" w:rsidRDefault="006D572A" w:rsidP="00E842C0">
      <w:pPr>
        <w:spacing w:after="120"/>
        <w:ind w:firstLine="480"/>
      </w:pPr>
      <w:r w:rsidRPr="008F308F">
        <w:rPr>
          <w:highlight w:val="yellow"/>
        </w:rPr>
        <w:t xml:space="preserve">Another avenue of enhanced monitoring and control is the digital-twin approach, which is based on a virtual model of a physical system that is continuously updated with data from operations and sensors. Digital twins can be used in power systems systems and microgrids to analyze scenarios, monitor the state of the system, predict assessment, and evaluate alternative control actions </w:t>
      </w:r>
      <w:r w:rsidR="00A033FB" w:rsidRPr="008F308F">
        <w:rPr>
          <w:highlight w:val="yellow"/>
        </w:rPr>
        <w:fldChar w:fldCharType="begin"/>
      </w:r>
      <w:r w:rsidR="00E842C0">
        <w:rPr>
          <w:highlight w:val="yellow"/>
        </w:rPr>
        <w:instrText xml:space="preserve"> ADDIN ZOTERO_ITEM CSL_CITATION {"citationID":"jbAPFFwd","properties":{"unsorted":false,"formattedCitation":"[143]","plainCitation":"[143]","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A033FB" w:rsidRPr="008F308F">
        <w:rPr>
          <w:highlight w:val="yellow"/>
        </w:rPr>
        <w:fldChar w:fldCharType="separate"/>
      </w:r>
      <w:r w:rsidR="00E842C0" w:rsidRPr="00E842C0">
        <w:rPr>
          <w:highlight w:val="yellow"/>
        </w:rPr>
        <w:t>[143]</w:t>
      </w:r>
      <w:r w:rsidR="00A033FB" w:rsidRPr="008F308F">
        <w:rPr>
          <w:highlight w:val="yellow"/>
        </w:rPr>
        <w:fldChar w:fldCharType="end"/>
      </w:r>
      <w:r w:rsidRPr="008F308F">
        <w:rPr>
          <w:highlight w:val="yellow"/>
        </w:rPr>
        <w:t xml:space="preserve">. For example, when applied to a data-center microgrid, this framework could be used to examine the impact </w:t>
      </w:r>
      <w:r w:rsidRPr="008F308F">
        <w:rPr>
          <w:highlight w:val="yellow"/>
        </w:rPr>
        <w:lastRenderedPageBreak/>
        <w:t xml:space="preserve">of renewable generation forecasts on battery dispatch, to compare and contrast alternate workload scheduling strategies, and to enable condition-based assessment of critical equipment. The capabilities, however, rely on the fidelity of the underlying models, quality and availability of operational data, and accuracy of the forecasting and state-estimation techniques which are included in the digital twin </w:t>
      </w:r>
      <w:r w:rsidR="00A0372B" w:rsidRPr="008F308F">
        <w:rPr>
          <w:highlight w:val="yellow"/>
        </w:rPr>
        <w:fldChar w:fldCharType="begin"/>
      </w:r>
      <w:r w:rsidR="00E842C0">
        <w:rPr>
          <w:highlight w:val="yellow"/>
        </w:rPr>
        <w:instrText xml:space="preserve"> ADDIN ZOTERO_ITEM CSL_CITATION {"citationID":"yfM1Wvpd","properties":{"unsorted":false,"formattedCitation":"[143]","plainCitation":"[143]","noteIndex":0},"citationItems":[{"id":2116,"uris":["http://zotero.org/users/9870935/items/IUG6CTL8"],"itemData":{"id":2116,"type":"paper-conference","container-title":"2024 Boao New Power System International Forum - Power System and New Energy Technology Innovation Forum (NPSIF)","DOI":"10.1109/NPSIF64134.2024.10883453","event-title":"2024 Boao New Power System International Forum - Power System and New Energy Technology Innovation Forum (NPSIF)","ISBN":"979-8-3315-0455-7","license":"https://doi.org/10.15223/policy-029","page":"568-576","publisher":"IEEE","publisher-place":"Qionghai, China","source":"DOI.org (Crossref)","title":"The Application of Machine Learning in Power Grid","URL":"https://ieeexplore.ieee.org/document/10883453/","author":[{"family":"Chen","given":"Haonan"},{"family":"Feng","given":"Xing"},{"family":"Chen","given":"Quanjun"},{"family":"Han","given":"Renshuang"}],"accessed":{"date-parts":[["2026",5,21]]},"issued":{"date-parts":[["2024",12,8]]}}}],"schema":"https://github.com/citation-style-language/schema/raw/master/csl-citation.json"} </w:instrText>
      </w:r>
      <w:r w:rsidR="00A0372B" w:rsidRPr="008F308F">
        <w:rPr>
          <w:highlight w:val="yellow"/>
        </w:rPr>
        <w:fldChar w:fldCharType="separate"/>
      </w:r>
      <w:r w:rsidR="00E842C0" w:rsidRPr="00E842C0">
        <w:rPr>
          <w:highlight w:val="yellow"/>
        </w:rPr>
        <w:t>[143]</w:t>
      </w:r>
      <w:r w:rsidR="00A0372B" w:rsidRPr="008F308F">
        <w:rPr>
          <w:highlight w:val="yellow"/>
        </w:rPr>
        <w:fldChar w:fldCharType="end"/>
      </w:r>
      <w:r w:rsidRPr="008F308F">
        <w:rPr>
          <w:highlight w:val="yellow"/>
        </w:rPr>
        <w:t>. In general, machine learning approaches to energy management present a challenge of model generalizability, especially if the operating conditions vary significantly from those in the training set. This restriction becomes particularly important for rare disturbances, varying load patterns, and extreme weather conditions, where historical training data may be limited or unrepresentative.</w:t>
      </w:r>
    </w:p>
    <w:p w14:paraId="05522F7C" w14:textId="16A31D1E" w:rsidR="003A3C82" w:rsidRPr="003A3C82" w:rsidRDefault="003A3C82" w:rsidP="003A3C82">
      <w:pPr>
        <w:spacing w:after="120"/>
        <w:ind w:firstLine="480"/>
        <w:rPr>
          <w:lang w:val="en-CA"/>
        </w:rPr>
      </w:pPr>
      <w:r w:rsidRPr="00357DE5">
        <w:rPr>
          <w:highlight w:val="yellow"/>
          <w:lang w:val="en-CA"/>
        </w:rPr>
        <w:t xml:space="preserve">Because different engineering questions require different modelling approaches, no single method is sufficient to evaluate all aspects of renewable-powered AI data-center design and operation. </w:t>
      </w:r>
      <w:r w:rsidR="009C1F99">
        <w:rPr>
          <w:highlight w:val="yellow"/>
          <w:lang w:val="en-CA"/>
        </w:rPr>
        <w:fldChar w:fldCharType="begin"/>
      </w:r>
      <w:r w:rsidR="009C1F99">
        <w:rPr>
          <w:highlight w:val="yellow"/>
          <w:lang w:val="en-CA"/>
        </w:rPr>
        <w:instrText xml:space="preserve"> REF _Ref239530766 \h </w:instrText>
      </w:r>
      <w:r w:rsidR="009C1F99">
        <w:rPr>
          <w:highlight w:val="yellow"/>
          <w:lang w:val="en-CA"/>
        </w:rPr>
      </w:r>
      <w:r w:rsidR="009C1F99">
        <w:rPr>
          <w:highlight w:val="yellow"/>
          <w:lang w:val="en-CA"/>
        </w:rPr>
        <w:fldChar w:fldCharType="separate"/>
      </w:r>
      <w:r w:rsidR="009C1F99" w:rsidRPr="00357DE5">
        <w:rPr>
          <w:highlight w:val="yellow"/>
        </w:rPr>
        <w:t xml:space="preserve">Table </w:t>
      </w:r>
      <w:r w:rsidR="009C1F99">
        <w:rPr>
          <w:noProof/>
          <w:highlight w:val="yellow"/>
        </w:rPr>
        <w:t>4</w:t>
      </w:r>
      <w:r w:rsidR="009C1F99" w:rsidRPr="00357DE5">
        <w:rPr>
          <w:highlight w:val="yellow"/>
        </w:rPr>
        <w:t xml:space="preserve"> Recommended Modeling Approaches for Renewable-Powered AI Data Centers</w:t>
      </w:r>
      <w:r w:rsidR="009C1F99">
        <w:rPr>
          <w:highlight w:val="yellow"/>
          <w:lang w:val="en-CA"/>
        </w:rPr>
        <w:fldChar w:fldCharType="end"/>
      </w:r>
      <w:r w:rsidR="009C1F99">
        <w:rPr>
          <w:highlight w:val="yellow"/>
          <w:lang w:val="en-CA"/>
        </w:rPr>
        <w:t xml:space="preserve">, </w:t>
      </w:r>
      <w:r w:rsidRPr="00357DE5">
        <w:rPr>
          <w:highlight w:val="yellow"/>
          <w:lang w:val="en-CA"/>
        </w:rPr>
        <w:t>summarizes the recommended modelling approach, time resolution, input-data requirements, and primary limitations associated with the most common engineering and operational questions addressed in this review.</w:t>
      </w:r>
    </w:p>
    <w:p w14:paraId="7C1F80D4" w14:textId="10AC0308" w:rsidR="003A3C82" w:rsidRDefault="003A3C82" w:rsidP="003A3C82">
      <w:pPr>
        <w:pStyle w:val="Caption"/>
        <w:keepNext/>
      </w:pPr>
      <w:bookmarkStart w:id="13" w:name="_Ref239530766"/>
      <w:r w:rsidRPr="00357DE5">
        <w:rPr>
          <w:highlight w:val="yellow"/>
        </w:rPr>
        <w:t xml:space="preserve">Table </w:t>
      </w:r>
      <w:r w:rsidRPr="00357DE5">
        <w:rPr>
          <w:highlight w:val="yellow"/>
        </w:rPr>
        <w:fldChar w:fldCharType="begin"/>
      </w:r>
      <w:r w:rsidRPr="00357DE5">
        <w:rPr>
          <w:highlight w:val="yellow"/>
        </w:rPr>
        <w:instrText xml:space="preserve"> SEQ Table \* ARABIC </w:instrText>
      </w:r>
      <w:r w:rsidRPr="00357DE5">
        <w:rPr>
          <w:highlight w:val="yellow"/>
        </w:rPr>
        <w:fldChar w:fldCharType="separate"/>
      </w:r>
      <w:r w:rsidR="003A45CA">
        <w:rPr>
          <w:noProof/>
          <w:highlight w:val="yellow"/>
        </w:rPr>
        <w:t>4</w:t>
      </w:r>
      <w:r w:rsidRPr="00357DE5">
        <w:rPr>
          <w:highlight w:val="yellow"/>
        </w:rPr>
        <w:fldChar w:fldCharType="end"/>
      </w:r>
      <w:r w:rsidRPr="00357DE5">
        <w:rPr>
          <w:highlight w:val="yellow"/>
        </w:rPr>
        <w:t xml:space="preserve"> Recommended Modeling Approaches for Renewable-Powered AI Data Centers</w:t>
      </w:r>
      <w:bookmarkEnd w:id="13"/>
    </w:p>
    <w:tbl>
      <w:tblPr>
        <w:tblStyle w:val="MDPI41threelinetable"/>
        <w:tblW w:w="5000" w:type="pct"/>
        <w:tblLook w:val="04A0" w:firstRow="1" w:lastRow="0" w:firstColumn="1" w:lastColumn="0" w:noHBand="0" w:noVBand="1"/>
      </w:tblPr>
      <w:tblGrid>
        <w:gridCol w:w="2180"/>
        <w:gridCol w:w="2161"/>
        <w:gridCol w:w="1831"/>
        <w:gridCol w:w="1910"/>
        <w:gridCol w:w="1670"/>
      </w:tblGrid>
      <w:tr w:rsidR="00C3472F" w:rsidRPr="00C3472F" w14:paraId="0A32EC07" w14:textId="77777777" w:rsidTr="008F308F">
        <w:trPr>
          <w:cnfStyle w:val="100000000000" w:firstRow="1" w:lastRow="0" w:firstColumn="0" w:lastColumn="0" w:oddVBand="0" w:evenVBand="0" w:oddHBand="0" w:evenHBand="0" w:firstRowFirstColumn="0" w:firstRowLastColumn="0" w:lastRowFirstColumn="0" w:lastRowLastColumn="0"/>
        </w:trPr>
        <w:tc>
          <w:tcPr>
            <w:tcW w:w="0" w:type="auto"/>
            <w:hideMark/>
          </w:tcPr>
          <w:p w14:paraId="717BD62A" w14:textId="77777777" w:rsidR="00C3472F" w:rsidRPr="00C3472F" w:rsidRDefault="00C3472F" w:rsidP="00C3472F">
            <w:pPr>
              <w:spacing w:after="120"/>
              <w:ind w:firstLine="480"/>
              <w:rPr>
                <w:b w:val="0"/>
                <w:bCs/>
                <w:sz w:val="18"/>
                <w:szCs w:val="18"/>
                <w:lang w:val="en-CA"/>
              </w:rPr>
            </w:pPr>
            <w:r w:rsidRPr="00C3472F">
              <w:rPr>
                <w:bCs/>
                <w:sz w:val="18"/>
                <w:szCs w:val="18"/>
                <w:lang w:val="en-CA"/>
              </w:rPr>
              <w:t>Engineering Question</w:t>
            </w:r>
          </w:p>
        </w:tc>
        <w:tc>
          <w:tcPr>
            <w:tcW w:w="0" w:type="auto"/>
            <w:hideMark/>
          </w:tcPr>
          <w:p w14:paraId="36D40EC8" w14:textId="77777777" w:rsidR="00C3472F" w:rsidRPr="00C3472F" w:rsidRDefault="00C3472F" w:rsidP="00C3472F">
            <w:pPr>
              <w:spacing w:after="120"/>
              <w:ind w:firstLine="480"/>
              <w:rPr>
                <w:b w:val="0"/>
                <w:bCs/>
                <w:sz w:val="18"/>
                <w:szCs w:val="18"/>
                <w:lang w:val="en-CA"/>
              </w:rPr>
            </w:pPr>
            <w:r w:rsidRPr="00C3472F">
              <w:rPr>
                <w:bCs/>
                <w:sz w:val="18"/>
                <w:szCs w:val="18"/>
                <w:lang w:val="en-CA"/>
              </w:rPr>
              <w:t>Recommended Method</w:t>
            </w:r>
          </w:p>
        </w:tc>
        <w:tc>
          <w:tcPr>
            <w:tcW w:w="0" w:type="auto"/>
            <w:hideMark/>
          </w:tcPr>
          <w:p w14:paraId="0047DC83" w14:textId="77777777" w:rsidR="00C3472F" w:rsidRPr="00C3472F" w:rsidRDefault="00C3472F" w:rsidP="00C3472F">
            <w:pPr>
              <w:spacing w:after="120"/>
              <w:ind w:firstLine="480"/>
              <w:rPr>
                <w:b w:val="0"/>
                <w:bCs/>
                <w:sz w:val="18"/>
                <w:szCs w:val="18"/>
                <w:lang w:val="en-CA"/>
              </w:rPr>
            </w:pPr>
            <w:r w:rsidRPr="00C3472F">
              <w:rPr>
                <w:bCs/>
                <w:sz w:val="18"/>
                <w:szCs w:val="18"/>
                <w:lang w:val="en-CA"/>
              </w:rPr>
              <w:t>Typical Time Resolution</w:t>
            </w:r>
          </w:p>
        </w:tc>
        <w:tc>
          <w:tcPr>
            <w:tcW w:w="0" w:type="auto"/>
            <w:hideMark/>
          </w:tcPr>
          <w:p w14:paraId="5FE33680" w14:textId="77777777" w:rsidR="00C3472F" w:rsidRPr="00C3472F" w:rsidRDefault="00C3472F" w:rsidP="00C3472F">
            <w:pPr>
              <w:spacing w:after="120"/>
              <w:ind w:firstLine="480"/>
              <w:rPr>
                <w:b w:val="0"/>
                <w:bCs/>
                <w:sz w:val="18"/>
                <w:szCs w:val="18"/>
                <w:lang w:val="en-CA"/>
              </w:rPr>
            </w:pPr>
            <w:r w:rsidRPr="00C3472F">
              <w:rPr>
                <w:bCs/>
                <w:sz w:val="18"/>
                <w:szCs w:val="18"/>
                <w:lang w:val="en-CA"/>
              </w:rPr>
              <w:t>Required Inputs</w:t>
            </w:r>
          </w:p>
        </w:tc>
        <w:tc>
          <w:tcPr>
            <w:tcW w:w="0" w:type="auto"/>
            <w:hideMark/>
          </w:tcPr>
          <w:p w14:paraId="2AAEAD16" w14:textId="77777777" w:rsidR="00C3472F" w:rsidRPr="00C3472F" w:rsidRDefault="00C3472F" w:rsidP="00C3472F">
            <w:pPr>
              <w:spacing w:after="120"/>
              <w:ind w:firstLine="480"/>
              <w:rPr>
                <w:b w:val="0"/>
                <w:bCs/>
                <w:sz w:val="18"/>
                <w:szCs w:val="18"/>
                <w:lang w:val="en-CA"/>
              </w:rPr>
            </w:pPr>
            <w:r w:rsidRPr="00C3472F">
              <w:rPr>
                <w:bCs/>
                <w:sz w:val="18"/>
                <w:szCs w:val="18"/>
                <w:lang w:val="en-CA"/>
              </w:rPr>
              <w:t>Primary Limitation</w:t>
            </w:r>
          </w:p>
        </w:tc>
      </w:tr>
      <w:tr w:rsidR="00C3472F" w:rsidRPr="00C3472F" w14:paraId="0D2B9448" w14:textId="77777777" w:rsidTr="008F308F">
        <w:tc>
          <w:tcPr>
            <w:tcW w:w="0" w:type="auto"/>
            <w:hideMark/>
          </w:tcPr>
          <w:p w14:paraId="5E958383" w14:textId="77777777" w:rsidR="00C3472F" w:rsidRPr="00C3472F" w:rsidRDefault="00C3472F" w:rsidP="00C3472F">
            <w:pPr>
              <w:spacing w:after="120"/>
              <w:ind w:firstLine="480"/>
              <w:rPr>
                <w:sz w:val="18"/>
                <w:szCs w:val="18"/>
                <w:lang w:val="en-CA"/>
              </w:rPr>
            </w:pPr>
            <w:r w:rsidRPr="00C3472F">
              <w:rPr>
                <w:sz w:val="18"/>
                <w:szCs w:val="18"/>
                <w:lang w:val="en-CA"/>
              </w:rPr>
              <w:t>Power-flow analysis, voltage profile assessment, line loading, and loss estimation</w:t>
            </w:r>
          </w:p>
        </w:tc>
        <w:tc>
          <w:tcPr>
            <w:tcW w:w="0" w:type="auto"/>
            <w:hideMark/>
          </w:tcPr>
          <w:p w14:paraId="28E3108F" w14:textId="77777777" w:rsidR="00C3472F" w:rsidRPr="00C3472F" w:rsidRDefault="00C3472F" w:rsidP="00C3472F">
            <w:pPr>
              <w:spacing w:after="120"/>
              <w:ind w:firstLine="480"/>
              <w:rPr>
                <w:sz w:val="18"/>
                <w:szCs w:val="18"/>
                <w:lang w:val="en-CA"/>
              </w:rPr>
            </w:pPr>
            <w:r w:rsidRPr="00C3472F">
              <w:rPr>
                <w:sz w:val="18"/>
                <w:szCs w:val="18"/>
                <w:lang w:val="en-CA"/>
              </w:rPr>
              <w:t>AC Power Flow</w:t>
            </w:r>
          </w:p>
        </w:tc>
        <w:tc>
          <w:tcPr>
            <w:tcW w:w="0" w:type="auto"/>
            <w:hideMark/>
          </w:tcPr>
          <w:p w14:paraId="29FEFADE" w14:textId="77777777" w:rsidR="00C3472F" w:rsidRPr="00C3472F" w:rsidRDefault="00C3472F" w:rsidP="00C3472F">
            <w:pPr>
              <w:spacing w:after="120"/>
              <w:ind w:firstLine="480"/>
              <w:rPr>
                <w:sz w:val="18"/>
                <w:szCs w:val="18"/>
                <w:lang w:val="en-CA"/>
              </w:rPr>
            </w:pPr>
            <w:r w:rsidRPr="00C3472F">
              <w:rPr>
                <w:sz w:val="18"/>
                <w:szCs w:val="18"/>
                <w:lang w:val="en-CA"/>
              </w:rPr>
              <w:t>Steady-state</w:t>
            </w:r>
          </w:p>
        </w:tc>
        <w:tc>
          <w:tcPr>
            <w:tcW w:w="0" w:type="auto"/>
            <w:hideMark/>
          </w:tcPr>
          <w:p w14:paraId="35EAE3FA" w14:textId="77777777" w:rsidR="00C3472F" w:rsidRPr="00C3472F" w:rsidRDefault="00C3472F" w:rsidP="00C3472F">
            <w:pPr>
              <w:spacing w:after="120"/>
              <w:ind w:firstLine="480"/>
              <w:rPr>
                <w:sz w:val="18"/>
                <w:szCs w:val="18"/>
                <w:lang w:val="en-CA"/>
              </w:rPr>
            </w:pPr>
            <w:r w:rsidRPr="00C3472F">
              <w:rPr>
                <w:sz w:val="18"/>
                <w:szCs w:val="18"/>
                <w:lang w:val="en-CA"/>
              </w:rPr>
              <w:t>Network topology, line impedances, load data</w:t>
            </w:r>
          </w:p>
        </w:tc>
        <w:tc>
          <w:tcPr>
            <w:tcW w:w="0" w:type="auto"/>
            <w:hideMark/>
          </w:tcPr>
          <w:p w14:paraId="0F38B2AF" w14:textId="77777777" w:rsidR="00C3472F" w:rsidRPr="00C3472F" w:rsidRDefault="00C3472F" w:rsidP="00C3472F">
            <w:pPr>
              <w:spacing w:after="120"/>
              <w:ind w:firstLine="480"/>
              <w:rPr>
                <w:sz w:val="18"/>
                <w:szCs w:val="18"/>
                <w:lang w:val="en-CA"/>
              </w:rPr>
            </w:pPr>
            <w:r w:rsidRPr="00C3472F">
              <w:rPr>
                <w:sz w:val="18"/>
                <w:szCs w:val="18"/>
                <w:lang w:val="en-CA"/>
              </w:rPr>
              <w:t>Does not capture dynamic behaviour</w:t>
            </w:r>
          </w:p>
        </w:tc>
      </w:tr>
      <w:tr w:rsidR="00C3472F" w:rsidRPr="00C3472F" w14:paraId="6B9092CC" w14:textId="77777777" w:rsidTr="008F308F">
        <w:tc>
          <w:tcPr>
            <w:tcW w:w="0" w:type="auto"/>
            <w:hideMark/>
          </w:tcPr>
          <w:p w14:paraId="5BE4442E" w14:textId="77777777" w:rsidR="00C3472F" w:rsidRPr="00C3472F" w:rsidRDefault="00C3472F" w:rsidP="00C3472F">
            <w:pPr>
              <w:spacing w:after="120"/>
              <w:ind w:firstLine="480"/>
              <w:rPr>
                <w:sz w:val="18"/>
                <w:szCs w:val="18"/>
                <w:lang w:val="en-CA"/>
              </w:rPr>
            </w:pPr>
            <w:r w:rsidRPr="00C3472F">
              <w:rPr>
                <w:sz w:val="18"/>
                <w:szCs w:val="18"/>
                <w:lang w:val="en-CA"/>
              </w:rPr>
              <w:t>Large-scale transmission screening studies</w:t>
            </w:r>
          </w:p>
        </w:tc>
        <w:tc>
          <w:tcPr>
            <w:tcW w:w="0" w:type="auto"/>
            <w:hideMark/>
          </w:tcPr>
          <w:p w14:paraId="5F187120" w14:textId="77777777" w:rsidR="00C3472F" w:rsidRPr="00C3472F" w:rsidRDefault="00C3472F" w:rsidP="00C3472F">
            <w:pPr>
              <w:spacing w:after="120"/>
              <w:ind w:firstLine="480"/>
              <w:rPr>
                <w:sz w:val="18"/>
                <w:szCs w:val="18"/>
                <w:lang w:val="en-CA"/>
              </w:rPr>
            </w:pPr>
            <w:r w:rsidRPr="00C3472F">
              <w:rPr>
                <w:sz w:val="18"/>
                <w:szCs w:val="18"/>
                <w:lang w:val="en-CA"/>
              </w:rPr>
              <w:t>DC Power Flow</w:t>
            </w:r>
          </w:p>
        </w:tc>
        <w:tc>
          <w:tcPr>
            <w:tcW w:w="0" w:type="auto"/>
            <w:hideMark/>
          </w:tcPr>
          <w:p w14:paraId="47B8BF5A" w14:textId="77777777" w:rsidR="00C3472F" w:rsidRPr="00C3472F" w:rsidRDefault="00C3472F" w:rsidP="00C3472F">
            <w:pPr>
              <w:spacing w:after="120"/>
              <w:ind w:firstLine="480"/>
              <w:rPr>
                <w:sz w:val="18"/>
                <w:szCs w:val="18"/>
                <w:lang w:val="en-CA"/>
              </w:rPr>
            </w:pPr>
            <w:r w:rsidRPr="00C3472F">
              <w:rPr>
                <w:sz w:val="18"/>
                <w:szCs w:val="18"/>
                <w:lang w:val="en-CA"/>
              </w:rPr>
              <w:t>Steady-state</w:t>
            </w:r>
          </w:p>
        </w:tc>
        <w:tc>
          <w:tcPr>
            <w:tcW w:w="0" w:type="auto"/>
            <w:hideMark/>
          </w:tcPr>
          <w:p w14:paraId="1591BAA9" w14:textId="77777777" w:rsidR="00C3472F" w:rsidRPr="00C3472F" w:rsidRDefault="00C3472F" w:rsidP="00C3472F">
            <w:pPr>
              <w:spacing w:after="120"/>
              <w:ind w:firstLine="480"/>
              <w:rPr>
                <w:sz w:val="18"/>
                <w:szCs w:val="18"/>
                <w:lang w:val="en-CA"/>
              </w:rPr>
            </w:pPr>
            <w:r w:rsidRPr="00C3472F">
              <w:rPr>
                <w:sz w:val="18"/>
                <w:szCs w:val="18"/>
                <w:lang w:val="en-CA"/>
              </w:rPr>
              <w:t>Network topology and active-power data</w:t>
            </w:r>
          </w:p>
        </w:tc>
        <w:tc>
          <w:tcPr>
            <w:tcW w:w="0" w:type="auto"/>
            <w:hideMark/>
          </w:tcPr>
          <w:p w14:paraId="12B2AC81" w14:textId="77777777" w:rsidR="00C3472F" w:rsidRPr="00C3472F" w:rsidRDefault="00C3472F" w:rsidP="00C3472F">
            <w:pPr>
              <w:spacing w:after="120"/>
              <w:ind w:firstLine="480"/>
              <w:rPr>
                <w:sz w:val="18"/>
                <w:szCs w:val="18"/>
                <w:lang w:val="en-CA"/>
              </w:rPr>
            </w:pPr>
            <w:r w:rsidRPr="00C3472F">
              <w:rPr>
                <w:sz w:val="18"/>
                <w:szCs w:val="18"/>
                <w:lang w:val="en-CA"/>
              </w:rPr>
              <w:t>Ignores reactive power and voltage constraints</w:t>
            </w:r>
          </w:p>
        </w:tc>
      </w:tr>
      <w:tr w:rsidR="00C3472F" w:rsidRPr="00C3472F" w14:paraId="7EF239CA" w14:textId="77777777" w:rsidTr="008F308F">
        <w:tc>
          <w:tcPr>
            <w:tcW w:w="0" w:type="auto"/>
            <w:hideMark/>
          </w:tcPr>
          <w:p w14:paraId="245C9652" w14:textId="77777777" w:rsidR="00C3472F" w:rsidRPr="00C3472F" w:rsidRDefault="00C3472F" w:rsidP="00C3472F">
            <w:pPr>
              <w:spacing w:after="120"/>
              <w:ind w:firstLine="480"/>
              <w:rPr>
                <w:sz w:val="18"/>
                <w:szCs w:val="18"/>
                <w:lang w:val="en-CA"/>
              </w:rPr>
            </w:pPr>
            <w:r w:rsidRPr="00C3472F">
              <w:rPr>
                <w:sz w:val="18"/>
                <w:szCs w:val="18"/>
                <w:lang w:val="en-CA"/>
              </w:rPr>
              <w:t>Harmonic compliance and filter design</w:t>
            </w:r>
          </w:p>
        </w:tc>
        <w:tc>
          <w:tcPr>
            <w:tcW w:w="0" w:type="auto"/>
            <w:hideMark/>
          </w:tcPr>
          <w:p w14:paraId="0EFF8529" w14:textId="77777777" w:rsidR="00C3472F" w:rsidRPr="00C3472F" w:rsidRDefault="00C3472F" w:rsidP="00C3472F">
            <w:pPr>
              <w:spacing w:after="120"/>
              <w:ind w:firstLine="480"/>
              <w:rPr>
                <w:sz w:val="18"/>
                <w:szCs w:val="18"/>
                <w:lang w:val="en-CA"/>
              </w:rPr>
            </w:pPr>
            <w:r w:rsidRPr="00C3472F">
              <w:rPr>
                <w:sz w:val="18"/>
                <w:szCs w:val="18"/>
                <w:lang w:val="en-CA"/>
              </w:rPr>
              <w:t>Harmonic Analysis / Frequency-Domain Simulation</w:t>
            </w:r>
          </w:p>
        </w:tc>
        <w:tc>
          <w:tcPr>
            <w:tcW w:w="0" w:type="auto"/>
            <w:hideMark/>
          </w:tcPr>
          <w:p w14:paraId="7BA4204D" w14:textId="77777777" w:rsidR="00C3472F" w:rsidRPr="00C3472F" w:rsidRDefault="00C3472F" w:rsidP="00C3472F">
            <w:pPr>
              <w:spacing w:after="120"/>
              <w:ind w:firstLine="480"/>
              <w:rPr>
                <w:sz w:val="18"/>
                <w:szCs w:val="18"/>
                <w:lang w:val="en-CA"/>
              </w:rPr>
            </w:pPr>
            <w:r w:rsidRPr="00C3472F">
              <w:rPr>
                <w:sz w:val="18"/>
                <w:szCs w:val="18"/>
                <w:lang w:val="en-CA"/>
              </w:rPr>
              <w:t>Frequency domain</w:t>
            </w:r>
          </w:p>
        </w:tc>
        <w:tc>
          <w:tcPr>
            <w:tcW w:w="0" w:type="auto"/>
            <w:hideMark/>
          </w:tcPr>
          <w:p w14:paraId="627822D5" w14:textId="77777777" w:rsidR="00C3472F" w:rsidRPr="00C3472F" w:rsidRDefault="00C3472F" w:rsidP="00C3472F">
            <w:pPr>
              <w:spacing w:after="120"/>
              <w:ind w:firstLine="480"/>
              <w:rPr>
                <w:sz w:val="18"/>
                <w:szCs w:val="18"/>
                <w:lang w:val="en-CA"/>
              </w:rPr>
            </w:pPr>
            <w:r w:rsidRPr="00C3472F">
              <w:rPr>
                <w:sz w:val="18"/>
                <w:szCs w:val="18"/>
                <w:lang w:val="en-CA"/>
              </w:rPr>
              <w:t>Harmonic spectra, network impedance data</w:t>
            </w:r>
          </w:p>
        </w:tc>
        <w:tc>
          <w:tcPr>
            <w:tcW w:w="0" w:type="auto"/>
            <w:hideMark/>
          </w:tcPr>
          <w:p w14:paraId="35DD1EC5" w14:textId="77777777" w:rsidR="00C3472F" w:rsidRPr="00C3472F" w:rsidRDefault="00C3472F" w:rsidP="00C3472F">
            <w:pPr>
              <w:spacing w:after="120"/>
              <w:ind w:firstLine="480"/>
              <w:rPr>
                <w:sz w:val="18"/>
                <w:szCs w:val="18"/>
                <w:lang w:val="en-CA"/>
              </w:rPr>
            </w:pPr>
            <w:r w:rsidRPr="00C3472F">
              <w:rPr>
                <w:sz w:val="18"/>
                <w:szCs w:val="18"/>
                <w:lang w:val="en-CA"/>
              </w:rPr>
              <w:t>Limited representation of transient behaviour</w:t>
            </w:r>
          </w:p>
        </w:tc>
      </w:tr>
      <w:tr w:rsidR="00C3472F" w:rsidRPr="00C3472F" w14:paraId="3685A29D" w14:textId="77777777" w:rsidTr="008F308F">
        <w:tc>
          <w:tcPr>
            <w:tcW w:w="0" w:type="auto"/>
            <w:hideMark/>
          </w:tcPr>
          <w:p w14:paraId="2D9FEC80" w14:textId="77777777" w:rsidR="00C3472F" w:rsidRPr="00C3472F" w:rsidRDefault="00C3472F" w:rsidP="00C3472F">
            <w:pPr>
              <w:spacing w:after="120"/>
              <w:ind w:firstLine="480"/>
              <w:rPr>
                <w:sz w:val="18"/>
                <w:szCs w:val="18"/>
                <w:lang w:val="en-CA"/>
              </w:rPr>
            </w:pPr>
            <w:r w:rsidRPr="00C3472F">
              <w:rPr>
                <w:sz w:val="18"/>
                <w:szCs w:val="18"/>
                <w:lang w:val="en-CA"/>
              </w:rPr>
              <w:t>Inverter interactions, protection studies, and transient stability assessment</w:t>
            </w:r>
          </w:p>
        </w:tc>
        <w:tc>
          <w:tcPr>
            <w:tcW w:w="0" w:type="auto"/>
            <w:hideMark/>
          </w:tcPr>
          <w:p w14:paraId="6B40B68D" w14:textId="77777777" w:rsidR="00C3472F" w:rsidRPr="00C3472F" w:rsidRDefault="00C3472F" w:rsidP="00C3472F">
            <w:pPr>
              <w:spacing w:after="120"/>
              <w:ind w:firstLine="480"/>
              <w:rPr>
                <w:sz w:val="18"/>
                <w:szCs w:val="18"/>
                <w:lang w:val="en-CA"/>
              </w:rPr>
            </w:pPr>
            <w:r w:rsidRPr="00C3472F">
              <w:rPr>
                <w:sz w:val="18"/>
                <w:szCs w:val="18"/>
                <w:lang w:val="en-CA"/>
              </w:rPr>
              <w:t>Electromagnetic Transient (EMT) Simulation</w:t>
            </w:r>
          </w:p>
        </w:tc>
        <w:tc>
          <w:tcPr>
            <w:tcW w:w="0" w:type="auto"/>
            <w:hideMark/>
          </w:tcPr>
          <w:p w14:paraId="2CA82713" w14:textId="77777777" w:rsidR="00C3472F" w:rsidRPr="00C3472F" w:rsidRDefault="00C3472F" w:rsidP="00C3472F">
            <w:pPr>
              <w:spacing w:after="120"/>
              <w:ind w:firstLine="480"/>
              <w:rPr>
                <w:sz w:val="18"/>
                <w:szCs w:val="18"/>
                <w:lang w:val="en-CA"/>
              </w:rPr>
            </w:pPr>
            <w:r w:rsidRPr="00C3472F">
              <w:rPr>
                <w:sz w:val="18"/>
                <w:szCs w:val="18"/>
                <w:lang w:val="en-CA"/>
              </w:rPr>
              <w:t>Microseconds to milliseconds</w:t>
            </w:r>
          </w:p>
        </w:tc>
        <w:tc>
          <w:tcPr>
            <w:tcW w:w="0" w:type="auto"/>
            <w:hideMark/>
          </w:tcPr>
          <w:p w14:paraId="49EFD473" w14:textId="77777777" w:rsidR="00C3472F" w:rsidRPr="00C3472F" w:rsidRDefault="00C3472F" w:rsidP="00C3472F">
            <w:pPr>
              <w:spacing w:after="120"/>
              <w:ind w:firstLine="480"/>
              <w:rPr>
                <w:sz w:val="18"/>
                <w:szCs w:val="18"/>
                <w:lang w:val="en-CA"/>
              </w:rPr>
            </w:pPr>
            <w:r w:rsidRPr="00C3472F">
              <w:rPr>
                <w:sz w:val="18"/>
                <w:szCs w:val="18"/>
                <w:lang w:val="en-CA"/>
              </w:rPr>
              <w:t>Detailed inverter and controller models</w:t>
            </w:r>
          </w:p>
        </w:tc>
        <w:tc>
          <w:tcPr>
            <w:tcW w:w="0" w:type="auto"/>
            <w:hideMark/>
          </w:tcPr>
          <w:p w14:paraId="10B623BC" w14:textId="77777777" w:rsidR="00C3472F" w:rsidRPr="00C3472F" w:rsidRDefault="00C3472F" w:rsidP="00C3472F">
            <w:pPr>
              <w:spacing w:after="120"/>
              <w:ind w:firstLine="480"/>
              <w:rPr>
                <w:sz w:val="18"/>
                <w:szCs w:val="18"/>
                <w:lang w:val="en-CA"/>
              </w:rPr>
            </w:pPr>
            <w:r w:rsidRPr="00C3472F">
              <w:rPr>
                <w:sz w:val="18"/>
                <w:szCs w:val="18"/>
                <w:lang w:val="en-CA"/>
              </w:rPr>
              <w:t>High computational requirements</w:t>
            </w:r>
          </w:p>
        </w:tc>
      </w:tr>
      <w:tr w:rsidR="00C3472F" w:rsidRPr="00C3472F" w14:paraId="1D0C39FD" w14:textId="77777777" w:rsidTr="008F308F">
        <w:tc>
          <w:tcPr>
            <w:tcW w:w="0" w:type="auto"/>
            <w:hideMark/>
          </w:tcPr>
          <w:p w14:paraId="3FBC272B" w14:textId="77777777" w:rsidR="00C3472F" w:rsidRPr="00C3472F" w:rsidRDefault="00C3472F" w:rsidP="00C3472F">
            <w:pPr>
              <w:spacing w:after="120"/>
              <w:ind w:firstLine="480"/>
              <w:rPr>
                <w:sz w:val="18"/>
                <w:szCs w:val="18"/>
                <w:lang w:val="en-CA"/>
              </w:rPr>
            </w:pPr>
            <w:r w:rsidRPr="00C3472F">
              <w:rPr>
                <w:sz w:val="18"/>
                <w:szCs w:val="18"/>
                <w:lang w:val="en-CA"/>
              </w:rPr>
              <w:t>Renewable-generation and energy-storage sizing</w:t>
            </w:r>
          </w:p>
        </w:tc>
        <w:tc>
          <w:tcPr>
            <w:tcW w:w="0" w:type="auto"/>
            <w:hideMark/>
          </w:tcPr>
          <w:p w14:paraId="30377710" w14:textId="77777777" w:rsidR="00C3472F" w:rsidRPr="00C3472F" w:rsidRDefault="00C3472F" w:rsidP="00C3472F">
            <w:pPr>
              <w:spacing w:after="120"/>
              <w:ind w:firstLine="480"/>
              <w:rPr>
                <w:sz w:val="18"/>
                <w:szCs w:val="18"/>
                <w:lang w:val="en-CA"/>
              </w:rPr>
            </w:pPr>
            <w:r w:rsidRPr="00C3472F">
              <w:rPr>
                <w:sz w:val="18"/>
                <w:szCs w:val="18"/>
                <w:lang w:val="en-CA"/>
              </w:rPr>
              <w:t>Chronological Time-Series Simulation</w:t>
            </w:r>
          </w:p>
        </w:tc>
        <w:tc>
          <w:tcPr>
            <w:tcW w:w="0" w:type="auto"/>
            <w:hideMark/>
          </w:tcPr>
          <w:p w14:paraId="5ADF5D81" w14:textId="77777777" w:rsidR="00C3472F" w:rsidRPr="00C3472F" w:rsidRDefault="00C3472F" w:rsidP="00C3472F">
            <w:pPr>
              <w:spacing w:after="120"/>
              <w:ind w:firstLine="480"/>
              <w:rPr>
                <w:sz w:val="18"/>
                <w:szCs w:val="18"/>
                <w:lang w:val="en-CA"/>
              </w:rPr>
            </w:pPr>
            <w:r w:rsidRPr="00C3472F">
              <w:rPr>
                <w:sz w:val="18"/>
                <w:szCs w:val="18"/>
                <w:lang w:val="en-CA"/>
              </w:rPr>
              <w:t>Hourly or sub-hourly</w:t>
            </w:r>
          </w:p>
        </w:tc>
        <w:tc>
          <w:tcPr>
            <w:tcW w:w="0" w:type="auto"/>
            <w:hideMark/>
          </w:tcPr>
          <w:p w14:paraId="4612FCA6" w14:textId="77777777" w:rsidR="00C3472F" w:rsidRPr="00C3472F" w:rsidRDefault="00C3472F" w:rsidP="00C3472F">
            <w:pPr>
              <w:spacing w:after="120"/>
              <w:ind w:firstLine="480"/>
              <w:rPr>
                <w:sz w:val="18"/>
                <w:szCs w:val="18"/>
                <w:lang w:val="en-CA"/>
              </w:rPr>
            </w:pPr>
            <w:r w:rsidRPr="00C3472F">
              <w:rPr>
                <w:sz w:val="18"/>
                <w:szCs w:val="18"/>
                <w:lang w:val="en-CA"/>
              </w:rPr>
              <w:t>Renewable resource and load profiles</w:t>
            </w:r>
          </w:p>
        </w:tc>
        <w:tc>
          <w:tcPr>
            <w:tcW w:w="0" w:type="auto"/>
            <w:hideMark/>
          </w:tcPr>
          <w:p w14:paraId="61733D86" w14:textId="77777777" w:rsidR="00C3472F" w:rsidRPr="00C3472F" w:rsidRDefault="00C3472F" w:rsidP="00C3472F">
            <w:pPr>
              <w:spacing w:after="120"/>
              <w:ind w:firstLine="480"/>
              <w:rPr>
                <w:sz w:val="18"/>
                <w:szCs w:val="18"/>
                <w:lang w:val="en-CA"/>
              </w:rPr>
            </w:pPr>
            <w:r w:rsidRPr="00C3472F">
              <w:rPr>
                <w:sz w:val="18"/>
                <w:szCs w:val="18"/>
                <w:lang w:val="en-CA"/>
              </w:rPr>
              <w:t>Requires extensive historical data</w:t>
            </w:r>
          </w:p>
        </w:tc>
      </w:tr>
      <w:tr w:rsidR="00C3472F" w:rsidRPr="00C3472F" w14:paraId="35CBFB7D" w14:textId="77777777" w:rsidTr="008F308F">
        <w:tc>
          <w:tcPr>
            <w:tcW w:w="0" w:type="auto"/>
            <w:hideMark/>
          </w:tcPr>
          <w:p w14:paraId="79195F7F" w14:textId="77777777" w:rsidR="00C3472F" w:rsidRPr="00C3472F" w:rsidRDefault="00C3472F" w:rsidP="00C3472F">
            <w:pPr>
              <w:spacing w:after="120"/>
              <w:ind w:firstLine="480"/>
              <w:rPr>
                <w:sz w:val="18"/>
                <w:szCs w:val="18"/>
                <w:lang w:val="en-CA"/>
              </w:rPr>
            </w:pPr>
            <w:r w:rsidRPr="00C3472F">
              <w:rPr>
                <w:sz w:val="18"/>
                <w:szCs w:val="18"/>
                <w:lang w:val="en-CA"/>
              </w:rPr>
              <w:t>Technology selection and financial assessment</w:t>
            </w:r>
          </w:p>
        </w:tc>
        <w:tc>
          <w:tcPr>
            <w:tcW w:w="0" w:type="auto"/>
            <w:hideMark/>
          </w:tcPr>
          <w:p w14:paraId="5D717B01" w14:textId="77777777" w:rsidR="00C3472F" w:rsidRPr="00C3472F" w:rsidRDefault="00C3472F" w:rsidP="00C3472F">
            <w:pPr>
              <w:spacing w:after="120"/>
              <w:ind w:firstLine="480"/>
              <w:rPr>
                <w:sz w:val="18"/>
                <w:szCs w:val="18"/>
                <w:lang w:val="en-CA"/>
              </w:rPr>
            </w:pPr>
            <w:r w:rsidRPr="00C3472F">
              <w:rPr>
                <w:sz w:val="18"/>
                <w:szCs w:val="18"/>
                <w:lang w:val="en-CA"/>
              </w:rPr>
              <w:t>Lifecycle Cost Analysis / MILP Optimization</w:t>
            </w:r>
          </w:p>
        </w:tc>
        <w:tc>
          <w:tcPr>
            <w:tcW w:w="0" w:type="auto"/>
            <w:hideMark/>
          </w:tcPr>
          <w:p w14:paraId="6588B68B" w14:textId="77777777" w:rsidR="00C3472F" w:rsidRPr="00C3472F" w:rsidRDefault="00C3472F" w:rsidP="00C3472F">
            <w:pPr>
              <w:spacing w:after="120"/>
              <w:ind w:firstLine="480"/>
              <w:rPr>
                <w:sz w:val="18"/>
                <w:szCs w:val="18"/>
                <w:lang w:val="en-CA"/>
              </w:rPr>
            </w:pPr>
            <w:r w:rsidRPr="00C3472F">
              <w:rPr>
                <w:sz w:val="18"/>
                <w:szCs w:val="18"/>
                <w:lang w:val="en-CA"/>
              </w:rPr>
              <w:t>Hourly to annual</w:t>
            </w:r>
          </w:p>
        </w:tc>
        <w:tc>
          <w:tcPr>
            <w:tcW w:w="0" w:type="auto"/>
            <w:hideMark/>
          </w:tcPr>
          <w:p w14:paraId="48CFE2E3" w14:textId="77777777" w:rsidR="00C3472F" w:rsidRPr="00C3472F" w:rsidRDefault="00C3472F" w:rsidP="00C3472F">
            <w:pPr>
              <w:spacing w:after="120"/>
              <w:ind w:firstLine="480"/>
              <w:rPr>
                <w:sz w:val="18"/>
                <w:szCs w:val="18"/>
                <w:lang w:val="en-CA"/>
              </w:rPr>
            </w:pPr>
            <w:r w:rsidRPr="00C3472F">
              <w:rPr>
                <w:sz w:val="18"/>
                <w:szCs w:val="18"/>
                <w:lang w:val="en-CA"/>
              </w:rPr>
              <w:t>Cost, tariff, technology, and resource data</w:t>
            </w:r>
          </w:p>
        </w:tc>
        <w:tc>
          <w:tcPr>
            <w:tcW w:w="0" w:type="auto"/>
            <w:hideMark/>
          </w:tcPr>
          <w:p w14:paraId="6A4009FC" w14:textId="77777777" w:rsidR="00C3472F" w:rsidRPr="00C3472F" w:rsidRDefault="00C3472F" w:rsidP="00C3472F">
            <w:pPr>
              <w:spacing w:after="120"/>
              <w:ind w:firstLine="480"/>
              <w:rPr>
                <w:sz w:val="18"/>
                <w:szCs w:val="18"/>
                <w:lang w:val="en-CA"/>
              </w:rPr>
            </w:pPr>
            <w:r w:rsidRPr="00C3472F">
              <w:rPr>
                <w:sz w:val="18"/>
                <w:szCs w:val="18"/>
                <w:lang w:val="en-CA"/>
              </w:rPr>
              <w:t>Results are sensitive to assumptions</w:t>
            </w:r>
          </w:p>
        </w:tc>
      </w:tr>
      <w:tr w:rsidR="00C3472F" w:rsidRPr="00C3472F" w14:paraId="264307A9" w14:textId="77777777" w:rsidTr="008F308F">
        <w:tc>
          <w:tcPr>
            <w:tcW w:w="0" w:type="auto"/>
            <w:hideMark/>
          </w:tcPr>
          <w:p w14:paraId="6D7BB64F" w14:textId="77777777" w:rsidR="00C3472F" w:rsidRPr="00C3472F" w:rsidRDefault="00C3472F" w:rsidP="00C3472F">
            <w:pPr>
              <w:spacing w:after="120"/>
              <w:ind w:firstLine="480"/>
              <w:rPr>
                <w:sz w:val="18"/>
                <w:szCs w:val="18"/>
                <w:lang w:val="en-CA"/>
              </w:rPr>
            </w:pPr>
            <w:r w:rsidRPr="00C3472F">
              <w:rPr>
                <w:sz w:val="18"/>
                <w:szCs w:val="18"/>
                <w:lang w:val="en-CA"/>
              </w:rPr>
              <w:t>Real-time operation and dispatch optimization</w:t>
            </w:r>
          </w:p>
        </w:tc>
        <w:tc>
          <w:tcPr>
            <w:tcW w:w="0" w:type="auto"/>
            <w:hideMark/>
          </w:tcPr>
          <w:p w14:paraId="3E0DF4FA" w14:textId="77777777" w:rsidR="00C3472F" w:rsidRPr="00C3472F" w:rsidRDefault="00C3472F" w:rsidP="00C3472F">
            <w:pPr>
              <w:spacing w:after="120"/>
              <w:ind w:firstLine="480"/>
              <w:rPr>
                <w:sz w:val="18"/>
                <w:szCs w:val="18"/>
                <w:lang w:val="en-CA"/>
              </w:rPr>
            </w:pPr>
            <w:r w:rsidRPr="00C3472F">
              <w:rPr>
                <w:sz w:val="18"/>
                <w:szCs w:val="18"/>
                <w:lang w:val="en-CA"/>
              </w:rPr>
              <w:t>Model Predictive Control (MPC)</w:t>
            </w:r>
          </w:p>
        </w:tc>
        <w:tc>
          <w:tcPr>
            <w:tcW w:w="0" w:type="auto"/>
            <w:hideMark/>
          </w:tcPr>
          <w:p w14:paraId="387BF376" w14:textId="77777777" w:rsidR="00C3472F" w:rsidRPr="00C3472F" w:rsidRDefault="00C3472F" w:rsidP="00C3472F">
            <w:pPr>
              <w:spacing w:after="120"/>
              <w:ind w:firstLine="480"/>
              <w:rPr>
                <w:sz w:val="18"/>
                <w:szCs w:val="18"/>
                <w:lang w:val="en-CA"/>
              </w:rPr>
            </w:pPr>
            <w:r w:rsidRPr="00C3472F">
              <w:rPr>
                <w:sz w:val="18"/>
                <w:szCs w:val="18"/>
                <w:lang w:val="en-CA"/>
              </w:rPr>
              <w:t>Minutes to hours</w:t>
            </w:r>
          </w:p>
        </w:tc>
        <w:tc>
          <w:tcPr>
            <w:tcW w:w="0" w:type="auto"/>
            <w:hideMark/>
          </w:tcPr>
          <w:p w14:paraId="0637CB24" w14:textId="77777777" w:rsidR="00C3472F" w:rsidRPr="00C3472F" w:rsidRDefault="00C3472F" w:rsidP="00C3472F">
            <w:pPr>
              <w:spacing w:after="120"/>
              <w:ind w:firstLine="480"/>
              <w:rPr>
                <w:sz w:val="18"/>
                <w:szCs w:val="18"/>
                <w:lang w:val="en-CA"/>
              </w:rPr>
            </w:pPr>
            <w:r w:rsidRPr="00C3472F">
              <w:rPr>
                <w:sz w:val="18"/>
                <w:szCs w:val="18"/>
                <w:lang w:val="en-CA"/>
              </w:rPr>
              <w:t>Forecasts, state variables, operating constraints</w:t>
            </w:r>
          </w:p>
        </w:tc>
        <w:tc>
          <w:tcPr>
            <w:tcW w:w="0" w:type="auto"/>
            <w:hideMark/>
          </w:tcPr>
          <w:p w14:paraId="2578CC51" w14:textId="77777777" w:rsidR="00C3472F" w:rsidRPr="00C3472F" w:rsidRDefault="00C3472F" w:rsidP="00C3472F">
            <w:pPr>
              <w:spacing w:after="120"/>
              <w:ind w:firstLine="480"/>
              <w:rPr>
                <w:sz w:val="18"/>
                <w:szCs w:val="18"/>
                <w:lang w:val="en-CA"/>
              </w:rPr>
            </w:pPr>
            <w:r w:rsidRPr="00C3472F">
              <w:rPr>
                <w:sz w:val="18"/>
                <w:szCs w:val="18"/>
                <w:lang w:val="en-CA"/>
              </w:rPr>
              <w:t>Depends on forecast accuracy</w:t>
            </w:r>
          </w:p>
        </w:tc>
      </w:tr>
      <w:tr w:rsidR="00C3472F" w:rsidRPr="00C3472F" w14:paraId="47CDBBCF" w14:textId="77777777" w:rsidTr="008F308F">
        <w:tc>
          <w:tcPr>
            <w:tcW w:w="0" w:type="auto"/>
            <w:hideMark/>
          </w:tcPr>
          <w:p w14:paraId="748995C3" w14:textId="77777777" w:rsidR="00C3472F" w:rsidRPr="00C3472F" w:rsidRDefault="00C3472F" w:rsidP="00C3472F">
            <w:pPr>
              <w:spacing w:after="120"/>
              <w:ind w:firstLine="480"/>
              <w:rPr>
                <w:sz w:val="18"/>
                <w:szCs w:val="18"/>
                <w:lang w:val="en-CA"/>
              </w:rPr>
            </w:pPr>
            <w:r w:rsidRPr="00C3472F">
              <w:rPr>
                <w:sz w:val="18"/>
                <w:szCs w:val="18"/>
                <w:lang w:val="en-CA"/>
              </w:rPr>
              <w:t>Workload scheduling and carbon-aware computing</w:t>
            </w:r>
          </w:p>
        </w:tc>
        <w:tc>
          <w:tcPr>
            <w:tcW w:w="0" w:type="auto"/>
            <w:hideMark/>
          </w:tcPr>
          <w:p w14:paraId="5D4362F5" w14:textId="77777777" w:rsidR="00C3472F" w:rsidRPr="00C3472F" w:rsidRDefault="00C3472F" w:rsidP="00C3472F">
            <w:pPr>
              <w:spacing w:after="120"/>
              <w:ind w:firstLine="480"/>
              <w:rPr>
                <w:sz w:val="18"/>
                <w:szCs w:val="18"/>
                <w:lang w:val="en-CA"/>
              </w:rPr>
            </w:pPr>
            <w:r w:rsidRPr="00C3472F">
              <w:rPr>
                <w:sz w:val="18"/>
                <w:szCs w:val="18"/>
                <w:lang w:val="en-CA"/>
              </w:rPr>
              <w:t>Optimization and Scheduling Algorithms</w:t>
            </w:r>
          </w:p>
        </w:tc>
        <w:tc>
          <w:tcPr>
            <w:tcW w:w="0" w:type="auto"/>
            <w:hideMark/>
          </w:tcPr>
          <w:p w14:paraId="7D383A6D" w14:textId="77777777" w:rsidR="00C3472F" w:rsidRPr="00C3472F" w:rsidRDefault="00C3472F" w:rsidP="00C3472F">
            <w:pPr>
              <w:spacing w:after="120"/>
              <w:ind w:firstLine="480"/>
              <w:rPr>
                <w:sz w:val="18"/>
                <w:szCs w:val="18"/>
                <w:lang w:val="en-CA"/>
              </w:rPr>
            </w:pPr>
            <w:r w:rsidRPr="00C3472F">
              <w:rPr>
                <w:sz w:val="18"/>
                <w:szCs w:val="18"/>
                <w:lang w:val="en-CA"/>
              </w:rPr>
              <w:t>Minutes to days</w:t>
            </w:r>
          </w:p>
        </w:tc>
        <w:tc>
          <w:tcPr>
            <w:tcW w:w="0" w:type="auto"/>
            <w:hideMark/>
          </w:tcPr>
          <w:p w14:paraId="7126573D" w14:textId="77777777" w:rsidR="00C3472F" w:rsidRPr="00C3472F" w:rsidRDefault="00C3472F" w:rsidP="00C3472F">
            <w:pPr>
              <w:spacing w:after="120"/>
              <w:ind w:firstLine="480"/>
              <w:rPr>
                <w:sz w:val="18"/>
                <w:szCs w:val="18"/>
                <w:lang w:val="en-CA"/>
              </w:rPr>
            </w:pPr>
            <w:r w:rsidRPr="00C3472F">
              <w:rPr>
                <w:sz w:val="18"/>
                <w:szCs w:val="18"/>
                <w:lang w:val="en-CA"/>
              </w:rPr>
              <w:t>Workload characteristics, renewable forecasts, SLA constraints</w:t>
            </w:r>
          </w:p>
        </w:tc>
        <w:tc>
          <w:tcPr>
            <w:tcW w:w="0" w:type="auto"/>
            <w:hideMark/>
          </w:tcPr>
          <w:p w14:paraId="66EDB1E0" w14:textId="77777777" w:rsidR="00C3472F" w:rsidRPr="00C3472F" w:rsidRDefault="00C3472F" w:rsidP="00C3472F">
            <w:pPr>
              <w:spacing w:after="120"/>
              <w:ind w:firstLine="480"/>
              <w:rPr>
                <w:sz w:val="18"/>
                <w:szCs w:val="18"/>
                <w:lang w:val="en-CA"/>
              </w:rPr>
            </w:pPr>
            <w:r w:rsidRPr="00C3472F">
              <w:rPr>
                <w:sz w:val="18"/>
                <w:szCs w:val="18"/>
                <w:lang w:val="en-CA"/>
              </w:rPr>
              <w:t>Limited by operational and business requirements</w:t>
            </w:r>
          </w:p>
        </w:tc>
      </w:tr>
    </w:tbl>
    <w:p w14:paraId="43030986" w14:textId="0150FF15" w:rsidR="00C3472F" w:rsidRPr="00C3472F" w:rsidRDefault="00C3472F" w:rsidP="00357DE5">
      <w:pPr>
        <w:spacing w:after="120"/>
        <w:ind w:firstLine="480"/>
        <w:rPr>
          <w:lang w:val="en-CA"/>
        </w:rPr>
      </w:pPr>
      <w:r w:rsidRPr="00C3472F">
        <w:rPr>
          <w:lang w:val="en-CA"/>
        </w:rPr>
        <w:br/>
      </w:r>
      <w:r w:rsidR="00357DE5" w:rsidRPr="00357DE5">
        <w:rPr>
          <w:highlight w:val="yellow"/>
          <w:lang w:val="en-CA"/>
        </w:rPr>
        <w:t>The recommended workflow is to begin with site assessment and resource characterization, followed by power-flow and interconnection studies, chronological renewable-generation and storage analysis, lifecycle-cost evaluation, and finally real-time operational optimization. More detailed EMT and harmonic studies should be reserved for final design stages where equipment models and protection requirements are available.</w:t>
      </w:r>
    </w:p>
    <w:p w14:paraId="4D3CA27C" w14:textId="77777777" w:rsidR="00FE013C" w:rsidRDefault="00FE013C" w:rsidP="004C16FF">
      <w:pPr>
        <w:pStyle w:val="Heading10"/>
        <w:jc w:val="both"/>
        <w:rPr>
          <w:color w:val="auto"/>
        </w:rPr>
      </w:pPr>
      <w:r>
        <w:rPr>
          <w:color w:val="auto"/>
          <w:lang w:eastAsia="zh-CN"/>
        </w:rPr>
        <w:lastRenderedPageBreak/>
        <w:t xml:space="preserve">7. </w:t>
      </w:r>
      <w:r>
        <w:rPr>
          <w:color w:val="auto"/>
        </w:rPr>
        <w:t>Framework for Renewable-Powered AI Data Centers</w:t>
      </w:r>
    </w:p>
    <w:p w14:paraId="1B37DF74" w14:textId="5CB56853" w:rsidR="00357DE5" w:rsidRDefault="00357DE5" w:rsidP="00357DE5">
      <w:pPr>
        <w:spacing w:after="120"/>
        <w:ind w:firstLine="480"/>
      </w:pPr>
      <w:r w:rsidRPr="00357DE5">
        <w:t>This section presents the core contribution of this study: a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w:t>
      </w:r>
    </w:p>
    <w:p w14:paraId="692B1B37" w14:textId="77777777" w:rsidR="00FE013C" w:rsidRDefault="00FE013C" w:rsidP="004C16FF">
      <w:pPr>
        <w:pStyle w:val="Heading20"/>
        <w:jc w:val="both"/>
        <w:rPr>
          <w:color w:val="auto"/>
        </w:rPr>
      </w:pPr>
      <w:r>
        <w:rPr>
          <w:color w:val="auto"/>
        </w:rPr>
        <w:t xml:space="preserve">7.1. </w:t>
      </w:r>
      <w:r w:rsidRPr="00EA2FA4">
        <w:rPr>
          <w:color w:val="auto"/>
        </w:rPr>
        <w:t>Seven-Component Framework Overview</w:t>
      </w:r>
    </w:p>
    <w:p w14:paraId="35C00C96" w14:textId="216BCFD3" w:rsidR="00FE013C" w:rsidRPr="003110B3" w:rsidRDefault="00FE013C" w:rsidP="004C16FF">
      <w:pPr>
        <w:spacing w:after="120"/>
        <w:ind w:firstLine="480"/>
      </w:pPr>
      <w:r w:rsidRPr="00B4497F">
        <w:t xml:space="preserve">The framework consists of seven interrelated elements that cover key aspects of renewable-based data </w:t>
      </w:r>
      <w:r w:rsidR="00580BAE">
        <w:t>center</w:t>
      </w:r>
      <w:r w:rsidRPr="00B4497F">
        <w:t xml:space="preserve"> design and operation. These components are not separate, but rather are interdependent, with decisions made in one component affecting and limiting choices in another component. </w:t>
      </w:r>
      <w:r w:rsidRPr="003D7C63">
        <w:t>The framework is modular and scalable and adaptable to facilities ranging from mid-scale colocation nodes (10–50 MW)</w:t>
      </w:r>
      <w:r>
        <w:t xml:space="preserve"> </w:t>
      </w:r>
      <w:r w:rsidRPr="00B4497F">
        <w:t xml:space="preserve">to hyperscale cloud data </w:t>
      </w:r>
      <w:r w:rsidR="00580BAE">
        <w:t>center</w:t>
      </w:r>
      <w:r w:rsidRPr="00B4497F">
        <w:t>s (100+ MW) located in different geographic and climatic conditions.</w:t>
      </w:r>
    </w:p>
    <w:p w14:paraId="23AF96C8" w14:textId="2E8F3E86" w:rsidR="00FE013C" w:rsidRPr="00B4497F" w:rsidRDefault="00FE013C" w:rsidP="004F7EB4">
      <w:pPr>
        <w:spacing w:after="120"/>
        <w:ind w:firstLine="480"/>
      </w:pPr>
      <w:r w:rsidRPr="00B4497F">
        <w:t xml:space="preserve">Site Assessment (Component 1) covers renewable resource availability, grid interconnection feasibility, water and land availability, and climate resilience. Component 2 is called Technology Selection and covers </w:t>
      </w:r>
      <w:r w:rsidR="00580BAE" w:rsidRPr="00B4497F">
        <w:t>optimizing</w:t>
      </w:r>
      <w:r w:rsidRPr="00B4497F">
        <w:t xml:space="preserve"> the renewable capacity, storage time, and backup power type according to site-specific conditions. Component 3, Electrical Integration, specifies the voltage ranges, topology, redundancy, and power quality mitigation. Control Strategy relates to dispatch algorithms, forecasting integration, and demand response mechanisms (component 4). Workload Flexibility (</w:t>
      </w:r>
      <w:r>
        <w:t>c</w:t>
      </w:r>
      <w:r w:rsidRPr="00B4497F">
        <w:t xml:space="preserve">omponent 5) measures the extent to which the load can be shifted, deferred, or </w:t>
      </w:r>
      <w:r w:rsidR="00580BAE" w:rsidRPr="00B4497F">
        <w:t>prioritized</w:t>
      </w:r>
      <w:r w:rsidRPr="00B4497F">
        <w:t xml:space="preserve">. </w:t>
      </w:r>
      <w:r w:rsidR="00EB7BC6" w:rsidRPr="00EB7BC6">
        <w:t>Component 6 establishes consistent cost boundaries and identifies the assumptions required for project-specific lifecycle-cost and financial analysis</w:t>
      </w:r>
      <w:r w:rsidRPr="00B4497F">
        <w:t xml:space="preserve">. Component 7: Resilience and Sustainability </w:t>
      </w:r>
      <w:r w:rsidR="00580BAE" w:rsidRPr="00B4497F">
        <w:t>focus</w:t>
      </w:r>
      <w:r w:rsidRPr="00B4497F">
        <w:t xml:space="preserve"> on reliability measures, carbon </w:t>
      </w:r>
      <w:r w:rsidR="004F7EB4" w:rsidRPr="00B4497F">
        <w:t>foot printing</w:t>
      </w:r>
      <w:r w:rsidRPr="00B4497F">
        <w:t>, and regulatory adherence.</w:t>
      </w:r>
    </w:p>
    <w:p w14:paraId="22384AA7" w14:textId="55AD9C12" w:rsidR="00FE013C" w:rsidRDefault="00C31A10" w:rsidP="00CB0ADE">
      <w:pPr>
        <w:spacing w:after="120"/>
        <w:ind w:firstLine="480"/>
      </w:pPr>
      <w:r w:rsidRPr="00C31A10">
        <w:t>The framework considers three principal performance dimensions: delivered-electricity cost, reliability, and operational carbon intensity. These dimensions may conflict and should be evaluated using project-specific data and decision criteria</w:t>
      </w:r>
      <w:r w:rsidR="00CB0ADE">
        <w:t xml:space="preserve">. </w:t>
      </w:r>
      <w:r w:rsidR="00FE013C" w:rsidRPr="00B4497F">
        <w:t xml:space="preserve">The objectives are also frequently conflicting and must be balanced by means of multi-objective </w:t>
      </w:r>
      <w:r w:rsidR="000B7BFE" w:rsidRPr="00B4497F">
        <w:t>optimization</w:t>
      </w:r>
      <w:r w:rsidR="00FE013C" w:rsidRPr="00B4497F">
        <w:t xml:space="preserve"> techniques. The main variables are the capacity factor of renewables, the duration of storage (in hours), the type of backup power, interconnection capacity of the grid, and flexibility parameters of the demand.</w:t>
      </w:r>
      <w:r w:rsidR="00FE013C">
        <w:t xml:space="preserve"> </w:t>
      </w:r>
      <w:r w:rsidR="00E30EE0">
        <w:fldChar w:fldCharType="begin"/>
      </w:r>
      <w:r w:rsidR="00E30EE0">
        <w:instrText xml:space="preserve"> REF _Ref239529617 \h </w:instrText>
      </w:r>
      <w:r w:rsidR="00E30EE0">
        <w:fldChar w:fldCharType="separate"/>
      </w:r>
      <w:r w:rsidR="00E30EE0">
        <w:t xml:space="preserve">Figure </w:t>
      </w:r>
      <w:r w:rsidR="00E30EE0">
        <w:rPr>
          <w:noProof/>
        </w:rPr>
        <w:t>7</w:t>
      </w:r>
      <w:r w:rsidR="00E30EE0">
        <w:t xml:space="preserve"> Seven-component framework architecture for renewable-powered AI data</w:t>
      </w:r>
      <w:r w:rsidR="00E30EE0">
        <w:fldChar w:fldCharType="end"/>
      </w:r>
      <w:r w:rsidR="00E30EE0">
        <w:t xml:space="preserve">, </w:t>
      </w:r>
      <w:r w:rsidR="00FE013C" w:rsidRPr="0073470D">
        <w:t xml:space="preserve">illustrates the seven-component framework architecture, showing how each component connects to the others through feedback loops: site characteristics constrain technology selection, technology selection drives electrical architecture, and economic outcomes </w:t>
      </w:r>
      <w:r w:rsidR="000B7BFE" w:rsidRPr="0073470D">
        <w:t>feedback</w:t>
      </w:r>
      <w:r w:rsidR="00FE013C" w:rsidRPr="0073470D">
        <w:t xml:space="preserve"> to revise technology choices iteratively</w:t>
      </w:r>
      <w:r w:rsidR="00FE013C">
        <w:t>.</w:t>
      </w:r>
    </w:p>
    <w:p w14:paraId="6494B3E5" w14:textId="77777777" w:rsidR="00FE013C" w:rsidRDefault="00FE013C" w:rsidP="004A620F">
      <w:pPr>
        <w:keepNext/>
        <w:jc w:val="center"/>
      </w:pPr>
      <w:r>
        <w:rPr>
          <w:noProof/>
        </w:rPr>
        <w:lastRenderedPageBreak/>
        <w:drawing>
          <wp:inline distT="0" distB="0" distL="0" distR="0" wp14:anchorId="6A32FCF3" wp14:editId="411EF009">
            <wp:extent cx="4197350" cy="2514993"/>
            <wp:effectExtent l="0" t="0" r="0" b="0"/>
            <wp:docPr id="54520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0091"/>
                    <a:stretch>
                      <a:fillRect/>
                    </a:stretch>
                  </pic:blipFill>
                  <pic:spPr bwMode="auto">
                    <a:xfrm>
                      <a:off x="0" y="0"/>
                      <a:ext cx="4197350" cy="2514993"/>
                    </a:xfrm>
                    <a:prstGeom prst="rect">
                      <a:avLst/>
                    </a:prstGeom>
                    <a:noFill/>
                    <a:ln>
                      <a:noFill/>
                    </a:ln>
                    <a:extLst>
                      <a:ext uri="{53640926-AAD7-44D8-BBD7-CCE9431645EC}">
                        <a14:shadowObscured xmlns:a14="http://schemas.microsoft.com/office/drawing/2010/main"/>
                      </a:ext>
                    </a:extLst>
                  </pic:spPr>
                </pic:pic>
              </a:graphicData>
            </a:graphic>
          </wp:inline>
        </w:drawing>
      </w:r>
    </w:p>
    <w:p w14:paraId="37C6401E" w14:textId="62AD6699" w:rsidR="00FE013C" w:rsidRDefault="00FE013C" w:rsidP="004A620F">
      <w:pPr>
        <w:pStyle w:val="Caption"/>
        <w:jc w:val="center"/>
      </w:pPr>
      <w:bookmarkStart w:id="14" w:name="_Ref239529617"/>
      <w:r>
        <w:t xml:space="preserve">Figure </w:t>
      </w:r>
      <w:r>
        <w:fldChar w:fldCharType="begin"/>
      </w:r>
      <w:r>
        <w:instrText xml:space="preserve"> SEQ Figure \* ARABIC </w:instrText>
      </w:r>
      <w:r>
        <w:fldChar w:fldCharType="separate"/>
      </w:r>
      <w:r w:rsidR="00807110">
        <w:rPr>
          <w:noProof/>
        </w:rPr>
        <w:t>7</w:t>
      </w:r>
      <w:r>
        <w:rPr>
          <w:noProof/>
        </w:rPr>
        <w:fldChar w:fldCharType="end"/>
      </w:r>
      <w:r>
        <w:t xml:space="preserve"> Seven-component framework architecture for renewable-powered AI data</w:t>
      </w:r>
      <w:bookmarkEnd w:id="14"/>
    </w:p>
    <w:p w14:paraId="4B969644" w14:textId="77777777" w:rsidR="00FE013C" w:rsidRDefault="00FE013C" w:rsidP="004C16FF">
      <w:pPr>
        <w:pStyle w:val="Heading20"/>
        <w:jc w:val="both"/>
        <w:rPr>
          <w:color w:val="auto"/>
        </w:rPr>
      </w:pPr>
      <w:r>
        <w:rPr>
          <w:color w:val="auto"/>
        </w:rPr>
        <w:t>7.2. Site Selection and Resource Assessment</w:t>
      </w:r>
    </w:p>
    <w:p w14:paraId="412469AA" w14:textId="5B410AE4" w:rsidR="00957B20" w:rsidRPr="009F5B51" w:rsidRDefault="00957B20" w:rsidP="00BB4243">
      <w:pPr>
        <w:spacing w:after="120"/>
        <w:ind w:firstLine="480"/>
        <w:rPr>
          <w:highlight w:val="yellow"/>
        </w:rPr>
      </w:pPr>
      <w:r w:rsidRPr="009F5B51">
        <w:rPr>
          <w:highlight w:val="yellow"/>
        </w:rPr>
        <w:t>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w:t>
      </w:r>
      <w:r w:rsidRPr="009F5B51">
        <w:rPr>
          <w:highlight w:val="yellow"/>
        </w:rPr>
        <w:fldChar w:fldCharType="begin"/>
      </w:r>
      <w:r w:rsidR="00A95675">
        <w:rPr>
          <w:highlight w:val="yellow"/>
        </w:rPr>
        <w:instrText xml:space="preserve"> ADDIN ZOTERO_ITEM CSL_CITATION {"citationID":"gfAWXcqd","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Pr="009F5B51">
        <w:rPr>
          <w:highlight w:val="yellow"/>
        </w:rPr>
        <w:fldChar w:fldCharType="separate"/>
      </w:r>
      <w:r w:rsidR="00A95675" w:rsidRPr="00A95675">
        <w:rPr>
          <w:highlight w:val="yellow"/>
        </w:rPr>
        <w:t>[104]</w:t>
      </w:r>
      <w:r w:rsidRPr="009F5B51">
        <w:rPr>
          <w:highlight w:val="yellow"/>
        </w:rPr>
        <w:fldChar w:fldCharType="end"/>
      </w:r>
      <w:r w:rsidRPr="009F5B51">
        <w:rPr>
          <w:highlight w:val="yellow"/>
        </w:rPr>
        <w:t>.</w:t>
      </w:r>
      <w:r w:rsidR="00AB2F5A" w:rsidRPr="00AB2F5A">
        <w:rPr>
          <w:rFonts w:ascii="Segoe UI" w:hAnsi="Segoe UI" w:cs="Segoe UI"/>
          <w:color w:val="auto"/>
          <w:sz w:val="21"/>
          <w:szCs w:val="21"/>
          <w:lang w:val="en-CA" w:eastAsia="en-CA"/>
        </w:rPr>
        <w:t xml:space="preserve"> </w:t>
      </w:r>
      <w:r w:rsidR="00AB2F5A" w:rsidRPr="00AB2F5A">
        <w:rPr>
          <w:highlight w:val="yellow"/>
          <w:lang w:val="en-CA"/>
        </w:rPr>
        <w:t xml:space="preserve">Pairwise comparisons are used to derive the criterion weights, and consistency is evaluated using the AHP consistency </w:t>
      </w:r>
      <w:r w:rsidR="00AB2F5A" w:rsidRPr="000408F5">
        <w:rPr>
          <w:highlight w:val="yellow"/>
          <w:lang w:val="en-CA"/>
        </w:rPr>
        <w:t>ratio.</w:t>
      </w:r>
      <w:r w:rsidR="00BB4243" w:rsidRPr="000408F5">
        <w:rPr>
          <w:highlight w:val="yellow"/>
        </w:rPr>
        <w:t xml:space="preserve"> </w:t>
      </w:r>
      <w:r w:rsidR="00BB4243" w:rsidRPr="000408F5">
        <w:rPr>
          <w:highlight w:val="yellow"/>
        </w:rPr>
        <w:fldChar w:fldCharType="begin"/>
      </w:r>
      <w:r w:rsidR="00BB4243" w:rsidRPr="000408F5">
        <w:rPr>
          <w:highlight w:val="yellow"/>
        </w:rPr>
        <w:instrText xml:space="preserve"> REF _Ref239530812 \h </w:instrText>
      </w:r>
      <w:r w:rsidR="00BB4243" w:rsidRPr="000408F5">
        <w:rPr>
          <w:highlight w:val="yellow"/>
        </w:rPr>
      </w:r>
      <w:r w:rsidR="000408F5">
        <w:rPr>
          <w:highlight w:val="yellow"/>
        </w:rPr>
        <w:instrText xml:space="preserve"> \* MERGEFORMAT </w:instrText>
      </w:r>
      <w:r w:rsidR="00BB4243" w:rsidRPr="000408F5">
        <w:rPr>
          <w:highlight w:val="yellow"/>
        </w:rPr>
        <w:fldChar w:fldCharType="separate"/>
      </w:r>
      <w:r w:rsidR="00BB4243" w:rsidRPr="000408F5">
        <w:rPr>
          <w:highlight w:val="yellow"/>
        </w:rPr>
        <w:t xml:space="preserve">Table </w:t>
      </w:r>
      <w:r w:rsidR="00BB4243" w:rsidRPr="000408F5">
        <w:rPr>
          <w:noProof/>
          <w:highlight w:val="yellow"/>
        </w:rPr>
        <w:t>5</w:t>
      </w:r>
      <w:r w:rsidR="00BB4243" w:rsidRPr="000408F5">
        <w:rPr>
          <w:highlight w:val="yellow"/>
        </w:rPr>
        <w:t xml:space="preserve"> Proposed weights for each component</w:t>
      </w:r>
      <w:r w:rsidR="00BB4243" w:rsidRPr="000408F5">
        <w:rPr>
          <w:highlight w:val="yellow"/>
        </w:rPr>
        <w:fldChar w:fldCharType="end"/>
      </w:r>
      <w:r w:rsidR="00BB4243" w:rsidRPr="000408F5">
        <w:rPr>
          <w:highlight w:val="yellow"/>
        </w:rPr>
        <w:t xml:space="preserve">, </w:t>
      </w:r>
      <w:r w:rsidR="00BB4243" w:rsidRPr="000408F5">
        <w:rPr>
          <w:highlight w:val="yellow"/>
        </w:rPr>
        <w:t>presents illustrative criteria and baseline weights for preliminary site screening using the proposed MCDA structure. These values are intended to demonstrate the decision framework and should be recalibrated using project-specific stakeholder priorities, site conditions, and sensitivity analysis before application to an actual investment decision.</w:t>
      </w:r>
    </w:p>
    <w:p w14:paraId="17492423" w14:textId="0C2C1123" w:rsidR="006953CF" w:rsidRDefault="006953CF" w:rsidP="006953CF">
      <w:pPr>
        <w:pStyle w:val="Caption"/>
        <w:keepNext/>
      </w:pPr>
      <w:bookmarkStart w:id="15" w:name="_Ref239530812"/>
      <w:r>
        <w:t xml:space="preserve">Table </w:t>
      </w:r>
      <w:r>
        <w:fldChar w:fldCharType="begin"/>
      </w:r>
      <w:r>
        <w:instrText xml:space="preserve"> SEQ Table \* ARABIC </w:instrText>
      </w:r>
      <w:r>
        <w:fldChar w:fldCharType="separate"/>
      </w:r>
      <w:r w:rsidR="003A45CA">
        <w:rPr>
          <w:noProof/>
        </w:rPr>
        <w:t>5</w:t>
      </w:r>
      <w:r>
        <w:fldChar w:fldCharType="end"/>
      </w:r>
      <w:r>
        <w:t xml:space="preserve"> Proposed weights for each component</w:t>
      </w:r>
      <w:bookmarkEnd w:id="15"/>
    </w:p>
    <w:tbl>
      <w:tblPr>
        <w:tblStyle w:val="Mdeck5tablebodythreelines"/>
        <w:tblW w:w="4947" w:type="pct"/>
        <w:jc w:val="left"/>
        <w:tblLook w:val="04A0" w:firstRow="1" w:lastRow="0" w:firstColumn="1" w:lastColumn="0" w:noHBand="0" w:noVBand="1"/>
      </w:tblPr>
      <w:tblGrid>
        <w:gridCol w:w="2634"/>
        <w:gridCol w:w="5164"/>
        <w:gridCol w:w="1851"/>
      </w:tblGrid>
      <w:tr w:rsidR="00957B20" w:rsidRPr="00957B20" w14:paraId="3E23FE8D" w14:textId="77777777" w:rsidTr="006953CF">
        <w:trPr>
          <w:cnfStyle w:val="100000000000" w:firstRow="1" w:lastRow="0" w:firstColumn="0" w:lastColumn="0" w:oddVBand="0" w:evenVBand="0" w:oddHBand="0" w:evenHBand="0" w:firstRowFirstColumn="0" w:firstRowLastColumn="0" w:lastRowFirstColumn="0" w:lastRowLastColumn="0"/>
          <w:jc w:val="left"/>
        </w:trPr>
        <w:tc>
          <w:tcPr>
            <w:tcW w:w="1365" w:type="pct"/>
            <w:hideMark/>
          </w:tcPr>
          <w:p w14:paraId="7AB758EF"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Criterion</w:t>
            </w:r>
          </w:p>
        </w:tc>
        <w:tc>
          <w:tcPr>
            <w:tcW w:w="2676" w:type="pct"/>
            <w:hideMark/>
          </w:tcPr>
          <w:p w14:paraId="66DBC354" w14:textId="77777777" w:rsidR="00957B20" w:rsidRPr="00957B20" w:rsidRDefault="00957B20" w:rsidP="006953CF">
            <w:pPr>
              <w:spacing w:after="120" w:line="240" w:lineRule="auto"/>
              <w:ind w:firstLine="480"/>
              <w:rPr>
                <w:b/>
                <w:bCs/>
                <w:sz w:val="18"/>
                <w:szCs w:val="18"/>
                <w:lang w:val="en-CA"/>
              </w:rPr>
            </w:pPr>
            <w:r w:rsidRPr="00957B20">
              <w:rPr>
                <w:b/>
                <w:bCs/>
                <w:sz w:val="18"/>
                <w:szCs w:val="18"/>
                <w:lang w:val="en-CA"/>
              </w:rPr>
              <w:t>Main considerations</w:t>
            </w:r>
          </w:p>
        </w:tc>
        <w:tc>
          <w:tcPr>
            <w:tcW w:w="959" w:type="pct"/>
            <w:hideMark/>
          </w:tcPr>
          <w:p w14:paraId="17E16D1F" w14:textId="77777777" w:rsidR="00957B20" w:rsidRPr="00957B20" w:rsidRDefault="00957B20" w:rsidP="006953CF">
            <w:pPr>
              <w:spacing w:after="120" w:line="240" w:lineRule="auto"/>
              <w:rPr>
                <w:b/>
                <w:bCs/>
                <w:sz w:val="18"/>
                <w:szCs w:val="18"/>
                <w:lang w:val="en-CA"/>
              </w:rPr>
            </w:pPr>
            <w:r w:rsidRPr="00957B20">
              <w:rPr>
                <w:b/>
                <w:bCs/>
                <w:sz w:val="18"/>
                <w:szCs w:val="18"/>
                <w:lang w:val="en-CA"/>
              </w:rPr>
              <w:t>Illustrative weight</w:t>
            </w:r>
          </w:p>
        </w:tc>
      </w:tr>
      <w:tr w:rsidR="00957B20" w:rsidRPr="00957B20" w14:paraId="0D7F911A" w14:textId="77777777" w:rsidTr="006953CF">
        <w:trPr>
          <w:jc w:val="left"/>
        </w:trPr>
        <w:tc>
          <w:tcPr>
            <w:tcW w:w="1365" w:type="pct"/>
            <w:hideMark/>
          </w:tcPr>
          <w:p w14:paraId="05E93B39"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Renewable-resource quality</w:t>
            </w:r>
          </w:p>
        </w:tc>
        <w:tc>
          <w:tcPr>
            <w:tcW w:w="2676" w:type="pct"/>
            <w:hideMark/>
          </w:tcPr>
          <w:p w14:paraId="5F919E92" w14:textId="77777777" w:rsidR="00957B20" w:rsidRPr="00957B20" w:rsidRDefault="00957B20" w:rsidP="006953CF">
            <w:pPr>
              <w:spacing w:after="120" w:line="240" w:lineRule="auto"/>
              <w:ind w:firstLine="480"/>
              <w:rPr>
                <w:sz w:val="18"/>
                <w:szCs w:val="18"/>
                <w:lang w:val="en-CA"/>
              </w:rPr>
            </w:pPr>
            <w:r w:rsidRPr="00957B20">
              <w:rPr>
                <w:sz w:val="18"/>
                <w:szCs w:val="18"/>
                <w:lang w:val="en-CA"/>
              </w:rPr>
              <w:t>Solar capacity factor, wind capacity factor, seasonal complementarity, forecast uncertainty</w:t>
            </w:r>
          </w:p>
        </w:tc>
        <w:tc>
          <w:tcPr>
            <w:tcW w:w="959" w:type="pct"/>
            <w:hideMark/>
          </w:tcPr>
          <w:p w14:paraId="707D2EF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0.30</w:t>
            </w:r>
          </w:p>
        </w:tc>
      </w:tr>
      <w:tr w:rsidR="00957B20" w:rsidRPr="00957B20" w14:paraId="10FE23DE" w14:textId="77777777" w:rsidTr="006953CF">
        <w:trPr>
          <w:jc w:val="left"/>
        </w:trPr>
        <w:tc>
          <w:tcPr>
            <w:tcW w:w="1365" w:type="pct"/>
            <w:hideMark/>
          </w:tcPr>
          <w:p w14:paraId="71EE3E20"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Infrastructure access</w:t>
            </w:r>
          </w:p>
        </w:tc>
        <w:tc>
          <w:tcPr>
            <w:tcW w:w="2676" w:type="pct"/>
            <w:hideMark/>
          </w:tcPr>
          <w:p w14:paraId="5BD24DDB" w14:textId="77777777" w:rsidR="00957B20" w:rsidRPr="00957B20" w:rsidRDefault="00957B20" w:rsidP="006953CF">
            <w:pPr>
              <w:spacing w:after="120" w:line="240" w:lineRule="auto"/>
              <w:ind w:firstLine="480"/>
              <w:rPr>
                <w:sz w:val="18"/>
                <w:szCs w:val="18"/>
                <w:lang w:val="en-CA"/>
              </w:rPr>
            </w:pPr>
            <w:r w:rsidRPr="00957B20">
              <w:rPr>
                <w:sz w:val="18"/>
                <w:szCs w:val="18"/>
                <w:lang w:val="en-CA"/>
              </w:rPr>
              <w:t>Interconnection availability, grid proximity, transmission capacity, water availability, communications</w:t>
            </w:r>
          </w:p>
        </w:tc>
        <w:tc>
          <w:tcPr>
            <w:tcW w:w="959" w:type="pct"/>
            <w:hideMark/>
          </w:tcPr>
          <w:p w14:paraId="2E01AAB1"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0.25</w:t>
            </w:r>
          </w:p>
        </w:tc>
      </w:tr>
      <w:tr w:rsidR="00957B20" w:rsidRPr="00957B20" w14:paraId="0E7E0F0B" w14:textId="77777777" w:rsidTr="006953CF">
        <w:trPr>
          <w:jc w:val="left"/>
        </w:trPr>
        <w:tc>
          <w:tcPr>
            <w:tcW w:w="1365" w:type="pct"/>
            <w:hideMark/>
          </w:tcPr>
          <w:p w14:paraId="00B2ADC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Economic conditions</w:t>
            </w:r>
          </w:p>
        </w:tc>
        <w:tc>
          <w:tcPr>
            <w:tcW w:w="2676" w:type="pct"/>
            <w:hideMark/>
          </w:tcPr>
          <w:p w14:paraId="61C1729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Land cost, electricity tariffs, development cost, incentives, PPA availability</w:t>
            </w:r>
          </w:p>
        </w:tc>
        <w:tc>
          <w:tcPr>
            <w:tcW w:w="959" w:type="pct"/>
            <w:hideMark/>
          </w:tcPr>
          <w:p w14:paraId="55573AF8"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0.20</w:t>
            </w:r>
          </w:p>
        </w:tc>
      </w:tr>
      <w:tr w:rsidR="00957B20" w:rsidRPr="00957B20" w14:paraId="6BA9F9DE" w14:textId="77777777" w:rsidTr="006953CF">
        <w:trPr>
          <w:jc w:val="left"/>
        </w:trPr>
        <w:tc>
          <w:tcPr>
            <w:tcW w:w="1365" w:type="pct"/>
            <w:hideMark/>
          </w:tcPr>
          <w:p w14:paraId="1513CF6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Environmental and climate exposure</w:t>
            </w:r>
          </w:p>
        </w:tc>
        <w:tc>
          <w:tcPr>
            <w:tcW w:w="2676" w:type="pct"/>
            <w:hideMark/>
          </w:tcPr>
          <w:p w14:paraId="34082A96" w14:textId="77777777" w:rsidR="00957B20" w:rsidRPr="00957B20" w:rsidRDefault="00957B20" w:rsidP="006953CF">
            <w:pPr>
              <w:spacing w:after="120" w:line="240" w:lineRule="auto"/>
              <w:ind w:firstLine="480"/>
              <w:rPr>
                <w:sz w:val="18"/>
                <w:szCs w:val="18"/>
                <w:lang w:val="en-CA"/>
              </w:rPr>
            </w:pPr>
            <w:r w:rsidRPr="00957B20">
              <w:rPr>
                <w:sz w:val="18"/>
                <w:szCs w:val="18"/>
                <w:lang w:val="en-CA"/>
              </w:rPr>
              <w:t>Flooding, wildfire, hurricanes, ice, extreme heat, water stress</w:t>
            </w:r>
          </w:p>
        </w:tc>
        <w:tc>
          <w:tcPr>
            <w:tcW w:w="959" w:type="pct"/>
            <w:hideMark/>
          </w:tcPr>
          <w:p w14:paraId="38568E9D"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0.15</w:t>
            </w:r>
          </w:p>
        </w:tc>
      </w:tr>
      <w:tr w:rsidR="00957B20" w:rsidRPr="00957B20" w14:paraId="1A1C55FD" w14:textId="77777777" w:rsidTr="006953CF">
        <w:trPr>
          <w:jc w:val="left"/>
        </w:trPr>
        <w:tc>
          <w:tcPr>
            <w:tcW w:w="1365" w:type="pct"/>
            <w:hideMark/>
          </w:tcPr>
          <w:p w14:paraId="72E3BBDF" w14:textId="77777777" w:rsidR="00957B20" w:rsidRPr="00957B20" w:rsidRDefault="00957B20" w:rsidP="006953CF">
            <w:pPr>
              <w:spacing w:after="120" w:line="240" w:lineRule="auto"/>
              <w:ind w:firstLine="480"/>
              <w:rPr>
                <w:sz w:val="18"/>
                <w:szCs w:val="18"/>
                <w:lang w:val="en-CA"/>
              </w:rPr>
            </w:pPr>
            <w:r w:rsidRPr="00957B20">
              <w:rPr>
                <w:sz w:val="18"/>
                <w:szCs w:val="18"/>
                <w:lang w:val="en-CA"/>
              </w:rPr>
              <w:t>Regulatory feasibility</w:t>
            </w:r>
          </w:p>
        </w:tc>
        <w:tc>
          <w:tcPr>
            <w:tcW w:w="2676" w:type="pct"/>
            <w:hideMark/>
          </w:tcPr>
          <w:p w14:paraId="25AB4E8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Permitting requirements, grid codes, zoning, renewable-energy policy, approval times</w:t>
            </w:r>
          </w:p>
        </w:tc>
        <w:tc>
          <w:tcPr>
            <w:tcW w:w="959" w:type="pct"/>
            <w:hideMark/>
          </w:tcPr>
          <w:p w14:paraId="37F055E7" w14:textId="77777777" w:rsidR="00957B20" w:rsidRPr="00957B20" w:rsidRDefault="00957B20" w:rsidP="006953CF">
            <w:pPr>
              <w:spacing w:after="120" w:line="240" w:lineRule="auto"/>
              <w:ind w:firstLine="480"/>
              <w:rPr>
                <w:sz w:val="18"/>
                <w:szCs w:val="18"/>
                <w:lang w:val="en-CA"/>
              </w:rPr>
            </w:pPr>
            <w:r w:rsidRPr="00957B20">
              <w:rPr>
                <w:sz w:val="18"/>
                <w:szCs w:val="18"/>
                <w:lang w:val="en-CA"/>
              </w:rPr>
              <w:t>0.10</w:t>
            </w:r>
          </w:p>
        </w:tc>
      </w:tr>
    </w:tbl>
    <w:p w14:paraId="0FEB30AF" w14:textId="50F928A5" w:rsidR="00FA09B8" w:rsidRDefault="00FA09B8" w:rsidP="00FA09B8">
      <w:pPr>
        <w:spacing w:after="120"/>
        <w:ind w:firstLine="480"/>
        <w:rPr>
          <w:highlight w:val="yellow"/>
        </w:rPr>
      </w:pPr>
      <w:r w:rsidRPr="009F5B51">
        <w:rPr>
          <w:highlight w:val="yellow"/>
        </w:rPr>
        <w:t xml:space="preserve">The weights should be established through project-stakeholder pairwise comparisons rather than treated as universally applicable values. The AHP consistency ratio should be evaluated, and a ratio below 0.10 should normally be targeted. Each candidate site is assigned a normalized score </w:t>
      </w:r>
      <m:oMath>
        <m:sSub>
          <m:sSubPr>
            <m:ctrlPr>
              <w:rPr>
                <w:rFonts w:ascii="Cambria Math" w:hAnsi="Cambria Math"/>
                <w:highlight w:val="yellow"/>
              </w:rPr>
            </m:ctrlPr>
          </m:sSubPr>
          <m:e>
            <m:r>
              <w:rPr>
                <w:rFonts w:ascii="Cambria Math" w:hAnsi="Cambria Math"/>
                <w:highlight w:val="yellow"/>
              </w:rPr>
              <m:t>s</m:t>
            </m:r>
          </m:e>
          <m:sub>
            <m:r>
              <w:rPr>
                <w:rFonts w:ascii="Cambria Math" w:hAnsi="Cambria Math"/>
                <w:highlight w:val="yellow"/>
              </w:rPr>
              <m:t>ij</m:t>
            </m:r>
          </m:sub>
        </m:sSub>
      </m:oMath>
      <w:r w:rsidRPr="009F5B51">
        <w:rPr>
          <w:highlight w:val="yellow"/>
        </w:rPr>
        <w:t xml:space="preserve">between 0 and 1 for each criterion. The total score for candidate site </w:t>
      </w:r>
      <m:oMath>
        <m:r>
          <w:rPr>
            <w:rFonts w:ascii="Cambria Math" w:hAnsi="Cambria Math"/>
            <w:highlight w:val="yellow"/>
          </w:rPr>
          <m:t>j</m:t>
        </m:r>
      </m:oMath>
      <w:r w:rsidRPr="009F5B51">
        <w:rPr>
          <w:highlight w:val="yellow"/>
        </w:rPr>
        <w:t>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3C6158" w14:paraId="63848827" w14:textId="77777777" w:rsidTr="001D13F4">
        <w:tc>
          <w:tcPr>
            <w:tcW w:w="421" w:type="dxa"/>
          </w:tcPr>
          <w:p w14:paraId="0D0C3B07" w14:textId="77777777" w:rsidR="003C6158" w:rsidRDefault="003C6158" w:rsidP="001E5821">
            <w:pPr>
              <w:rPr>
                <w:color w:val="auto"/>
                <w:szCs w:val="24"/>
                <w:lang w:val="en-CA" w:eastAsia="en-CA"/>
              </w:rPr>
            </w:pPr>
          </w:p>
        </w:tc>
        <w:tc>
          <w:tcPr>
            <w:tcW w:w="7908" w:type="dxa"/>
          </w:tcPr>
          <w:p w14:paraId="294142A7" w14:textId="72BBFA4A" w:rsidR="003C6158" w:rsidRPr="00225E6D" w:rsidRDefault="00000000" w:rsidP="001E5821">
            <w:pPr>
              <w:rPr>
                <w:rFonts w:asciiTheme="majorBidi" w:hAnsiTheme="majorBidi" w:cstheme="majorBidi"/>
                <w:color w:val="auto"/>
                <w:sz w:val="22"/>
                <w:szCs w:val="22"/>
                <w:lang w:val="en-CA" w:eastAsia="en-CA"/>
              </w:rPr>
            </w:pPr>
            <m:oMathPara>
              <m:oMath>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j</m:t>
                    </m:r>
                  </m:sub>
                </m:sSub>
                <m:r>
                  <w:rPr>
                    <w:rFonts w:ascii="Cambria Math" w:hAnsi="Cambria Math"/>
                    <w:color w:val="auto"/>
                    <w:szCs w:val="24"/>
                  </w:rPr>
                  <m:t>=</m:t>
                </m:r>
                <m:nary>
                  <m:naryPr>
                    <m:chr m:val="∑"/>
                    <m:limLoc m:val="undOvr"/>
                    <m:ctrlPr>
                      <w:rPr>
                        <w:rFonts w:ascii="Cambria Math" w:hAnsi="Cambria Math"/>
                        <w:color w:val="auto"/>
                        <w:szCs w:val="24"/>
                      </w:rPr>
                    </m:ctrlPr>
                  </m:naryPr>
                  <m:sub>
                    <m:r>
                      <w:rPr>
                        <w:rFonts w:ascii="Cambria Math" w:hAnsi="Cambria Math"/>
                        <w:color w:val="auto"/>
                        <w:szCs w:val="24"/>
                      </w:rPr>
                      <m:t>i=1</m:t>
                    </m:r>
                  </m:sub>
                  <m:sup>
                    <m:r>
                      <w:rPr>
                        <w:rFonts w:ascii="Cambria Math" w:hAnsi="Cambria Math"/>
                        <w:color w:val="auto"/>
                        <w:szCs w:val="24"/>
                      </w:rPr>
                      <m:t>m</m:t>
                    </m:r>
                  </m:sup>
                  <m:e>
                    <m:sSub>
                      <m:sSubPr>
                        <m:ctrlPr>
                          <w:rPr>
                            <w:rFonts w:ascii="Cambria Math" w:hAnsi="Cambria Math"/>
                            <w:color w:val="auto"/>
                            <w:szCs w:val="24"/>
                          </w:rPr>
                        </m:ctrlPr>
                      </m:sSubPr>
                      <m:e>
                        <m:r>
                          <w:rPr>
                            <w:rFonts w:ascii="Cambria Math" w:hAnsi="Cambria Math"/>
                            <w:color w:val="auto"/>
                            <w:szCs w:val="24"/>
                          </w:rPr>
                          <m:t>w</m:t>
                        </m:r>
                      </m:e>
                      <m:sub>
                        <m:r>
                          <w:rPr>
                            <w:rFonts w:ascii="Cambria Math" w:hAnsi="Cambria Math"/>
                            <w:color w:val="auto"/>
                            <w:szCs w:val="24"/>
                          </w:rPr>
                          <m:t>i</m:t>
                        </m:r>
                      </m:sub>
                    </m:sSub>
                  </m:e>
                </m:nary>
                <m:sSub>
                  <m:sSubPr>
                    <m:ctrlPr>
                      <w:rPr>
                        <w:rFonts w:ascii="Cambria Math" w:hAnsi="Cambria Math"/>
                        <w:color w:val="auto"/>
                        <w:szCs w:val="24"/>
                      </w:rPr>
                    </m:ctrlPr>
                  </m:sSubPr>
                  <m:e>
                    <m:r>
                      <w:rPr>
                        <w:rFonts w:ascii="Cambria Math" w:hAnsi="Cambria Math"/>
                        <w:color w:val="auto"/>
                        <w:szCs w:val="24"/>
                      </w:rPr>
                      <m:t>s</m:t>
                    </m:r>
                  </m:e>
                  <m:sub>
                    <m:r>
                      <w:rPr>
                        <w:rFonts w:ascii="Cambria Math" w:hAnsi="Cambria Math"/>
                        <w:color w:val="auto"/>
                        <w:szCs w:val="24"/>
                      </w:rPr>
                      <m:t>ij</m:t>
                    </m:r>
                  </m:sub>
                </m:sSub>
              </m:oMath>
            </m:oMathPara>
          </w:p>
        </w:tc>
        <w:tc>
          <w:tcPr>
            <w:tcW w:w="616" w:type="dxa"/>
            <w:vAlign w:val="center"/>
          </w:tcPr>
          <w:p w14:paraId="47A6C29B" w14:textId="1CAB0CAB" w:rsidR="003C6158" w:rsidRDefault="003C6158" w:rsidP="001E5821">
            <w:pPr>
              <w:rPr>
                <w:color w:val="auto"/>
                <w:szCs w:val="24"/>
                <w:lang w:val="en-CA" w:eastAsia="en-CA"/>
              </w:rPr>
            </w:pPr>
            <w:r>
              <w:rPr>
                <w:color w:val="auto"/>
                <w:szCs w:val="24"/>
                <w:lang w:val="en-CA" w:eastAsia="en-CA"/>
              </w:rPr>
              <w:t>(1</w:t>
            </w:r>
            <w:r w:rsidR="004E0509">
              <w:rPr>
                <w:color w:val="auto"/>
                <w:szCs w:val="24"/>
                <w:lang w:val="en-CA" w:eastAsia="en-CA"/>
              </w:rPr>
              <w:t>8</w:t>
            </w:r>
            <w:r>
              <w:rPr>
                <w:color w:val="auto"/>
                <w:szCs w:val="24"/>
                <w:lang w:val="en-CA" w:eastAsia="en-CA"/>
              </w:rPr>
              <w:t>)</w:t>
            </w:r>
          </w:p>
        </w:tc>
      </w:tr>
    </w:tbl>
    <w:p w14:paraId="5CCBF018" w14:textId="18CB8D4B" w:rsidR="001D13F4" w:rsidRPr="001D13F4" w:rsidRDefault="001D13F4" w:rsidP="001D13F4">
      <w:pPr>
        <w:spacing w:after="120"/>
        <w:ind w:firstLine="480"/>
        <w:rPr>
          <w:highlight w:val="yellow"/>
          <w:lang w:val="en-CA"/>
        </w:rPr>
      </w:pPr>
      <w:r w:rsidRPr="001D13F4">
        <w:rPr>
          <w:highlight w:val="yellow"/>
          <w:lang w:val="en-CA"/>
        </w:rPr>
        <w:lastRenderedPageBreak/>
        <w:t xml:space="preserve">where </w:t>
      </w:r>
      <m:oMath>
        <m:sSub>
          <m:sSubPr>
            <m:ctrlPr>
              <w:rPr>
                <w:rFonts w:ascii="Cambria Math" w:hAnsi="Cambria Math"/>
                <w:highlight w:val="yellow"/>
                <w:lang w:val="en-CA"/>
              </w:rPr>
            </m:ctrlPr>
          </m:sSubPr>
          <m:e>
            <m:r>
              <w:rPr>
                <w:rFonts w:ascii="Cambria Math" w:hAnsi="Cambria Math"/>
                <w:highlight w:val="yellow"/>
                <w:lang w:val="en-CA"/>
              </w:rPr>
              <m:t>w</m:t>
            </m:r>
          </m:e>
          <m:sub>
            <m:r>
              <w:rPr>
                <w:rFonts w:ascii="Cambria Math" w:hAnsi="Cambria Math"/>
                <w:highlight w:val="yellow"/>
                <w:lang w:val="en-CA"/>
              </w:rPr>
              <m:t>i</m:t>
            </m:r>
          </m:sub>
        </m:sSub>
      </m:oMath>
      <w:r w:rsidRPr="001D13F4">
        <w:rPr>
          <w:highlight w:val="yellow"/>
          <w:lang w:val="en-CA"/>
        </w:rPr>
        <w:t xml:space="preserve">is the weight assigned to criterion </w:t>
      </w:r>
      <m:oMath>
        <m:r>
          <w:rPr>
            <w:rFonts w:ascii="Cambria Math" w:hAnsi="Cambria Math"/>
            <w:highlight w:val="yellow"/>
            <w:lang w:val="en-CA"/>
          </w:rPr>
          <m:t>i</m:t>
        </m:r>
      </m:oMath>
      <w:r w:rsidRPr="001D13F4">
        <w:rPr>
          <w:highlight w:val="yellow"/>
          <w:lang w:val="en-CA"/>
        </w:rPr>
        <w:t xml:space="preserve">, </w:t>
      </w:r>
      <m:oMath>
        <m:sSub>
          <m:sSubPr>
            <m:ctrlPr>
              <w:rPr>
                <w:rFonts w:ascii="Cambria Math" w:hAnsi="Cambria Math"/>
                <w:highlight w:val="yellow"/>
                <w:lang w:val="en-CA"/>
              </w:rPr>
            </m:ctrlPr>
          </m:sSubPr>
          <m:e>
            <m:r>
              <w:rPr>
                <w:rFonts w:ascii="Cambria Math" w:hAnsi="Cambria Math"/>
                <w:highlight w:val="yellow"/>
                <w:lang w:val="en-CA"/>
              </w:rPr>
              <m:t>s</m:t>
            </m:r>
          </m:e>
          <m:sub>
            <m:r>
              <w:rPr>
                <w:rFonts w:ascii="Cambria Math" w:hAnsi="Cambria Math"/>
                <w:highlight w:val="yellow"/>
                <w:lang w:val="en-CA"/>
              </w:rPr>
              <m:t>ij</m:t>
            </m:r>
          </m:sub>
        </m:sSub>
      </m:oMath>
      <w:r w:rsidRPr="001D13F4">
        <w:rPr>
          <w:highlight w:val="yellow"/>
          <w:lang w:val="en-CA"/>
        </w:rPr>
        <w:t xml:space="preserve">is the normalized performance of candidate site </w:t>
      </w:r>
      <m:oMath>
        <m:r>
          <w:rPr>
            <w:rFonts w:ascii="Cambria Math" w:hAnsi="Cambria Math"/>
            <w:highlight w:val="yellow"/>
            <w:lang w:val="en-CA"/>
          </w:rPr>
          <m:t>j</m:t>
        </m:r>
      </m:oMath>
      <w:r w:rsidRPr="001D13F4">
        <w:rPr>
          <w:highlight w:val="yellow"/>
          <w:lang w:val="en-CA"/>
        </w:rPr>
        <w:t xml:space="preserve">under criterion </w:t>
      </w:r>
      <m:oMath>
        <m:r>
          <w:rPr>
            <w:rFonts w:ascii="Cambria Math" w:hAnsi="Cambria Math"/>
            <w:highlight w:val="yellow"/>
            <w:lang w:val="en-CA"/>
          </w:rPr>
          <m:t>i</m:t>
        </m:r>
      </m:oMath>
      <w:r w:rsidRPr="001D13F4">
        <w:rPr>
          <w:highlight w:val="yellow"/>
          <w:lang w:val="en-CA"/>
        </w:rPr>
        <w:t xml:space="preserve">, and </w:t>
      </w:r>
      <m:oMath>
        <m:r>
          <w:rPr>
            <w:rFonts w:ascii="Cambria Math" w:hAnsi="Cambria Math"/>
            <w:highlight w:val="yellow"/>
            <w:lang w:val="en-CA"/>
          </w:rPr>
          <m:t>m</m:t>
        </m:r>
      </m:oMath>
      <w:r w:rsidRPr="001D13F4">
        <w:rPr>
          <w:highlight w:val="yellow"/>
          <w:lang w:val="en-CA"/>
        </w:rPr>
        <w:t>is the number of criteria.</w:t>
      </w:r>
    </w:p>
    <w:p w14:paraId="61E14B35" w14:textId="006C05B0" w:rsidR="000028D9" w:rsidRDefault="000028D9" w:rsidP="00A95675">
      <w:pPr>
        <w:spacing w:after="120"/>
        <w:ind w:firstLine="480"/>
      </w:pPr>
      <w:r w:rsidRPr="009473CB">
        <w:rPr>
          <w:highlight w:val="yellow"/>
        </w:rPr>
        <w:t>The ranking of candidate sites should be repeated by changing the weightings assigned to the principle criterion, and the results should be recorded in a sensitivity analysis. Sites that move significantly with reasonable variations in weight should be marked for additional scrutiny. This step is required because MCDA outcomes may be prone to personal weighting presumptions. Satellite or ground-measured irradiance corrected for local terrain, shading, temperature, and system losses should be used for solar-resource evaluation. The minimum solar capacity factor is set as an annual value typically greater than 20%, which is a reasonable starting point, but should not be considered a generic project criterion. Likewise, even if a project is within the boundaries of an onshore wind capacity factor greater than ~25%, project development can be based on validated meteorological-mast or LiDAR measurements of sufficient duration</w:t>
      </w:r>
      <w:r w:rsidR="00F91991" w:rsidRPr="009473CB">
        <w:rPr>
          <w:highlight w:val="yellow"/>
        </w:rPr>
        <w:fldChar w:fldCharType="begin"/>
      </w:r>
      <w:r w:rsidR="00A95675">
        <w:rPr>
          <w:highlight w:val="yellow"/>
        </w:rPr>
        <w:instrText xml:space="preserve"> ADDIN ZOTERO_ITEM CSL_CITATION {"citationID":"XVy3XeZ0","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91991" w:rsidRPr="009473CB">
        <w:rPr>
          <w:highlight w:val="yellow"/>
        </w:rPr>
        <w:fldChar w:fldCharType="separate"/>
      </w:r>
      <w:r w:rsidR="00A95675" w:rsidRPr="00A95675">
        <w:rPr>
          <w:highlight w:val="yellow"/>
        </w:rPr>
        <w:t>[104]</w:t>
      </w:r>
      <w:r w:rsidR="00F91991" w:rsidRPr="009473CB">
        <w:rPr>
          <w:highlight w:val="yellow"/>
        </w:rPr>
        <w:fldChar w:fldCharType="end"/>
      </w:r>
      <w:r w:rsidRPr="009473CB">
        <w:rPr>
          <w:highlight w:val="yellow"/>
        </w:rPr>
        <w:t>.</w:t>
      </w:r>
    </w:p>
    <w:p w14:paraId="083DA38F" w14:textId="61308439" w:rsidR="00957B20" w:rsidRPr="002F6018" w:rsidRDefault="000028D9" w:rsidP="00E842C0">
      <w:pPr>
        <w:spacing w:after="120"/>
        <w:ind w:firstLine="480"/>
        <w:rPr>
          <w:highlight w:val="yellow"/>
          <w:lang w:val="en-CA"/>
        </w:rPr>
      </w:pPr>
      <w:r w:rsidRPr="009473CB">
        <w:rPr>
          <w:highlight w:val="yellow"/>
        </w:rPr>
        <w:t>The proposed site may be affected in a significant way by grid-interconnection feasibility. The costs for interconnection vary greatly depending on project size, voltage, network capacity, new protection and substation equipment, transmission reinforcement and utility procedures. Therefore, interconnection costs can be defined based on the study that is relevant to the specific utility or system-operator and not as a universal cost range.</w:t>
      </w:r>
      <w:r w:rsidR="00F73394" w:rsidRPr="009473CB">
        <w:rPr>
          <w:highlight w:val="yellow"/>
        </w:rPr>
        <w:t xml:space="preserve"> </w:t>
      </w:r>
      <w:r w:rsidRPr="009473CB">
        <w:rPr>
          <w:highlight w:val="yellow"/>
        </w:rPr>
        <w:t>Assessments for climate resilience should include hazards that could impact renewable generation, grid supply, cooling performance, or access to the facility</w:t>
      </w:r>
      <w:r w:rsidR="009473CB">
        <w:rPr>
          <w:highlight w:val="yellow"/>
        </w:rPr>
        <w:fldChar w:fldCharType="begin"/>
      </w:r>
      <w:r w:rsidR="00E842C0">
        <w:rPr>
          <w:highlight w:val="yellow"/>
        </w:rPr>
        <w:instrText xml:space="preserve"> ADDIN ZOTERO_ITEM CSL_CITATION {"citationID":"frkHKcY9","properties":{"unsorted":false,"formattedCitation":"[144]","plainCitation":"[144]","noteIndex":0},"citationItems":[{"id":2127,"uris":["http://zotero.org/users/9870935/items/TPD6JBT4"],"itemData":{"id":2127,"type":"article","abstract":"As machine learning workloads significantly increase energy consumption, sustainable data centers with low carbon emissions are becoming a top priority for governments and corporations worldwide. This requires a paradigm shift in optimizing power consumption in cooling and IT loads, shifting flexible loads based on the availability of renewable energy in the power grid, and leveraging battery storage from the uninterrupted power supply in data centers, using collaborative agents. The complex association between these optimization strategies and their dependencies on variable external factors like weather and the power grid carbon intensity makes this a hard problem. Currently, a real-time controller to optimize all these goals simultaneously in a dynamic real-world setting is lacking. We propose a Data Center Carbon Footprint Reduction (DC-CFR) multi-agent Reinforcement Learning (MARL) framework that optimizes data centers for the multiple objectives of carbon footprint reduction, energy consumption, and energy cost. The results show that the DC-CFR MARL agents effectively resolved the complex interdependencies in optimizing cooling, load shifting, and energy storage in real-time for various locations under real-world dynamic weather and grid carbon intensity conditions. DC-CFR significantly outperformed the industry standard ASHRAE controller with a considerable reduction in carbon emissions (14.5%), energy usage (14.4%), and energy cost (13.7%) when evaluated over one year across multiple geographical regions.","DOI":"10.48550/ARXIV.2403.14092","license":"arXiv.org perpetual, non-exclusive license","note":"version: 3","publisher":"arXiv","source":"DOI.org (Datacite)","title":"Carbon Footprint Reduction for Sustainable Data Centers in Real-Time","URL":"https://arxiv.org/abs/2403.14092","author":[{"family":"Sarkar","given":"Soumyendu"},{"family":"Naug","given":"Avisek"},{"family":"Luna","given":"Ricardo"},{"family":"Guillen","given":"Antonio"},{"family":"Gundecha","given":"Vineet"},{"family":"Ghorbanpour","given":"Sahand"},{"family":"Mousavi","given":"Sajad"},{"family":"Markovikj","given":"Dejan"},{"family":"Babu","given":"Ashwin Ramesh"}],"accessed":{"date-parts":[["2026",5,23]]},"issued":{"date-parts":[["2024"]]}}}],"schema":"https://github.com/citation-style-language/schema/raw/master/csl-citation.json"} </w:instrText>
      </w:r>
      <w:r w:rsidR="009473CB">
        <w:rPr>
          <w:highlight w:val="yellow"/>
        </w:rPr>
        <w:fldChar w:fldCharType="separate"/>
      </w:r>
      <w:r w:rsidR="00E842C0" w:rsidRPr="00E842C0">
        <w:rPr>
          <w:highlight w:val="yellow"/>
        </w:rPr>
        <w:t>[144]</w:t>
      </w:r>
      <w:r w:rsidR="009473CB">
        <w:rPr>
          <w:highlight w:val="yellow"/>
        </w:rPr>
        <w:fldChar w:fldCharType="end"/>
      </w:r>
      <w:r w:rsidRPr="009473CB">
        <w:rPr>
          <w:highlight w:val="yellow"/>
        </w:rPr>
        <w:t>. Higher-risk sites could benefit from raised equipment platforms, additional structural ratings, redundant utility connections, extra backup resources and/ or alternate cooling solutions.</w:t>
      </w:r>
      <w:r w:rsidR="00DF4B39">
        <w:rPr>
          <w:highlight w:val="yellow"/>
        </w:rPr>
        <w:t xml:space="preserve"> </w:t>
      </w:r>
      <w:r w:rsidR="00DF4B39" w:rsidRPr="00DF4B39">
        <w:rPr>
          <w:highlight w:val="yellow"/>
          <w:lang w:val="en-CA"/>
        </w:rPr>
        <w:t>The output of Component 1 is a ranked shortlist of candidate sites, together with supporting renewable-resource profiles, interconnection constraints, water and land limitations, environmental risks, regulatory considerations, and sensitivity results.</w:t>
      </w:r>
    </w:p>
    <w:p w14:paraId="134032C6" w14:textId="40137360" w:rsidR="00AF4131" w:rsidRPr="00AF4131" w:rsidRDefault="00FE013C" w:rsidP="00AF4131">
      <w:pPr>
        <w:pStyle w:val="Heading20"/>
        <w:jc w:val="both"/>
        <w:rPr>
          <w:color w:val="auto"/>
        </w:rPr>
      </w:pPr>
      <w:r>
        <w:rPr>
          <w:color w:val="auto"/>
        </w:rPr>
        <w:t xml:space="preserve">7.3. Technology </w:t>
      </w:r>
      <w:r w:rsidR="008D2B0F">
        <w:rPr>
          <w:color w:val="auto"/>
        </w:rPr>
        <w:t>Selection and Trade-Off Analysis</w:t>
      </w:r>
    </w:p>
    <w:p w14:paraId="2563CF3F" w14:textId="216B6AAD" w:rsidR="002F6018" w:rsidRPr="002F6018" w:rsidRDefault="002F6018" w:rsidP="002F6018">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0112694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hourly or sub-hourly solar and wind resource profiles;</w:t>
      </w:r>
    </w:p>
    <w:p w14:paraId="3A5D5D8C"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total and critical-load profiles;</w:t>
      </w:r>
    </w:p>
    <w:p w14:paraId="2ADAA9C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workload-flexibility constraints;</w:t>
      </w:r>
    </w:p>
    <w:p w14:paraId="21AF84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renewable-generation capital and operating costs;</w:t>
      </w:r>
    </w:p>
    <w:p w14:paraId="6574EA06"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battery pack and installed BESS costs;</w:t>
      </w:r>
    </w:p>
    <w:p w14:paraId="5142E203"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storage efficiency, degradation, and operating limits;</w:t>
      </w:r>
    </w:p>
    <w:p w14:paraId="0DE57445"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grid-import and export limits;</w:t>
      </w:r>
    </w:p>
    <w:p w14:paraId="36AA331D"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electricity tariffs and demand charges;</w:t>
      </w:r>
    </w:p>
    <w:p w14:paraId="3A77B44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availability;</w:t>
      </w:r>
    </w:p>
    <w:p w14:paraId="1D4BF258"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reliability objectives;</w:t>
      </w:r>
    </w:p>
    <w:p w14:paraId="059CD8B0"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carbon-intensity data and emissions targets; and</w:t>
      </w:r>
    </w:p>
    <w:p w14:paraId="6D318C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applicable regulatory and physical constraints.</w:t>
      </w:r>
    </w:p>
    <w:p w14:paraId="3746684A" w14:textId="31E45156" w:rsidR="002F6018" w:rsidRPr="00963ECF" w:rsidRDefault="002F6018" w:rsidP="00963ECF">
      <w:pPr>
        <w:spacing w:after="120"/>
        <w:ind w:firstLine="480"/>
        <w:rPr>
          <w:highlight w:val="yellow"/>
        </w:rPr>
      </w:pPr>
      <w:r w:rsidRPr="002F6018">
        <w:rPr>
          <w:highlight w:val="yellow"/>
        </w:rPr>
        <w:t xml:space="preserve">The technology-mix selection process assesses combinations of renewable energy generation, energy storage, grid services and backup resources among a list of competing technologies. Chronological energy-balance analysis and a unified lifecycle-cost framework are used to evaluate each candidate configuration. Configurations incompatible with reliability, interconnection, power, </w:t>
      </w:r>
      <w:r w:rsidRPr="002F6018">
        <w:rPr>
          <w:highlight w:val="yellow"/>
        </w:rPr>
        <w:lastRenderedPageBreak/>
        <w:t>energy, or emissions requirements are not considered. The other options are evaluated using lifecycle cost, renewable energy use, emissions, flexibility, implementation risk, and reliance on grid or fuel supply.</w:t>
      </w:r>
      <w:r w:rsidRPr="00963ECF">
        <w:rPr>
          <w:highlight w:val="yellow"/>
        </w:rPr>
        <w:t xml:space="preserve"> If an optimization model is used, the model, data, solver, time resolution, model assumptions and the output of the model should be documented. The framework does not specify an optimum configuration in general.</w:t>
      </w:r>
    </w:p>
    <w:p w14:paraId="78DDEAA3" w14:textId="3D1AADBA" w:rsidR="002F6018" w:rsidRPr="00BF65C5" w:rsidRDefault="002F6018" w:rsidP="00BF65C5">
      <w:pPr>
        <w:spacing w:after="120"/>
        <w:ind w:firstLine="480"/>
        <w:rPr>
          <w:highlight w:val="yellow"/>
        </w:rPr>
      </w:pPr>
      <w:r w:rsidRPr="00963ECF">
        <w:rPr>
          <w:highlight w:val="yellow"/>
        </w:rPr>
        <w:t>The result is a shortlist of practicable technology options specific to the site, such as:</w:t>
      </w:r>
    </w:p>
    <w:p w14:paraId="747F59AF"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Renewable energy capacity, including solar power, wind power;</w:t>
      </w:r>
    </w:p>
    <w:p w14:paraId="54A0931F" w14:textId="65611EFB"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 xml:space="preserve">Usable </w:t>
      </w:r>
      <w:r w:rsidR="00CB0ADE">
        <w:rPr>
          <w:highlight w:val="yellow"/>
          <w:lang w:val="en-CA"/>
        </w:rPr>
        <w:t>battery-</w:t>
      </w:r>
      <w:r w:rsidRPr="003E1B02">
        <w:rPr>
          <w:highlight w:val="yellow"/>
          <w:lang w:val="en-CA"/>
        </w:rPr>
        <w:t>energy capacity; and</w:t>
      </w:r>
    </w:p>
    <w:p w14:paraId="2F38F28A" w14:textId="7BAA1237" w:rsidR="002F6018" w:rsidRPr="003E1B02" w:rsidRDefault="00F74580" w:rsidP="00BF65C5">
      <w:pPr>
        <w:pStyle w:val="ListParagraph"/>
        <w:numPr>
          <w:ilvl w:val="0"/>
          <w:numId w:val="26"/>
        </w:numPr>
        <w:spacing w:after="120"/>
        <w:rPr>
          <w:highlight w:val="yellow"/>
          <w:lang w:val="en-CA"/>
        </w:rPr>
      </w:pPr>
      <w:r>
        <w:rPr>
          <w:highlight w:val="yellow"/>
          <w:lang w:val="en-CA"/>
        </w:rPr>
        <w:t>S</w:t>
      </w:r>
      <w:r w:rsidR="002F6018" w:rsidRPr="003E1B02">
        <w:rPr>
          <w:highlight w:val="yellow"/>
          <w:lang w:val="en-CA"/>
        </w:rPr>
        <w:t>torage duration;</w:t>
      </w:r>
    </w:p>
    <w:p w14:paraId="36BD6FA6" w14:textId="56E4DC86" w:rsidR="002F6018" w:rsidRPr="003E1B02" w:rsidRDefault="00F74580" w:rsidP="00BF65C5">
      <w:pPr>
        <w:pStyle w:val="ListParagraph"/>
        <w:numPr>
          <w:ilvl w:val="0"/>
          <w:numId w:val="26"/>
        </w:numPr>
        <w:spacing w:after="120"/>
        <w:rPr>
          <w:highlight w:val="yellow"/>
          <w:lang w:val="en-CA"/>
        </w:rPr>
      </w:pPr>
      <w:r>
        <w:rPr>
          <w:highlight w:val="yellow"/>
          <w:lang w:val="en-CA"/>
        </w:rPr>
        <w:t>G</w:t>
      </w:r>
      <w:r w:rsidR="002F6018" w:rsidRPr="003E1B02">
        <w:rPr>
          <w:highlight w:val="yellow"/>
          <w:lang w:val="en-CA"/>
        </w:rPr>
        <w:t>rid-Import/Export capacity;</w:t>
      </w:r>
    </w:p>
    <w:p w14:paraId="1C711324" w14:textId="77777777" w:rsidR="002F6018" w:rsidRPr="003E1B02" w:rsidRDefault="002F6018" w:rsidP="00BF65C5">
      <w:pPr>
        <w:pStyle w:val="ListParagraph"/>
        <w:numPr>
          <w:ilvl w:val="0"/>
          <w:numId w:val="26"/>
        </w:numPr>
        <w:spacing w:after="120"/>
        <w:rPr>
          <w:highlight w:val="yellow"/>
          <w:lang w:val="en-CA"/>
        </w:rPr>
      </w:pPr>
      <w:r w:rsidRPr="003E1B02">
        <w:rPr>
          <w:highlight w:val="yellow"/>
          <w:lang w:val="en-CA"/>
        </w:rPr>
        <w:t>Backup-resource type and rating;</w:t>
      </w:r>
    </w:p>
    <w:p w14:paraId="38F80BC5" w14:textId="5BA38632" w:rsidR="002F6018" w:rsidRPr="003E1B02" w:rsidRDefault="00A25E8B" w:rsidP="00BF65C5">
      <w:pPr>
        <w:pStyle w:val="ListParagraph"/>
        <w:numPr>
          <w:ilvl w:val="0"/>
          <w:numId w:val="26"/>
        </w:numPr>
        <w:spacing w:after="120"/>
        <w:rPr>
          <w:highlight w:val="yellow"/>
          <w:lang w:val="en-CA"/>
        </w:rPr>
      </w:pPr>
      <w:r>
        <w:rPr>
          <w:highlight w:val="yellow"/>
          <w:lang w:val="en-CA"/>
        </w:rPr>
        <w:t>A</w:t>
      </w:r>
      <w:r w:rsidR="002F6018" w:rsidRPr="003E1B02">
        <w:rPr>
          <w:highlight w:val="yellow"/>
          <w:lang w:val="en-CA"/>
        </w:rPr>
        <w:t>nticipated renewable curtailment;</w:t>
      </w:r>
    </w:p>
    <w:p w14:paraId="1EE8472E" w14:textId="2298CF13" w:rsidR="002F6018" w:rsidRPr="003E1B02" w:rsidRDefault="00A25E8B" w:rsidP="00BF65C5">
      <w:pPr>
        <w:pStyle w:val="ListParagraph"/>
        <w:numPr>
          <w:ilvl w:val="0"/>
          <w:numId w:val="26"/>
        </w:numPr>
        <w:spacing w:after="120"/>
        <w:rPr>
          <w:highlight w:val="yellow"/>
          <w:lang w:val="en-CA"/>
        </w:rPr>
      </w:pPr>
      <w:r>
        <w:rPr>
          <w:highlight w:val="yellow"/>
          <w:lang w:val="en-CA"/>
        </w:rPr>
        <w:t>F</w:t>
      </w:r>
      <w:r w:rsidR="002F6018" w:rsidRPr="003E1B02">
        <w:rPr>
          <w:highlight w:val="yellow"/>
          <w:lang w:val="en-CA"/>
        </w:rPr>
        <w:t>inancial costs and dependability factors; and</w:t>
      </w:r>
    </w:p>
    <w:p w14:paraId="164D3A6D" w14:textId="2C4247CC" w:rsidR="002F6018" w:rsidRPr="003E1B02" w:rsidRDefault="00A25E8B" w:rsidP="00BF65C5">
      <w:pPr>
        <w:pStyle w:val="ListParagraph"/>
        <w:numPr>
          <w:ilvl w:val="0"/>
          <w:numId w:val="26"/>
        </w:numPr>
        <w:spacing w:after="120"/>
        <w:rPr>
          <w:highlight w:val="yellow"/>
          <w:lang w:val="en-CA"/>
        </w:rPr>
      </w:pPr>
      <w:r>
        <w:rPr>
          <w:highlight w:val="yellow"/>
          <w:lang w:val="en-CA"/>
        </w:rPr>
        <w:t>I</w:t>
      </w:r>
      <w:r w:rsidR="002F6018" w:rsidRPr="003E1B02">
        <w:rPr>
          <w:highlight w:val="yellow"/>
          <w:lang w:val="en-CA"/>
        </w:rPr>
        <w:t>mportant implementation risks.</w:t>
      </w:r>
    </w:p>
    <w:p w14:paraId="14406D38" w14:textId="5A4D56B0" w:rsidR="002F6018" w:rsidRPr="003218A2" w:rsidRDefault="002F6018" w:rsidP="00A95675">
      <w:pPr>
        <w:spacing w:after="120"/>
        <w:ind w:firstLine="480"/>
        <w:rPr>
          <w:highlight w:val="yellow"/>
        </w:rPr>
      </w:pPr>
      <w:r w:rsidRPr="003218A2">
        <w:rPr>
          <w:highlight w:val="yellow"/>
        </w:rPr>
        <w:t>Various technology-mix selection criteria involve renewable generation, energy storage, grid-interconnection capacity, backup resources, reliability requirements, carbon goals, and lifecycle cost</w:t>
      </w:r>
      <w:r w:rsidR="004F5508" w:rsidRPr="003218A2">
        <w:rPr>
          <w:highlight w:val="yellow"/>
        </w:rPr>
        <w:fldChar w:fldCharType="begin"/>
      </w:r>
      <w:r w:rsidR="00A95675">
        <w:rPr>
          <w:highlight w:val="yellow"/>
        </w:rPr>
        <w:instrText xml:space="preserve"> ADDIN ZOTERO_ITEM CSL_CITATION {"citationID":"mWoqWmxf","properties":{"unsorted":false,"formattedCitation":"[46]","plainCitation":"[46]","noteIndex":0},"citationItems":[{"id":1989,"uris":["http://zotero.org/users/9870935/items/3AV4CVJ6"],"itemData":{"id":1989,"type":"article-journal","container-title":"Journal of Energy Storage","DOI":"10.1016/j.est.2025.119502","ISSN":"2352152X","journalAbbreviation":"Journal of Energy Storage","language":"en","page":"119502","source":"DOI.org (Crossref)","title":"Optimal sizing of battery storage for cost-effective peak shaving in regional distribution networks","volume":"141","author":[{"family":"Rana","given":"Md Masud"},{"family":"Mo","given":"Huadong"},{"family":"Shafiullah","given":"G.M."},{"family":"Qiao","given":"Li"},{"family":"Dong","given":"Daoyi"}],"issued":{"date-parts":[["2026",1]]}}}],"schema":"https://github.com/citation-style-language/schema/raw/master/csl-citation.json"} </w:instrText>
      </w:r>
      <w:r w:rsidR="004F5508" w:rsidRPr="003218A2">
        <w:rPr>
          <w:highlight w:val="yellow"/>
        </w:rPr>
        <w:fldChar w:fldCharType="separate"/>
      </w:r>
      <w:r w:rsidR="00A95675" w:rsidRPr="00A95675">
        <w:rPr>
          <w:highlight w:val="yellow"/>
        </w:rPr>
        <w:t>[46]</w:t>
      </w:r>
      <w:r w:rsidR="004F5508" w:rsidRPr="003218A2">
        <w:rPr>
          <w:highlight w:val="yellow"/>
        </w:rPr>
        <w:fldChar w:fldCharType="end"/>
      </w:r>
      <w:r w:rsidRPr="003218A2">
        <w:rPr>
          <w:highlight w:val="yellow"/>
        </w:rPr>
        <w:t xml:space="preserve">. </w:t>
      </w:r>
    </w:p>
    <w:p w14:paraId="5E201085" w14:textId="326C3330" w:rsidR="002F6018" w:rsidRPr="003218A2" w:rsidRDefault="002F6018" w:rsidP="004F5508">
      <w:pPr>
        <w:spacing w:after="120"/>
        <w:ind w:firstLine="480"/>
        <w:rPr>
          <w:highlight w:val="yellow"/>
        </w:rPr>
      </w:pPr>
      <w:r w:rsidRPr="003218A2">
        <w:rPr>
          <w:highlight w:val="yellow"/>
        </w:rPr>
        <w:t>Gaining greater insight into the economics of renewable resources is important as the quality of these resources, measured by the capacity factor of the solar, wind, and other renewable sources, greatly affects the project economics by increasing annual generation and capital utilization. Battery costs are also relevant, but the price of battery packs should be separated from BESS costs once the batteries are installed. BloombergNEF forecasted a volume-weighted average price of lithium-ion battery-packs at around USD 108/kWh for 2025 [17]. Installed-system costs are more expensive due to power-conversion equipment, thermal management, enclosures, controls, fire protection, engineering, procurement, construction, site development and grid integration.</w:t>
      </w:r>
    </w:p>
    <w:p w14:paraId="49599D4A" w14:textId="68B67E19" w:rsidR="002F6018" w:rsidRPr="003218A2" w:rsidRDefault="002F6018" w:rsidP="005E2BBB">
      <w:pPr>
        <w:spacing w:after="120"/>
        <w:ind w:firstLine="480"/>
        <w:rPr>
          <w:highlight w:val="yellow"/>
        </w:rPr>
      </w:pPr>
      <w:r w:rsidRPr="003218A2">
        <w:rPr>
          <w:highlight w:val="yellow"/>
        </w:rPr>
        <w:t>Electricity prices and tariffs are another factor in the choice of configuration. The economic attractiveness of renewable generation and storage may benefit from higher grid-electricity prices, depending on demand-charges, time-of-use rates, export-compensation, curtailment, storage-losses, and financing-conditions [149].</w:t>
      </w:r>
      <w:r w:rsidR="004F5508" w:rsidRPr="003218A2">
        <w:rPr>
          <w:highlight w:val="yellow"/>
        </w:rPr>
        <w:t xml:space="preserve"> </w:t>
      </w:r>
      <w:r w:rsidRPr="003218A2">
        <w:rPr>
          <w:highlight w:val="yellow"/>
        </w:rPr>
        <w:t>Candidates should be ranked on the common reliability criteria outlined in Section 7.9 and project-specific lifecycle-cost, carbon-reduction and interconnection constraints.</w:t>
      </w:r>
      <w:r w:rsidR="005E2BBB">
        <w:rPr>
          <w:highlight w:val="yellow"/>
        </w:rPr>
        <w:t xml:space="preserve"> </w:t>
      </w:r>
      <w:r w:rsidR="005E2BBB">
        <w:rPr>
          <w:highlight w:val="yellow"/>
        </w:rPr>
        <w:fldChar w:fldCharType="begin"/>
      </w:r>
      <w:r w:rsidR="005E2BBB">
        <w:rPr>
          <w:highlight w:val="yellow"/>
        </w:rPr>
        <w:instrText xml:space="preserve"> REF _Ref239529641 \h </w:instrText>
      </w:r>
      <w:r w:rsidR="005E2BBB">
        <w:rPr>
          <w:highlight w:val="yellow"/>
        </w:rPr>
      </w:r>
      <w:r w:rsidR="005E2BBB">
        <w:rPr>
          <w:highlight w:val="yellow"/>
        </w:rPr>
        <w:fldChar w:fldCharType="separate"/>
      </w:r>
      <w:r w:rsidR="005E2BBB" w:rsidRPr="00905AA2">
        <w:rPr>
          <w:highlight w:val="yellow"/>
        </w:rPr>
        <w:t xml:space="preserve">Figure </w:t>
      </w:r>
      <w:r w:rsidR="005E2BBB" w:rsidRPr="00905AA2">
        <w:rPr>
          <w:noProof/>
          <w:highlight w:val="yellow"/>
        </w:rPr>
        <w:t>8</w:t>
      </w:r>
      <w:r w:rsidR="005E2BBB" w:rsidRPr="00905AA2">
        <w:rPr>
          <w:highlight w:val="yellow"/>
        </w:rPr>
        <w:t xml:space="preserve"> Technology-mix Selection Framework</w:t>
      </w:r>
      <w:r w:rsidR="005E2BBB">
        <w:rPr>
          <w:highlight w:val="yellow"/>
        </w:rPr>
        <w:fldChar w:fldCharType="end"/>
      </w:r>
      <w:r w:rsidR="005E2BBB">
        <w:rPr>
          <w:highlight w:val="yellow"/>
        </w:rPr>
        <w:t xml:space="preserve">, </w:t>
      </w:r>
      <w:r w:rsidRPr="003218A2">
        <w:rPr>
          <w:highlight w:val="yellow"/>
        </w:rPr>
        <w:t xml:space="preserve">Conceptual technology-mix selection framework illustrating the interactions among renewable capacity, storage duration, grid support, backup resources, lifecycle cost, carbon emissions, and reliability. The number is not a result from a site specific optimization model. </w:t>
      </w:r>
    </w:p>
    <w:p w14:paraId="5D775629" w14:textId="77777777" w:rsidR="00AF4131" w:rsidRDefault="00AF4131" w:rsidP="00722717">
      <w:pPr>
        <w:spacing w:after="120"/>
      </w:pPr>
    </w:p>
    <w:p w14:paraId="0225BD9C" w14:textId="1E6BAE45" w:rsidR="00FE013C" w:rsidRPr="00CD7233" w:rsidRDefault="007612D4" w:rsidP="007612D4">
      <w:pPr>
        <w:keepNext/>
        <w:spacing w:after="120"/>
        <w:jc w:val="center"/>
        <w:rPr>
          <w:lang w:val="en-CA"/>
        </w:rPr>
      </w:pPr>
      <w:r w:rsidRPr="007612D4">
        <w:rPr>
          <w:lang w:val="en-CA"/>
        </w:rPr>
        <w:lastRenderedPageBreak/>
        <w:drawing>
          <wp:inline distT="0" distB="0" distL="0" distR="0" wp14:anchorId="62DA4CFD" wp14:editId="24094E8E">
            <wp:extent cx="6192520" cy="3757930"/>
            <wp:effectExtent l="0" t="0" r="0" b="0"/>
            <wp:docPr id="1595312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92520" cy="3757930"/>
                    </a:xfrm>
                    <a:prstGeom prst="rect">
                      <a:avLst/>
                    </a:prstGeom>
                    <a:noFill/>
                    <a:ln>
                      <a:noFill/>
                    </a:ln>
                  </pic:spPr>
                </pic:pic>
              </a:graphicData>
            </a:graphic>
          </wp:inline>
        </w:drawing>
      </w:r>
    </w:p>
    <w:p w14:paraId="7CE7BD72" w14:textId="09A84916" w:rsidR="00FE013C" w:rsidRPr="00B4497F" w:rsidRDefault="00FE013C" w:rsidP="00A01CCD">
      <w:pPr>
        <w:pStyle w:val="Caption"/>
        <w:jc w:val="center"/>
      </w:pPr>
      <w:bookmarkStart w:id="16" w:name="_Ref239529641"/>
      <w:r w:rsidRPr="00905AA2">
        <w:rPr>
          <w:highlight w:val="yellow"/>
        </w:rPr>
        <w:t xml:space="preserve">Figure </w:t>
      </w:r>
      <w:r w:rsidRPr="00905AA2">
        <w:rPr>
          <w:highlight w:val="yellow"/>
        </w:rPr>
        <w:fldChar w:fldCharType="begin"/>
      </w:r>
      <w:r w:rsidRPr="00905AA2">
        <w:rPr>
          <w:highlight w:val="yellow"/>
        </w:rPr>
        <w:instrText xml:space="preserve"> SEQ Figure \* ARABIC </w:instrText>
      </w:r>
      <w:r w:rsidRPr="00905AA2">
        <w:rPr>
          <w:highlight w:val="yellow"/>
        </w:rPr>
        <w:fldChar w:fldCharType="separate"/>
      </w:r>
      <w:r w:rsidR="00807110" w:rsidRPr="00905AA2">
        <w:rPr>
          <w:noProof/>
          <w:highlight w:val="yellow"/>
        </w:rPr>
        <w:t>8</w:t>
      </w:r>
      <w:r w:rsidRPr="00905AA2">
        <w:rPr>
          <w:noProof/>
          <w:highlight w:val="yellow"/>
        </w:rPr>
        <w:fldChar w:fldCharType="end"/>
      </w:r>
      <w:r w:rsidRPr="00905AA2">
        <w:rPr>
          <w:highlight w:val="yellow"/>
        </w:rPr>
        <w:t xml:space="preserve"> </w:t>
      </w:r>
      <w:r w:rsidR="00AF4131" w:rsidRPr="00905AA2">
        <w:rPr>
          <w:highlight w:val="yellow"/>
        </w:rPr>
        <w:t>Technology-mix Selection Framework</w:t>
      </w:r>
      <w:bookmarkEnd w:id="16"/>
    </w:p>
    <w:p w14:paraId="615BABF6" w14:textId="77777777" w:rsidR="00FE013C" w:rsidRDefault="00FE013C" w:rsidP="004C16FF">
      <w:pPr>
        <w:pStyle w:val="Heading20"/>
        <w:jc w:val="both"/>
        <w:rPr>
          <w:color w:val="auto"/>
        </w:rPr>
      </w:pPr>
      <w:r>
        <w:rPr>
          <w:color w:val="auto"/>
        </w:rPr>
        <w:t>7.4. Electrical Architecture and Integration</w:t>
      </w:r>
    </w:p>
    <w:p w14:paraId="1DB812FD" w14:textId="77777777" w:rsidR="000B7B56" w:rsidRPr="002F6018" w:rsidRDefault="000B7B56" w:rsidP="000B7B56">
      <w:pPr>
        <w:spacing w:after="120"/>
        <w:ind w:firstLine="480"/>
        <w:rPr>
          <w:highlight w:val="yellow"/>
          <w:lang w:val="en-CA"/>
        </w:rPr>
      </w:pPr>
      <w:r w:rsidRPr="002F6018">
        <w:rPr>
          <w:highlight w:val="yellow"/>
          <w:lang w:val="en-CA"/>
        </w:rPr>
        <w:t>The required inputs include</w:t>
      </w:r>
      <w:r>
        <w:rPr>
          <w:highlight w:val="yellow"/>
          <w:lang w:val="en-CA"/>
        </w:rPr>
        <w:t xml:space="preserve"> for this component are</w:t>
      </w:r>
      <w:r w:rsidRPr="002F6018">
        <w:rPr>
          <w:highlight w:val="yellow"/>
          <w:lang w:val="en-CA"/>
        </w:rPr>
        <w:t>:</w:t>
      </w:r>
    </w:p>
    <w:p w14:paraId="3D5E4F50" w14:textId="37C82A8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Capacities </w:t>
      </w:r>
      <w:r w:rsidR="000B7B56" w:rsidRPr="002C1117">
        <w:rPr>
          <w:highlight w:val="yellow"/>
          <w:lang w:val="en-CA"/>
        </w:rPr>
        <w:t xml:space="preserve">selected in Component 2; </w:t>
      </w:r>
    </w:p>
    <w:p w14:paraId="6615888D" w14:textId="3FD02FE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Total </w:t>
      </w:r>
      <w:r w:rsidR="000B7B56" w:rsidRPr="002C1117">
        <w:rPr>
          <w:highlight w:val="yellow"/>
          <w:lang w:val="en-CA"/>
        </w:rPr>
        <w:t xml:space="preserve">peak and critical-load requirements; </w:t>
      </w:r>
    </w:p>
    <w:p w14:paraId="632476EA" w14:textId="1077B41E"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Required </w:t>
      </w:r>
      <w:r w:rsidR="000B7B56" w:rsidRPr="002C1117">
        <w:rPr>
          <w:highlight w:val="yellow"/>
          <w:lang w:val="en-CA"/>
        </w:rPr>
        <w:t xml:space="preserve">redundancy classification; </w:t>
      </w:r>
    </w:p>
    <w:p w14:paraId="08F2EC37" w14:textId="1969FE3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Utility </w:t>
      </w:r>
      <w:r w:rsidR="000B7B56" w:rsidRPr="002C1117">
        <w:rPr>
          <w:highlight w:val="yellow"/>
          <w:lang w:val="en-CA"/>
        </w:rPr>
        <w:t xml:space="preserve">point-of-connection voltage; </w:t>
      </w:r>
    </w:p>
    <w:p w14:paraId="6A5CC176" w14:textId="72F15B4F"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Transformer </w:t>
      </w:r>
      <w:r w:rsidR="000B7B56" w:rsidRPr="002C1117">
        <w:rPr>
          <w:highlight w:val="yellow"/>
          <w:lang w:val="en-CA"/>
        </w:rPr>
        <w:t xml:space="preserve">and switchgear ratings; </w:t>
      </w:r>
    </w:p>
    <w:p w14:paraId="0376B0A6" w14:textId="732DB430"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Equipment </w:t>
      </w:r>
      <w:r w:rsidR="000B7B56" w:rsidRPr="002C1117">
        <w:rPr>
          <w:highlight w:val="yellow"/>
          <w:lang w:val="en-CA"/>
        </w:rPr>
        <w:t xml:space="preserve">fault-current withstand limits; </w:t>
      </w:r>
    </w:p>
    <w:p w14:paraId="7B638F8A" w14:textId="68AA305B"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Grounding </w:t>
      </w:r>
      <w:r w:rsidR="000B7B56" w:rsidRPr="002C1117">
        <w:rPr>
          <w:highlight w:val="yellow"/>
          <w:lang w:val="en-CA"/>
        </w:rPr>
        <w:t xml:space="preserve">requirements; </w:t>
      </w:r>
    </w:p>
    <w:p w14:paraId="3586AD06" w14:textId="08DAFBFA"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Anticipated </w:t>
      </w:r>
      <w:r w:rsidR="000B7B56" w:rsidRPr="002C1117">
        <w:rPr>
          <w:highlight w:val="yellow"/>
          <w:lang w:val="en-CA"/>
        </w:rPr>
        <w:t xml:space="preserve">harmonic spectra; </w:t>
      </w:r>
    </w:p>
    <w:p w14:paraId="0AA89DD1" w14:textId="51307CC6" w:rsidR="000B7B56" w:rsidRPr="002C1117" w:rsidRDefault="00072A8F" w:rsidP="002C1117">
      <w:pPr>
        <w:pStyle w:val="ListParagraph"/>
        <w:numPr>
          <w:ilvl w:val="0"/>
          <w:numId w:val="26"/>
        </w:numPr>
        <w:spacing w:after="120"/>
        <w:rPr>
          <w:highlight w:val="yellow"/>
          <w:lang w:val="en-CA"/>
        </w:rPr>
      </w:pPr>
      <w:r w:rsidRPr="002C1117">
        <w:rPr>
          <w:highlight w:val="yellow"/>
          <w:lang w:val="en-CA"/>
        </w:rPr>
        <w:t xml:space="preserve">Protection </w:t>
      </w:r>
      <w:r w:rsidR="000B7B56" w:rsidRPr="002C1117">
        <w:rPr>
          <w:highlight w:val="yellow"/>
          <w:lang w:val="en-CA"/>
        </w:rPr>
        <w:t xml:space="preserve">requirements; and </w:t>
      </w:r>
    </w:p>
    <w:p w14:paraId="7C6A7F3F" w14:textId="7BAD34CD" w:rsidR="000B7B56" w:rsidRPr="00496175" w:rsidRDefault="00072A8F" w:rsidP="00496175">
      <w:pPr>
        <w:pStyle w:val="ListParagraph"/>
        <w:numPr>
          <w:ilvl w:val="0"/>
          <w:numId w:val="26"/>
        </w:numPr>
        <w:spacing w:after="120"/>
        <w:rPr>
          <w:highlight w:val="yellow"/>
          <w:lang w:val="en-CA"/>
        </w:rPr>
      </w:pPr>
      <w:r w:rsidRPr="002C1117">
        <w:rPr>
          <w:highlight w:val="yellow"/>
          <w:lang w:val="en-CA"/>
        </w:rPr>
        <w:t xml:space="preserve">Applicable </w:t>
      </w:r>
      <w:r w:rsidR="000B7B56" w:rsidRPr="002C1117">
        <w:rPr>
          <w:highlight w:val="yellow"/>
          <w:lang w:val="en-CA"/>
        </w:rPr>
        <w:t>IEEE, IEC, and utility interconnection standards.</w:t>
      </w:r>
    </w:p>
    <w:p w14:paraId="4EBF6459" w14:textId="3E3EA4A5" w:rsidR="006155BF" w:rsidRDefault="006155BF" w:rsidP="00496175">
      <w:pPr>
        <w:spacing w:after="120"/>
        <w:ind w:firstLine="480"/>
        <w:rPr>
          <w:highlight w:val="yellow"/>
        </w:rPr>
      </w:pPr>
      <w:r w:rsidRPr="00B54B37">
        <w:rPr>
          <w:highlight w:val="yellow"/>
        </w:rPr>
        <w:t>The electrical architecture is evaluated using power-flow, short-circuit, grounding, protection-coordination, reliability, and harmonic-compliance studies. Candidate designs that exceed equipment ratings or violate voltage, protection, grounding, or power-quality requirements are rejected.</w:t>
      </w:r>
      <w:r w:rsidR="00496175" w:rsidRPr="00B54B37">
        <w:rPr>
          <w:highlight w:val="yellow"/>
        </w:rPr>
        <w:t xml:space="preserve"> </w:t>
      </w:r>
      <w:r w:rsidRPr="00B54B37">
        <w:rPr>
          <w:highlight w:val="yellow"/>
        </w:rPr>
        <w:t>The selection between AC and DC distribution should be based on lifecycle efficiency, conversion losses, equipment availability, protection maturity, maintainability, and capital cost rather than on conversion efficiency alone.</w:t>
      </w:r>
    </w:p>
    <w:p w14:paraId="1F7DDE65" w14:textId="43C6A958" w:rsidR="00FF0674" w:rsidRPr="00FF0674" w:rsidRDefault="00FF0674" w:rsidP="00FF0674">
      <w:pPr>
        <w:spacing w:after="120"/>
        <w:ind w:firstLine="480"/>
        <w:rPr>
          <w:highlight w:val="yellow"/>
        </w:rPr>
      </w:pPr>
      <w:r w:rsidRPr="00FF0674">
        <w:rPr>
          <w:highlight w:val="yellow"/>
        </w:rPr>
        <w:t>The output is a preliminary single-line electrical design specifying:</w:t>
      </w:r>
    </w:p>
    <w:p w14:paraId="63F242BC" w14:textId="7EE14587"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Interconnection and distribution voltage levels; </w:t>
      </w:r>
    </w:p>
    <w:p w14:paraId="5FF706E1" w14:textId="4E25655C"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Transformer and switchgear ratings; </w:t>
      </w:r>
    </w:p>
    <w:p w14:paraId="22CFC4C0" w14:textId="634EDF35"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lastRenderedPageBreak/>
        <w:t xml:space="preserve">Ac or </w:t>
      </w:r>
      <w:r w:rsidR="00647293">
        <w:rPr>
          <w:highlight w:val="yellow"/>
          <w:lang w:val="en-CA"/>
        </w:rPr>
        <w:t>DC</w:t>
      </w:r>
      <w:r w:rsidRPr="00064826">
        <w:rPr>
          <w:highlight w:val="yellow"/>
          <w:lang w:val="en-CA"/>
        </w:rPr>
        <w:t xml:space="preserve"> distribution topology; </w:t>
      </w:r>
    </w:p>
    <w:p w14:paraId="17BBB984" w14:textId="3D5F0F90"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Renewable-generation and storage connection points; </w:t>
      </w:r>
    </w:p>
    <w:p w14:paraId="17C8C689" w14:textId="223C7FBB"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Redundancy arrangement; </w:t>
      </w:r>
    </w:p>
    <w:p w14:paraId="0C75377C" w14:textId="51166B84"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Protection zones and preliminary settings; </w:t>
      </w:r>
    </w:p>
    <w:p w14:paraId="07DE4EFE" w14:textId="5C846666"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 xml:space="preserve">Grounding approach; and </w:t>
      </w:r>
    </w:p>
    <w:p w14:paraId="76890990" w14:textId="1DF21BA9" w:rsidR="00064826" w:rsidRPr="00064826" w:rsidRDefault="00B44A5B" w:rsidP="00847F9F">
      <w:pPr>
        <w:pStyle w:val="ListParagraph"/>
        <w:numPr>
          <w:ilvl w:val="0"/>
          <w:numId w:val="26"/>
        </w:numPr>
        <w:spacing w:after="120"/>
        <w:rPr>
          <w:highlight w:val="yellow"/>
          <w:lang w:val="en-CA"/>
        </w:rPr>
      </w:pPr>
      <w:r w:rsidRPr="00064826">
        <w:rPr>
          <w:highlight w:val="yellow"/>
          <w:lang w:val="en-CA"/>
        </w:rPr>
        <w:t>Harmonic and power-quality mitigation requirements.</w:t>
      </w:r>
    </w:p>
    <w:p w14:paraId="0BCF019F" w14:textId="1731A8FF" w:rsidR="00FF0674" w:rsidRPr="00B80448" w:rsidRDefault="005321C4" w:rsidP="001D1223">
      <w:pPr>
        <w:spacing w:after="120"/>
        <w:ind w:firstLine="480"/>
        <w:rPr>
          <w:highlight w:val="yellow"/>
          <w:lang w:val="en-CA"/>
        </w:rPr>
      </w:pPr>
      <w:r w:rsidRPr="00B80448">
        <w:rPr>
          <w:highlight w:val="yellow"/>
          <w:lang w:val="en-CA"/>
        </w:rPr>
        <w:t>There is a compromise involved in the choice of the PRIMARY interconnection voltage, factors being power transfer capability, conductor losses, switchgear cost, utility requirements, fault currents, and complexity of protection</w:t>
      </w:r>
      <w:r w:rsidR="00C9792E" w:rsidRPr="00B80448">
        <w:rPr>
          <w:highlight w:val="yellow"/>
          <w:lang w:val="en-CA"/>
        </w:rPr>
        <w:fldChar w:fldCharType="begin"/>
      </w:r>
      <w:r w:rsidR="001D1223">
        <w:rPr>
          <w:highlight w:val="yellow"/>
          <w:lang w:val="en-CA"/>
        </w:rPr>
        <w:instrText xml:space="preserve"> ADDIN ZOTERO_ITEM CSL_CITATION {"citationID":"AztEawaf","properties":{"unsorted":false,"formattedCitation":"[84]","plainCitation":"[84]","noteIndex":0},"citationItems":[{"id":2035,"uris":["http://zotero.org/users/9870935/items/QTGJSYMV"],"itemData":{"id":2035,"type":"article-journal","container-title":"Building and Environment","DOI":"10.1016/j.buildenv.2021.108741","ISSN":"03601323","journalAbbreviation":"Building and Environment","language":"en","page":"108741","source":"DOI.org (Crossref)","title":"Experimental and numerical study on the thermal environment of a data center","volume":"212","author":[{"family":"Tang","given":"Yu"},{"family":"Bai","given":"Xuelian"},{"family":"Jin","given":"Chaoqiang"},{"family":"Fu","given":"Yusen"},{"family":"Mao","given":"Wangxin"},{"family":"Xu","given":"Xin"}],"issued":{"date-parts":[["2022",3]]}}}],"schema":"https://github.com/citation-style-language/schema/raw/master/csl-citation.json"} </w:instrText>
      </w:r>
      <w:r w:rsidR="00C9792E" w:rsidRPr="00B80448">
        <w:rPr>
          <w:highlight w:val="yellow"/>
          <w:lang w:val="en-CA"/>
        </w:rPr>
        <w:fldChar w:fldCharType="separate"/>
      </w:r>
      <w:r w:rsidR="001D1223" w:rsidRPr="001D1223">
        <w:rPr>
          <w:highlight w:val="yellow"/>
          <w:lang w:val="en-CA"/>
        </w:rPr>
        <w:t>[84]</w:t>
      </w:r>
      <w:r w:rsidR="00C9792E" w:rsidRPr="00B80448">
        <w:rPr>
          <w:highlight w:val="yellow"/>
          <w:lang w:val="en-CA"/>
        </w:rPr>
        <w:fldChar w:fldCharType="end"/>
      </w:r>
      <w:r w:rsidRPr="00B80448">
        <w:rPr>
          <w:highlight w:val="yellow"/>
          <w:lang w:val="en-CA"/>
        </w:rPr>
        <w:t>. While 13.8 kV and 25 kV medium voltage are most commonly utilized, the suitable voltage for the 100 MW can be determined through utility requirements, load distribution, equipment rating, and lifecycle-cost analysis. There should not be a universal voltage configuration. By minimizing a portion of your AC-to-DC and DC-to-AC conversion, DC distribution can offer efficiency benefits when you have a significant amount of DC generation, storage and use in your facility, particularly within the IT sector. The advantages have to be weighed against the costs and availability of DC-rated switchgear, fault interruption, protection systems, maintenance practices, and equipment</w:t>
      </w:r>
      <w:r w:rsidR="00D81A5B" w:rsidRPr="00B80448">
        <w:rPr>
          <w:highlight w:val="yellow"/>
          <w:lang w:val="en-CA"/>
        </w:rPr>
        <w:fldChar w:fldCharType="begin"/>
      </w:r>
      <w:r w:rsidR="00A95675">
        <w:rPr>
          <w:highlight w:val="yellow"/>
          <w:lang w:val="en-CA"/>
        </w:rPr>
        <w:instrText xml:space="preserve"> ADDIN ZOTERO_ITEM CSL_CITATION {"citationID":"7TsMK3jb","properties":{"unsorted":false,"formattedCitation":"[74]","plainCitation":"[74]","noteIndex":0},"citationItems":[{"id":2013,"uris":["http://zotero.org/users/9870935/items/K8UPFZKD"],"itemData":{"id":2013,"type":"article-journal","DOI":"10.13140/RG.2.2.27710.75845","language":"en","publisher":"Unpublished","source":"DOI.org (Datacite)","title":"Data center energy assessment process and energy efficiency metrics","URL":"https://www.researchgate.net/doi/10.13140/RG.2.2.27710.75845","author":[{"literal":"Nguyen Anh Huy"},{"family":"Nguyen","given":"Xuan Truong"}],"accessed":{"date-parts":[["2026",5,16]]},"issued":{"date-parts":[["2025"]]}}}],"schema":"https://github.com/citation-style-language/schema/raw/master/csl-citation.json"} </w:instrText>
      </w:r>
      <w:r w:rsidR="00D81A5B" w:rsidRPr="00B80448">
        <w:rPr>
          <w:highlight w:val="yellow"/>
          <w:lang w:val="en-CA"/>
        </w:rPr>
        <w:fldChar w:fldCharType="separate"/>
      </w:r>
      <w:r w:rsidR="00A95675" w:rsidRPr="00A95675">
        <w:rPr>
          <w:highlight w:val="yellow"/>
          <w:lang w:val="en-CA"/>
        </w:rPr>
        <w:t>[74]</w:t>
      </w:r>
      <w:r w:rsidR="00D81A5B" w:rsidRPr="00B80448">
        <w:rPr>
          <w:highlight w:val="yellow"/>
          <w:lang w:val="en-CA"/>
        </w:rPr>
        <w:fldChar w:fldCharType="end"/>
      </w:r>
      <w:r w:rsidRPr="00B80448">
        <w:rPr>
          <w:highlight w:val="yellow"/>
          <w:lang w:val="en-CA"/>
        </w:rPr>
        <w:t>.</w:t>
      </w:r>
    </w:p>
    <w:p w14:paraId="178A00C2" w14:textId="71A85B0A" w:rsidR="00C70768" w:rsidRPr="00C70768" w:rsidRDefault="00FE013C" w:rsidP="00C70768">
      <w:pPr>
        <w:pStyle w:val="Heading20"/>
        <w:jc w:val="both"/>
        <w:rPr>
          <w:color w:val="auto"/>
        </w:rPr>
      </w:pPr>
      <w:r>
        <w:rPr>
          <w:color w:val="auto"/>
        </w:rPr>
        <w:t>7.5. Control and Dispatch Strategies</w:t>
      </w:r>
    </w:p>
    <w:p w14:paraId="0E14E3DA" w14:textId="11D0A287" w:rsidR="00C70768" w:rsidRDefault="00C70768" w:rsidP="00C70768">
      <w:pPr>
        <w:spacing w:after="120"/>
        <w:ind w:firstLine="480"/>
      </w:pPr>
      <w:r w:rsidRPr="00013085">
        <w:rPr>
          <w:highlight w:val="yellow"/>
        </w:rPr>
        <w:t>The necessary inputs are:</w:t>
      </w:r>
    </w:p>
    <w:p w14:paraId="5275EB5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renewable-generation forecasts;</w:t>
      </w:r>
    </w:p>
    <w:p w14:paraId="10D1B3C9"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facility-load forecasts;</w:t>
      </w:r>
    </w:p>
    <w:p w14:paraId="57EAD752"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battery state of charge, and battery operating limits;</w:t>
      </w:r>
    </w:p>
    <w:p w14:paraId="6753528F"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backup-resource availability;</w:t>
      </w:r>
    </w:p>
    <w:p w14:paraId="029315C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grid-energy prices and demand charges;</w:t>
      </w:r>
    </w:p>
    <w:p w14:paraId="5FB69D33"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Restrictions on the import and export of grids;</w:t>
      </w:r>
    </w:p>
    <w:p w14:paraId="7BB992AE"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emissions or carbon-intensity signals;</w:t>
      </w:r>
    </w:p>
    <w:p w14:paraId="193D164C" w14:textId="77777777"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Reserve requirements for reliability; and</w:t>
      </w:r>
    </w:p>
    <w:p w14:paraId="1065DB69" w14:textId="6807FFE9" w:rsidR="00C70768" w:rsidRPr="00C70768" w:rsidRDefault="00C70768" w:rsidP="00C70768">
      <w:pPr>
        <w:pStyle w:val="ListParagraph"/>
        <w:numPr>
          <w:ilvl w:val="0"/>
          <w:numId w:val="26"/>
        </w:numPr>
        <w:spacing w:after="120"/>
        <w:rPr>
          <w:highlight w:val="yellow"/>
          <w:lang w:val="en-CA"/>
        </w:rPr>
      </w:pPr>
      <w:r w:rsidRPr="00C70768">
        <w:rPr>
          <w:highlight w:val="yellow"/>
          <w:lang w:val="en-CA"/>
        </w:rPr>
        <w:t>Latency, deferral, and data-residency restrictions at the workload level.</w:t>
      </w:r>
    </w:p>
    <w:p w14:paraId="772D8EB6" w14:textId="77777777" w:rsidR="00B30EEE" w:rsidRPr="00B30EEE" w:rsidRDefault="00C70768" w:rsidP="00B30EEE">
      <w:pPr>
        <w:spacing w:after="120"/>
        <w:ind w:firstLine="480"/>
        <w:rPr>
          <w:highlight w:val="yellow"/>
        </w:rPr>
      </w:pPr>
      <w:r w:rsidRPr="008E212E">
        <w:rPr>
          <w:highlight w:val="yellow"/>
          <w:lang w:val="en-CA"/>
        </w:rPr>
        <w:t xml:space="preserve">A hierarchical controller coordinates resources through three scales of time. The device level controllers are used for responding to voltage and frequency conditions. The energy management system on the facility level manages the programming of renewable generation, storage, grid imports, back-up facilities, and reserves. The controller at the corporate level harmonizes eligible workloads across facilities while honoring latency, service-level, </w:t>
      </w:r>
      <w:r w:rsidR="00D6518A" w:rsidRPr="008E212E">
        <w:rPr>
          <w:highlight w:val="yellow"/>
          <w:lang w:val="en-CA"/>
        </w:rPr>
        <w:t>cybersecurity</w:t>
      </w:r>
      <w:r w:rsidRPr="008E212E">
        <w:rPr>
          <w:highlight w:val="yellow"/>
          <w:lang w:val="en-CA"/>
        </w:rPr>
        <w:t xml:space="preserve"> and data-residency boundaries.</w:t>
      </w:r>
      <w:r w:rsidR="008E212E">
        <w:rPr>
          <w:highlight w:val="yellow"/>
          <w:lang w:val="en-CA"/>
        </w:rPr>
        <w:t xml:space="preserve"> </w:t>
      </w:r>
      <w:r w:rsidR="00B30EEE" w:rsidRPr="00B30EEE">
        <w:rPr>
          <w:highlight w:val="yellow"/>
        </w:rPr>
        <w:t>The operating objective, such as cost, operational emissions, or a weighted combination of both, should be minimized subject to equipment limits, storage constraints, interconnection limits, reserve requirements, reliability criteria, and workload restrictions.</w:t>
      </w:r>
    </w:p>
    <w:p w14:paraId="16236489" w14:textId="29C8C3AB" w:rsidR="00C70768" w:rsidRDefault="00C70768" w:rsidP="00B30EEE">
      <w:pPr>
        <w:spacing w:after="120"/>
        <w:ind w:firstLine="480"/>
      </w:pPr>
      <w:r w:rsidRPr="004426C6">
        <w:rPr>
          <w:highlight w:val="yellow"/>
        </w:rPr>
        <w:t>The result is an operating schedule that contains:</w:t>
      </w:r>
    </w:p>
    <w:p w14:paraId="66D487D3" w14:textId="77777777" w:rsidR="00C70768" w:rsidRPr="00013085" w:rsidRDefault="00C70768" w:rsidP="00013085">
      <w:pPr>
        <w:pStyle w:val="ListParagraph"/>
        <w:numPr>
          <w:ilvl w:val="0"/>
          <w:numId w:val="26"/>
        </w:numPr>
        <w:spacing w:after="120"/>
        <w:rPr>
          <w:highlight w:val="yellow"/>
          <w:lang w:val="en-CA"/>
        </w:rPr>
      </w:pPr>
      <w:r w:rsidRPr="00013085">
        <w:rPr>
          <w:highlight w:val="yellow"/>
          <w:lang w:val="en-CA"/>
        </w:rPr>
        <w:t>Signals for the charging and discharging command;</w:t>
      </w:r>
    </w:p>
    <w:p w14:paraId="026BA25E" w14:textId="26C64FD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Minimum </w:t>
      </w:r>
      <w:r w:rsidR="00C70768" w:rsidRPr="00013085">
        <w:rPr>
          <w:highlight w:val="yellow"/>
          <w:lang w:val="en-CA"/>
        </w:rPr>
        <w:t>storage reserves;</w:t>
      </w:r>
    </w:p>
    <w:p w14:paraId="76409529" w14:textId="52CD005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Grid </w:t>
      </w:r>
      <w:r w:rsidR="00C70768" w:rsidRPr="00013085">
        <w:rPr>
          <w:highlight w:val="yellow"/>
          <w:lang w:val="en-CA"/>
        </w:rPr>
        <w:t>imports and exports;</w:t>
      </w:r>
    </w:p>
    <w:p w14:paraId="26A73BC3" w14:textId="03B3D6A1"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Backup</w:t>
      </w:r>
      <w:r w:rsidR="00C70768" w:rsidRPr="00013085">
        <w:rPr>
          <w:highlight w:val="yellow"/>
          <w:lang w:val="en-CA"/>
        </w:rPr>
        <w:t>-resource commitment;</w:t>
      </w:r>
    </w:p>
    <w:p w14:paraId="78AC679A" w14:textId="48010C4A"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t xml:space="preserve">Renewable </w:t>
      </w:r>
      <w:r w:rsidR="00C70768" w:rsidRPr="00013085">
        <w:rPr>
          <w:highlight w:val="yellow"/>
          <w:lang w:val="en-CA"/>
        </w:rPr>
        <w:t>curtailment;</w:t>
      </w:r>
    </w:p>
    <w:p w14:paraId="090F6EE4" w14:textId="40F8A019" w:rsidR="00C70768" w:rsidRPr="00013085" w:rsidRDefault="00013085" w:rsidP="00013085">
      <w:pPr>
        <w:pStyle w:val="ListParagraph"/>
        <w:numPr>
          <w:ilvl w:val="0"/>
          <w:numId w:val="26"/>
        </w:numPr>
        <w:spacing w:after="120"/>
        <w:rPr>
          <w:highlight w:val="yellow"/>
          <w:lang w:val="en-CA"/>
        </w:rPr>
      </w:pPr>
      <w:r w:rsidRPr="00013085">
        <w:rPr>
          <w:highlight w:val="yellow"/>
          <w:lang w:val="en-CA"/>
        </w:rPr>
        <w:lastRenderedPageBreak/>
        <w:t>Demand</w:t>
      </w:r>
      <w:r w:rsidR="00C70768" w:rsidRPr="00013085">
        <w:rPr>
          <w:highlight w:val="yellow"/>
          <w:lang w:val="en-CA"/>
        </w:rPr>
        <w:t>-response participation; and</w:t>
      </w:r>
    </w:p>
    <w:p w14:paraId="058E6D2E" w14:textId="54E83605" w:rsidR="00C70768" w:rsidRPr="004426C6" w:rsidRDefault="00013085" w:rsidP="004426C6">
      <w:pPr>
        <w:pStyle w:val="ListParagraph"/>
        <w:numPr>
          <w:ilvl w:val="0"/>
          <w:numId w:val="26"/>
        </w:numPr>
        <w:spacing w:after="120"/>
        <w:rPr>
          <w:highlight w:val="yellow"/>
          <w:lang w:val="en-CA"/>
        </w:rPr>
      </w:pPr>
      <w:r w:rsidRPr="00013085">
        <w:rPr>
          <w:highlight w:val="yellow"/>
          <w:lang w:val="en-CA"/>
        </w:rPr>
        <w:t xml:space="preserve">Workload </w:t>
      </w:r>
      <w:r w:rsidR="00C70768" w:rsidRPr="00013085">
        <w:rPr>
          <w:highlight w:val="yellow"/>
          <w:lang w:val="en-CA"/>
        </w:rPr>
        <w:t>deferral or geographic-routing signals.</w:t>
      </w:r>
    </w:p>
    <w:p w14:paraId="36CC8660" w14:textId="08CEBAA7" w:rsidR="00C70768" w:rsidRDefault="00C70768" w:rsidP="00E842C0">
      <w:pPr>
        <w:spacing w:after="120"/>
        <w:ind w:firstLine="480"/>
      </w:pPr>
      <w:r w:rsidRPr="004426C6">
        <w:rPr>
          <w:highlight w:val="yellow"/>
          <w:lang w:val="en-CA"/>
        </w:rPr>
        <w:t xml:space="preserve">The hierarchical control structure has three levels. At level 1, inverter voltage, frequency response, current limits and protection functions are controlled in a time range between millisecond and second. At Level 2 the timescales are minute hour, and the facility EMS is responsible for scheduling renewable generation, storage, grid exchange, and backup resources. The </w:t>
      </w:r>
      <w:r w:rsidR="003340E7" w:rsidRPr="004426C6">
        <w:rPr>
          <w:highlight w:val="yellow"/>
          <w:lang w:val="en-CA"/>
        </w:rPr>
        <w:t>model predictive</w:t>
      </w:r>
      <w:r w:rsidRPr="004426C6">
        <w:rPr>
          <w:highlight w:val="yellow"/>
          <w:lang w:val="en-CA"/>
        </w:rPr>
        <w:t xml:space="preserve"> control can be controlled with a roll-horizon of 24 to 48 hours. Level 3 provides support that spans the timescale of hours to several days and involves guiding the dispatch of work loads to different facilities, as well as coordinating energy procurement and usage</w:t>
      </w:r>
      <w:r w:rsidR="003340E7">
        <w:rPr>
          <w:highlight w:val="yellow"/>
          <w:lang w:val="en-CA"/>
        </w:rPr>
        <w:fldChar w:fldCharType="begin"/>
      </w:r>
      <w:r w:rsidR="001D1223">
        <w:rPr>
          <w:highlight w:val="yellow"/>
          <w:lang w:val="en-CA"/>
        </w:rPr>
        <w:instrText xml:space="preserve"> ADDIN ZOTERO_ITEM CSL_CITATION {"citationID":"n3D9iZyI","properties":{"unsorted":false,"formattedCitation":"[61]","plainCitation":"[61]","noteIndex":0},"citationItems":[{"id":2132,"uris":["http://zotero.org/users/9870935/items/786EAJKN"],"itemData":{"id":2132,"type":"document","title":"Levelized Cost of Energy","URL":"https://www.lazard.com/media/eijnqja3/lazards-lcoeplus-june-2025.pdf","author":[{"family":"Lazard","given":""}]}}],"schema":"https://github.com/citation-style-language/schema/raw/master/csl-citation.json"} </w:instrText>
      </w:r>
      <w:r w:rsidR="003340E7">
        <w:rPr>
          <w:highlight w:val="yellow"/>
          <w:lang w:val="en-CA"/>
        </w:rPr>
        <w:fldChar w:fldCharType="separate"/>
      </w:r>
      <w:r w:rsidR="001D1223" w:rsidRPr="001D1223">
        <w:rPr>
          <w:highlight w:val="yellow"/>
          <w:lang w:val="en-CA"/>
        </w:rPr>
        <w:t>[61]</w:t>
      </w:r>
      <w:r w:rsidR="003340E7">
        <w:rPr>
          <w:highlight w:val="yellow"/>
          <w:lang w:val="en-CA"/>
        </w:rPr>
        <w:fldChar w:fldCharType="end"/>
      </w:r>
      <w:r w:rsidRPr="004426C6">
        <w:rPr>
          <w:highlight w:val="yellow"/>
          <w:lang w:val="en-CA"/>
        </w:rPr>
        <w:t>.</w:t>
      </w:r>
      <w:r w:rsidR="005269FF">
        <w:rPr>
          <w:highlight w:val="yellow"/>
          <w:lang w:val="en-CA"/>
        </w:rPr>
        <w:t xml:space="preserve"> </w:t>
      </w:r>
      <w:r w:rsidRPr="00375D05">
        <w:rPr>
          <w:highlight w:val="yellow"/>
          <w:lang w:val="en-CA"/>
        </w:rPr>
        <w:t>AI workload scheduling actually offers a resource that isn't typically available to traditional workloads. Qualifying training, batch inference, analytics and background work can be run when electricity is relatively cheap, or during times of high renewable electricity generation. Real-time inference and critical services continue to be limited due to strict latency and reliability requirements. The advantages of carbon-aware scheduling as reported at the last study vary depending on workload properties, resource availability, network latency, and carbon intensity in the area</w:t>
      </w:r>
      <w:r w:rsidR="00F357B2">
        <w:rPr>
          <w:highlight w:val="yellow"/>
          <w:lang w:val="en-CA"/>
        </w:rPr>
        <w:fldChar w:fldCharType="begin"/>
      </w:r>
      <w:r w:rsidR="00E842C0">
        <w:rPr>
          <w:highlight w:val="yellow"/>
          <w:lang w:val="en-CA"/>
        </w:rPr>
        <w:instrText xml:space="preserve"> ADDIN ZOTERO_ITEM CSL_CITATION {"citationID":"vmqAwXXb","properties":{"unsorted":false,"formattedCitation":"[145]","plainCitation":"[145]","noteIndex":0},"citationItems":[{"id":2133,"uris":["http://zotero.org/users/9870935/items/DBM7MVTI"],"itemData":{"id":2133,"type":"post-weblog","title":"Summary of Inflation Reduction Act provisions related to renewable energy","URL":"https://www.epa.gov/green-power-markets/summary-inflation-reduction-act-provisions-related-renewable-energy","author":[{"family":"EPA","given":""}]}}],"schema":"https://github.com/citation-style-language/schema/raw/master/csl-citation.json"} </w:instrText>
      </w:r>
      <w:r w:rsidR="00F357B2">
        <w:rPr>
          <w:highlight w:val="yellow"/>
          <w:lang w:val="en-CA"/>
        </w:rPr>
        <w:fldChar w:fldCharType="separate"/>
      </w:r>
      <w:r w:rsidR="00E842C0" w:rsidRPr="00E842C0">
        <w:rPr>
          <w:highlight w:val="yellow"/>
          <w:lang w:val="en-CA"/>
        </w:rPr>
        <w:t>[145]</w:t>
      </w:r>
      <w:r w:rsidR="00F357B2">
        <w:rPr>
          <w:highlight w:val="yellow"/>
          <w:lang w:val="en-CA"/>
        </w:rPr>
        <w:fldChar w:fldCharType="end"/>
      </w:r>
      <w:r w:rsidRPr="00375D05">
        <w:rPr>
          <w:highlight w:val="yellow"/>
          <w:lang w:val="en-CA"/>
        </w:rPr>
        <w:t>.</w:t>
      </w:r>
      <w:r w:rsidR="00236625" w:rsidRPr="00236625">
        <w:t xml:space="preserve"> </w:t>
      </w:r>
      <w:r w:rsidR="00236625" w:rsidRPr="00FC0D30">
        <w:rPr>
          <w:highlight w:val="yellow"/>
        </w:rPr>
        <w:fldChar w:fldCharType="begin"/>
      </w:r>
      <w:r w:rsidR="00236625" w:rsidRPr="00FC0D30">
        <w:rPr>
          <w:highlight w:val="yellow"/>
        </w:rPr>
        <w:instrText xml:space="preserve"> REF _Ref239529666 \h </w:instrText>
      </w:r>
      <w:r w:rsidR="00236625" w:rsidRPr="00FC0D30">
        <w:rPr>
          <w:highlight w:val="yellow"/>
        </w:rPr>
      </w:r>
      <w:r w:rsidR="00FC0D30">
        <w:rPr>
          <w:highlight w:val="yellow"/>
        </w:rPr>
        <w:instrText xml:space="preserve"> \* MERGEFORMAT </w:instrText>
      </w:r>
      <w:r w:rsidR="00236625" w:rsidRPr="00FC0D30">
        <w:rPr>
          <w:highlight w:val="yellow"/>
        </w:rPr>
        <w:fldChar w:fldCharType="separate"/>
      </w:r>
      <w:r w:rsidR="00236625" w:rsidRPr="00FC0D30">
        <w:rPr>
          <w:highlight w:val="yellow"/>
        </w:rPr>
        <w:t>Figure 9 Hierarchical control architecture for operation of a data center microgrid</w:t>
      </w:r>
      <w:r w:rsidR="00236625" w:rsidRPr="00FC0D30">
        <w:rPr>
          <w:highlight w:val="yellow"/>
        </w:rPr>
        <w:fldChar w:fldCharType="end"/>
      </w:r>
      <w:r w:rsidR="00236625" w:rsidRPr="00FC0D30">
        <w:rPr>
          <w:highlight w:val="yellow"/>
        </w:rPr>
        <w:t xml:space="preserve">, </w:t>
      </w:r>
      <w:r w:rsidR="00236625" w:rsidRPr="00236625">
        <w:rPr>
          <w:highlight w:val="yellow"/>
        </w:rPr>
        <w:t>illustrates the hierarchical control architecture of a data-center microgrid, showing how device-, facility-, and system-level control functions coordinate renewable generation, energy storage, grid interaction, and flexible loads across different operational timescales.</w:t>
      </w:r>
    </w:p>
    <w:p w14:paraId="0B25BAEA" w14:textId="321EE07C" w:rsidR="00FE013C" w:rsidRPr="004F551C" w:rsidRDefault="004F551C" w:rsidP="004F551C">
      <w:pPr>
        <w:keepNext/>
        <w:spacing w:after="120"/>
        <w:ind w:firstLine="480"/>
        <w:jc w:val="center"/>
        <w:rPr>
          <w:lang w:val="en-CA"/>
        </w:rPr>
      </w:pPr>
      <w:r w:rsidRPr="004F551C">
        <w:rPr>
          <w:noProof/>
          <w:lang w:val="en-CA"/>
        </w:rPr>
        <w:drawing>
          <wp:inline distT="0" distB="0" distL="0" distR="0" wp14:anchorId="5B0CEAF4" wp14:editId="6596C97D">
            <wp:extent cx="6192520" cy="3700624"/>
            <wp:effectExtent l="0" t="0" r="0" b="0"/>
            <wp:docPr id="1709878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0356"/>
                    <a:stretch>
                      <a:fillRect/>
                    </a:stretch>
                  </pic:blipFill>
                  <pic:spPr bwMode="auto">
                    <a:xfrm>
                      <a:off x="0" y="0"/>
                      <a:ext cx="6192520" cy="3700624"/>
                    </a:xfrm>
                    <a:prstGeom prst="rect">
                      <a:avLst/>
                    </a:prstGeom>
                    <a:noFill/>
                    <a:ln>
                      <a:noFill/>
                    </a:ln>
                    <a:extLst>
                      <a:ext uri="{53640926-AAD7-44D8-BBD7-CCE9431645EC}">
                        <a14:shadowObscured xmlns:a14="http://schemas.microsoft.com/office/drawing/2010/main"/>
                      </a:ext>
                    </a:extLst>
                  </pic:spPr>
                </pic:pic>
              </a:graphicData>
            </a:graphic>
          </wp:inline>
        </w:drawing>
      </w:r>
    </w:p>
    <w:p w14:paraId="418051FD" w14:textId="66A8BE06" w:rsidR="00FE013C" w:rsidRPr="00757408" w:rsidRDefault="00FE013C" w:rsidP="00F722B9">
      <w:pPr>
        <w:pStyle w:val="Caption"/>
        <w:jc w:val="center"/>
        <w:rPr>
          <w:lang w:val="en-CA"/>
        </w:rPr>
      </w:pPr>
      <w:bookmarkStart w:id="17" w:name="_Ref239529666"/>
      <w:r>
        <w:t xml:space="preserve">Figure </w:t>
      </w:r>
      <w:r>
        <w:fldChar w:fldCharType="begin"/>
      </w:r>
      <w:r>
        <w:instrText xml:space="preserve"> SEQ Figure \* ARABIC </w:instrText>
      </w:r>
      <w:r>
        <w:fldChar w:fldCharType="separate"/>
      </w:r>
      <w:r w:rsidR="00807110">
        <w:rPr>
          <w:noProof/>
        </w:rPr>
        <w:t>9</w:t>
      </w:r>
      <w:r>
        <w:rPr>
          <w:noProof/>
        </w:rPr>
        <w:fldChar w:fldCharType="end"/>
      </w:r>
      <w:r>
        <w:t xml:space="preserve"> </w:t>
      </w:r>
      <w:r w:rsidRPr="00FA4103">
        <w:t xml:space="preserve">Hierarchical control architecture for operation of a data </w:t>
      </w:r>
      <w:r w:rsidR="00580BAE">
        <w:t>center</w:t>
      </w:r>
      <w:r w:rsidRPr="00FA4103">
        <w:t xml:space="preserve"> microgrid</w:t>
      </w:r>
      <w:bookmarkEnd w:id="17"/>
    </w:p>
    <w:p w14:paraId="72D62C7A" w14:textId="77777777" w:rsidR="00FE013C" w:rsidRDefault="00FE013C" w:rsidP="004C16FF">
      <w:pPr>
        <w:pStyle w:val="Heading20"/>
        <w:jc w:val="both"/>
        <w:rPr>
          <w:color w:val="auto"/>
        </w:rPr>
      </w:pPr>
      <w:r>
        <w:rPr>
          <w:color w:val="auto"/>
        </w:rPr>
        <w:t>7.6. Demand-Side Management and Load Flexibility</w:t>
      </w:r>
    </w:p>
    <w:p w14:paraId="3C33701C" w14:textId="77777777" w:rsidR="006469A4" w:rsidRPr="006469A4" w:rsidRDefault="006469A4" w:rsidP="006469A4">
      <w:pPr>
        <w:spacing w:after="120"/>
        <w:ind w:firstLine="480"/>
        <w:rPr>
          <w:highlight w:val="yellow"/>
        </w:rPr>
      </w:pPr>
      <w:r w:rsidRPr="006469A4">
        <w:rPr>
          <w:highlight w:val="yellow"/>
        </w:rPr>
        <w:t xml:space="preserve">Data-center workloads exhibit different degrees of operational flexibility depending on latency requirements, checkpointing capability, recovery characteristics, service-level agreements (SLAs), data-residency constraints, and business objectives. The classification presented in this section is intended as a qualitative screening framework rather than a universal measure of workload flexibility. </w:t>
      </w:r>
      <w:r w:rsidRPr="006469A4">
        <w:rPr>
          <w:highlight w:val="yellow"/>
        </w:rPr>
        <w:lastRenderedPageBreak/>
        <w:t>The actual degree of flexibility available for a given workload must be evaluated on a project-specific basis. Different organizations may apply substantially different scheduling, operational, and commercial constraints to similar workload categories.</w:t>
      </w:r>
    </w:p>
    <w:p w14:paraId="12D6DFCE" w14:textId="02F00390" w:rsidR="00294363" w:rsidRDefault="002E22F4" w:rsidP="001D1223">
      <w:pPr>
        <w:spacing w:after="120"/>
        <w:ind w:firstLine="480"/>
        <w:rPr>
          <w:highlight w:val="yellow"/>
          <w:lang w:val="en-CA"/>
        </w:rPr>
      </w:pPr>
      <w:r w:rsidRPr="002E22F4">
        <w:rPr>
          <w:highlight w:val="yellow"/>
          <w:lang w:val="en-CA"/>
        </w:rPr>
        <w:t>Workload deferral is constrained by both</w:t>
      </w:r>
      <w:r>
        <w:rPr>
          <w:highlight w:val="yellow"/>
          <w:lang w:val="en-CA"/>
        </w:rPr>
        <w:t xml:space="preserve"> </w:t>
      </w:r>
      <w:r w:rsidRPr="002E22F4">
        <w:rPr>
          <w:highlight w:val="yellow"/>
          <w:lang w:val="en-CA"/>
        </w:rPr>
        <w:t>technical and commercial requirements</w:t>
      </w:r>
      <w:r w:rsidR="00F357B2" w:rsidRPr="00F357B2">
        <w:rPr>
          <w:highlight w:val="yellow"/>
          <w:lang w:val="en-CA"/>
        </w:rPr>
        <w:t xml:space="preserve">. Training workloads run on high-value computing infrastructure, and model development schedules, contractual commitments, and asset productivity could be disrupted by delays or interruptions in GPU utilization. Therefore, technical deferral potential is to be considered as an upper bound, not as certainty of deferral flexibility. </w:t>
      </w:r>
      <w:r w:rsidR="003B1F8C" w:rsidRPr="003B1F8C">
        <w:rPr>
          <w:highlight w:val="yellow"/>
        </w:rPr>
        <w:t xml:space="preserve">Any estimate of workload flexibility should be validated against applicable service-level agreements (SLAs), project delivery schedules, checkpointing capabilities, data-residency requirements, cybersecurity constraints, network latency limitations, and business objectives. Consequently, the flexibility classifications </w:t>
      </w:r>
      <w:r w:rsidR="003B1F8C" w:rsidRPr="009D6452">
        <w:rPr>
          <w:highlight w:val="yellow"/>
        </w:rPr>
        <w:t xml:space="preserve">presented in </w:t>
      </w:r>
      <w:r w:rsidR="00C16C1F" w:rsidRPr="009D6452">
        <w:rPr>
          <w:highlight w:val="yellow"/>
        </w:rPr>
        <w:fldChar w:fldCharType="begin"/>
      </w:r>
      <w:r w:rsidR="00C16C1F" w:rsidRPr="009D6452">
        <w:rPr>
          <w:highlight w:val="yellow"/>
        </w:rPr>
        <w:instrText xml:space="preserve"> REF _Ref239530838 \h </w:instrText>
      </w:r>
      <w:r w:rsidR="00C16C1F" w:rsidRPr="009D6452">
        <w:rPr>
          <w:highlight w:val="yellow"/>
        </w:rPr>
      </w:r>
      <w:r w:rsidR="009D6452">
        <w:rPr>
          <w:highlight w:val="yellow"/>
        </w:rPr>
        <w:instrText xml:space="preserve"> \* MERGEFORMAT </w:instrText>
      </w:r>
      <w:r w:rsidR="00C16C1F" w:rsidRPr="009D6452">
        <w:rPr>
          <w:highlight w:val="yellow"/>
        </w:rPr>
        <w:fldChar w:fldCharType="separate"/>
      </w:r>
      <w:r w:rsidR="00C16C1F" w:rsidRPr="009D6452">
        <w:rPr>
          <w:highlight w:val="yellow"/>
        </w:rPr>
        <w:t xml:space="preserve">Table </w:t>
      </w:r>
      <w:r w:rsidR="00C16C1F" w:rsidRPr="009D6452">
        <w:rPr>
          <w:noProof/>
          <w:highlight w:val="yellow"/>
        </w:rPr>
        <w:t>6</w:t>
      </w:r>
      <w:r w:rsidR="00C16C1F" w:rsidRPr="009D6452">
        <w:rPr>
          <w:highlight w:val="yellow"/>
        </w:rPr>
        <w:t xml:space="preserve"> Workload-flexibility classification for energy-aware scheduling</w:t>
      </w:r>
      <w:r w:rsidR="00C16C1F" w:rsidRPr="009D6452">
        <w:rPr>
          <w:highlight w:val="yellow"/>
        </w:rPr>
        <w:fldChar w:fldCharType="end"/>
      </w:r>
      <w:r w:rsidR="00C16C1F" w:rsidRPr="009D6452">
        <w:rPr>
          <w:highlight w:val="yellow"/>
        </w:rPr>
        <w:t>,</w:t>
      </w:r>
      <w:r w:rsidR="003B1F8C" w:rsidRPr="009D6452">
        <w:rPr>
          <w:highlight w:val="yellow"/>
        </w:rPr>
        <w:t xml:space="preserve"> should be interpreted as potential operational flexibility rather than guaranteed dispatchable flexibility</w:t>
      </w:r>
      <w:r w:rsidR="000F2A4A" w:rsidRPr="009D6452">
        <w:rPr>
          <w:highlight w:val="yellow"/>
        </w:rPr>
        <w:t xml:space="preserve"> </w:t>
      </w:r>
      <w:r w:rsidR="00CA1249" w:rsidRPr="009D6452">
        <w:rPr>
          <w:highlight w:val="yellow"/>
          <w:lang w:val="en-CA"/>
        </w:rPr>
        <w:fldChar w:fldCharType="begin"/>
      </w:r>
      <w:r w:rsidR="001D1223">
        <w:rPr>
          <w:highlight w:val="yellow"/>
          <w:lang w:val="en-CA"/>
        </w:rPr>
        <w:instrText xml:space="preserve"> ADDIN ZOTERO_ITEM CSL_CITATION {"citationID":"fNfsoSAc","properties":{"unsorted":false,"formattedCitation":"[61], [68]","plainCitation":"[61], [68]","noteIndex":0},"citationItems":[{"id":2132,"uris":["http://zotero.org/users/9870935/items/786EAJKN"],"itemData":{"id":2132,"type":"document","title":"Levelized Cost of Energy","URL":"https://www.lazard.com/media/eijnqja3/lazards-lcoeplus-june-2025.pdf","author":[{"family":"Lazard","given":""}]}},{"id":2124,"uris":["http://zotero.org/users/9870935/items/7MUJEUDP"],"itemData":{"id":2124,"type":"paper-conference","container-title":"Proceedings of the Nineteenth European Conference on Computer Systems","DOI":"10.1145/3627703.3650079","event-title":"EuroSys '24: Nineteenth European Conference on Computer Systems","ISBN":"979-8-4007-0437-6","language":"en","page":"924-941","publisher":"ACM","publisher-place":"Athens Greece","source":"DOI.org (Crossref)","title":"On the Limitations of Carbon-Aware Temporal and Spatial Workload Shifting in the Cloud","URL":"https://dl.acm.org/doi/10.1145/3627703.3650079","author":[{"family":"Sukprasert","given":"Thanathorn"},{"family":"Souza","given":"Abel"},{"family":"Bashir","given":"Noman"},{"family":"Irwin","given":"David"},{"family":"Shenoy","given":"Prashant"}],"accessed":{"date-parts":[["2026",5,23]]},"issued":{"date-parts":[["2024",4,22]]}}}],"schema":"https://github.com/citation-style-language/schema/raw/master/csl-citation.json"} </w:instrText>
      </w:r>
      <w:r w:rsidR="00CA1249" w:rsidRPr="009D6452">
        <w:rPr>
          <w:highlight w:val="yellow"/>
          <w:lang w:val="en-CA"/>
        </w:rPr>
        <w:fldChar w:fldCharType="separate"/>
      </w:r>
      <w:r w:rsidR="001D1223" w:rsidRPr="001D1223">
        <w:rPr>
          <w:highlight w:val="yellow"/>
          <w:lang w:val="en-CA"/>
        </w:rPr>
        <w:t>[61], [68]</w:t>
      </w:r>
      <w:r w:rsidR="00CA1249" w:rsidRPr="009D6452">
        <w:rPr>
          <w:highlight w:val="yellow"/>
          <w:lang w:val="en-CA"/>
        </w:rPr>
        <w:fldChar w:fldCharType="end"/>
      </w:r>
      <w:r w:rsidR="00F357B2" w:rsidRPr="009D6452">
        <w:rPr>
          <w:highlight w:val="yellow"/>
          <w:lang w:val="en-CA"/>
        </w:rPr>
        <w:t xml:space="preserve">. </w:t>
      </w:r>
    </w:p>
    <w:p w14:paraId="7789125A" w14:textId="0ED79F86" w:rsidR="00A7261B" w:rsidRDefault="00A7261B" w:rsidP="00A7261B">
      <w:pPr>
        <w:pStyle w:val="Caption"/>
        <w:keepNext/>
      </w:pPr>
      <w:bookmarkStart w:id="18" w:name="_Ref239530838"/>
      <w:r>
        <w:t xml:space="preserve">Table </w:t>
      </w:r>
      <w:r>
        <w:fldChar w:fldCharType="begin"/>
      </w:r>
      <w:r>
        <w:instrText xml:space="preserve"> SEQ Table \* ARABIC </w:instrText>
      </w:r>
      <w:r>
        <w:fldChar w:fldCharType="separate"/>
      </w:r>
      <w:r w:rsidR="003A45CA">
        <w:rPr>
          <w:noProof/>
        </w:rPr>
        <w:t>6</w:t>
      </w:r>
      <w:r>
        <w:fldChar w:fldCharType="end"/>
      </w:r>
      <w:r>
        <w:t xml:space="preserve"> </w:t>
      </w:r>
      <w:r w:rsidRPr="003B4DEC">
        <w:t>Workload-flexibility classification for energy-aware scheduling</w:t>
      </w:r>
      <w:bookmarkEnd w:id="18"/>
    </w:p>
    <w:tbl>
      <w:tblPr>
        <w:tblStyle w:val="MDPI41threelinetable"/>
        <w:tblW w:w="0" w:type="auto"/>
        <w:tblLook w:val="04A0" w:firstRow="1" w:lastRow="0" w:firstColumn="1" w:lastColumn="0" w:noHBand="0" w:noVBand="1"/>
      </w:tblPr>
      <w:tblGrid>
        <w:gridCol w:w="1777"/>
        <w:gridCol w:w="1778"/>
        <w:gridCol w:w="1693"/>
        <w:gridCol w:w="2505"/>
        <w:gridCol w:w="1999"/>
      </w:tblGrid>
      <w:tr w:rsidR="008561B9" w:rsidRPr="00C27947" w14:paraId="0F5E935F" w14:textId="77777777" w:rsidTr="007502B3">
        <w:trPr>
          <w:cnfStyle w:val="100000000000" w:firstRow="1" w:lastRow="0" w:firstColumn="0" w:lastColumn="0" w:oddVBand="0" w:evenVBand="0" w:oddHBand="0" w:evenHBand="0" w:firstRowFirstColumn="0" w:firstRowLastColumn="0" w:lastRowFirstColumn="0" w:lastRowLastColumn="0"/>
        </w:trPr>
        <w:tc>
          <w:tcPr>
            <w:tcW w:w="0" w:type="auto"/>
            <w:hideMark/>
          </w:tcPr>
          <w:p w14:paraId="53C61F95" w14:textId="1F61A892" w:rsidR="008561B9" w:rsidRPr="00C27947" w:rsidRDefault="008561B9" w:rsidP="008561B9">
            <w:pPr>
              <w:spacing w:after="120"/>
              <w:ind w:firstLine="480"/>
              <w:rPr>
                <w:color w:val="EE0000"/>
                <w:sz w:val="18"/>
                <w:szCs w:val="18"/>
                <w:highlight w:val="yellow"/>
                <w:lang w:val="en-CA"/>
              </w:rPr>
            </w:pPr>
            <w:commentRangeStart w:id="19"/>
            <w:r w:rsidRPr="00C27947">
              <w:rPr>
                <w:color w:val="EE0000"/>
                <w:sz w:val="18"/>
                <w:szCs w:val="18"/>
              </w:rPr>
              <w:t>Workload Type</w:t>
            </w:r>
          </w:p>
        </w:tc>
        <w:tc>
          <w:tcPr>
            <w:tcW w:w="0" w:type="auto"/>
            <w:hideMark/>
          </w:tcPr>
          <w:p w14:paraId="72B67E74" w14:textId="2EAAB6A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Typical Latency Requirement</w:t>
            </w:r>
          </w:p>
        </w:tc>
        <w:tc>
          <w:tcPr>
            <w:tcW w:w="0" w:type="auto"/>
            <w:hideMark/>
          </w:tcPr>
          <w:p w14:paraId="5E1E147C" w14:textId="6293CD33"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 Deferral Window</w:t>
            </w:r>
          </w:p>
        </w:tc>
        <w:tc>
          <w:tcPr>
            <w:tcW w:w="0" w:type="auto"/>
            <w:hideMark/>
          </w:tcPr>
          <w:p w14:paraId="4304CC10" w14:textId="75BF2AA2"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 Flexibility (Subject to Operational Constraints)</w:t>
            </w:r>
          </w:p>
        </w:tc>
        <w:tc>
          <w:tcPr>
            <w:tcW w:w="0" w:type="auto"/>
            <w:hideMark/>
          </w:tcPr>
          <w:p w14:paraId="2A1554AF" w14:textId="6AAB165A"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Key Limiting Factors</w:t>
            </w:r>
          </w:p>
        </w:tc>
      </w:tr>
      <w:tr w:rsidR="008561B9" w:rsidRPr="00C27947" w14:paraId="32C76942" w14:textId="77777777" w:rsidTr="007502B3">
        <w:tc>
          <w:tcPr>
            <w:tcW w:w="0" w:type="auto"/>
            <w:hideMark/>
          </w:tcPr>
          <w:p w14:paraId="3A48562A" w14:textId="58B7DE88"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Model Training</w:t>
            </w:r>
          </w:p>
        </w:tc>
        <w:tc>
          <w:tcPr>
            <w:tcW w:w="0" w:type="auto"/>
            <w:hideMark/>
          </w:tcPr>
          <w:p w14:paraId="041E5B02" w14:textId="6FFCCABC"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1B9615B9" w14:textId="58764AA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67CC244F" w14:textId="6FA5A80B"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high, subject to training deadlines, checkpointing capability, compute-resource utilization targets, and commercial requirements</w:t>
            </w:r>
          </w:p>
        </w:tc>
        <w:tc>
          <w:tcPr>
            <w:tcW w:w="0" w:type="auto"/>
            <w:hideMark/>
          </w:tcPr>
          <w:p w14:paraId="1D99DD31" w14:textId="6A8287EE"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Project schedules, GPU utilization targets, contractual commitments</w:t>
            </w:r>
          </w:p>
        </w:tc>
      </w:tr>
      <w:tr w:rsidR="008561B9" w:rsidRPr="00C27947" w14:paraId="115BFE4D" w14:textId="77777777" w:rsidTr="007502B3">
        <w:tc>
          <w:tcPr>
            <w:tcW w:w="0" w:type="auto"/>
            <w:hideMark/>
          </w:tcPr>
          <w:p w14:paraId="271DD541" w14:textId="6903D149"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Batch Inference</w:t>
            </w:r>
          </w:p>
        </w:tc>
        <w:tc>
          <w:tcPr>
            <w:tcW w:w="0" w:type="auto"/>
            <w:hideMark/>
          </w:tcPr>
          <w:p w14:paraId="3E8AF502" w14:textId="327F4E22"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Minutes to hours</w:t>
            </w:r>
          </w:p>
        </w:tc>
        <w:tc>
          <w:tcPr>
            <w:tcW w:w="0" w:type="auto"/>
            <w:hideMark/>
          </w:tcPr>
          <w:p w14:paraId="73E611C2" w14:textId="6DE17F0D"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Minutes to hours</w:t>
            </w:r>
          </w:p>
        </w:tc>
        <w:tc>
          <w:tcPr>
            <w:tcW w:w="0" w:type="auto"/>
            <w:hideMark/>
          </w:tcPr>
          <w:p w14:paraId="5C443CFB" w14:textId="25240745"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high, depending on service requirements</w:t>
            </w:r>
          </w:p>
        </w:tc>
        <w:tc>
          <w:tcPr>
            <w:tcW w:w="0" w:type="auto"/>
            <w:hideMark/>
          </w:tcPr>
          <w:p w14:paraId="40E44C9D" w14:textId="5B03351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Completion deadlines, data availability</w:t>
            </w:r>
          </w:p>
        </w:tc>
      </w:tr>
      <w:tr w:rsidR="008561B9" w:rsidRPr="00C27947" w14:paraId="1E2EFD0F" w14:textId="77777777" w:rsidTr="007502B3">
        <w:tc>
          <w:tcPr>
            <w:tcW w:w="0" w:type="auto"/>
            <w:hideMark/>
          </w:tcPr>
          <w:p w14:paraId="11378C98" w14:textId="116A5B72"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Analytics and Reporting</w:t>
            </w:r>
          </w:p>
        </w:tc>
        <w:tc>
          <w:tcPr>
            <w:tcW w:w="0" w:type="auto"/>
            <w:hideMark/>
          </w:tcPr>
          <w:p w14:paraId="1B1954AD" w14:textId="7AA2B1FE"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35D21FD4" w14:textId="05846DEF"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591BDD95" w14:textId="1CDF77D8"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moderate to high</w:t>
            </w:r>
          </w:p>
        </w:tc>
        <w:tc>
          <w:tcPr>
            <w:tcW w:w="0" w:type="auto"/>
            <w:hideMark/>
          </w:tcPr>
          <w:p w14:paraId="1D10879B" w14:textId="1C6DFA2E"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Reporting schedules, business requirements</w:t>
            </w:r>
          </w:p>
        </w:tc>
      </w:tr>
      <w:tr w:rsidR="008561B9" w:rsidRPr="00C27947" w14:paraId="1C986CC2" w14:textId="77777777" w:rsidTr="007502B3">
        <w:tc>
          <w:tcPr>
            <w:tcW w:w="0" w:type="auto"/>
            <w:hideMark/>
          </w:tcPr>
          <w:p w14:paraId="0BAEE153" w14:textId="66CF8106"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Real-Time Inference</w:t>
            </w:r>
          </w:p>
        </w:tc>
        <w:tc>
          <w:tcPr>
            <w:tcW w:w="0" w:type="auto"/>
            <w:hideMark/>
          </w:tcPr>
          <w:p w14:paraId="4F06DB75" w14:textId="298F371C"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Milliseconds to seconds</w:t>
            </w:r>
          </w:p>
        </w:tc>
        <w:tc>
          <w:tcPr>
            <w:tcW w:w="0" w:type="auto"/>
            <w:hideMark/>
          </w:tcPr>
          <w:p w14:paraId="551DFB15" w14:textId="5E336E56"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Limited or none</w:t>
            </w:r>
          </w:p>
        </w:tc>
        <w:tc>
          <w:tcPr>
            <w:tcW w:w="0" w:type="auto"/>
            <w:hideMark/>
          </w:tcPr>
          <w:p w14:paraId="7A363DD3" w14:textId="4AB508C2"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low</w:t>
            </w:r>
          </w:p>
        </w:tc>
        <w:tc>
          <w:tcPr>
            <w:tcW w:w="0" w:type="auto"/>
            <w:hideMark/>
          </w:tcPr>
          <w:p w14:paraId="0DEEC8C2" w14:textId="7C5DD6F4"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Latency requirements, user experience, SLAs</w:t>
            </w:r>
          </w:p>
        </w:tc>
      </w:tr>
      <w:tr w:rsidR="008561B9" w:rsidRPr="00C27947" w14:paraId="2E8402C1" w14:textId="77777777" w:rsidTr="007502B3">
        <w:tc>
          <w:tcPr>
            <w:tcW w:w="0" w:type="auto"/>
            <w:hideMark/>
          </w:tcPr>
          <w:p w14:paraId="1E90FD62" w14:textId="6C175EC9"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Background Tasks</w:t>
            </w:r>
          </w:p>
        </w:tc>
        <w:tc>
          <w:tcPr>
            <w:tcW w:w="0" w:type="auto"/>
            <w:hideMark/>
          </w:tcPr>
          <w:p w14:paraId="3B556734" w14:textId="1EAE6930"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Hours to days</w:t>
            </w:r>
          </w:p>
        </w:tc>
        <w:tc>
          <w:tcPr>
            <w:tcW w:w="0" w:type="auto"/>
            <w:hideMark/>
          </w:tcPr>
          <w:p w14:paraId="5664FE1F" w14:textId="1732C21F"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Flexible depending on operational requirements</w:t>
            </w:r>
          </w:p>
        </w:tc>
        <w:tc>
          <w:tcPr>
            <w:tcW w:w="0" w:type="auto"/>
            <w:hideMark/>
          </w:tcPr>
          <w:p w14:paraId="7B75C8FE" w14:textId="73B9B5E3"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Potentially moderate to high</w:t>
            </w:r>
          </w:p>
        </w:tc>
        <w:tc>
          <w:tcPr>
            <w:tcW w:w="0" w:type="auto"/>
            <w:hideMark/>
          </w:tcPr>
          <w:p w14:paraId="70ACC164" w14:textId="767437C3"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Operational priorities and maintenance schedules</w:t>
            </w:r>
          </w:p>
        </w:tc>
      </w:tr>
      <w:tr w:rsidR="008561B9" w:rsidRPr="00C27947" w14:paraId="4EE21A7A" w14:textId="77777777" w:rsidTr="007502B3">
        <w:tc>
          <w:tcPr>
            <w:tcW w:w="0" w:type="auto"/>
            <w:hideMark/>
          </w:tcPr>
          <w:p w14:paraId="196A6F79" w14:textId="12AD133B" w:rsidR="008561B9" w:rsidRPr="00C27947" w:rsidRDefault="008561B9" w:rsidP="008561B9">
            <w:pPr>
              <w:spacing w:after="120"/>
              <w:ind w:firstLine="480"/>
              <w:rPr>
                <w:b/>
                <w:bCs/>
                <w:color w:val="EE0000"/>
                <w:sz w:val="18"/>
                <w:szCs w:val="18"/>
                <w:highlight w:val="yellow"/>
                <w:lang w:val="en-CA"/>
              </w:rPr>
            </w:pPr>
            <w:r w:rsidRPr="00C27947">
              <w:rPr>
                <w:b/>
                <w:bCs/>
                <w:color w:val="EE0000"/>
                <w:sz w:val="18"/>
                <w:szCs w:val="18"/>
              </w:rPr>
              <w:t>Critical Real-Time Services</w:t>
            </w:r>
          </w:p>
        </w:tc>
        <w:tc>
          <w:tcPr>
            <w:tcW w:w="0" w:type="auto"/>
            <w:hideMark/>
          </w:tcPr>
          <w:p w14:paraId="234321C4" w14:textId="413BF6E5"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Milliseconds</w:t>
            </w:r>
          </w:p>
        </w:tc>
        <w:tc>
          <w:tcPr>
            <w:tcW w:w="0" w:type="auto"/>
            <w:hideMark/>
          </w:tcPr>
          <w:p w14:paraId="61732781" w14:textId="03CE97DD"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None</w:t>
            </w:r>
          </w:p>
        </w:tc>
        <w:tc>
          <w:tcPr>
            <w:tcW w:w="0" w:type="auto"/>
            <w:hideMark/>
          </w:tcPr>
          <w:p w14:paraId="19BF6EC3" w14:textId="75141488"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No practical flexibility</w:t>
            </w:r>
          </w:p>
        </w:tc>
        <w:tc>
          <w:tcPr>
            <w:tcW w:w="0" w:type="auto"/>
            <w:hideMark/>
          </w:tcPr>
          <w:p w14:paraId="6008DBB8" w14:textId="16857F99" w:rsidR="008561B9" w:rsidRPr="00C27947" w:rsidRDefault="008561B9" w:rsidP="008561B9">
            <w:pPr>
              <w:spacing w:after="120"/>
              <w:ind w:firstLine="480"/>
              <w:rPr>
                <w:color w:val="EE0000"/>
                <w:sz w:val="18"/>
                <w:szCs w:val="18"/>
                <w:highlight w:val="yellow"/>
                <w:lang w:val="en-CA"/>
              </w:rPr>
            </w:pPr>
            <w:r w:rsidRPr="00C27947">
              <w:rPr>
                <w:color w:val="EE0000"/>
                <w:sz w:val="18"/>
                <w:szCs w:val="18"/>
              </w:rPr>
              <w:t>Reliability and service-continuity requirements</w:t>
            </w:r>
            <w:commentRangeEnd w:id="19"/>
            <w:r w:rsidR="003B1F8C" w:rsidRPr="00C27947">
              <w:rPr>
                <w:rStyle w:val="CommentReference"/>
                <w:color w:val="EE0000"/>
                <w:sz w:val="18"/>
                <w:szCs w:val="18"/>
                <w:highlight w:val="yellow"/>
                <w:lang w:val="en-CA"/>
              </w:rPr>
              <w:commentReference w:id="19"/>
            </w:r>
          </w:p>
        </w:tc>
      </w:tr>
    </w:tbl>
    <w:p w14:paraId="3C3BD4BE" w14:textId="77777777" w:rsidR="00FE013C" w:rsidRDefault="00FE013C" w:rsidP="004C16FF">
      <w:pPr>
        <w:pStyle w:val="Heading20"/>
        <w:jc w:val="both"/>
        <w:rPr>
          <w:color w:val="auto"/>
        </w:rPr>
      </w:pPr>
      <w:r>
        <w:rPr>
          <w:color w:val="auto"/>
        </w:rPr>
        <w:t>7.7. Cooling System Coordination</w:t>
      </w:r>
    </w:p>
    <w:p w14:paraId="6180DAAA" w14:textId="2AFD316A" w:rsidR="00FA7E58" w:rsidRPr="00966FBB" w:rsidRDefault="00FA7E58" w:rsidP="00E842C0">
      <w:pPr>
        <w:spacing w:after="120"/>
        <w:ind w:firstLine="480"/>
        <w:rPr>
          <w:highlight w:val="yellow"/>
          <w:lang w:val="en-CA"/>
        </w:rPr>
      </w:pPr>
      <w:r w:rsidRPr="00966FBB">
        <w:rPr>
          <w:highlight w:val="yellow"/>
          <w:lang w:val="en-CA"/>
        </w:rPr>
        <w:t>The coordination of cooling systems involves the coupling of thermal and electrical aspects for the reduction of the energy consumption of the facilities and to increase the flexibility of the system. However, thermal energy storage, such as chilled-water and ice-storage systems, can help reduce the need for cooling during peak electricity demand periods or when electricity is not available to cover the need from renewables</w:t>
      </w:r>
      <w:r w:rsidR="00966FBB">
        <w:rPr>
          <w:highlight w:val="yellow"/>
          <w:lang w:val="en-CA"/>
        </w:rPr>
        <w:fldChar w:fldCharType="begin"/>
      </w:r>
      <w:r w:rsidR="00A95675">
        <w:rPr>
          <w:highlight w:val="yellow"/>
          <w:lang w:val="en-CA"/>
        </w:rPr>
        <w:instrText xml:space="preserve"> ADDIN ZOTERO_ITEM CSL_CITATION {"citationID":"Zrmw4dw0","properties":{"unsorted":false,"formattedCitation":"[99]","plainCitation":"[99]","noteIndex":0},"citationItems":[{"id":2056,"uris":["http://zotero.org/users/9870935/items/4AKN5FB8"],"itemData":{"id":2056,"type":"paper-conference","container-title":"2025 Brazilian Power Electronics Conference (COBEP)","DOI":"10.1109/COBEP66423.2025.11231587","event-title":"2025 Brazilian Power Electronics Conference (COBEP)","ISBN":"979-8-3315-5327-2","license":"https://doi.org/10.15223/policy-029","page":"1-6","publisher":"IEEE","publisher-place":"Vitoria, Brazil","source":"DOI.org (Crossref)","title":"A Two-Stage Methodology for Accurate PV Energy Yield Estimation Using Satellite Weather Data and PV Modeling Python Library","URL":"https://ieeexplore.ieee.org/document/11231587/","author":[{"family":"De Paula","given":"João Frederico Souza"},{"family":"De Souza Silva","given":"João Lucas"},{"family":"De Paula","given":"Marcelo Vinícius"},{"family":"Fraidenraich","given":"Gustavo"},{"family":"Dos Santos Barros","given":"Tárcio André"}],"accessed":{"date-parts":[["2026",5,17]]},"issued":{"date-parts":[["2025",10,5]]}}}],"schema":"https://github.com/citation-style-language/schema/raw/master/csl-citation.json"} </w:instrText>
      </w:r>
      <w:r w:rsidR="00966FBB">
        <w:rPr>
          <w:highlight w:val="yellow"/>
          <w:lang w:val="en-CA"/>
        </w:rPr>
        <w:fldChar w:fldCharType="separate"/>
      </w:r>
      <w:r w:rsidR="00A95675" w:rsidRPr="00A95675">
        <w:rPr>
          <w:highlight w:val="yellow"/>
          <w:lang w:val="en-CA"/>
        </w:rPr>
        <w:t>[99]</w:t>
      </w:r>
      <w:r w:rsidR="00966FBB">
        <w:rPr>
          <w:highlight w:val="yellow"/>
          <w:lang w:val="en-CA"/>
        </w:rPr>
        <w:fldChar w:fldCharType="end"/>
      </w:r>
      <w:r w:rsidRPr="00966FBB">
        <w:rPr>
          <w:highlight w:val="yellow"/>
          <w:lang w:val="en-CA"/>
        </w:rPr>
        <w:t>. Dynamic temperature and flow setpoints have also been seen to enhance efficiency while keeping equipment operating parameters within limits</w:t>
      </w:r>
      <w:r w:rsidR="00966FBB">
        <w:rPr>
          <w:highlight w:val="yellow"/>
          <w:lang w:val="en-CA"/>
        </w:rPr>
        <w:fldChar w:fldCharType="begin"/>
      </w:r>
      <w:r w:rsidR="00E842C0">
        <w:rPr>
          <w:highlight w:val="yellow"/>
          <w:lang w:val="en-CA"/>
        </w:rPr>
        <w:instrText xml:space="preserve"> ADDIN ZOTERO_ITEM CSL_CITATION {"citationID":"OOBfX6OB","properties":{"unsorted":false,"formattedCitation":"[146]","plainCitation":"[146]","noteIndex":0},"citationItems":[{"id":2136,"uris":["http://zotero.org/users/9870935/items/UMQBEY7U"],"itemData":{"id":2136,"type":"article-journal","container-title":"Circular Economy and Sustainability","DOI":"10.1007/s43615-022-00191-9","ISSN":"2730-597X, 2730-5988","issue":"1","journalAbbreviation":"Circ.Econ.Sust.","language":"en","page":"173-197","source":"DOI.org (Crossref)","title":"Tools Towards the Sustainability and Circularity of Data Centers","volume":"3","author":[{"family":"Hoosain","given":"Mohamed Sameer"},{"family":"Paul","given":"Babu Sena"},{"family":"Kass","given":"Susanna"},{"family":"Ramakrishna","given":"Seeram"}],"issued":{"date-parts":[["2023",3]]}}}],"schema":"https://github.com/citation-style-language/schema/raw/master/csl-citation.json"} </w:instrText>
      </w:r>
      <w:r w:rsidR="00966FBB">
        <w:rPr>
          <w:highlight w:val="yellow"/>
          <w:lang w:val="en-CA"/>
        </w:rPr>
        <w:fldChar w:fldCharType="separate"/>
      </w:r>
      <w:r w:rsidR="00E842C0" w:rsidRPr="00E842C0">
        <w:rPr>
          <w:highlight w:val="yellow"/>
          <w:lang w:val="en-CA"/>
        </w:rPr>
        <w:t>[146]</w:t>
      </w:r>
      <w:r w:rsidR="00966FBB">
        <w:rPr>
          <w:highlight w:val="yellow"/>
          <w:lang w:val="en-CA"/>
        </w:rPr>
        <w:fldChar w:fldCharType="end"/>
      </w:r>
      <w:r w:rsidRPr="00966FBB">
        <w:rPr>
          <w:highlight w:val="yellow"/>
          <w:lang w:val="en-CA"/>
        </w:rPr>
        <w:t>.</w:t>
      </w:r>
      <w:r w:rsidR="00342674" w:rsidRPr="00966FBB">
        <w:rPr>
          <w:highlight w:val="yellow"/>
          <w:lang w:val="en-CA"/>
        </w:rPr>
        <w:t xml:space="preserve"> </w:t>
      </w:r>
      <w:r w:rsidRPr="00966FBB">
        <w:rPr>
          <w:highlight w:val="yellow"/>
          <w:lang w:val="en-CA"/>
        </w:rPr>
        <w:t xml:space="preserve">Direct-to-chip liquid cooling can lower cooling electricity demand compared to traditional air cooling, especially for AI accelerators that are arranged in high density. Other energy-system benefits that can be derived from </w:t>
      </w:r>
      <w:r w:rsidRPr="00966FBB">
        <w:rPr>
          <w:highlight w:val="yellow"/>
          <w:lang w:val="en-CA"/>
        </w:rPr>
        <w:lastRenderedPageBreak/>
        <w:t>waste-heat recovery include district heating, use in a greenhouse and industrial process heat, but the economic benefit of these applications is a function of the waste-heat temperature, the distance to the receiving load, seasonality and required heat-pump infrastructure</w:t>
      </w:r>
      <w:r w:rsidR="00966FBB">
        <w:rPr>
          <w:highlight w:val="yellow"/>
          <w:lang w:val="en-CA"/>
        </w:rPr>
        <w:fldChar w:fldCharType="begin"/>
      </w:r>
      <w:r w:rsidR="00E842C0">
        <w:rPr>
          <w:highlight w:val="yellow"/>
          <w:lang w:val="en-CA"/>
        </w:rPr>
        <w:instrText xml:space="preserve"> ADDIN ZOTERO_ITEM CSL_CITATION {"citationID":"MfjSJAkp","properties":{"unsorted":false,"formattedCitation":"[147]","plainCitation":"[147]","noteIndex":0},"citationItems":[{"id":2139,"uris":["http://zotero.org/users/9870935/items/MZBJCIBN"],"itemData":{"id":2139,"type":"article-journal","abstract":"Climate-related reporting has become an integral part of firms’ disclosure. In this context, firms’ greenhouse gas (GHG) emissions are of major importance to stakeholders and management. For measuring GHG emissions, a global standard has been established with the GHG Protocol. This standard contains an important accounting policy option that significantly affects firms’ reported emissions by allowing them to use different consolidation approaches: the equity share, operational control, and financial control approach. However, there is limited evidence on firms’ use of these approaches, resulting in a lack of foundation for discussing the approaches’ sufficiency to support achieving environmental sustainability. Therefore, this paper aims to close this research gap by empirically investigating the approaches’ relevance using 16,604 firm-year observations between 2009 and 2019. We demonstrate that the operational control approach is used by most firms and that its predominance substantially increased during the last decade. However, the predominant use of the operational control approach is not fully compatible with societal and political sustainability goals as expressed in recent sustainability regulations. Therefore, policy makers need to critically assess whether current GHG reporting supports achieving their goals. Furthermore, we develop a research agenda to encourage future researchers to contribute to improvements in GHG reporting.","container-title":"Sustainability","DOI":"10.3390/su15020994","ISSN":"2071-1050","issue":"2","journalAbbreviation":"Sustainability","language":"en","page":"994","source":"DOI.org (Crossref)","title":"Accounting for Carbon Emissions—Current State of Sustainability Reporting Practice under the GHG Protocol","volume":"15","author":[{"family":"Kasperzak","given":"Rainer"},{"family":"Kureljusic","given":"Marko"},{"family":"Reisch","given":"Lucas"},{"family":"Thies","given":"Simon"}],"issued":{"date-parts":[["2023",1,5]]}}}],"schema":"https://github.com/citation-style-language/schema/raw/master/csl-citation.json"} </w:instrText>
      </w:r>
      <w:r w:rsidR="00966FBB">
        <w:rPr>
          <w:highlight w:val="yellow"/>
          <w:lang w:val="en-CA"/>
        </w:rPr>
        <w:fldChar w:fldCharType="separate"/>
      </w:r>
      <w:r w:rsidR="00E842C0" w:rsidRPr="00E842C0">
        <w:rPr>
          <w:highlight w:val="yellow"/>
          <w:lang w:val="en-CA"/>
        </w:rPr>
        <w:t>[147]</w:t>
      </w:r>
      <w:r w:rsidR="00966FBB">
        <w:rPr>
          <w:highlight w:val="yellow"/>
          <w:lang w:val="en-CA"/>
        </w:rPr>
        <w:fldChar w:fldCharType="end"/>
      </w:r>
      <w:r w:rsidRPr="00966FBB">
        <w:rPr>
          <w:highlight w:val="yellow"/>
          <w:lang w:val="en-CA"/>
        </w:rPr>
        <w:t>.</w:t>
      </w:r>
    </w:p>
    <w:p w14:paraId="5E727AAD" w14:textId="5D3C7AD2" w:rsidR="0059318D" w:rsidRPr="0059318D" w:rsidRDefault="0059318D" w:rsidP="0059318D">
      <w:pPr>
        <w:pStyle w:val="Heading20"/>
        <w:jc w:val="both"/>
        <w:rPr>
          <w:i w:val="0"/>
          <w:noProof w:val="0"/>
          <w:snapToGrid/>
          <w:szCs w:val="20"/>
          <w:highlight w:val="yellow"/>
          <w:lang w:val="en-CA" w:bidi="ar-SA"/>
        </w:rPr>
      </w:pPr>
      <w:r w:rsidRPr="0059318D">
        <w:rPr>
          <w:i w:val="0"/>
          <w:noProof w:val="0"/>
          <w:snapToGrid/>
          <w:szCs w:val="20"/>
          <w:highlight w:val="yellow"/>
          <w:lang w:val="en-CA" w:bidi="ar-SA"/>
        </w:rPr>
        <w:t>The assessment of cooling-system performance should also consider Water Usage Effectiveness (WUE), which is typically defined as the annual volume of water consumed by the data-center facility divided by the annual IT-equipment energy consumption (L/kWhIT). WUE primarily captures direct on-site water consumption associated with cooling operations and should be interpreted separately from indirect water consumption associated with electricity generation or broader lifecycle water impacts. Accordingly, three distinct water-related categories are relevant for sustainability assessment:</w:t>
      </w:r>
    </w:p>
    <w:p w14:paraId="6FBC79C2" w14:textId="06D28959"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Direct on-site water consumption associated with cooling and facility operations;</w:t>
      </w:r>
    </w:p>
    <w:p w14:paraId="5B102223" w14:textId="55EBC8AA"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Indirect water consumption embedded in purchased electricity generation;</w:t>
      </w:r>
    </w:p>
    <w:p w14:paraId="662C2D37" w14:textId="517DF77A" w:rsidR="0059318D" w:rsidRPr="0059318D" w:rsidRDefault="0059318D" w:rsidP="0059318D">
      <w:pPr>
        <w:pStyle w:val="Heading20"/>
        <w:numPr>
          <w:ilvl w:val="0"/>
          <w:numId w:val="31"/>
        </w:numPr>
        <w:spacing w:before="0" w:after="0"/>
        <w:jc w:val="both"/>
        <w:rPr>
          <w:i w:val="0"/>
          <w:noProof w:val="0"/>
          <w:snapToGrid/>
          <w:szCs w:val="20"/>
          <w:highlight w:val="yellow"/>
          <w:lang w:val="en-CA" w:bidi="ar-SA"/>
        </w:rPr>
      </w:pPr>
      <w:r w:rsidRPr="0059318D">
        <w:rPr>
          <w:i w:val="0"/>
          <w:noProof w:val="0"/>
          <w:snapToGrid/>
          <w:szCs w:val="20"/>
          <w:highlight w:val="yellow"/>
          <w:lang w:val="en-CA" w:bidi="ar-SA"/>
        </w:rPr>
        <w:t>Lifecycle water impacts associated with equipment manufacturing, construction, maintenance, and end-of-life treatment.</w:t>
      </w:r>
    </w:p>
    <w:p w14:paraId="47CF7AC9" w14:textId="77777777" w:rsidR="0059318D" w:rsidRPr="0059318D" w:rsidRDefault="0059318D" w:rsidP="0059318D">
      <w:pPr>
        <w:pStyle w:val="Heading20"/>
        <w:jc w:val="both"/>
        <w:rPr>
          <w:i w:val="0"/>
          <w:noProof w:val="0"/>
          <w:snapToGrid/>
          <w:szCs w:val="20"/>
          <w:highlight w:val="yellow"/>
          <w:lang w:val="en-CA" w:bidi="ar-SA"/>
        </w:rPr>
      </w:pPr>
      <w:r w:rsidRPr="0059318D">
        <w:rPr>
          <w:i w:val="0"/>
          <w:noProof w:val="0"/>
          <w:snapToGrid/>
          <w:szCs w:val="20"/>
          <w:highlight w:val="yellow"/>
          <w:lang w:val="en-CA" w:bidi="ar-SA"/>
        </w:rPr>
        <w:t>The relative importance of these categories depends on local climate conditions, cooling-system design, electricity-supply characteristics, and project boundaries. Consequently, WUE should be evaluated together with energy-efficiency metrics such as PUE when comparing cooling-system alternatives.</w:t>
      </w:r>
    </w:p>
    <w:p w14:paraId="467ABB68" w14:textId="77777777" w:rsidR="00FE013C" w:rsidRDefault="00FE013C" w:rsidP="004C16FF">
      <w:pPr>
        <w:pStyle w:val="Heading20"/>
        <w:jc w:val="both"/>
        <w:rPr>
          <w:color w:val="auto"/>
        </w:rPr>
      </w:pPr>
      <w:r>
        <w:rPr>
          <w:color w:val="auto"/>
        </w:rPr>
        <w:t xml:space="preserve">7.8. </w:t>
      </w:r>
      <w:r w:rsidRPr="004D516A">
        <w:rPr>
          <w:color w:val="auto"/>
        </w:rPr>
        <w:t>Economic Model and Financial Viability</w:t>
      </w:r>
    </w:p>
    <w:p w14:paraId="53950E43" w14:textId="730EEDC9" w:rsidR="002B7ACC" w:rsidRPr="002B7ACC" w:rsidRDefault="000F6695" w:rsidP="00045CF2">
      <w:pPr>
        <w:spacing w:after="120"/>
        <w:ind w:firstLine="480"/>
        <w:rPr>
          <w:highlight w:val="yellow"/>
        </w:rPr>
      </w:pPr>
      <w:r w:rsidRPr="002B7ACC">
        <w:rPr>
          <w:highlight w:val="yellow"/>
        </w:rPr>
        <w:t xml:space="preserve">Additional economic evaluation should be based on LCOE, NPV, IRR, discounted payback, or sensitivity analysis as applicable. LCOE is the total discounted cost of building and running an energy asset divided by the total discounted electricity output generated by the asset over its use life [64]. LCOE does not, by itself, account for the value of firm delivery, temporal matching, reliability, or all network costs. Operating and capital assumptions should be based on a standardized technology set. It is important to note that battery-pack costs are different from full BESS installation costs. </w:t>
      </w:r>
      <w:r w:rsidR="00045CF2" w:rsidRPr="00045CF2">
        <w:rPr>
          <w:highlight w:val="yellow"/>
        </w:rPr>
        <w:t>Project-specific analysis should use</w:t>
      </w:r>
      <w:r w:rsidRPr="002B7ACC">
        <w:rPr>
          <w:highlight w:val="yellow"/>
        </w:rPr>
        <w:t xml:space="preserve"> the relevant grid electricity tariff and not refer to it as a generation LCOE. </w:t>
      </w:r>
      <w:r w:rsidR="002B7ACC" w:rsidRPr="002B7ACC">
        <w:rPr>
          <w:highlight w:val="yellow"/>
        </w:rPr>
        <w:t>A real weighted average cost of capital (WACC) of 7.5% is adopted as a screening assumption for illustrative economic comparisons. This value is not a recommended project-specific discount rate and is retained solely to support consistent comparison among literature-based benchmarks. Sensitivity ranges should be evaluated using project-specific financing assumptions.</w:t>
      </w:r>
    </w:p>
    <w:p w14:paraId="4BDC7C35" w14:textId="709746C2" w:rsidR="000F6695" w:rsidRPr="00037346" w:rsidRDefault="000F6695" w:rsidP="00E842C0">
      <w:pPr>
        <w:spacing w:after="120"/>
        <w:ind w:firstLine="480"/>
        <w:rPr>
          <w:highlight w:val="yellow"/>
          <w:lang w:val="en-CA"/>
        </w:rPr>
      </w:pPr>
      <w:r w:rsidRPr="00037346">
        <w:rPr>
          <w:highlight w:val="yellow"/>
          <w:lang w:val="en-CA"/>
        </w:rPr>
        <w:t xml:space="preserve"> Only a real range of 5% - 12% is kept for sensitivity analysis. Real cash flows should be discounted at a real discount rate, nominal cash flows should be discounted at a nominal discount rate, and an explicit inflation assumption is required for nominal rates</w:t>
      </w:r>
      <w:r w:rsidR="003336B9" w:rsidRPr="00037346">
        <w:rPr>
          <w:highlight w:val="yellow"/>
          <w:lang w:val="en-CA"/>
        </w:rPr>
        <w:fldChar w:fldCharType="begin"/>
      </w:r>
      <w:r w:rsidR="00E842C0">
        <w:rPr>
          <w:highlight w:val="yellow"/>
          <w:lang w:val="en-CA"/>
        </w:rPr>
        <w:instrText xml:space="preserve"> ADDIN ZOTERO_ITEM CSL_CITATION {"citationID":"4WnWsrD6","properties":{"unsorted":false,"formattedCitation":"[148]","plainCitation":"[148]","noteIndex":0},"citationItems":[{"id":2143,"uris":["http://zotero.org/users/9870935/items/QQ6IISPJ"],"itemData":{"id":2143,"type":"document","title":"U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3336B9" w:rsidRPr="00037346">
        <w:rPr>
          <w:highlight w:val="yellow"/>
          <w:lang w:val="en-CA"/>
        </w:rPr>
        <w:fldChar w:fldCharType="separate"/>
      </w:r>
      <w:r w:rsidR="00E842C0" w:rsidRPr="00E842C0">
        <w:rPr>
          <w:highlight w:val="yellow"/>
          <w:lang w:val="en-CA"/>
        </w:rPr>
        <w:t>[148]</w:t>
      </w:r>
      <w:r w:rsidR="003336B9" w:rsidRPr="00037346">
        <w:rPr>
          <w:highlight w:val="yellow"/>
          <w:lang w:val="en-CA"/>
        </w:rPr>
        <w:fldChar w:fldCharType="end"/>
      </w:r>
      <w:r w:rsidRPr="00037346">
        <w:rPr>
          <w:highlight w:val="yellow"/>
          <w:lang w:val="en-CA"/>
        </w:rPr>
        <w:t>.</w:t>
      </w:r>
      <w:r w:rsidR="00F3432F" w:rsidRPr="00037346">
        <w:rPr>
          <w:highlight w:val="yellow"/>
          <w:lang w:val="en-CA"/>
        </w:rPr>
        <w:t xml:space="preserve"> </w:t>
      </w:r>
      <w:r w:rsidRPr="00037346">
        <w:rPr>
          <w:highlight w:val="yellow"/>
          <w:lang w:val="en-CA"/>
        </w:rPr>
        <w:t>Project-specific NPV/IRR/payback should be based upon auditable project cash flows with the following:</w:t>
      </w:r>
    </w:p>
    <w:p w14:paraId="6495D6CB" w14:textId="51195C7B"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Initial capital expenditure;</w:t>
      </w:r>
    </w:p>
    <w:p w14:paraId="635E05E8"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The upfront expenses of engineering, development and interconnection;</w:t>
      </w:r>
    </w:p>
    <w:p w14:paraId="29157F28" w14:textId="3B86A367"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 xml:space="preserve">Fixed and variable </w:t>
      </w:r>
      <w:r w:rsidR="00037346">
        <w:rPr>
          <w:highlight w:val="yellow"/>
          <w:lang w:val="en-CA"/>
        </w:rPr>
        <w:t>O</w:t>
      </w:r>
      <w:r w:rsidRPr="003336B9">
        <w:rPr>
          <w:highlight w:val="yellow"/>
          <w:lang w:val="en-CA"/>
        </w:rPr>
        <w:t>&amp;</w:t>
      </w:r>
      <w:r w:rsidR="00037346">
        <w:rPr>
          <w:highlight w:val="yellow"/>
          <w:lang w:val="en-CA"/>
        </w:rPr>
        <w:t>M</w:t>
      </w:r>
      <w:r w:rsidRPr="003336B9">
        <w:rPr>
          <w:highlight w:val="yellow"/>
          <w:lang w:val="en-CA"/>
        </w:rPr>
        <w:t>;</w:t>
      </w:r>
    </w:p>
    <w:p w14:paraId="38BBEE42"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Augmentation of batteries and component replacement; and</w:t>
      </w:r>
    </w:p>
    <w:p w14:paraId="1CB033D1" w14:textId="7B363CCC"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Grid-energy and demand charges;</w:t>
      </w:r>
    </w:p>
    <w:p w14:paraId="2EC0AA99"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Losses from curtailment and conversion;</w:t>
      </w:r>
    </w:p>
    <w:p w14:paraId="305D88F9" w14:textId="69216DC5"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P</w:t>
      </w:r>
      <w:r>
        <w:rPr>
          <w:highlight w:val="yellow"/>
          <w:lang w:val="en-CA"/>
        </w:rPr>
        <w:t>PA</w:t>
      </w:r>
      <w:r w:rsidRPr="003336B9">
        <w:rPr>
          <w:highlight w:val="yellow"/>
          <w:lang w:val="en-CA"/>
        </w:rPr>
        <w:t xml:space="preserve"> payments;</w:t>
      </w:r>
    </w:p>
    <w:p w14:paraId="0F5C86AF" w14:textId="579A7A16"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lastRenderedPageBreak/>
        <w:t>Applicable ancillary-service revenues;</w:t>
      </w:r>
    </w:p>
    <w:p w14:paraId="6BA7B353" w14:textId="2FF25768" w:rsidR="000F6695" w:rsidRPr="003336B9" w:rsidRDefault="003336B9" w:rsidP="003336B9">
      <w:pPr>
        <w:pStyle w:val="ListParagraph"/>
        <w:numPr>
          <w:ilvl w:val="0"/>
          <w:numId w:val="26"/>
        </w:numPr>
        <w:spacing w:after="120"/>
        <w:rPr>
          <w:highlight w:val="yellow"/>
          <w:lang w:val="en-CA"/>
        </w:rPr>
      </w:pPr>
      <w:r w:rsidRPr="003336B9">
        <w:rPr>
          <w:highlight w:val="yellow"/>
          <w:lang w:val="en-CA"/>
        </w:rPr>
        <w:t>Tax-credit eligibility;</w:t>
      </w:r>
    </w:p>
    <w:p w14:paraId="1B97697F" w14:textId="77777777" w:rsidR="000F6695" w:rsidRPr="003336B9" w:rsidRDefault="000F6695" w:rsidP="003336B9">
      <w:pPr>
        <w:pStyle w:val="ListParagraph"/>
        <w:numPr>
          <w:ilvl w:val="0"/>
          <w:numId w:val="26"/>
        </w:numPr>
        <w:spacing w:after="120"/>
        <w:rPr>
          <w:highlight w:val="yellow"/>
          <w:lang w:val="en-CA"/>
        </w:rPr>
      </w:pPr>
      <w:r w:rsidRPr="003336B9">
        <w:rPr>
          <w:highlight w:val="yellow"/>
          <w:lang w:val="en-CA"/>
        </w:rPr>
        <w:t>Taxes and depreciation; and</w:t>
      </w:r>
    </w:p>
    <w:p w14:paraId="2B16A3A9" w14:textId="5D60C155" w:rsidR="009D6452" w:rsidRPr="009D6452" w:rsidRDefault="003336B9" w:rsidP="009D6452">
      <w:pPr>
        <w:pStyle w:val="ListParagraph"/>
        <w:numPr>
          <w:ilvl w:val="0"/>
          <w:numId w:val="26"/>
        </w:numPr>
        <w:spacing w:after="120"/>
        <w:rPr>
          <w:highlight w:val="yellow"/>
          <w:lang w:val="en-CA"/>
        </w:rPr>
      </w:pPr>
      <w:r w:rsidRPr="003336B9">
        <w:rPr>
          <w:highlight w:val="yellow"/>
          <w:lang w:val="en-CA"/>
        </w:rPr>
        <w:t>Residual value.</w:t>
      </w:r>
    </w:p>
    <w:p w14:paraId="3E12D0C3" w14:textId="0830D606" w:rsidR="009D6452" w:rsidRPr="004D1970" w:rsidRDefault="009D6452" w:rsidP="009D6452">
      <w:pPr>
        <w:spacing w:after="120"/>
        <w:ind w:firstLine="480"/>
        <w:rPr>
          <w:highlight w:val="yellow"/>
          <w:lang w:val="en-CA"/>
        </w:rPr>
      </w:pPr>
      <w:r w:rsidRPr="004D1970">
        <w:rPr>
          <w:highlight w:val="yellow"/>
          <w:lang w:val="en-CA"/>
        </w:rPr>
        <w:fldChar w:fldCharType="begin"/>
      </w:r>
      <w:r w:rsidRPr="004D1970">
        <w:rPr>
          <w:highlight w:val="yellow"/>
          <w:lang w:val="en-CA"/>
        </w:rPr>
        <w:instrText xml:space="preserve"> REF _Ref239530888 \h </w:instrText>
      </w:r>
      <w:r w:rsidRPr="004D1970">
        <w:rPr>
          <w:highlight w:val="yellow"/>
          <w:lang w:val="en-CA"/>
        </w:rPr>
      </w:r>
      <w:r w:rsidR="004D1970">
        <w:rPr>
          <w:highlight w:val="yellow"/>
          <w:lang w:val="en-CA"/>
        </w:rPr>
        <w:instrText xml:space="preserve"> \* MERGEFORMAT </w:instrText>
      </w:r>
      <w:r w:rsidRPr="004D1970">
        <w:rPr>
          <w:highlight w:val="yellow"/>
          <w:lang w:val="en-CA"/>
        </w:rPr>
        <w:fldChar w:fldCharType="separate"/>
      </w:r>
      <w:r w:rsidRPr="004D1970">
        <w:rPr>
          <w:highlight w:val="yellow"/>
        </w:rPr>
        <w:t xml:space="preserve">Table </w:t>
      </w:r>
      <w:r w:rsidRPr="004D1970">
        <w:rPr>
          <w:noProof/>
          <w:highlight w:val="yellow"/>
        </w:rPr>
        <w:t>7</w:t>
      </w:r>
      <w:r w:rsidRPr="004D1970">
        <w:rPr>
          <w:highlight w:val="yellow"/>
        </w:rPr>
        <w:t xml:space="preserve"> </w:t>
      </w:r>
      <w:r w:rsidRPr="004D1970">
        <w:rPr>
          <w:highlight w:val="yellow"/>
          <w:lang w:val="en-CA"/>
        </w:rPr>
        <w:t>Literature-Based Technology Cost and Performance Benchmarks</w:t>
      </w:r>
      <w:r w:rsidRPr="004D1970">
        <w:rPr>
          <w:highlight w:val="yellow"/>
          <w:lang w:val="en-CA"/>
        </w:rPr>
        <w:fldChar w:fldCharType="end"/>
      </w:r>
      <w:r w:rsidRPr="004D1970">
        <w:rPr>
          <w:highlight w:val="yellow"/>
          <w:lang w:val="en-CA"/>
        </w:rPr>
        <w:t xml:space="preserve">, </w:t>
      </w:r>
      <w:r w:rsidRPr="004D1970">
        <w:rPr>
          <w:highlight w:val="yellow"/>
          <w:lang w:val="en-CA"/>
        </w:rPr>
        <w:t>consolidates representative literature-based technology cost and performance benchmarks relevant to renewable-powered AI data-center infrastructure. The table distinguishes generation-only costs, storage-service costs, partially firmed hybrid configurations, and delivered electricity because these categories use different system boundaries and should not be interpreted as directly equivalent measures of electricity cost.</w:t>
      </w:r>
    </w:p>
    <w:p w14:paraId="24562BD3" w14:textId="79082D09" w:rsidR="00FE013C" w:rsidRPr="00300D14" w:rsidRDefault="00FE013C" w:rsidP="00300D14">
      <w:pPr>
        <w:pStyle w:val="Caption"/>
        <w:keepNext/>
        <w:rPr>
          <w:lang w:val="en-CA"/>
        </w:rPr>
      </w:pPr>
      <w:bookmarkStart w:id="20" w:name="_Ref239530888"/>
      <w:r>
        <w:t xml:space="preserve">Table </w:t>
      </w:r>
      <w:r>
        <w:fldChar w:fldCharType="begin"/>
      </w:r>
      <w:r>
        <w:instrText xml:space="preserve"> SEQ Table \* ARABIC </w:instrText>
      </w:r>
      <w:r>
        <w:fldChar w:fldCharType="separate"/>
      </w:r>
      <w:r w:rsidR="003A45CA">
        <w:rPr>
          <w:noProof/>
        </w:rPr>
        <w:t>7</w:t>
      </w:r>
      <w:r>
        <w:rPr>
          <w:noProof/>
        </w:rPr>
        <w:fldChar w:fldCharType="end"/>
      </w:r>
      <w:r>
        <w:t xml:space="preserve"> </w:t>
      </w:r>
      <w:r w:rsidR="00300D14" w:rsidRPr="00300D14">
        <w:rPr>
          <w:lang w:val="en-CA"/>
        </w:rPr>
        <w:t>Literature-Based Technology Cost and Performance Benchmarks</w:t>
      </w:r>
      <w:bookmarkEnd w:id="20"/>
    </w:p>
    <w:tbl>
      <w:tblPr>
        <w:tblStyle w:val="MDPI41threelinetable"/>
        <w:tblW w:w="0" w:type="auto"/>
        <w:tblLook w:val="04A0" w:firstRow="1" w:lastRow="0" w:firstColumn="1" w:lastColumn="0" w:noHBand="0" w:noVBand="1"/>
      </w:tblPr>
      <w:tblGrid>
        <w:gridCol w:w="1838"/>
        <w:gridCol w:w="1861"/>
        <w:gridCol w:w="1820"/>
        <w:gridCol w:w="2596"/>
        <w:gridCol w:w="1637"/>
      </w:tblGrid>
      <w:tr w:rsidR="003F4BBF" w:rsidRPr="005256BA" w14:paraId="58A73791" w14:textId="77777777" w:rsidTr="003F4BBF">
        <w:trPr>
          <w:cnfStyle w:val="100000000000" w:firstRow="1" w:lastRow="0" w:firstColumn="0" w:lastColumn="0" w:oddVBand="0" w:evenVBand="0" w:oddHBand="0" w:evenHBand="0" w:firstRowFirstColumn="0" w:firstRowLastColumn="0" w:lastRowFirstColumn="0" w:lastRowLastColumn="0"/>
        </w:trPr>
        <w:tc>
          <w:tcPr>
            <w:tcW w:w="0" w:type="auto"/>
            <w:hideMark/>
          </w:tcPr>
          <w:p w14:paraId="2B71BABE" w14:textId="7B82FF7C" w:rsidR="003F4BBF" w:rsidRPr="005256BA" w:rsidRDefault="003F4BBF" w:rsidP="003F4BBF">
            <w:pPr>
              <w:ind w:firstLine="480"/>
              <w:rPr>
                <w:rFonts w:asciiTheme="majorBidi" w:hAnsiTheme="majorBidi" w:cstheme="majorBidi"/>
                <w:color w:val="EE0000"/>
                <w:sz w:val="18"/>
                <w:szCs w:val="18"/>
                <w:highlight w:val="yellow"/>
                <w:lang w:val="en-CA"/>
              </w:rPr>
            </w:pPr>
            <w:commentRangeStart w:id="21"/>
            <w:r w:rsidRPr="005256BA">
              <w:rPr>
                <w:sz w:val="18"/>
                <w:szCs w:val="18"/>
              </w:rPr>
              <w:t>Supply Option</w:t>
            </w:r>
          </w:p>
        </w:tc>
        <w:tc>
          <w:tcPr>
            <w:tcW w:w="0" w:type="auto"/>
            <w:hideMark/>
          </w:tcPr>
          <w:p w14:paraId="4515E709" w14:textId="1574B051" w:rsidR="003F4BBF" w:rsidRPr="005256BA" w:rsidRDefault="003F4BBF" w:rsidP="003F4BBF">
            <w:pPr>
              <w:rPr>
                <w:rFonts w:asciiTheme="majorBidi" w:hAnsiTheme="majorBidi" w:cstheme="majorBidi"/>
                <w:color w:val="EE0000"/>
                <w:sz w:val="18"/>
                <w:szCs w:val="18"/>
                <w:highlight w:val="yellow"/>
                <w:lang w:val="en-CA"/>
              </w:rPr>
            </w:pPr>
            <w:r w:rsidRPr="005256BA">
              <w:rPr>
                <w:sz w:val="18"/>
                <w:szCs w:val="18"/>
              </w:rPr>
              <w:t>Geography / Year / Source</w:t>
            </w:r>
          </w:p>
        </w:tc>
        <w:tc>
          <w:tcPr>
            <w:tcW w:w="0" w:type="auto"/>
            <w:hideMark/>
          </w:tcPr>
          <w:p w14:paraId="744D2034" w14:textId="7039EC97"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Classification</w:t>
            </w:r>
          </w:p>
        </w:tc>
        <w:tc>
          <w:tcPr>
            <w:tcW w:w="0" w:type="auto"/>
            <w:hideMark/>
          </w:tcPr>
          <w:p w14:paraId="4DD96639" w14:textId="32723EAB"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Included Cost Components</w:t>
            </w:r>
          </w:p>
        </w:tc>
        <w:tc>
          <w:tcPr>
            <w:tcW w:w="0" w:type="auto"/>
            <w:hideMark/>
          </w:tcPr>
          <w:p w14:paraId="283371F3" w14:textId="6086B579" w:rsidR="003F4BBF" w:rsidRPr="005256BA" w:rsidRDefault="003F4BBF" w:rsidP="003F4BBF">
            <w:pPr>
              <w:ind w:firstLine="480"/>
              <w:rPr>
                <w:rFonts w:asciiTheme="majorBidi" w:hAnsiTheme="majorBidi" w:cstheme="majorBidi"/>
                <w:color w:val="EE0000"/>
                <w:sz w:val="18"/>
                <w:szCs w:val="18"/>
                <w:highlight w:val="yellow"/>
                <w:lang w:val="en-CA"/>
              </w:rPr>
            </w:pPr>
            <w:r w:rsidRPr="005256BA">
              <w:rPr>
                <w:sz w:val="18"/>
                <w:szCs w:val="18"/>
              </w:rPr>
              <w:t>Cost Benchmark</w:t>
            </w:r>
          </w:p>
        </w:tc>
      </w:tr>
      <w:tr w:rsidR="003F4BBF" w:rsidRPr="005256BA" w14:paraId="60045F81" w14:textId="77777777" w:rsidTr="003F4BBF">
        <w:tc>
          <w:tcPr>
            <w:tcW w:w="0" w:type="auto"/>
            <w:hideMark/>
          </w:tcPr>
          <w:p w14:paraId="220B89AC" w14:textId="598093D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solar PV</w:t>
            </w:r>
          </w:p>
        </w:tc>
        <w:tc>
          <w:tcPr>
            <w:tcW w:w="0" w:type="auto"/>
            <w:hideMark/>
          </w:tcPr>
          <w:p w14:paraId="2FAD56B7" w14:textId="14D3F76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7E46C0B" w14:textId="2A1D01A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0111B95E" w14:textId="54D88588"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000F6AF" w14:textId="17082A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$43/MWh LCOE</w:t>
            </w:r>
          </w:p>
        </w:tc>
      </w:tr>
      <w:tr w:rsidR="003F4BBF" w:rsidRPr="005256BA" w14:paraId="10BC6082" w14:textId="77777777" w:rsidTr="003F4BBF">
        <w:tc>
          <w:tcPr>
            <w:tcW w:w="0" w:type="auto"/>
            <w:hideMark/>
          </w:tcPr>
          <w:p w14:paraId="22D0CB98" w14:textId="62B31D5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Onshore wind</w:t>
            </w:r>
          </w:p>
        </w:tc>
        <w:tc>
          <w:tcPr>
            <w:tcW w:w="0" w:type="auto"/>
            <w:hideMark/>
          </w:tcPr>
          <w:p w14:paraId="3F1F3B6B" w14:textId="4E4FF84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weighted average, 2024 (IRENA)</w:t>
            </w:r>
          </w:p>
        </w:tc>
        <w:tc>
          <w:tcPr>
            <w:tcW w:w="0" w:type="auto"/>
            <w:hideMark/>
          </w:tcPr>
          <w:p w14:paraId="2C37505D" w14:textId="2EF546F5"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Unfirmed Generation</w:t>
            </w:r>
          </w:p>
        </w:tc>
        <w:tc>
          <w:tcPr>
            <w:tcW w:w="0" w:type="auto"/>
            <w:hideMark/>
          </w:tcPr>
          <w:p w14:paraId="6112C71D" w14:textId="031B89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Generation asset only; excludes storage, backup generation, curtailment, transmission, interconnection upgrades, and reliability provisions</w:t>
            </w:r>
          </w:p>
        </w:tc>
        <w:tc>
          <w:tcPr>
            <w:tcW w:w="0" w:type="auto"/>
            <w:hideMark/>
          </w:tcPr>
          <w:p w14:paraId="286DA0BE" w14:textId="696E5700"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$34/MWh LCOE</w:t>
            </w:r>
          </w:p>
        </w:tc>
      </w:tr>
      <w:tr w:rsidR="003F4BBF" w:rsidRPr="005256BA" w14:paraId="6982E9FC" w14:textId="77777777" w:rsidTr="003F4BBF">
        <w:tc>
          <w:tcPr>
            <w:tcW w:w="0" w:type="auto"/>
            <w:hideMark/>
          </w:tcPr>
          <w:p w14:paraId="25CF19A5" w14:textId="7EFC417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U.S. solar-plus-storage projects</w:t>
            </w:r>
          </w:p>
        </w:tc>
        <w:tc>
          <w:tcPr>
            <w:tcW w:w="0" w:type="auto"/>
            <w:hideMark/>
          </w:tcPr>
          <w:p w14:paraId="15178E2F" w14:textId="193A3F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United States, 2024 (IRENA portfolio of 17 projects)</w:t>
            </w:r>
          </w:p>
        </w:tc>
        <w:tc>
          <w:tcPr>
            <w:tcW w:w="0" w:type="auto"/>
            <w:hideMark/>
          </w:tcPr>
          <w:p w14:paraId="43B6603D" w14:textId="02C6D82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696E2B8" w14:textId="655547B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Solar generation combined with battery storage; treatment of firming, reserves, and grid support varies by project</w:t>
            </w:r>
          </w:p>
        </w:tc>
        <w:tc>
          <w:tcPr>
            <w:tcW w:w="0" w:type="auto"/>
            <w:hideMark/>
          </w:tcPr>
          <w:p w14:paraId="25848F87" w14:textId="1613631F"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~$79/MWh LCOE</w:t>
            </w:r>
          </w:p>
        </w:tc>
      </w:tr>
      <w:tr w:rsidR="003F4BBF" w:rsidRPr="005256BA" w14:paraId="4B18EFB0" w14:textId="77777777" w:rsidTr="003F4BBF">
        <w:tc>
          <w:tcPr>
            <w:tcW w:w="0" w:type="auto"/>
            <w:hideMark/>
          </w:tcPr>
          <w:p w14:paraId="5E574E5F" w14:textId="05E156D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Australian renewable-storage hybrid projects</w:t>
            </w:r>
          </w:p>
        </w:tc>
        <w:tc>
          <w:tcPr>
            <w:tcW w:w="0" w:type="auto"/>
            <w:hideMark/>
          </w:tcPr>
          <w:p w14:paraId="56668CF2" w14:textId="2A78BE9A" w:rsidR="003F4BBF" w:rsidRPr="005256BA" w:rsidRDefault="003F4BBF" w:rsidP="003F4BBF">
            <w:pPr>
              <w:ind w:firstLine="480"/>
              <w:rPr>
                <w:rFonts w:asciiTheme="majorBidi" w:hAnsiTheme="majorBidi" w:cstheme="majorBidi"/>
                <w:bCs/>
                <w:color w:val="EE0000"/>
                <w:sz w:val="18"/>
                <w:szCs w:val="18"/>
                <w:highlight w:val="yellow"/>
                <w:lang w:val="pt-BR"/>
              </w:rPr>
            </w:pPr>
            <w:r w:rsidRPr="005256BA">
              <w:rPr>
                <w:bCs/>
                <w:sz w:val="18"/>
                <w:szCs w:val="18"/>
                <w:lang w:val="pt-BR"/>
              </w:rPr>
              <w:t>Australia, 2024 (IRENA portfolio of 8 projects)</w:t>
            </w:r>
          </w:p>
        </w:tc>
        <w:tc>
          <w:tcPr>
            <w:tcW w:w="0" w:type="auto"/>
            <w:hideMark/>
          </w:tcPr>
          <w:p w14:paraId="3739F21C" w14:textId="084D2C3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Partially Firmed Hybrid</w:t>
            </w:r>
          </w:p>
        </w:tc>
        <w:tc>
          <w:tcPr>
            <w:tcW w:w="0" w:type="auto"/>
            <w:hideMark/>
          </w:tcPr>
          <w:p w14:paraId="4509FFFA" w14:textId="75A0F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Renewable generation combined with battery storage; project-specific operational assumptions and market structures apply</w:t>
            </w:r>
          </w:p>
        </w:tc>
        <w:tc>
          <w:tcPr>
            <w:tcW w:w="0" w:type="auto"/>
            <w:hideMark/>
          </w:tcPr>
          <w:p w14:paraId="2BADF190" w14:textId="5AD4953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~$51/MWh LCOE</w:t>
            </w:r>
          </w:p>
        </w:tc>
      </w:tr>
      <w:tr w:rsidR="003F4BBF" w:rsidRPr="005256BA" w14:paraId="3B75D150" w14:textId="77777777" w:rsidTr="003F4BBF">
        <w:tc>
          <w:tcPr>
            <w:tcW w:w="0" w:type="auto"/>
            <w:hideMark/>
          </w:tcPr>
          <w:p w14:paraId="16B00CA1" w14:textId="61B06C76"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Utility-scale lithium-ion BESS (4 h)</w:t>
            </w:r>
          </w:p>
        </w:tc>
        <w:tc>
          <w:tcPr>
            <w:tcW w:w="0" w:type="auto"/>
            <w:hideMark/>
          </w:tcPr>
          <w:p w14:paraId="7AE14038" w14:textId="05373F5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Global benchmark, 2024–2025 (IRENA/NREL)</w:t>
            </w:r>
          </w:p>
        </w:tc>
        <w:tc>
          <w:tcPr>
            <w:tcW w:w="0" w:type="auto"/>
            <w:hideMark/>
          </w:tcPr>
          <w:p w14:paraId="2E69AC57" w14:textId="394134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Storage Service</w:t>
            </w:r>
          </w:p>
        </w:tc>
        <w:tc>
          <w:tcPr>
            <w:tcW w:w="0" w:type="auto"/>
            <w:hideMark/>
          </w:tcPr>
          <w:p w14:paraId="27055328" w14:textId="0DCC452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Battery cells, PCS, thermal management, controls, EPC, BOS, site development, and interconnection infrastructure</w:t>
            </w:r>
          </w:p>
        </w:tc>
        <w:tc>
          <w:tcPr>
            <w:tcW w:w="0" w:type="auto"/>
            <w:hideMark/>
          </w:tcPr>
          <w:p w14:paraId="1253FF4C" w14:textId="7615EA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$80–130/MWh LCOS</w:t>
            </w:r>
            <w:r w:rsidRPr="005256BA">
              <w:rPr>
                <w:bCs/>
                <w:sz w:val="18"/>
                <w:szCs w:val="18"/>
              </w:rPr>
              <w:t>*</w:t>
            </w:r>
          </w:p>
        </w:tc>
      </w:tr>
      <w:tr w:rsidR="003F4BBF" w:rsidRPr="005256BA" w14:paraId="6212C446" w14:textId="77777777" w:rsidTr="003F4BBF">
        <w:tc>
          <w:tcPr>
            <w:tcW w:w="0" w:type="auto"/>
            <w:hideMark/>
          </w:tcPr>
          <w:p w14:paraId="31EBC793" w14:textId="7EF7435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Cs w:val="0"/>
                <w:sz w:val="18"/>
                <w:szCs w:val="18"/>
              </w:rPr>
              <w:t>Grid electricity service</w:t>
            </w:r>
          </w:p>
        </w:tc>
        <w:tc>
          <w:tcPr>
            <w:tcW w:w="0" w:type="auto"/>
            <w:hideMark/>
          </w:tcPr>
          <w:p w14:paraId="3D542041" w14:textId="0BD0C8AB"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Market and tariff dependent</w:t>
            </w:r>
          </w:p>
        </w:tc>
        <w:tc>
          <w:tcPr>
            <w:tcW w:w="0" w:type="auto"/>
            <w:hideMark/>
          </w:tcPr>
          <w:p w14:paraId="5F662CE3" w14:textId="4D6F51CD"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Firm Delivered Service</w:t>
            </w:r>
          </w:p>
        </w:tc>
        <w:tc>
          <w:tcPr>
            <w:tcW w:w="0" w:type="auto"/>
            <w:hideMark/>
          </w:tcPr>
          <w:p w14:paraId="6DD4E10C" w14:textId="5DD79A32"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Energy, capacity (where applicable), ancillary services, transmission, distribution, demand charges, taxes, and utility fees</w:t>
            </w:r>
          </w:p>
        </w:tc>
        <w:tc>
          <w:tcPr>
            <w:tcW w:w="0" w:type="auto"/>
            <w:hideMark/>
          </w:tcPr>
          <w:p w14:paraId="1ACA685F" w14:textId="39FEBD11"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rStyle w:val="Strong"/>
                <w:b w:val="0"/>
                <w:sz w:val="18"/>
                <w:szCs w:val="18"/>
              </w:rPr>
              <w:t>Location-specific</w:t>
            </w:r>
          </w:p>
        </w:tc>
      </w:tr>
      <w:tr w:rsidR="003F4BBF" w:rsidRPr="005256BA" w14:paraId="00E38929" w14:textId="77777777" w:rsidTr="003F4BBF">
        <w:tc>
          <w:tcPr>
            <w:tcW w:w="0" w:type="auto"/>
            <w:hideMark/>
          </w:tcPr>
          <w:p w14:paraId="0500A160" w14:textId="55E7A30A" w:rsidR="003F4BBF" w:rsidRPr="005256BA" w:rsidRDefault="003F4BBF" w:rsidP="003F4BBF">
            <w:pPr>
              <w:ind w:firstLine="480"/>
              <w:rPr>
                <w:rFonts w:asciiTheme="majorBidi" w:hAnsiTheme="majorBidi" w:cstheme="majorBidi"/>
                <w:b/>
                <w:color w:val="EE0000"/>
                <w:sz w:val="18"/>
                <w:szCs w:val="18"/>
                <w:highlight w:val="yellow"/>
                <w:lang w:val="en-CA"/>
              </w:rPr>
            </w:pPr>
            <w:r w:rsidRPr="005256BA">
              <w:rPr>
                <w:b/>
                <w:sz w:val="18"/>
                <w:szCs w:val="18"/>
              </w:rPr>
              <w:t>Supply Option</w:t>
            </w:r>
          </w:p>
        </w:tc>
        <w:tc>
          <w:tcPr>
            <w:tcW w:w="0" w:type="auto"/>
            <w:hideMark/>
          </w:tcPr>
          <w:p w14:paraId="043BA197" w14:textId="2428BEFA"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Geography / Year / Source</w:t>
            </w:r>
          </w:p>
        </w:tc>
        <w:tc>
          <w:tcPr>
            <w:tcW w:w="0" w:type="auto"/>
            <w:hideMark/>
          </w:tcPr>
          <w:p w14:paraId="7EB2DCCB" w14:textId="2982DD44"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Classification</w:t>
            </w:r>
          </w:p>
        </w:tc>
        <w:tc>
          <w:tcPr>
            <w:tcW w:w="0" w:type="auto"/>
            <w:hideMark/>
          </w:tcPr>
          <w:p w14:paraId="2ECD47C4" w14:textId="7207F9A7"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Included Cost Components</w:t>
            </w:r>
          </w:p>
        </w:tc>
        <w:tc>
          <w:tcPr>
            <w:tcW w:w="0" w:type="auto"/>
            <w:hideMark/>
          </w:tcPr>
          <w:p w14:paraId="1446F2F6" w14:textId="4EA3AFA3" w:rsidR="003F4BBF" w:rsidRPr="005256BA" w:rsidRDefault="003F4BBF" w:rsidP="003F4BBF">
            <w:pPr>
              <w:ind w:firstLine="480"/>
              <w:rPr>
                <w:rFonts w:asciiTheme="majorBidi" w:hAnsiTheme="majorBidi" w:cstheme="majorBidi"/>
                <w:bCs/>
                <w:color w:val="EE0000"/>
                <w:sz w:val="18"/>
                <w:szCs w:val="18"/>
                <w:highlight w:val="yellow"/>
                <w:lang w:val="en-CA"/>
              </w:rPr>
            </w:pPr>
            <w:r w:rsidRPr="005256BA">
              <w:rPr>
                <w:bCs/>
                <w:sz w:val="18"/>
                <w:szCs w:val="18"/>
              </w:rPr>
              <w:t>Cost Benchmark</w:t>
            </w:r>
            <w:commentRangeEnd w:id="21"/>
            <w:r w:rsidRPr="005256BA">
              <w:rPr>
                <w:rStyle w:val="CommentReference"/>
                <w:rFonts w:asciiTheme="majorBidi" w:hAnsiTheme="majorBidi" w:cstheme="majorBidi"/>
                <w:bCs/>
                <w:color w:val="EE0000"/>
                <w:sz w:val="18"/>
                <w:szCs w:val="18"/>
                <w:highlight w:val="yellow"/>
                <w:lang w:val="en-CA"/>
              </w:rPr>
              <w:commentReference w:id="21"/>
            </w:r>
          </w:p>
        </w:tc>
      </w:tr>
    </w:tbl>
    <w:p w14:paraId="2D7BDC31" w14:textId="77777777" w:rsidR="006B6F7A" w:rsidRPr="00134CA9" w:rsidRDefault="006B6F7A" w:rsidP="00F357B2">
      <w:pPr>
        <w:ind w:firstLine="480"/>
        <w:rPr>
          <w:highlight w:val="yellow"/>
        </w:rPr>
      </w:pPr>
    </w:p>
    <w:p w14:paraId="2FA975ED" w14:textId="1DD66FD1" w:rsidR="0014319A" w:rsidRPr="0014319A" w:rsidRDefault="0014319A" w:rsidP="005C62C3">
      <w:pPr>
        <w:spacing w:after="120"/>
        <w:ind w:firstLine="480"/>
        <w:rPr>
          <w:highlight w:val="yellow"/>
        </w:rPr>
      </w:pPr>
      <w:r w:rsidRPr="0014319A">
        <w:rPr>
          <w:highlight w:val="yellow"/>
        </w:rPr>
        <w:t xml:space="preserve">Battery-pack prices only include the electrochemical storage part of a BESS system, while the full price of an installed BESS system incorporates the cost of power-conversion equipment, thermal management system, controls, fire protection, engineering, procurement, construction, site-development activities, and grid-interconnection infrastructure. In like manner, the solar PV and onshore wind LCOE values shown in Table 7 are generation costs only, and bear no relation to the "whole cost" of sustaining an AI data-center load. Some costs, such as those of energy storage, of backup generation, of renewable curtailment, of transmission, of interconnection, of reliability </w:t>
      </w:r>
      <w:r w:rsidRPr="0014319A">
        <w:rPr>
          <w:highlight w:val="yellow"/>
        </w:rPr>
        <w:lastRenderedPageBreak/>
        <w:t>requirements, of operating reserve and of operational flexibility, are not included within the generation-only LCOE metrics.</w:t>
      </w:r>
    </w:p>
    <w:p w14:paraId="7CD0456A" w14:textId="318A7096" w:rsidR="0014319A" w:rsidRPr="0014319A" w:rsidRDefault="0014319A" w:rsidP="0014319A">
      <w:pPr>
        <w:spacing w:after="120"/>
        <w:ind w:firstLine="480"/>
        <w:rPr>
          <w:highlight w:val="yellow"/>
        </w:rPr>
      </w:pPr>
      <w:r w:rsidRPr="0014319A">
        <w:rPr>
          <w:highlight w:val="yellow"/>
        </w:rPr>
        <w:t>The hybrid-project values shown in Table 7 are partially fixed electricity configurations and more useful for data-center application, than generation-only values. These benchmarks should not be considered as the most common costs of electricity supply to firms, however, since the reliability level, storage duration (how long the electricity supply maintains power quality), the need for back up electricity services, and operating assumptions vary significantly across projects.</w:t>
      </w:r>
    </w:p>
    <w:p w14:paraId="7C80F53C" w14:textId="270DF32D" w:rsidR="0014319A" w:rsidRPr="0014319A" w:rsidRDefault="0014319A" w:rsidP="0014319A">
      <w:pPr>
        <w:spacing w:after="120"/>
        <w:ind w:firstLine="480"/>
        <w:rPr>
          <w:highlight w:val="yellow"/>
        </w:rPr>
      </w:pPr>
      <w:r w:rsidRPr="0014319A">
        <w:rPr>
          <w:highlight w:val="yellow"/>
        </w:rPr>
        <w:t>The reported values for battery energy storage systems (BESS) are based on illustrative storage-service costs or LCOS (Levelized Cost of Storage), not LCOE, in that power generation is not a function of the battery. The charging-energy cost, cycling frequency, round-trip efficiency, degradation assumptions, replacement schedules, and residual asset value all significantly impact LCOS.</w:t>
      </w:r>
    </w:p>
    <w:p w14:paraId="7891814A" w14:textId="5D36C02A" w:rsidR="0014319A" w:rsidRPr="0014319A" w:rsidRDefault="0014319A" w:rsidP="0014319A">
      <w:pPr>
        <w:spacing w:after="120"/>
        <w:ind w:firstLine="480"/>
        <w:rPr>
          <w:highlight w:val="yellow"/>
        </w:rPr>
      </w:pPr>
      <w:r w:rsidRPr="0014319A">
        <w:rPr>
          <w:highlight w:val="yellow"/>
        </w:rPr>
        <w:t>It is important to note that the cost of electricity for the grid is not to be interpreted as a generation LCOE. On the contrary, it's actually an electricity service that's delivered and consists of various different types of charges, such as the energy charge, capacity charge (if they have it), ancillary services, transmission and distribution charge, demand charge, taxes, and energy-specific charges. Therefore caution should be exercised when attempting to make a direct comparison amongst generation-only costs, hybrid-system costs, storage-service costs, and delivered-electricity costs.</w:t>
      </w:r>
    </w:p>
    <w:p w14:paraId="5F232D04" w14:textId="77777777" w:rsidR="00514F59" w:rsidRDefault="0014319A" w:rsidP="0014319A">
      <w:pPr>
        <w:spacing w:after="120"/>
        <w:ind w:firstLine="480"/>
        <w:rPr>
          <w:highlight w:val="yellow"/>
        </w:rPr>
      </w:pPr>
      <w:r w:rsidRPr="0014319A">
        <w:rPr>
          <w:highlight w:val="yellow"/>
        </w:rPr>
        <w:t>The values listed in Table 7 are screening values representative of the literature and designed to provide relative characteristics of the supply options. Do not use these as universal project costs (or investment grade estimates). Evaluations should be conducted on a project-specific basis, reflecting local conditions for renewable resources, electricity rates, results from interconnection studies, financing assumptions, reliability goals and detailed engineering evaluations. Finally, the cost performance of renewable energy infrastructural components for AI data centers should exclusively be assessed per project, based on the sustainable life cycle cost, and not compared with other norms.</w:t>
      </w:r>
    </w:p>
    <w:p w14:paraId="114556A8" w14:textId="4258AE4A" w:rsidR="00A42C11" w:rsidRPr="00514F59" w:rsidRDefault="00FE013C" w:rsidP="00514F59">
      <w:pPr>
        <w:pStyle w:val="Heading20"/>
        <w:jc w:val="both"/>
        <w:rPr>
          <w:color w:val="auto"/>
        </w:rPr>
      </w:pPr>
      <w:r w:rsidRPr="00514F59">
        <w:rPr>
          <w:color w:val="auto"/>
        </w:rPr>
        <w:t>7.9. Reliability and Resilience Metrics</w:t>
      </w:r>
    </w:p>
    <w:p w14:paraId="3D9BCA5D" w14:textId="27E5C3F7" w:rsidR="00A42C11" w:rsidRPr="00ED2CB2" w:rsidRDefault="00CC60C6" w:rsidP="00E842C0">
      <w:pPr>
        <w:spacing w:after="120"/>
        <w:ind w:firstLine="480"/>
        <w:rPr>
          <w:highlight w:val="yellow"/>
        </w:rPr>
      </w:pPr>
      <w:r w:rsidRPr="00CC60C6">
        <w:rPr>
          <w:highlight w:val="yellow"/>
        </w:rPr>
        <w:t xml:space="preserve">Availability represents the proportion of an assessment period during which the system can supply the defined critical load. For screening purposes, this review uses an illustrative annual availability criterion of 99.99%, corresponding to a maximum shortfall duration of 0.876 h/year, or approximately 52.6 min/year, under a simplified annual-duration relationship. Loss of Load Expectation (LOLE) complements this measure by estimating the expected duration of supply shortfalls over the assessment period. In this framework, LOLE is evaluated against the critical, non-deferrable facility load, including real-time inference, critical networking, cooling controls, safety systems, facility controls, and other services that cannot be interrupted. Training, analytics, and batch-processing loads may be excluded from the critical-load definition only where deferral is technically feasible and permitted by applicable service-level agreements. The 0.876 h/year value is an illustrative system-level screening criterion rather than evidence of actual facility availability. Achieved reliability also depends on electrical topology, equipment redundancy, common-mode failures, protection coordination, maintenance practices, fuel availability, communication systems, weather exposure, and the operational readiness of backup resources </w:t>
      </w:r>
      <w:r w:rsidR="00ED2CB2">
        <w:rPr>
          <w:highlight w:val="yellow"/>
        </w:rPr>
        <w:fldChar w:fldCharType="begin"/>
      </w:r>
      <w:r w:rsidR="00E842C0">
        <w:rPr>
          <w:highlight w:val="yellow"/>
        </w:rPr>
        <w:instrText xml:space="preserve"> ADDIN ZOTERO_ITEM CSL_CITATION {"citationID":"atT0FGcb","properties":{"unsorted":false,"formattedCitation":"[148], [149]","plainCitation":"[148], [149]","noteIndex":0},"citationItems":[{"id":2143,"uris":["http://zotero.org/users/9870935/items/QQ6IISPJ"],"itemData":{"id":2143,"type":"document","title":"U N L O C K I N G FUSION ENERGY","URL":"https://www.adlittle.com/sites/default/files/reports/ADL_Unlocking_fusion_energy_2025%20%281%29.pdf","author":[{"family":"Arthur D. Little","given":""}]}},{"id":217,"uris":["http://zotero.org/users/9870935/items/MST8XCTD"],"itemData":{"id":217,"type":"article-journal","container-title":"IEEE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ED2CB2">
        <w:rPr>
          <w:highlight w:val="yellow"/>
        </w:rPr>
        <w:fldChar w:fldCharType="separate"/>
      </w:r>
      <w:r w:rsidR="00E842C0" w:rsidRPr="00E842C0">
        <w:rPr>
          <w:highlight w:val="yellow"/>
        </w:rPr>
        <w:t>[148], [149]</w:t>
      </w:r>
      <w:r w:rsidR="00ED2CB2">
        <w:rPr>
          <w:highlight w:val="yellow"/>
        </w:rPr>
        <w:fldChar w:fldCharType="end"/>
      </w:r>
      <w:r w:rsidR="00A42C11" w:rsidRPr="00541971">
        <w:rPr>
          <w:highlight w:val="yellow"/>
        </w:rPr>
        <w:t xml:space="preserve">. </w:t>
      </w:r>
    </w:p>
    <w:p w14:paraId="03F90F88" w14:textId="69148602" w:rsidR="00A42C11" w:rsidRPr="004C74D2" w:rsidRDefault="00A42C11" w:rsidP="004C74D2">
      <w:pPr>
        <w:pStyle w:val="Heading20"/>
        <w:jc w:val="both"/>
        <w:rPr>
          <w:color w:val="auto"/>
        </w:rPr>
      </w:pPr>
      <w:r w:rsidRPr="004C74D2">
        <w:rPr>
          <w:color w:val="auto"/>
        </w:rPr>
        <w:lastRenderedPageBreak/>
        <w:t>7.10. Carbon Accounting and Sustainability</w:t>
      </w:r>
    </w:p>
    <w:p w14:paraId="7843DBAC" w14:textId="564CC18A" w:rsidR="00B50FCB" w:rsidRPr="008A22E4" w:rsidRDefault="00B50FCB" w:rsidP="00B50FCB">
      <w:pPr>
        <w:spacing w:after="120"/>
        <w:ind w:firstLine="480"/>
        <w:rPr>
          <w:highlight w:val="yellow"/>
        </w:rPr>
      </w:pPr>
      <w:r w:rsidRPr="008A22E4">
        <w:rPr>
          <w:highlight w:val="yellow"/>
        </w:rPr>
        <w:t>Greenhouse-gas emissions from Scope 1, Scope 2, and relevant Scope 3 GHG emissions should be distinguished in carbon accounting. Direct on-site emissions from generators, fuel cells and combustion processes are part of scope 1. Emissions from purchased electricity are defined as a Scope 2 emission and can be accounted for using both location-based or market-based approaches. Equipment manufacturing, fuel supply, construction, maintenance and end-of-life treatment of the equipment may constitute relevant Scope 3 emissions.</w:t>
      </w:r>
    </w:p>
    <w:p w14:paraId="21D9B23E" w14:textId="52512747" w:rsidR="00B50FCB" w:rsidRPr="008A22E4" w:rsidRDefault="00B50FCB" w:rsidP="00B50FCB">
      <w:pPr>
        <w:spacing w:after="120"/>
        <w:ind w:firstLine="480"/>
        <w:rPr>
          <w:highlight w:val="yellow"/>
        </w:rPr>
      </w:pPr>
      <w:r w:rsidRPr="008A22E4">
        <w:rPr>
          <w:highlight w:val="yellow"/>
        </w:rPr>
        <w:t xml:space="preserve">Annual renewable energy matching is a different concept than physical renewable electricity supply, and is different from hourly carbon-free energy (CFE) matching. Annual renewable matching is a matching of annual renewable-energy procurement to annual electricity usage. Hourly CFE matching quantifies the amount of "carbon-free energy" that matches electricity demand hour-by-hour. Physical renewable supply is the electricity supplied via the facility's legal and physical power supply contract and can be different from annual or hourly accounts. Sustainability claims and disclosures should thus clearly state the accounting approach used, geographical scope, time frame, treatment of energy attributes, and whether or not the energy indicator has been </w:t>
      </w:r>
      <w:r w:rsidR="008A22E4" w:rsidRPr="008A22E4">
        <w:rPr>
          <w:highlight w:val="yellow"/>
        </w:rPr>
        <w:t>independent assured</w:t>
      </w:r>
      <w:r w:rsidRPr="008A22E4">
        <w:rPr>
          <w:highlight w:val="yellow"/>
        </w:rPr>
        <w:t>.</w:t>
      </w:r>
    </w:p>
    <w:p w14:paraId="49F8CE7D" w14:textId="129CB541" w:rsidR="00A42C11" w:rsidRPr="00E57EAD" w:rsidRDefault="00B50FCB" w:rsidP="00A95675">
      <w:pPr>
        <w:spacing w:after="120"/>
        <w:ind w:firstLine="480"/>
      </w:pPr>
      <w:r w:rsidRPr="008A22E4">
        <w:rPr>
          <w:highlight w:val="yellow"/>
        </w:rPr>
        <w:t xml:space="preserve">There are other factors associated with sustainability assessment that should include power usage effectiveness (PUE), water usage effectiveness (WUE), operating carbon intensity, embodied carbon, land use, biodiversity, equipment circularity and end of life of the equipment. </w:t>
      </w:r>
      <w:r w:rsidR="007446EE" w:rsidRPr="008A22E4">
        <w:rPr>
          <w:highlight w:val="yellow"/>
        </w:rPr>
        <w:t>Corporate metrics that have not been independently assured should be identified as self-reported</w:t>
      </w:r>
      <w:r w:rsidR="00E57EAD" w:rsidRPr="008A22E4">
        <w:rPr>
          <w:highlight w:val="yellow"/>
        </w:rPr>
        <w:t xml:space="preserve"> </w:t>
      </w:r>
      <w:r w:rsidR="004C74D2" w:rsidRPr="008A22E4">
        <w:rPr>
          <w:highlight w:val="yellow"/>
        </w:rPr>
        <w:fldChar w:fldCharType="begin"/>
      </w:r>
      <w:r w:rsidR="00A95675">
        <w:rPr>
          <w:highlight w:val="yellow"/>
        </w:rPr>
        <w:instrText xml:space="preserve"> ADDIN ZOTERO_ITEM CSL_CITATION {"citationID":"mW0ul4pI","properties":{"unsorted":false,"formattedCitation":"[122]","plainCitation":"[122]","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4C74D2" w:rsidRPr="008A22E4">
        <w:rPr>
          <w:highlight w:val="yellow"/>
        </w:rPr>
        <w:fldChar w:fldCharType="separate"/>
      </w:r>
      <w:r w:rsidR="00A95675" w:rsidRPr="00A95675">
        <w:rPr>
          <w:highlight w:val="yellow"/>
        </w:rPr>
        <w:t>[122]</w:t>
      </w:r>
      <w:r w:rsidR="004C74D2" w:rsidRPr="008A22E4">
        <w:rPr>
          <w:highlight w:val="yellow"/>
        </w:rPr>
        <w:fldChar w:fldCharType="end"/>
      </w:r>
      <w:r w:rsidR="00A42C11" w:rsidRPr="008A22E4">
        <w:rPr>
          <w:highlight w:val="yellow"/>
        </w:rPr>
        <w:t>.</w:t>
      </w:r>
    </w:p>
    <w:p w14:paraId="0F5C8534" w14:textId="77777777" w:rsidR="00FE013C" w:rsidRDefault="00FE013C" w:rsidP="004C16FF">
      <w:pPr>
        <w:pStyle w:val="Heading10"/>
        <w:jc w:val="both"/>
        <w:rPr>
          <w:color w:val="auto"/>
        </w:rPr>
      </w:pPr>
      <w:r>
        <w:rPr>
          <w:color w:val="auto"/>
          <w:lang w:eastAsia="zh-CN"/>
        </w:rPr>
        <w:t xml:space="preserve">8. </w:t>
      </w:r>
      <w:r>
        <w:rPr>
          <w:color w:val="auto"/>
        </w:rPr>
        <w:t>Case Studies: Real-World Deployments</w:t>
      </w:r>
    </w:p>
    <w:p w14:paraId="64773754" w14:textId="77777777" w:rsidR="00A51060" w:rsidRPr="00A51060" w:rsidRDefault="00A51060" w:rsidP="00A51060">
      <w:pPr>
        <w:spacing w:after="120"/>
        <w:ind w:firstLine="480"/>
        <w:rPr>
          <w:highlight w:val="yellow"/>
        </w:rPr>
      </w:pPr>
      <w:r w:rsidRPr="00A51060">
        <w:rPr>
          <w:highlight w:val="yellow"/>
        </w:rPr>
        <w:t>This section reviews publicly reported energy and sustainability practices from Google, Meta, Microsoft, Equinix, and Apple. The case studies are intended to illustrate practices relevant to the proposed seven-component decision framework rather than to experimentally validate the framework. Direct comparison among companies is limited because reporting periods, organizational boundaries, accounting methods, and performance metrics differ. In particular, annual renewable-energy matching, hourly carbon-free energy (CFE) matching, procurement coverage, and physical electricity delivery represent distinct concepts and should not be interpreted as equivalent measures. Unless explicitly identified as independently assured, corporate sustainability metrics should be treated as self-reported.</w:t>
      </w:r>
    </w:p>
    <w:p w14:paraId="16694B90" w14:textId="77777777" w:rsidR="00FE013C" w:rsidRPr="000124EB" w:rsidRDefault="00FE013C" w:rsidP="004C16FF">
      <w:pPr>
        <w:pStyle w:val="Heading20"/>
        <w:jc w:val="both"/>
        <w:rPr>
          <w:color w:val="auto"/>
          <w:highlight w:val="yellow"/>
        </w:rPr>
      </w:pPr>
      <w:r w:rsidRPr="000124EB">
        <w:rPr>
          <w:color w:val="auto"/>
          <w:highlight w:val="yellow"/>
        </w:rPr>
        <w:t>8.1. Google Data Centers: Renewable Energy Matching</w:t>
      </w:r>
    </w:p>
    <w:p w14:paraId="7FD6B2FB" w14:textId="4D8EECDC" w:rsidR="007D0E74" w:rsidRPr="000124EB" w:rsidRDefault="007D0E74" w:rsidP="00A95675">
      <w:pPr>
        <w:spacing w:after="120"/>
        <w:ind w:firstLine="480"/>
        <w:rPr>
          <w:highlight w:val="yellow"/>
        </w:rPr>
      </w:pPr>
      <w:r w:rsidRPr="000124EB">
        <w:rPr>
          <w:highlight w:val="yellow"/>
        </w:rPr>
        <w:t>Google's energy use is now 66% carbon-free on average hourly basis for 2024, the company said. Some 2.5 GW of clean-energy projects already under contract came into existence in 2024, and a further 8 GW of clean-energy capacity was signed in that year, the company said. The CFE metric includes the electricity that is directly generated by Google’s green facilities, and the ‘clean energy share' of the local grid and is measured on an hourly basis. Thus, this does not mean that these facilities are physically islanded carbon-free or that it is an annual renewable energy match</w:t>
      </w:r>
      <w:r w:rsidR="009E07E2" w:rsidRPr="000124EB">
        <w:rPr>
          <w:highlight w:val="yellow"/>
        </w:rPr>
        <w:fldChar w:fldCharType="begin"/>
      </w:r>
      <w:r w:rsidR="00A95675">
        <w:rPr>
          <w:highlight w:val="yellow"/>
        </w:rPr>
        <w:instrText xml:space="preserve"> ADDIN ZOTERO_ITEM CSL_CITATION {"citationID":"ic18cWPX","properties":{"unsorted":false,"formattedCitation":"[50]","plainCitation":"[50]","noteIndex":0},"citationItems":[{"id":1995,"uris":["http://zotero.org/users/9870935/items/ZZ4BDIPH"],"itemData":{"id":1995,"type":"post-weblog","title":"Google Environmental Report 2025","URL":"https://sustainability.google/reports/google-2025-environmental-report/","author":[{"family":"Google","given":""}]}}],"schema":"https://github.com/citation-style-language/schema/raw/master/csl-citation.json"} </w:instrText>
      </w:r>
      <w:r w:rsidR="009E07E2" w:rsidRPr="000124EB">
        <w:rPr>
          <w:highlight w:val="yellow"/>
        </w:rPr>
        <w:fldChar w:fldCharType="separate"/>
      </w:r>
      <w:r w:rsidR="00A95675" w:rsidRPr="00A95675">
        <w:rPr>
          <w:highlight w:val="yellow"/>
        </w:rPr>
        <w:t>[50]</w:t>
      </w:r>
      <w:r w:rsidR="009E07E2" w:rsidRPr="000124EB">
        <w:rPr>
          <w:highlight w:val="yellow"/>
        </w:rPr>
        <w:fldChar w:fldCharType="end"/>
      </w:r>
      <w:r w:rsidRPr="000124EB">
        <w:rPr>
          <w:highlight w:val="yellow"/>
        </w:rPr>
        <w:t xml:space="preserve">. </w:t>
      </w:r>
    </w:p>
    <w:p w14:paraId="2E75168A" w14:textId="77777777" w:rsidR="007D0E74" w:rsidRPr="000124EB" w:rsidRDefault="007D0E74" w:rsidP="007D0E74">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2, 4, 5, 6, and 7. </w:t>
      </w:r>
    </w:p>
    <w:p w14:paraId="1EE5882E" w14:textId="6A9D4536" w:rsidR="007D0E74" w:rsidRPr="000124EB" w:rsidRDefault="007D0E74" w:rsidP="007D0E74">
      <w:pPr>
        <w:pStyle w:val="ListParagraph"/>
        <w:numPr>
          <w:ilvl w:val="0"/>
          <w:numId w:val="32"/>
        </w:numPr>
        <w:spacing w:after="120"/>
        <w:rPr>
          <w:highlight w:val="yellow"/>
        </w:rPr>
      </w:pPr>
      <w:r w:rsidRPr="000124EB">
        <w:rPr>
          <w:b/>
          <w:bCs/>
          <w:highlight w:val="yellow"/>
        </w:rPr>
        <w:t>Transferability limitations:</w:t>
      </w:r>
      <w:r w:rsidRPr="000124EB">
        <w:rPr>
          <w:highlight w:val="yellow"/>
        </w:rPr>
        <w:t xml:space="preserve"> This approach relies on having large-scale access to clean energy procurement, participation in multiple electricity markets, long-term contracting, and flexibility of workload mechanisms.</w:t>
      </w:r>
    </w:p>
    <w:p w14:paraId="0BF165A0" w14:textId="77777777" w:rsidR="007D0E74" w:rsidRPr="000124EB" w:rsidRDefault="007D0E74" w:rsidP="00E11FE4">
      <w:pPr>
        <w:spacing w:after="120"/>
        <w:ind w:firstLine="480"/>
        <w:rPr>
          <w:highlight w:val="yellow"/>
        </w:rPr>
      </w:pPr>
    </w:p>
    <w:p w14:paraId="5F182AC4" w14:textId="77777777" w:rsidR="007D0E74" w:rsidRPr="000124EB" w:rsidRDefault="007D0E74" w:rsidP="00E11FE4">
      <w:pPr>
        <w:spacing w:after="120"/>
        <w:ind w:firstLine="480"/>
        <w:rPr>
          <w:highlight w:val="yellow"/>
        </w:rPr>
      </w:pPr>
    </w:p>
    <w:p w14:paraId="6E2DBEBF" w14:textId="2788DC47" w:rsidR="005D72C0" w:rsidRPr="000124EB" w:rsidRDefault="005D72C0" w:rsidP="005D72C0">
      <w:pPr>
        <w:pStyle w:val="Heading20"/>
        <w:jc w:val="both"/>
        <w:rPr>
          <w:color w:val="auto"/>
          <w:highlight w:val="yellow"/>
        </w:rPr>
      </w:pPr>
      <w:r w:rsidRPr="000124EB">
        <w:rPr>
          <w:color w:val="auto"/>
          <w:highlight w:val="yellow"/>
        </w:rPr>
        <w:t xml:space="preserve">8.2. </w:t>
      </w:r>
      <w:r w:rsidR="000F03FB" w:rsidRPr="000124EB">
        <w:rPr>
          <w:color w:val="auto"/>
          <w:highlight w:val="yellow"/>
        </w:rPr>
        <w:t>Meta: Annual Renewable-Energy Matching</w:t>
      </w:r>
    </w:p>
    <w:p w14:paraId="5940B690" w14:textId="1A1FABF5" w:rsidR="00287616" w:rsidRPr="000124EB" w:rsidRDefault="00763100" w:rsidP="00E842C0">
      <w:pPr>
        <w:spacing w:after="120"/>
        <w:ind w:firstLine="480"/>
        <w:rPr>
          <w:highlight w:val="yellow"/>
        </w:rPr>
      </w:pPr>
      <w:r w:rsidRPr="000124EB">
        <w:rPr>
          <w:highlight w:val="yellow"/>
        </w:rPr>
        <w:t>Meta said it kept achieving 100% of its electricity from clean and renewable sources and its portfolio of clean energy has grown to nearly 29 GW worldwide under its support. These reported values are those for annual renewable energy matching and procurement, rather than hourly carbon-free energy accounting. Therefore, they are not active in terms of hourly sufficiency, physical renewability or operation in isolation</w:t>
      </w:r>
      <w:r w:rsidR="0073713D" w:rsidRPr="000124EB">
        <w:rPr>
          <w:highlight w:val="yellow"/>
        </w:rPr>
        <w:t xml:space="preserve"> </w:t>
      </w:r>
      <w:r w:rsidR="0073713D" w:rsidRPr="000124EB">
        <w:rPr>
          <w:highlight w:val="yellow"/>
        </w:rPr>
        <w:fldChar w:fldCharType="begin"/>
      </w:r>
      <w:r w:rsidR="00A95675">
        <w:rPr>
          <w:highlight w:val="yellow"/>
        </w:rPr>
        <w:instrText xml:space="preserve"> ADDIN ZOTERO_ITEM CSL_CITATION {"citationID":"bKFO0NJY","properties":{"unsorted":false,"formattedCitation":"[52]","plainCitation":"[52]","noteIndex":0},"citationItems":[{"id":1998,"uris":["http://zotero.org/users/9870935/items/3PR5HCM7"],"itemData":{"id":1998,"type":"post-weblog","title":"2025 Sustainability Report","URL":"https://sustainability.atmeta.com/wp-content/uploads/2025/08/Meta_2025-Sustainability-Report.pdf","author":[{"family":"Meta","given":""}]}}],"schema":"https://github.com/citation-style-language/schema/raw/master/csl-citation.json"} </w:instrText>
      </w:r>
      <w:r w:rsidR="0073713D" w:rsidRPr="000124EB">
        <w:rPr>
          <w:highlight w:val="yellow"/>
        </w:rPr>
        <w:fldChar w:fldCharType="separate"/>
      </w:r>
      <w:r w:rsidR="00A95675" w:rsidRPr="00A95675">
        <w:rPr>
          <w:highlight w:val="yellow"/>
        </w:rPr>
        <w:t>[52]</w:t>
      </w:r>
      <w:r w:rsidR="0073713D" w:rsidRPr="000124EB">
        <w:rPr>
          <w:highlight w:val="yellow"/>
        </w:rPr>
        <w:fldChar w:fldCharType="end"/>
      </w:r>
      <w:r w:rsidR="0073713D" w:rsidRPr="000124EB">
        <w:rPr>
          <w:highlight w:val="yellow"/>
        </w:rPr>
        <w:t xml:space="preserve">, </w:t>
      </w:r>
      <w:r w:rsidR="0073713D" w:rsidRPr="000124EB">
        <w:rPr>
          <w:highlight w:val="yellow"/>
        </w:rPr>
        <w:fldChar w:fldCharType="begin"/>
      </w:r>
      <w:r w:rsidR="00E842C0">
        <w:rPr>
          <w:highlight w:val="yellow"/>
        </w:rPr>
        <w:instrText xml:space="preserve"> ADDIN ZOTERO_ITEM CSL_CITATION {"citationID":"afh57Dbe","properties":{"unsorted":false,"formattedCitation":"[150]","plainCitation":"[150]","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0073713D" w:rsidRPr="000124EB">
        <w:rPr>
          <w:highlight w:val="yellow"/>
        </w:rPr>
        <w:fldChar w:fldCharType="separate"/>
      </w:r>
      <w:r w:rsidR="00E842C0" w:rsidRPr="00E842C0">
        <w:rPr>
          <w:highlight w:val="yellow"/>
        </w:rPr>
        <w:t>[150]</w:t>
      </w:r>
      <w:r w:rsidR="0073713D" w:rsidRPr="000124EB">
        <w:rPr>
          <w:highlight w:val="yellow"/>
        </w:rPr>
        <w:fldChar w:fldCharType="end"/>
      </w:r>
      <w:r w:rsidRPr="000124EB">
        <w:rPr>
          <w:highlight w:val="yellow"/>
        </w:rPr>
        <w:t xml:space="preserve">. </w:t>
      </w:r>
    </w:p>
    <w:p w14:paraId="25F4ECA3" w14:textId="6EE4E3F1" w:rsidR="00287616" w:rsidRPr="000124EB" w:rsidRDefault="00287616" w:rsidP="00287616">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 and 7. </w:t>
      </w:r>
    </w:p>
    <w:p w14:paraId="3466FE12" w14:textId="2695EB28" w:rsidR="005D72C0" w:rsidRPr="000124EB" w:rsidRDefault="00763100" w:rsidP="00ED214C">
      <w:pPr>
        <w:pStyle w:val="ListParagraph"/>
        <w:numPr>
          <w:ilvl w:val="0"/>
          <w:numId w:val="32"/>
        </w:numPr>
        <w:spacing w:after="120"/>
        <w:rPr>
          <w:highlight w:val="yellow"/>
        </w:rPr>
      </w:pPr>
      <w:r w:rsidRPr="000124EB">
        <w:rPr>
          <w:b/>
          <w:bCs/>
          <w:highlight w:val="yellow"/>
        </w:rPr>
        <w:t xml:space="preserve">Transferability </w:t>
      </w:r>
      <w:r w:rsidR="00ED214C" w:rsidRPr="000124EB">
        <w:rPr>
          <w:b/>
          <w:bCs/>
          <w:highlight w:val="yellow"/>
        </w:rPr>
        <w:t>limitation</w:t>
      </w:r>
      <w:r w:rsidRPr="000124EB">
        <w:rPr>
          <w:b/>
          <w:bCs/>
          <w:highlight w:val="yellow"/>
        </w:rPr>
        <w:t>:</w:t>
      </w:r>
      <w:r w:rsidRPr="000124EB">
        <w:rPr>
          <w:highlight w:val="yellow"/>
        </w:rPr>
        <w:t xml:space="preserve"> Regional structures of the electricity market, availability of renewable resources, procurement systems, the scale of projects, and contractual agreements all play a role in the applicability of transferability.</w:t>
      </w:r>
    </w:p>
    <w:p w14:paraId="32326AB0" w14:textId="77777777" w:rsidR="00FE013C" w:rsidRPr="000124EB" w:rsidRDefault="00FE013C" w:rsidP="004C16FF">
      <w:pPr>
        <w:pStyle w:val="Heading20"/>
        <w:jc w:val="both"/>
        <w:rPr>
          <w:color w:val="auto"/>
          <w:highlight w:val="yellow"/>
        </w:rPr>
      </w:pPr>
      <w:r w:rsidRPr="000124EB">
        <w:rPr>
          <w:color w:val="auto"/>
          <w:highlight w:val="yellow"/>
        </w:rPr>
        <w:t>8.3. Microsoft: Modular Design and Nuclear Partnership</w:t>
      </w:r>
    </w:p>
    <w:p w14:paraId="17C70F53" w14:textId="1BDB5DC4" w:rsidR="00E560E2" w:rsidRPr="000124EB" w:rsidRDefault="00E560E2" w:rsidP="00E842C0">
      <w:pPr>
        <w:spacing w:after="120"/>
        <w:ind w:firstLine="480"/>
        <w:rPr>
          <w:highlight w:val="yellow"/>
        </w:rPr>
      </w:pPr>
      <w:r w:rsidRPr="000124EB">
        <w:rPr>
          <w:highlight w:val="yellow"/>
        </w:rPr>
        <w:t>Microsoft's sustainability approach includes both the use of energy efficient techniques and purchasing electricity attesting to zero carbon emissions, innovations within the data centre and investments in new low carbon energy-based solutions. Public announcements encompass a long-term power purchase agreement for what is planned for the restart of Three Mile Island Unit 1 nuclear facility as well as a proposed agreement with Helion for the company's proposed fusion-energy project. At the same time, Microsoft released some findings on Project Natick: subsea data-center research. However, these projects illustrate a longer-term energy purchase and technology exploration, and not a currently proven on-site energy solution for AI data centers</w:t>
      </w:r>
      <w:r w:rsidR="00674A3B" w:rsidRPr="000124EB">
        <w:rPr>
          <w:highlight w:val="yellow"/>
        </w:rPr>
        <w:t xml:space="preserve"> </w:t>
      </w:r>
      <w:r w:rsidR="00674A3B" w:rsidRPr="000124EB">
        <w:rPr>
          <w:highlight w:val="yellow"/>
        </w:rPr>
        <w:fldChar w:fldCharType="begin"/>
      </w:r>
      <w:r w:rsidR="00A95675">
        <w:rPr>
          <w:highlight w:val="yellow"/>
        </w:rPr>
        <w:instrText xml:space="preserve"> ADDIN ZOTERO_ITEM CSL_CITATION {"citationID":"IW33EuXw","properties":{"unsorted":false,"formattedCitation":"[55]","plainCitation":"[55]","noteIndex":0},"citationItems":[{"id":2001,"uris":["http://zotero.org/users/9870935/items/2FD7ZXSC"],"itemData":{"id":2001,"type":"article-journal","language":"en","source":"Zotero","title":"Project Natick — Microsoft's Self-sufficient Underwater Datacenters","URL":"https://www.researchgate.net/publication/328214732_Project_Natick-Microsoft's_Self-sufficient_Underwater_Datacenters","author":[{"family":"Simon","given":"Kevin"}]}}],"schema":"https://github.com/citation-style-language/schema/raw/master/csl-citation.json"} </w:instrText>
      </w:r>
      <w:r w:rsidR="00674A3B" w:rsidRPr="000124EB">
        <w:rPr>
          <w:highlight w:val="yellow"/>
        </w:rPr>
        <w:fldChar w:fldCharType="separate"/>
      </w:r>
      <w:r w:rsidR="00A95675" w:rsidRPr="00A95675">
        <w:rPr>
          <w:highlight w:val="yellow"/>
        </w:rPr>
        <w:t>[55]</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A95675">
        <w:rPr>
          <w:highlight w:val="yellow"/>
        </w:rPr>
        <w:instrText xml:space="preserve"> ADDIN ZOTERO_ITEM CSL_CITATION {"citationID":"r6PHcJZZ","properties":{"unsorted":false,"formattedCitation":"[54]","plainCitation":"[54]","noteIndex":0},"citationItems":[{"id":2005,"uris":["http://zotero.org/users/9870935/items/GPXLWD7A"],"itemData":{"id":2005,"type":"article-journal","abstract":"This research investigates the future landscape of cloud computing, concentrating specifically on Microsoft's pioneering underwater data center initiative. With the global demand for cloud services on the rise, there is an urgent need for sustainable and efficient solutions to address the increasing requirements for data storage. Microsoft's underwater data centers, part of Project Natick, are designed to confront these challenges by leveraging the natural cooling capabilities of ocean water, which significantly lowers energy consumption in comparison to conventional land-based facilities. Beyond energy efficiency, these submerged data centers present an opportunity to lessen the environmental footprint associated with extensive data storage, thereby offering a distinctive method for promoting eco-friendly computing. This thorough study assesses the technological innovations, economic feasibility, and environmental consequences of underwater data centers, evaluating their capacity to fulfil the scalability and reliability needs of cloud infrastructure. The research also examines the practicality of large-scale deployment, the challenges of underwater connectivity, and maintenance, and the long-term resilience of the infrastructure. By analyzing findings from Microsoft's pilot projects, this study seeks to enhance understanding of how underwater data centers could transform the future of cloud computing, potentially revolutionizing digital data storage and management in a more sustainable and efficient manner.","issue":"3","language":"en","source":"Zotero","title":"Exploring the Future of Cloud Computing: A Comprehensive Study of Microsoft's Underwater Data Centers","URL":"https://www.taylorfrancis.com/chapters/edit/10.1201/9781003492160-7/exploring-cloud-computing-platforms-metrics-used-compare-cloud-service-providers-parul-dubey-arvind-kumar-tiwari","volume":"12","author":[{"family":"Panchal","given":"Yash"},{"family":"Dubey","given":"Shivam"},{"family":"Pathak","given":"Rashmi"}],"issued":{"date-parts":[["2025"]]}}}],"schema":"https://github.com/citation-style-language/schema/raw/master/csl-citation.json"} </w:instrText>
      </w:r>
      <w:r w:rsidR="00674A3B" w:rsidRPr="000124EB">
        <w:rPr>
          <w:highlight w:val="yellow"/>
        </w:rPr>
        <w:fldChar w:fldCharType="separate"/>
      </w:r>
      <w:r w:rsidR="00A95675" w:rsidRPr="00A95675">
        <w:rPr>
          <w:highlight w:val="yellow"/>
        </w:rPr>
        <w:t>[54]</w:t>
      </w:r>
      <w:r w:rsidR="00674A3B" w:rsidRPr="000124EB">
        <w:rPr>
          <w:highlight w:val="yellow"/>
        </w:rPr>
        <w:fldChar w:fldCharType="end"/>
      </w:r>
      <w:r w:rsidR="00674A3B" w:rsidRPr="000124EB">
        <w:rPr>
          <w:highlight w:val="yellow"/>
        </w:rPr>
        <w:t xml:space="preserve">, </w:t>
      </w:r>
      <w:r w:rsidR="00674A3B" w:rsidRPr="000124EB">
        <w:rPr>
          <w:highlight w:val="yellow"/>
        </w:rPr>
        <w:fldChar w:fldCharType="begin"/>
      </w:r>
      <w:r w:rsidR="00E842C0">
        <w:rPr>
          <w:highlight w:val="yellow"/>
        </w:rPr>
        <w:instrText xml:space="preserve"> ADDIN ZOTERO_ITEM CSL_CITATION {"citationID":"8f2UmqPT","properties":{"unsorted":false,"formattedCitation":"[148]","plainCitation":"[148]","noteIndex":0},"citationItems":[{"id":2143,"uris":["http://zotero.org/users/9870935/items/QQ6IISPJ"],"itemData":{"id":2143,"type":"document","title":"U N L O C K I N G FUSION ENERGY","URL":"https://www.adlittle.com/sites/default/files/reports/ADL_Unlocking_fusion_energy_2025%20%281%29.pdf","author":[{"family":"Arthur D. Little","given":""}]}}],"schema":"https://github.com/citation-style-language/schema/raw/master/csl-citation.json"} </w:instrText>
      </w:r>
      <w:r w:rsidR="00674A3B" w:rsidRPr="000124EB">
        <w:rPr>
          <w:highlight w:val="yellow"/>
        </w:rPr>
        <w:fldChar w:fldCharType="separate"/>
      </w:r>
      <w:r w:rsidR="00E842C0" w:rsidRPr="00E842C0">
        <w:rPr>
          <w:highlight w:val="yellow"/>
        </w:rPr>
        <w:t>[148]</w:t>
      </w:r>
      <w:r w:rsidR="00674A3B" w:rsidRPr="000124EB">
        <w:rPr>
          <w:highlight w:val="yellow"/>
        </w:rPr>
        <w:fldChar w:fldCharType="end"/>
      </w:r>
      <w:r w:rsidRPr="000124EB">
        <w:rPr>
          <w:highlight w:val="yellow"/>
        </w:rPr>
        <w:t>.</w:t>
      </w:r>
    </w:p>
    <w:p w14:paraId="1EDF2856" w14:textId="1A20C8BF" w:rsidR="0037359C" w:rsidRPr="000124EB" w:rsidRDefault="0037359C" w:rsidP="001C11F5">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w:t>
      </w:r>
      <w:r w:rsidR="001C11F5" w:rsidRPr="000124EB">
        <w:rPr>
          <w:highlight w:val="yellow"/>
        </w:rPr>
        <w:t>Components 2, 3, 4 and 7.</w:t>
      </w:r>
    </w:p>
    <w:p w14:paraId="3F078752" w14:textId="722F2085" w:rsidR="0037359C" w:rsidRPr="000124EB" w:rsidRDefault="0037359C" w:rsidP="00294D5E">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294D5E" w:rsidRPr="000124EB">
        <w:rPr>
          <w:highlight w:val="yellow"/>
        </w:rPr>
        <w:t>Many projects are still at a point where technology is not mature, regulatory clearance not secured, commercialization timelines are uncertain, and opportunities for large-scale procurement are limited.</w:t>
      </w:r>
    </w:p>
    <w:p w14:paraId="4469E160" w14:textId="77777777" w:rsidR="00FE013C" w:rsidRPr="000124EB" w:rsidRDefault="00FE013C" w:rsidP="004C16FF">
      <w:pPr>
        <w:pStyle w:val="Heading20"/>
        <w:jc w:val="both"/>
        <w:rPr>
          <w:color w:val="auto"/>
          <w:highlight w:val="yellow"/>
        </w:rPr>
      </w:pPr>
      <w:r w:rsidRPr="000124EB">
        <w:rPr>
          <w:color w:val="auto"/>
          <w:highlight w:val="yellow"/>
        </w:rPr>
        <w:t>8.4 Equinix: Distributed Solar PPAs</w:t>
      </w:r>
    </w:p>
    <w:p w14:paraId="09B3B060" w14:textId="4985874C" w:rsidR="009775DC" w:rsidRPr="000124EB" w:rsidRDefault="009775DC" w:rsidP="00A95675">
      <w:pPr>
        <w:spacing w:after="120"/>
        <w:ind w:firstLine="480"/>
        <w:rPr>
          <w:highlight w:val="yellow"/>
        </w:rPr>
      </w:pPr>
      <w:r w:rsidRPr="000124EB">
        <w:rPr>
          <w:highlight w:val="yellow"/>
        </w:rPr>
        <w:t>In 2025, Equinix stood out again by achieving a global 96% renewable-energy coverage for its data-center portfolio of retail carriers. This metric measures the percentage of procurement coverage of portfolio of geographically distributed facilities in multiple markets and jurisdictions. Renewable energy does not necessarily mean hourly equal to carbon-free matching, or a continuous physical supply of renewable energy</w:t>
      </w:r>
      <w:r w:rsidR="00381E72" w:rsidRPr="000124EB">
        <w:rPr>
          <w:highlight w:val="yellow"/>
        </w:rPr>
        <w:fldChar w:fldCharType="begin"/>
      </w:r>
      <w:r w:rsidR="00A95675">
        <w:rPr>
          <w:highlight w:val="yellow"/>
        </w:rPr>
        <w:instrText xml:space="preserve"> ADDIN ZOTERO_ITEM CSL_CITATION {"citationID":"xSrZql8g","properties":{"unsorted":false,"formattedCitation":"[57]","plainCitation":"[57]","noteIndex":0},"citationItems":[{"id":2007,"uris":["http://zotero.org/users/9870935/items/KHWRQFNN"],"itemData":{"id":2007,"type":"post-weblog","title":"Sustainability Report 2025","URL":"https://delivery-p112322-e1154416.adobeaemcloud.com/adobe/assets/deliver/urn:aaid:aem:116e6fc1-6217-4132-8fcf-1dc7096396df/Equinix-Inc_2025_Sustainability-Report.pdf","author":[{"family":"Equinix","given":""}]}}],"schema":"https://github.com/citation-style-language/schema/raw/master/csl-citation.json"} </w:instrText>
      </w:r>
      <w:r w:rsidR="00381E72" w:rsidRPr="000124EB">
        <w:rPr>
          <w:highlight w:val="yellow"/>
        </w:rPr>
        <w:fldChar w:fldCharType="separate"/>
      </w:r>
      <w:r w:rsidR="00A95675" w:rsidRPr="00A95675">
        <w:rPr>
          <w:highlight w:val="yellow"/>
        </w:rPr>
        <w:t>[57]</w:t>
      </w:r>
      <w:r w:rsidR="00381E72" w:rsidRPr="000124EB">
        <w:rPr>
          <w:highlight w:val="yellow"/>
        </w:rPr>
        <w:fldChar w:fldCharType="end"/>
      </w:r>
      <w:r w:rsidRPr="000124EB">
        <w:rPr>
          <w:highlight w:val="yellow"/>
        </w:rPr>
        <w:t>.</w:t>
      </w:r>
    </w:p>
    <w:p w14:paraId="6C3C2750" w14:textId="622BD961" w:rsidR="00E72673" w:rsidRPr="000124EB" w:rsidRDefault="00E72673" w:rsidP="00E72673">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1, 5, 6, 7.</w:t>
      </w:r>
    </w:p>
    <w:p w14:paraId="10209D89" w14:textId="286E6C11" w:rsidR="009775DC" w:rsidRPr="000124EB" w:rsidRDefault="00E72673" w:rsidP="009A2F97">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E7DCC" w:rsidRPr="000124EB">
        <w:rPr>
          <w:highlight w:val="yellow"/>
        </w:rPr>
        <w:t>Results are very much dictated by local market conditions, electricity pricing, ownership structures, procurement options, and renewable energy contracts.</w:t>
      </w:r>
    </w:p>
    <w:p w14:paraId="791EAA9D" w14:textId="77777777" w:rsidR="00FE013C" w:rsidRPr="000124EB" w:rsidRDefault="00FE013C" w:rsidP="004C16FF">
      <w:pPr>
        <w:pStyle w:val="Heading20"/>
        <w:jc w:val="both"/>
        <w:rPr>
          <w:color w:val="auto"/>
          <w:highlight w:val="yellow"/>
        </w:rPr>
      </w:pPr>
      <w:r w:rsidRPr="000124EB">
        <w:rPr>
          <w:color w:val="auto"/>
          <w:highlight w:val="yellow"/>
        </w:rPr>
        <w:t>8.5 Apple:100 Percent Renewable Commitment</w:t>
      </w:r>
    </w:p>
    <w:p w14:paraId="39CBA97F" w14:textId="0509C6EF" w:rsidR="00C60EFF" w:rsidRPr="000124EB" w:rsidRDefault="00C60EFF" w:rsidP="001D1223">
      <w:pPr>
        <w:spacing w:after="120"/>
        <w:ind w:firstLine="480"/>
        <w:rPr>
          <w:highlight w:val="yellow"/>
        </w:rPr>
      </w:pPr>
      <w:r w:rsidRPr="000124EB">
        <w:rPr>
          <w:highlight w:val="yellow"/>
        </w:rPr>
        <w:lastRenderedPageBreak/>
        <w:t>Since 2018, Apple has been operating its facilities like offices, retail stores, and data centers, entirely on renewable power from across the company. The company also announced that it now has more than 17.8 GW of clean energy suppliers. These figures only account for corporate renewable purchases, but do not necessarily mean continual physical renewable supply to individual data centres</w:t>
      </w:r>
      <w:r w:rsidRPr="000124EB">
        <w:rPr>
          <w:highlight w:val="yellow"/>
        </w:rPr>
        <w:fldChar w:fldCharType="begin"/>
      </w:r>
      <w:r w:rsidR="001D1223">
        <w:rPr>
          <w:highlight w:val="yellow"/>
        </w:rPr>
        <w:instrText xml:space="preserve"> ADDIN ZOTERO_ITEM CSL_CITATION {"citationID":"7UxY0Xko","properties":{"unsorted":false,"formattedCitation":"[67]","plainCitation":"[67]","noteIndex":0},"citationItems":[{"id":2010,"uris":["http://zotero.org/users/9870935/items/36ZP5SVZ"],"itemData":{"id":2010,"type":"post-weblog","title":"Environmental Progress Report","URL":"https://www.apple.com/environment/pdf/Apple_Environmental_Progress_Report_2025.pdf","author":[{"family":"Apple","given":""}]}}],"schema":"https://github.com/citation-style-language/schema/raw/master/csl-citation.json"} </w:instrText>
      </w:r>
      <w:r w:rsidRPr="000124EB">
        <w:rPr>
          <w:highlight w:val="yellow"/>
        </w:rPr>
        <w:fldChar w:fldCharType="separate"/>
      </w:r>
      <w:r w:rsidR="001D1223" w:rsidRPr="001D1223">
        <w:rPr>
          <w:highlight w:val="yellow"/>
        </w:rPr>
        <w:t>[67]</w:t>
      </w:r>
      <w:r w:rsidRPr="000124EB">
        <w:rPr>
          <w:highlight w:val="yellow"/>
        </w:rPr>
        <w:fldChar w:fldCharType="end"/>
      </w:r>
      <w:r w:rsidRPr="000124EB">
        <w:rPr>
          <w:highlight w:val="yellow"/>
        </w:rPr>
        <w:t>.</w:t>
      </w:r>
    </w:p>
    <w:p w14:paraId="6D8E4363" w14:textId="620DC058" w:rsidR="00AB34BE" w:rsidRPr="000124EB" w:rsidRDefault="00AB34BE" w:rsidP="00AB34BE">
      <w:pPr>
        <w:pStyle w:val="ListParagraph"/>
        <w:numPr>
          <w:ilvl w:val="0"/>
          <w:numId w:val="32"/>
        </w:numPr>
        <w:spacing w:after="120"/>
        <w:rPr>
          <w:highlight w:val="yellow"/>
        </w:rPr>
      </w:pPr>
      <w:r w:rsidRPr="000124EB">
        <w:rPr>
          <w:b/>
          <w:bCs/>
          <w:highlight w:val="yellow"/>
        </w:rPr>
        <w:t>Framework relevance:</w:t>
      </w:r>
      <w:r w:rsidRPr="000124EB">
        <w:rPr>
          <w:highlight w:val="yellow"/>
        </w:rPr>
        <w:t xml:space="preserve"> Components 2, 6, 7.</w:t>
      </w:r>
    </w:p>
    <w:p w14:paraId="05BC1592" w14:textId="4DA09C28" w:rsidR="00AB34BE" w:rsidRPr="000124EB" w:rsidRDefault="00AB34BE" w:rsidP="00F56B71">
      <w:pPr>
        <w:pStyle w:val="ListParagraph"/>
        <w:numPr>
          <w:ilvl w:val="0"/>
          <w:numId w:val="32"/>
        </w:numPr>
        <w:spacing w:after="120"/>
        <w:rPr>
          <w:highlight w:val="yellow"/>
        </w:rPr>
      </w:pPr>
      <w:r w:rsidRPr="000124EB">
        <w:rPr>
          <w:b/>
          <w:bCs/>
          <w:highlight w:val="yellow"/>
        </w:rPr>
        <w:t>Transferability limitation:</w:t>
      </w:r>
      <w:r w:rsidRPr="000124EB">
        <w:rPr>
          <w:highlight w:val="yellow"/>
        </w:rPr>
        <w:t xml:space="preserve"> </w:t>
      </w:r>
      <w:r w:rsidR="00F56B71" w:rsidRPr="000124EB">
        <w:rPr>
          <w:highlight w:val="yellow"/>
        </w:rPr>
        <w:t>Its transferability relies on the influence of supply chain, the location of facilities, availability of RE procurement process, and financing of long-term clean energy investments.</w:t>
      </w:r>
    </w:p>
    <w:p w14:paraId="46F27C08" w14:textId="77777777" w:rsidR="00FE013C" w:rsidRPr="000124EB" w:rsidRDefault="00FE013C" w:rsidP="004C16FF">
      <w:pPr>
        <w:pStyle w:val="Heading20"/>
        <w:jc w:val="both"/>
        <w:rPr>
          <w:color w:val="auto"/>
          <w:highlight w:val="yellow"/>
        </w:rPr>
      </w:pPr>
      <w:r w:rsidRPr="000124EB">
        <w:rPr>
          <w:color w:val="auto"/>
          <w:highlight w:val="yellow"/>
        </w:rPr>
        <w:t>8.6 Comparative Analysis</w:t>
      </w:r>
    </w:p>
    <w:p w14:paraId="2EDCFDF6" w14:textId="608EE6A3" w:rsidR="00FB2184" w:rsidRPr="000124EB" w:rsidRDefault="004867FE" w:rsidP="00FB2184">
      <w:pPr>
        <w:spacing w:after="120"/>
        <w:ind w:firstLine="480"/>
        <w:rPr>
          <w:highlight w:val="yellow"/>
        </w:rPr>
      </w:pPr>
      <w:r>
        <w:rPr>
          <w:highlight w:val="yellow"/>
        </w:rPr>
        <w:fldChar w:fldCharType="begin"/>
      </w:r>
      <w:r>
        <w:rPr>
          <w:highlight w:val="yellow"/>
        </w:rPr>
        <w:instrText xml:space="preserve"> REF _Ref239530912 \h </w:instrText>
      </w:r>
      <w:r>
        <w:rPr>
          <w:highlight w:val="yellow"/>
        </w:rPr>
      </w:r>
      <w:r>
        <w:rPr>
          <w:highlight w:val="yellow"/>
        </w:rPr>
        <w:fldChar w:fldCharType="separate"/>
      </w:r>
      <w:r w:rsidRPr="000124EB">
        <w:rPr>
          <w:highlight w:val="yellow"/>
        </w:rPr>
        <w:t xml:space="preserve">Table </w:t>
      </w:r>
      <w:r w:rsidRPr="000124EB">
        <w:rPr>
          <w:noProof/>
          <w:highlight w:val="yellow"/>
        </w:rPr>
        <w:t>8</w:t>
      </w:r>
      <w:r w:rsidRPr="000124EB">
        <w:rPr>
          <w:highlight w:val="yellow"/>
        </w:rPr>
        <w:t xml:space="preserve"> Comparative analysis of industry case studies</w:t>
      </w:r>
      <w:r>
        <w:rPr>
          <w:highlight w:val="yellow"/>
        </w:rPr>
        <w:fldChar w:fldCharType="end"/>
      </w:r>
      <w:r>
        <w:rPr>
          <w:highlight w:val="yellow"/>
        </w:rPr>
        <w:t xml:space="preserve">, </w:t>
      </w:r>
      <w:r w:rsidR="00FB2184" w:rsidRPr="000124EB">
        <w:rPr>
          <w:highlight w:val="yellow"/>
        </w:rPr>
        <w:t>summarizes the accounting basis, publicly reported energy strategy, relevance to the framework, and key transferability limitations associated with each case study. Because annual renewable matching, hourly carbon-free energy matching, procurement coverage, and prospective energy-supply agreements represent fundamentally different measures, they should not be directly compared or ranked on a common basis.</w:t>
      </w:r>
    </w:p>
    <w:p w14:paraId="413ABD3C" w14:textId="111EC38C" w:rsidR="00FE013C" w:rsidRPr="000124EB" w:rsidRDefault="00FE013C" w:rsidP="004C16FF">
      <w:pPr>
        <w:pStyle w:val="Caption"/>
        <w:keepNext/>
        <w:rPr>
          <w:highlight w:val="yellow"/>
        </w:rPr>
      </w:pPr>
      <w:bookmarkStart w:id="22" w:name="_Ref239530912"/>
      <w:r w:rsidRPr="000124EB">
        <w:rPr>
          <w:highlight w:val="yellow"/>
        </w:rPr>
        <w:t xml:space="preserve">Table </w:t>
      </w:r>
      <w:r w:rsidRPr="000124EB">
        <w:rPr>
          <w:highlight w:val="yellow"/>
        </w:rPr>
        <w:fldChar w:fldCharType="begin"/>
      </w:r>
      <w:r w:rsidRPr="000124EB">
        <w:rPr>
          <w:highlight w:val="yellow"/>
        </w:rPr>
        <w:instrText xml:space="preserve"> SEQ Table \* ARABIC </w:instrText>
      </w:r>
      <w:r w:rsidRPr="000124EB">
        <w:rPr>
          <w:highlight w:val="yellow"/>
        </w:rPr>
        <w:fldChar w:fldCharType="separate"/>
      </w:r>
      <w:r w:rsidR="003A45CA" w:rsidRPr="000124EB">
        <w:rPr>
          <w:noProof/>
          <w:highlight w:val="yellow"/>
        </w:rPr>
        <w:t>8</w:t>
      </w:r>
      <w:r w:rsidRPr="000124EB">
        <w:rPr>
          <w:noProof/>
          <w:highlight w:val="yellow"/>
        </w:rPr>
        <w:fldChar w:fldCharType="end"/>
      </w:r>
      <w:r w:rsidRPr="000124EB">
        <w:rPr>
          <w:highlight w:val="yellow"/>
        </w:rPr>
        <w:t xml:space="preserve"> Comparative analysis of industry case studies</w:t>
      </w:r>
      <w:bookmarkEnd w:id="22"/>
    </w:p>
    <w:tbl>
      <w:tblPr>
        <w:tblStyle w:val="MDPI41threelinetable"/>
        <w:tblW w:w="5000" w:type="pct"/>
        <w:tblLook w:val="04A0" w:firstRow="1" w:lastRow="0" w:firstColumn="1" w:lastColumn="0" w:noHBand="0" w:noVBand="1"/>
      </w:tblPr>
      <w:tblGrid>
        <w:gridCol w:w="1603"/>
        <w:gridCol w:w="1909"/>
        <w:gridCol w:w="1714"/>
        <w:gridCol w:w="1716"/>
        <w:gridCol w:w="1424"/>
        <w:gridCol w:w="1386"/>
      </w:tblGrid>
      <w:tr w:rsidR="00D518D6" w:rsidRPr="000124EB" w14:paraId="75737415" w14:textId="77777777" w:rsidTr="00BC04A7">
        <w:trPr>
          <w:cnfStyle w:val="100000000000" w:firstRow="1" w:lastRow="0" w:firstColumn="0" w:lastColumn="0" w:oddVBand="0" w:evenVBand="0" w:oddHBand="0" w:evenHBand="0" w:firstRowFirstColumn="0" w:firstRowLastColumn="0" w:lastRowFirstColumn="0" w:lastRowLastColumn="0"/>
        </w:trPr>
        <w:tc>
          <w:tcPr>
            <w:tcW w:w="822" w:type="pct"/>
          </w:tcPr>
          <w:p w14:paraId="057A76E6" w14:textId="4275399B" w:rsidR="00D518D6" w:rsidRPr="000124EB" w:rsidRDefault="00D518D6" w:rsidP="00D518D6">
            <w:pPr>
              <w:pStyle w:val="TableBody"/>
              <w:jc w:val="both"/>
              <w:rPr>
                <w:color w:val="auto"/>
                <w:sz w:val="18"/>
                <w:szCs w:val="18"/>
                <w:highlight w:val="yellow"/>
              </w:rPr>
            </w:pPr>
            <w:r w:rsidRPr="000124EB">
              <w:rPr>
                <w:sz w:val="18"/>
                <w:szCs w:val="18"/>
                <w:highlight w:val="yellow"/>
              </w:rPr>
              <w:t>Company</w:t>
            </w:r>
          </w:p>
        </w:tc>
        <w:tc>
          <w:tcPr>
            <w:tcW w:w="979" w:type="pct"/>
          </w:tcPr>
          <w:p w14:paraId="46300FB3" w14:textId="0FBDC594" w:rsidR="00D518D6" w:rsidRPr="000124EB" w:rsidRDefault="00D518D6" w:rsidP="00D518D6">
            <w:pPr>
              <w:pStyle w:val="TableBody"/>
              <w:jc w:val="both"/>
              <w:rPr>
                <w:color w:val="auto"/>
                <w:sz w:val="18"/>
                <w:szCs w:val="18"/>
                <w:highlight w:val="yellow"/>
              </w:rPr>
            </w:pPr>
            <w:r w:rsidRPr="000124EB">
              <w:rPr>
                <w:sz w:val="18"/>
                <w:szCs w:val="18"/>
                <w:highlight w:val="yellow"/>
              </w:rPr>
              <w:t>Reporting Year</w:t>
            </w:r>
          </w:p>
        </w:tc>
        <w:tc>
          <w:tcPr>
            <w:tcW w:w="879" w:type="pct"/>
          </w:tcPr>
          <w:p w14:paraId="3CD71E12" w14:textId="16815BB9" w:rsidR="00D518D6" w:rsidRPr="000124EB" w:rsidRDefault="00D518D6" w:rsidP="00D518D6">
            <w:pPr>
              <w:pStyle w:val="TableBody"/>
              <w:jc w:val="both"/>
              <w:rPr>
                <w:color w:val="auto"/>
                <w:sz w:val="18"/>
                <w:szCs w:val="18"/>
                <w:highlight w:val="yellow"/>
              </w:rPr>
            </w:pPr>
            <w:r w:rsidRPr="000124EB">
              <w:rPr>
                <w:sz w:val="18"/>
                <w:szCs w:val="18"/>
                <w:highlight w:val="yellow"/>
              </w:rPr>
              <w:t>Reported Metric</w:t>
            </w:r>
          </w:p>
        </w:tc>
        <w:tc>
          <w:tcPr>
            <w:tcW w:w="880" w:type="pct"/>
          </w:tcPr>
          <w:p w14:paraId="23A95C6D" w14:textId="0B47271C" w:rsidR="00D518D6" w:rsidRPr="000124EB" w:rsidRDefault="00D518D6" w:rsidP="00D518D6">
            <w:pPr>
              <w:pStyle w:val="TableBody"/>
              <w:jc w:val="both"/>
              <w:rPr>
                <w:color w:val="auto"/>
                <w:sz w:val="18"/>
                <w:szCs w:val="18"/>
                <w:highlight w:val="yellow"/>
              </w:rPr>
            </w:pPr>
            <w:r w:rsidRPr="000124EB">
              <w:rPr>
                <w:sz w:val="18"/>
                <w:szCs w:val="18"/>
                <w:highlight w:val="yellow"/>
              </w:rPr>
              <w:t>Accounting Basis</w:t>
            </w:r>
          </w:p>
        </w:tc>
        <w:tc>
          <w:tcPr>
            <w:tcW w:w="730" w:type="pct"/>
          </w:tcPr>
          <w:p w14:paraId="334B8ACE" w14:textId="6E797BC4" w:rsidR="00D518D6" w:rsidRPr="000124EB" w:rsidRDefault="00D518D6" w:rsidP="00D518D6">
            <w:pPr>
              <w:pStyle w:val="TableBody"/>
              <w:jc w:val="both"/>
              <w:rPr>
                <w:color w:val="auto"/>
                <w:sz w:val="18"/>
                <w:szCs w:val="18"/>
                <w:highlight w:val="yellow"/>
              </w:rPr>
            </w:pPr>
            <w:r w:rsidRPr="000124EB">
              <w:rPr>
                <w:sz w:val="18"/>
                <w:szCs w:val="18"/>
                <w:highlight w:val="yellow"/>
              </w:rPr>
              <w:t>Framework Relevance</w:t>
            </w:r>
          </w:p>
        </w:tc>
        <w:tc>
          <w:tcPr>
            <w:tcW w:w="711" w:type="pct"/>
          </w:tcPr>
          <w:p w14:paraId="7418C611" w14:textId="74D448A6" w:rsidR="00D518D6" w:rsidRPr="000124EB" w:rsidRDefault="00D518D6" w:rsidP="00D518D6">
            <w:pPr>
              <w:pStyle w:val="TableBody"/>
              <w:jc w:val="both"/>
              <w:rPr>
                <w:color w:val="auto"/>
                <w:sz w:val="18"/>
                <w:szCs w:val="18"/>
                <w:highlight w:val="yellow"/>
              </w:rPr>
            </w:pPr>
            <w:r w:rsidRPr="000124EB">
              <w:rPr>
                <w:sz w:val="18"/>
                <w:szCs w:val="18"/>
                <w:highlight w:val="yellow"/>
              </w:rPr>
              <w:t>Transferability Limitations</w:t>
            </w:r>
          </w:p>
        </w:tc>
      </w:tr>
      <w:tr w:rsidR="00D518D6" w:rsidRPr="000124EB" w14:paraId="7B036BF4" w14:textId="77777777" w:rsidTr="00BC04A7">
        <w:tc>
          <w:tcPr>
            <w:tcW w:w="822" w:type="pct"/>
          </w:tcPr>
          <w:p w14:paraId="693937D9" w14:textId="3F903C1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Google</w:t>
            </w:r>
          </w:p>
        </w:tc>
        <w:tc>
          <w:tcPr>
            <w:tcW w:w="979" w:type="pct"/>
          </w:tcPr>
          <w:p w14:paraId="5320612A" w14:textId="7B6A08B3"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1C3C603A" w14:textId="04DA1CB5" w:rsidR="00D518D6" w:rsidRPr="000124EB" w:rsidRDefault="00D518D6" w:rsidP="00D518D6">
            <w:pPr>
              <w:pStyle w:val="TableBody"/>
              <w:jc w:val="both"/>
              <w:rPr>
                <w:b/>
                <w:bCs/>
                <w:color w:val="auto"/>
                <w:sz w:val="18"/>
                <w:szCs w:val="18"/>
                <w:highlight w:val="yellow"/>
              </w:rPr>
            </w:pPr>
            <w:r w:rsidRPr="000124EB">
              <w:rPr>
                <w:sz w:val="18"/>
                <w:szCs w:val="18"/>
                <w:highlight w:val="yellow"/>
              </w:rPr>
              <w:t>66% global hourly CFE use</w:t>
            </w:r>
          </w:p>
        </w:tc>
        <w:tc>
          <w:tcPr>
            <w:tcW w:w="880" w:type="pct"/>
          </w:tcPr>
          <w:p w14:paraId="53444DFC" w14:textId="1E07525F" w:rsidR="00D518D6" w:rsidRPr="000124EB" w:rsidRDefault="00D518D6" w:rsidP="00D518D6">
            <w:pPr>
              <w:pStyle w:val="TableBody"/>
              <w:jc w:val="both"/>
              <w:rPr>
                <w:b/>
                <w:bCs/>
                <w:color w:val="auto"/>
                <w:sz w:val="18"/>
                <w:szCs w:val="18"/>
                <w:highlight w:val="yellow"/>
              </w:rPr>
            </w:pPr>
            <w:r w:rsidRPr="000124EB">
              <w:rPr>
                <w:sz w:val="18"/>
                <w:szCs w:val="18"/>
                <w:highlight w:val="yellow"/>
              </w:rPr>
              <w:t>Hourly carbon-free energy matching</w:t>
            </w:r>
          </w:p>
        </w:tc>
        <w:tc>
          <w:tcPr>
            <w:tcW w:w="730" w:type="pct"/>
          </w:tcPr>
          <w:p w14:paraId="7E70B03C" w14:textId="2042A81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2, 4, 5, 6, and 7</w:t>
            </w:r>
          </w:p>
        </w:tc>
        <w:tc>
          <w:tcPr>
            <w:tcW w:w="711" w:type="pct"/>
          </w:tcPr>
          <w:p w14:paraId="4425D905" w14:textId="50FE9502" w:rsidR="00D518D6" w:rsidRPr="000124EB" w:rsidRDefault="00D518D6" w:rsidP="00D518D6">
            <w:pPr>
              <w:pStyle w:val="TableBody"/>
              <w:jc w:val="both"/>
              <w:rPr>
                <w:b/>
                <w:bCs/>
                <w:color w:val="auto"/>
                <w:sz w:val="18"/>
                <w:szCs w:val="18"/>
                <w:highlight w:val="yellow"/>
              </w:rPr>
            </w:pPr>
            <w:r w:rsidRPr="000124EB">
              <w:rPr>
                <w:sz w:val="18"/>
                <w:szCs w:val="18"/>
                <w:highlight w:val="yellow"/>
              </w:rPr>
              <w:t>Requires large-scale procurement, regional market access, and workload flexibility</w:t>
            </w:r>
          </w:p>
        </w:tc>
      </w:tr>
      <w:tr w:rsidR="00D518D6" w:rsidRPr="000124EB" w14:paraId="3EF64DD8" w14:textId="77777777" w:rsidTr="00BC04A7">
        <w:tc>
          <w:tcPr>
            <w:tcW w:w="822" w:type="pct"/>
          </w:tcPr>
          <w:p w14:paraId="4D51795C" w14:textId="18DEBDF2"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Meta</w:t>
            </w:r>
          </w:p>
        </w:tc>
        <w:tc>
          <w:tcPr>
            <w:tcW w:w="979" w:type="pct"/>
          </w:tcPr>
          <w:p w14:paraId="49A992DE" w14:textId="3EA9EF17"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9741D54" w14:textId="56F65E03" w:rsidR="00D518D6" w:rsidRPr="000124EB" w:rsidRDefault="00D518D6" w:rsidP="00D518D6">
            <w:pPr>
              <w:pStyle w:val="TableBody"/>
              <w:jc w:val="both"/>
              <w:rPr>
                <w:b/>
                <w:bCs/>
                <w:color w:val="auto"/>
                <w:sz w:val="18"/>
                <w:szCs w:val="18"/>
                <w:highlight w:val="yellow"/>
              </w:rPr>
            </w:pPr>
            <w:r w:rsidRPr="000124EB">
              <w:rPr>
                <w:sz w:val="18"/>
                <w:szCs w:val="18"/>
                <w:highlight w:val="yellow"/>
              </w:rPr>
              <w:t>100% operational electricity matched with clean and renewable energy</w:t>
            </w:r>
          </w:p>
        </w:tc>
        <w:tc>
          <w:tcPr>
            <w:tcW w:w="880" w:type="pct"/>
          </w:tcPr>
          <w:p w14:paraId="4695C85A" w14:textId="391F5839" w:rsidR="00D518D6" w:rsidRPr="000124EB" w:rsidRDefault="00D518D6" w:rsidP="00D518D6">
            <w:pPr>
              <w:pStyle w:val="TableBody"/>
              <w:jc w:val="both"/>
              <w:rPr>
                <w:b/>
                <w:bCs/>
                <w:color w:val="auto"/>
                <w:sz w:val="18"/>
                <w:szCs w:val="18"/>
                <w:highlight w:val="yellow"/>
              </w:rPr>
            </w:pPr>
            <w:r w:rsidRPr="000124EB">
              <w:rPr>
                <w:sz w:val="18"/>
                <w:szCs w:val="18"/>
                <w:highlight w:val="yellow"/>
              </w:rPr>
              <w:t>Annual renewable-energy matching and procurement coverage</w:t>
            </w:r>
          </w:p>
        </w:tc>
        <w:tc>
          <w:tcPr>
            <w:tcW w:w="730" w:type="pct"/>
          </w:tcPr>
          <w:p w14:paraId="7B33FE4E" w14:textId="437BA23B"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14AFFFD5" w14:textId="4B2D0221" w:rsidR="00D518D6" w:rsidRPr="000124EB" w:rsidRDefault="00D518D6" w:rsidP="00D518D6">
            <w:pPr>
              <w:pStyle w:val="TableBody"/>
              <w:jc w:val="both"/>
              <w:rPr>
                <w:b/>
                <w:bCs/>
                <w:color w:val="auto"/>
                <w:sz w:val="18"/>
                <w:szCs w:val="18"/>
                <w:highlight w:val="yellow"/>
              </w:rPr>
            </w:pPr>
            <w:r w:rsidRPr="000124EB">
              <w:rPr>
                <w:sz w:val="18"/>
                <w:szCs w:val="18"/>
                <w:highlight w:val="yellow"/>
              </w:rPr>
              <w:t>Does not demonstrate hourly CFE or continuous physical supply</w:t>
            </w:r>
          </w:p>
        </w:tc>
      </w:tr>
      <w:tr w:rsidR="00D518D6" w:rsidRPr="000124EB" w14:paraId="6CC7FCCE" w14:textId="77777777" w:rsidTr="00BC04A7">
        <w:tc>
          <w:tcPr>
            <w:tcW w:w="822" w:type="pct"/>
          </w:tcPr>
          <w:p w14:paraId="0A152B8B" w14:textId="5533D510"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Microsoft</w:t>
            </w:r>
          </w:p>
        </w:tc>
        <w:tc>
          <w:tcPr>
            <w:tcW w:w="979" w:type="pct"/>
          </w:tcPr>
          <w:p w14:paraId="69341F54" w14:textId="4AF995F0"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0FA2BD53" w14:textId="09282CCD" w:rsidR="00D518D6" w:rsidRPr="000124EB" w:rsidRDefault="00D518D6" w:rsidP="00D518D6">
            <w:pPr>
              <w:pStyle w:val="TableBody"/>
              <w:jc w:val="both"/>
              <w:rPr>
                <w:b/>
                <w:bCs/>
                <w:color w:val="auto"/>
                <w:sz w:val="18"/>
                <w:szCs w:val="18"/>
                <w:highlight w:val="yellow"/>
              </w:rPr>
            </w:pPr>
            <w:r w:rsidRPr="000124EB">
              <w:rPr>
                <w:sz w:val="18"/>
                <w:szCs w:val="18"/>
                <w:highlight w:val="yellow"/>
              </w:rPr>
              <w:t>Clean-energy procurement and emerging-energy projects</w:t>
            </w:r>
          </w:p>
        </w:tc>
        <w:tc>
          <w:tcPr>
            <w:tcW w:w="880" w:type="pct"/>
          </w:tcPr>
          <w:p w14:paraId="7145CA87" w14:textId="1A1BD8BA"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 sustainability reporting and prospective project-specific agreements</w:t>
            </w:r>
          </w:p>
        </w:tc>
        <w:tc>
          <w:tcPr>
            <w:tcW w:w="730" w:type="pct"/>
          </w:tcPr>
          <w:p w14:paraId="1D7791C9" w14:textId="35EF91A7"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3, 4, and 7</w:t>
            </w:r>
          </w:p>
        </w:tc>
        <w:tc>
          <w:tcPr>
            <w:tcW w:w="711" w:type="pct"/>
          </w:tcPr>
          <w:p w14:paraId="0F207F80" w14:textId="7A9C64AD" w:rsidR="00D518D6" w:rsidRPr="000124EB" w:rsidRDefault="00D518D6" w:rsidP="00D518D6">
            <w:pPr>
              <w:pStyle w:val="TableBody"/>
              <w:jc w:val="both"/>
              <w:rPr>
                <w:b/>
                <w:bCs/>
                <w:color w:val="auto"/>
                <w:sz w:val="18"/>
                <w:szCs w:val="18"/>
                <w:highlight w:val="yellow"/>
              </w:rPr>
            </w:pPr>
            <w:r w:rsidRPr="000124EB">
              <w:rPr>
                <w:sz w:val="18"/>
                <w:szCs w:val="18"/>
                <w:highlight w:val="yellow"/>
              </w:rPr>
              <w:t>Many initiatives remain dependent on commercial maturity and regulatory approval</w:t>
            </w:r>
          </w:p>
        </w:tc>
      </w:tr>
      <w:tr w:rsidR="00D518D6" w:rsidRPr="000124EB" w14:paraId="599B5E34" w14:textId="77777777" w:rsidTr="00BC04A7">
        <w:tc>
          <w:tcPr>
            <w:tcW w:w="822" w:type="pct"/>
          </w:tcPr>
          <w:p w14:paraId="4F3A6A97" w14:textId="136FFEF5"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Equinix</w:t>
            </w:r>
          </w:p>
        </w:tc>
        <w:tc>
          <w:tcPr>
            <w:tcW w:w="979" w:type="pct"/>
          </w:tcPr>
          <w:p w14:paraId="0F17F129" w14:textId="4911A484" w:rsidR="00D518D6" w:rsidRPr="000124EB" w:rsidRDefault="00D518D6" w:rsidP="00D518D6">
            <w:pPr>
              <w:pStyle w:val="TableBody"/>
              <w:jc w:val="both"/>
              <w:rPr>
                <w:b/>
                <w:bCs/>
                <w:color w:val="auto"/>
                <w:sz w:val="18"/>
                <w:szCs w:val="18"/>
                <w:highlight w:val="yellow"/>
              </w:rPr>
            </w:pPr>
            <w:r w:rsidRPr="000124EB">
              <w:rPr>
                <w:sz w:val="18"/>
                <w:szCs w:val="18"/>
                <w:highlight w:val="yellow"/>
              </w:rPr>
              <w:t>2025</w:t>
            </w:r>
          </w:p>
        </w:tc>
        <w:tc>
          <w:tcPr>
            <w:tcW w:w="879" w:type="pct"/>
          </w:tcPr>
          <w:p w14:paraId="248B5E41" w14:textId="0C63FABE" w:rsidR="00D518D6" w:rsidRPr="000124EB" w:rsidRDefault="00D518D6" w:rsidP="00D518D6">
            <w:pPr>
              <w:pStyle w:val="TableBody"/>
              <w:jc w:val="both"/>
              <w:rPr>
                <w:b/>
                <w:bCs/>
                <w:color w:val="auto"/>
                <w:sz w:val="18"/>
                <w:szCs w:val="18"/>
                <w:highlight w:val="yellow"/>
              </w:rPr>
            </w:pPr>
            <w:r w:rsidRPr="000124EB">
              <w:rPr>
                <w:sz w:val="18"/>
                <w:szCs w:val="18"/>
                <w:highlight w:val="yellow"/>
              </w:rPr>
              <w:t>96% renewable-energy coverage</w:t>
            </w:r>
          </w:p>
        </w:tc>
        <w:tc>
          <w:tcPr>
            <w:tcW w:w="880" w:type="pct"/>
          </w:tcPr>
          <w:p w14:paraId="11ABAB79" w14:textId="28A24429" w:rsidR="00D518D6" w:rsidRPr="000124EB" w:rsidRDefault="00D518D6" w:rsidP="00D518D6">
            <w:pPr>
              <w:pStyle w:val="TableBody"/>
              <w:jc w:val="both"/>
              <w:rPr>
                <w:b/>
                <w:bCs/>
                <w:color w:val="auto"/>
                <w:sz w:val="18"/>
                <w:szCs w:val="18"/>
                <w:highlight w:val="yellow"/>
              </w:rPr>
            </w:pPr>
            <w:r w:rsidRPr="000124EB">
              <w:rPr>
                <w:sz w:val="18"/>
                <w:szCs w:val="18"/>
                <w:highlight w:val="yellow"/>
              </w:rPr>
              <w:t>Portfolio-level procurement coverage</w:t>
            </w:r>
          </w:p>
        </w:tc>
        <w:tc>
          <w:tcPr>
            <w:tcW w:w="730" w:type="pct"/>
          </w:tcPr>
          <w:p w14:paraId="01DDFBDB" w14:textId="30DD794D"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1, 5, 6, and 7</w:t>
            </w:r>
          </w:p>
        </w:tc>
        <w:tc>
          <w:tcPr>
            <w:tcW w:w="711" w:type="pct"/>
          </w:tcPr>
          <w:p w14:paraId="3C13AB32" w14:textId="35669E1A"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Renewable-energy coverage is not equivalent to hourly CFE</w:t>
            </w:r>
          </w:p>
        </w:tc>
      </w:tr>
      <w:tr w:rsidR="00D518D6" w14:paraId="6388196F" w14:textId="77777777" w:rsidTr="00BC04A7">
        <w:tc>
          <w:tcPr>
            <w:tcW w:w="822" w:type="pct"/>
          </w:tcPr>
          <w:p w14:paraId="3879D4D9" w14:textId="7E5D7796" w:rsidR="00D518D6" w:rsidRPr="000124EB" w:rsidRDefault="00D518D6" w:rsidP="00D518D6">
            <w:pPr>
              <w:pStyle w:val="TableBody"/>
              <w:jc w:val="both"/>
              <w:rPr>
                <w:b/>
                <w:bCs/>
                <w:color w:val="auto"/>
                <w:sz w:val="18"/>
                <w:szCs w:val="18"/>
                <w:highlight w:val="yellow"/>
              </w:rPr>
            </w:pPr>
            <w:r w:rsidRPr="000124EB">
              <w:rPr>
                <w:b/>
                <w:bCs/>
                <w:sz w:val="18"/>
                <w:szCs w:val="18"/>
                <w:highlight w:val="yellow"/>
              </w:rPr>
              <w:t>Apple</w:t>
            </w:r>
          </w:p>
        </w:tc>
        <w:tc>
          <w:tcPr>
            <w:tcW w:w="979" w:type="pct"/>
          </w:tcPr>
          <w:p w14:paraId="34E74826" w14:textId="3A535735" w:rsidR="00D518D6" w:rsidRPr="000124EB" w:rsidRDefault="00D518D6" w:rsidP="00D518D6">
            <w:pPr>
              <w:pStyle w:val="TableBody"/>
              <w:jc w:val="both"/>
              <w:rPr>
                <w:b/>
                <w:bCs/>
                <w:color w:val="auto"/>
                <w:sz w:val="18"/>
                <w:szCs w:val="18"/>
                <w:highlight w:val="yellow"/>
              </w:rPr>
            </w:pPr>
            <w:r w:rsidRPr="000124EB">
              <w:rPr>
                <w:sz w:val="18"/>
                <w:szCs w:val="18"/>
                <w:highlight w:val="yellow"/>
              </w:rPr>
              <w:t>2024</w:t>
            </w:r>
          </w:p>
        </w:tc>
        <w:tc>
          <w:tcPr>
            <w:tcW w:w="879" w:type="pct"/>
          </w:tcPr>
          <w:p w14:paraId="27C79FF0" w14:textId="430B9CA9" w:rsidR="00D518D6" w:rsidRPr="000124EB" w:rsidRDefault="00D518D6" w:rsidP="00D518D6">
            <w:pPr>
              <w:pStyle w:val="TableBody"/>
              <w:jc w:val="both"/>
              <w:rPr>
                <w:b/>
                <w:bCs/>
                <w:color w:val="auto"/>
                <w:sz w:val="18"/>
                <w:szCs w:val="18"/>
                <w:highlight w:val="yellow"/>
              </w:rPr>
            </w:pPr>
            <w:r w:rsidRPr="000124EB">
              <w:rPr>
                <w:sz w:val="18"/>
                <w:szCs w:val="18"/>
                <w:highlight w:val="yellow"/>
              </w:rPr>
              <w:t>Renewable energy for corporate facilities and 17.8 GW supplier clean energy</w:t>
            </w:r>
          </w:p>
        </w:tc>
        <w:tc>
          <w:tcPr>
            <w:tcW w:w="880" w:type="pct"/>
          </w:tcPr>
          <w:p w14:paraId="304F94A1" w14:textId="3A3CA361" w:rsidR="00D518D6" w:rsidRPr="000124EB" w:rsidRDefault="00D518D6" w:rsidP="00D518D6">
            <w:pPr>
              <w:pStyle w:val="TableBody"/>
              <w:jc w:val="both"/>
              <w:rPr>
                <w:b/>
                <w:bCs/>
                <w:color w:val="auto"/>
                <w:sz w:val="18"/>
                <w:szCs w:val="18"/>
                <w:highlight w:val="yellow"/>
              </w:rPr>
            </w:pPr>
            <w:r w:rsidRPr="000124EB">
              <w:rPr>
                <w:sz w:val="18"/>
                <w:szCs w:val="18"/>
                <w:highlight w:val="yellow"/>
              </w:rPr>
              <w:t>Corporate-facility renewable matching and supply-chain procurement</w:t>
            </w:r>
          </w:p>
        </w:tc>
        <w:tc>
          <w:tcPr>
            <w:tcW w:w="730" w:type="pct"/>
          </w:tcPr>
          <w:p w14:paraId="7805A12D" w14:textId="1DB67950" w:rsidR="00D518D6" w:rsidRPr="000124EB" w:rsidRDefault="00D518D6" w:rsidP="00D518D6">
            <w:pPr>
              <w:pStyle w:val="TableBody"/>
              <w:jc w:val="both"/>
              <w:rPr>
                <w:b/>
                <w:bCs/>
                <w:color w:val="auto"/>
                <w:sz w:val="18"/>
                <w:szCs w:val="18"/>
                <w:highlight w:val="yellow"/>
              </w:rPr>
            </w:pPr>
            <w:r w:rsidRPr="000124EB">
              <w:rPr>
                <w:sz w:val="18"/>
                <w:szCs w:val="18"/>
                <w:highlight w:val="yellow"/>
              </w:rPr>
              <w:t>Components 2, 6, and 7</w:t>
            </w:r>
          </w:p>
        </w:tc>
        <w:tc>
          <w:tcPr>
            <w:tcW w:w="711" w:type="pct"/>
          </w:tcPr>
          <w:p w14:paraId="0B054080" w14:textId="731DAAE9" w:rsidR="00D518D6" w:rsidRPr="00BC04A7" w:rsidRDefault="00D518D6" w:rsidP="00D518D6">
            <w:pPr>
              <w:pStyle w:val="TableBody"/>
              <w:jc w:val="both"/>
              <w:rPr>
                <w:b/>
                <w:bCs/>
                <w:color w:val="auto"/>
                <w:sz w:val="18"/>
                <w:szCs w:val="18"/>
              </w:rPr>
            </w:pPr>
            <w:r w:rsidRPr="000124EB">
              <w:rPr>
                <w:sz w:val="18"/>
                <w:szCs w:val="18"/>
                <w:highlight w:val="yellow"/>
              </w:rPr>
              <w:t>Corporate matching does not demonstrate continuous physical renewable supply</w:t>
            </w:r>
          </w:p>
        </w:tc>
      </w:tr>
    </w:tbl>
    <w:p w14:paraId="55BA1A55" w14:textId="2E5B40DE" w:rsidR="00C27947" w:rsidRPr="00C27947" w:rsidRDefault="00FE013C" w:rsidP="00C27947">
      <w:pPr>
        <w:spacing w:after="120"/>
        <w:ind w:firstLine="480"/>
        <w:rPr>
          <w:lang w:val="en-CA"/>
        </w:rPr>
      </w:pPr>
      <w:r>
        <w:t xml:space="preserve">The common success factors identified across all five case studies include the following: (1) long-term renewable procurement through PPAs or owned generation, providing price stability and supply certainty; (2) geographic diversification of data </w:t>
      </w:r>
      <w:r w:rsidR="00580BAE">
        <w:t>center</w:t>
      </w:r>
      <w:r>
        <w:t xml:space="preserve"> capacity across regions with complementary renewable resources; (3) active engagement in workload flexibility and load shifting to </w:t>
      </w:r>
      <w:r w:rsidR="00030122">
        <w:t>maximize</w:t>
      </w:r>
      <w:r>
        <w:t xml:space="preserve"> </w:t>
      </w:r>
      <w:r>
        <w:lastRenderedPageBreak/>
        <w:t xml:space="preserve">renewable </w:t>
      </w:r>
      <w:r w:rsidR="00030122">
        <w:t>utilization</w:t>
      </w:r>
      <w:r>
        <w:t xml:space="preserve">; (4) proactive regulatory engagement to shape supportive policy environments; and (5) investment in proprietary technology and control systems that enable sophisticated energy management. </w:t>
      </w:r>
      <w:r w:rsidR="00C27947" w:rsidRPr="00C27947">
        <w:rPr>
          <w:lang w:val="en-CA"/>
        </w:rPr>
        <w:t>These recurring practices are consistent with the multi-component structure of the proposed framework, but they do not constitute experimental validation of the framework. Public corporate evidence is best used to test whether the framework captures decision dimensions that appear in real deployments.</w:t>
      </w:r>
    </w:p>
    <w:p w14:paraId="1CF7A4A1" w14:textId="5F911E85" w:rsidR="00FE013C" w:rsidRPr="00D06DCD" w:rsidRDefault="00FE013C" w:rsidP="00D06DCD">
      <w:pPr>
        <w:pStyle w:val="Heading20"/>
        <w:jc w:val="both"/>
        <w:rPr>
          <w:color w:val="auto"/>
          <w:highlight w:val="yellow"/>
        </w:rPr>
      </w:pPr>
      <w:r w:rsidRPr="00D06DCD">
        <w:rPr>
          <w:color w:val="auto"/>
          <w:highlight w:val="yellow"/>
        </w:rPr>
        <w:t>9. Technical Challenges and Solutions</w:t>
      </w:r>
    </w:p>
    <w:p w14:paraId="63737E71" w14:textId="77777777" w:rsidR="00FE013C" w:rsidRDefault="00FE013C" w:rsidP="004C16FF">
      <w:pPr>
        <w:spacing w:after="120"/>
        <w:ind w:firstLine="480"/>
      </w:pPr>
      <w:r>
        <w:t>This section provides a detailed examination of the principal technical barriers to high-renewable-penetration data center operation and presents state-of-the-art mitigation strategies. Each challenge is analyzed with respect to its physical basis, impact on system design and operation, and available or emerging solutions.</w:t>
      </w:r>
    </w:p>
    <w:p w14:paraId="60C6999A" w14:textId="77777777" w:rsidR="00FE013C" w:rsidRPr="002A6586" w:rsidRDefault="00FE013C" w:rsidP="004C16FF">
      <w:pPr>
        <w:pStyle w:val="Heading20"/>
        <w:jc w:val="both"/>
        <w:rPr>
          <w:color w:val="auto"/>
          <w:highlight w:val="yellow"/>
        </w:rPr>
      </w:pPr>
      <w:r w:rsidRPr="002A6586">
        <w:rPr>
          <w:color w:val="auto"/>
          <w:highlight w:val="yellow"/>
        </w:rPr>
        <w:t>9.1 Intermittency and Predictability</w:t>
      </w:r>
    </w:p>
    <w:p w14:paraId="64B116EA" w14:textId="506CA8C8" w:rsidR="00044955" w:rsidRPr="002A6586" w:rsidRDefault="00044955" w:rsidP="004E7A62">
      <w:pPr>
        <w:spacing w:after="120"/>
        <w:ind w:firstLine="480"/>
        <w:rPr>
          <w:highlight w:val="yellow"/>
        </w:rPr>
      </w:pPr>
      <w:r w:rsidRPr="002A6586">
        <w:rPr>
          <w:highlight w:val="yellow"/>
        </w:rPr>
        <w:t>Solar and wind generation is unpredictable on a range of time levels from seconds and minutes right up to seasons. Forecast error also creates uncertainty in the scheduling and dispatching and this uncertainty needs to be addressed by a mix of flexible demand, storage, grid exchange, backup resources and operating reserves. However, storage duration cannot be determined from a generalized solar-only or wind-only range, as this requirement varies based on chronological resource profile, load characteristics, grid availability, reliability requirements, and operational strategy. For project sizing, multi-year chronological analysis should be used with the temporal resolution relevant to the planning question</w:t>
      </w:r>
      <w:r w:rsidRPr="002A6586">
        <w:rPr>
          <w:highlight w:val="yellow"/>
        </w:rPr>
        <w:fldChar w:fldCharType="begin"/>
      </w:r>
      <w:r w:rsidR="001D1223">
        <w:rPr>
          <w:highlight w:val="yellow"/>
        </w:rPr>
        <w:instrText xml:space="preserve"> ADDIN ZOTERO_ITEM CSL_CITATION {"citationID":"AurF55j7","properties":{"unsorted":false,"formattedCitation":"[82]","plainCitation":"[82]","noteIndex":0},"citationItems":[{"id":2031,"uris":["http://zotero.org/users/9870935/items/AC53WR7L"],"itemData":{"id":2031,"type":"article-journal","abstract":"The demand for computing power has increased at a rate never seen before due to the quick development of artificial intelligence (AI) technologies and applications. Consequently, AI data centers, referring to computing facilities specifically designed for large-scale artificial intelligence workloads, have become one of the fastest-growing electricity consumers globally. Therefore, it is essential to understand the load characteristics of AI data centers and their impact on the grid. This paper provides a comprehensive review of the evolving energy landscape of AI data centers. Specifically, this paper (i) presents the energy consumption structure in AI data centers and analyzes the key workload features and patterns in four stages, emphasizing how high power density, temporal variability, and cooling requirements shape total energy use, (ii) examines the impacts of AI data centers for power systems, including impacts on grid stability, reliability and power quality, electricity markets and pricing, economic dispatch and reserve scheduling, and infrastructure planning and coordination, (iii) presents key technological, operational and sustainability challenges for AI data centers, including renewable energy integration, waste heat utilization, carbon-neutral operation, and water–energy nexus constraints, (iv) evaluates emerging solutions and opportunities, spanning grid-side measures, data-center-side strategies, and user-side demand-flexibility mechanisms, (v) identifies future research priorities and policy directions to enable the sustainable co-evolution of AI infrastructure and electric power systems. The review aims to support utilities, system operators, and researchers in maintaining reliable, resilient, and sustainable grid operation in the context of the rapid development of AI data centers.","container-title":"Energies","DOI":"10.3390/en19030722","ISSN":"1996-1073","issue":"3","journalAbbreviation":"Energies","language":"en","page":"722","source":"DOI.org (Crossref)","title":"Power for AI Data Centers: Energy Demand, Grid Impacts, Challenges and Perspectives","title-short":"Power for AI Data Centers","volume":"19","author":[{"family":"Sheng","given":"Yu"},{"family":"Zhang","given":"Chenxuan"},{"family":"Zhu","given":"Zixuan"},{"family":"Xu","given":"Hongyi"},{"family":"Wen","given":"Junqi"},{"family":"Wang","given":"Ruoheng"},{"family":"Yang","given":"Jianjun"},{"family":"Wang","given":"Qin"},{"family":"Bu","given":"Siqi"}],"issued":{"date-parts":[["2026",1,29]]}}}],"schema":"https://github.com/citation-style-language/schema/raw/master/csl-citation.json"} </w:instrText>
      </w:r>
      <w:r w:rsidRPr="002A6586">
        <w:rPr>
          <w:highlight w:val="yellow"/>
        </w:rPr>
        <w:fldChar w:fldCharType="separate"/>
      </w:r>
      <w:r w:rsidR="001D1223" w:rsidRPr="001D1223">
        <w:rPr>
          <w:highlight w:val="yellow"/>
        </w:rPr>
        <w:t>[82]</w:t>
      </w:r>
      <w:r w:rsidRPr="002A6586">
        <w:rPr>
          <w:highlight w:val="yellow"/>
        </w:rPr>
        <w:fldChar w:fldCharType="end"/>
      </w:r>
      <w:r w:rsidRPr="002A6586">
        <w:rPr>
          <w:highlight w:val="yellow"/>
        </w:rPr>
        <w:t xml:space="preserve">, </w:t>
      </w:r>
      <w:r w:rsidRPr="002A6586">
        <w:rPr>
          <w:highlight w:val="yellow"/>
        </w:rPr>
        <w:fldChar w:fldCharType="begin"/>
      </w:r>
      <w:r w:rsidR="004E7A62">
        <w:rPr>
          <w:highlight w:val="yellow"/>
        </w:rPr>
        <w:instrText xml:space="preserve"> ADDIN ZOTERO_ITEM CSL_CITATION {"citationID":"B5ImwyE7","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Pr="002A6586">
        <w:rPr>
          <w:highlight w:val="yellow"/>
        </w:rPr>
        <w:fldChar w:fldCharType="separate"/>
      </w:r>
      <w:r w:rsidR="004E7A62" w:rsidRPr="004E7A62">
        <w:rPr>
          <w:highlight w:val="yellow"/>
        </w:rPr>
        <w:t>[140]</w:t>
      </w:r>
      <w:r w:rsidRPr="002A6586">
        <w:rPr>
          <w:highlight w:val="yellow"/>
        </w:rPr>
        <w:fldChar w:fldCharType="end"/>
      </w:r>
      <w:r w:rsidRPr="002A6586">
        <w:rPr>
          <w:highlight w:val="yellow"/>
        </w:rPr>
        <w:t>.</w:t>
      </w:r>
    </w:p>
    <w:p w14:paraId="12AA3842" w14:textId="27A86266" w:rsidR="00FE013C" w:rsidRPr="002A6586" w:rsidRDefault="0000519F" w:rsidP="00E842C0">
      <w:pPr>
        <w:spacing w:after="120"/>
        <w:ind w:firstLine="480"/>
        <w:rPr>
          <w:highlight w:val="yellow"/>
        </w:rPr>
      </w:pPr>
      <w:r w:rsidRPr="002A6586">
        <w:rPr>
          <w:highlight w:val="yellow"/>
        </w:rPr>
        <w:t xml:space="preserve">Geographic diversity across multiple facilities can reduce aggregate renewable-generation variability when renewable-resource profiles are not strongly correlated. Published studies have shown that spatial smoothing may improve generation diversity and reduce variability relative to single-site deployments; however, the magnitude of the benefit depends on geographic separation, weather patterns, resource characteristics, transmission availability, and temporal resolution of the analysis </w:t>
      </w:r>
      <w:r w:rsidR="00FE013C" w:rsidRPr="002A6586">
        <w:rPr>
          <w:highlight w:val="yellow"/>
        </w:rPr>
        <w:fldChar w:fldCharType="begin"/>
      </w:r>
      <w:r w:rsidR="00A95675">
        <w:rPr>
          <w:highlight w:val="yellow"/>
        </w:rPr>
        <w:instrText xml:space="preserve"> ADDIN ZOTERO_ITEM CSL_CITATION {"citationID":"ntStXCHv","properties":{"unsorted":false,"formattedCitation":"[104]","plainCitation":"[104]","noteIndex":0},"citationItems":[{"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schema":"https://github.com/citation-style-language/schema/raw/master/csl-citation.json"} </w:instrText>
      </w:r>
      <w:r w:rsidR="00FE013C" w:rsidRPr="002A6586">
        <w:rPr>
          <w:highlight w:val="yellow"/>
        </w:rPr>
        <w:fldChar w:fldCharType="separate"/>
      </w:r>
      <w:r w:rsidR="00A95675" w:rsidRPr="00A95675">
        <w:rPr>
          <w:highlight w:val="yellow"/>
        </w:rPr>
        <w:t>[104]</w:t>
      </w:r>
      <w:r w:rsidR="00FE013C" w:rsidRPr="002A6586">
        <w:rPr>
          <w:highlight w:val="yellow"/>
        </w:rPr>
        <w:fldChar w:fldCharType="end"/>
      </w:r>
      <w:r w:rsidR="00FE013C" w:rsidRPr="002A6586">
        <w:rPr>
          <w:highlight w:val="yellow"/>
        </w:rPr>
        <w:t xml:space="preserve">. </w:t>
      </w:r>
      <w:r w:rsidR="00604B63" w:rsidRPr="002A6586">
        <w:rPr>
          <w:highlight w:val="yellow"/>
        </w:rPr>
        <w:t xml:space="preserve">Consequently, any reduction in storage requirements or renewable-generation variability should be quantified using geographically resolved chronological simulations rather than assumed from generalized percentages. For multi-facility operators, geographic diversification may improve system flexibility and renewable-energy utilization while enabling more effective use of shared transmission and grid-interconnection infrastructure </w:t>
      </w:r>
      <w:r w:rsidR="00FE013C" w:rsidRPr="002A6586">
        <w:rPr>
          <w:highlight w:val="yellow"/>
        </w:rPr>
        <w:fldChar w:fldCharType="begin"/>
      </w:r>
      <w:r w:rsidR="00E842C0">
        <w:rPr>
          <w:highlight w:val="yellow"/>
        </w:rPr>
        <w:instrText xml:space="preserve"> ADDIN ZOTERO_ITEM CSL_CITATION {"citationID":"0CGGN4om","properties":{"unsorted":false,"formattedCitation":"[149]","plainCitation":"[149]","noteIndex":0},"citationItems":[{"id":217,"uris":["http://zotero.org/users/9870935/items/MST8XCTD"],"itemData":{"id":217,"type":"article-journal","container-title":"IEEE Access","DOI":"10.1109/ACCESS.2023.3314742","ISSN":"2169-3536","journalAbbreviation":"IEEE Access","license":"https://creativecommons.org/licenses/by-nc-nd/4.0/","page":"100438-100457","source":"DOI.org (Crossref)","title":"Harmonics Forecasting of Wind and Solar Hybrid Model Based on Deep Machine Learning","volume":"11","author":[{"family":"Hadi","given":"Fawaz M. Al"},{"family":"Aly","given":"Hamed H."},{"family":"Little","given":"Timothy"}],"issued":{"date-parts":[["2023"]]}}}],"schema":"https://github.com/citation-style-language/schema/raw/master/csl-citation.json"} </w:instrText>
      </w:r>
      <w:r w:rsidR="00FE013C" w:rsidRPr="002A6586">
        <w:rPr>
          <w:highlight w:val="yellow"/>
        </w:rPr>
        <w:fldChar w:fldCharType="separate"/>
      </w:r>
      <w:r w:rsidR="00E842C0" w:rsidRPr="00E842C0">
        <w:rPr>
          <w:highlight w:val="yellow"/>
        </w:rPr>
        <w:t>[149]</w:t>
      </w:r>
      <w:r w:rsidR="00FE013C" w:rsidRPr="002A6586">
        <w:rPr>
          <w:highlight w:val="yellow"/>
        </w:rPr>
        <w:fldChar w:fldCharType="end"/>
      </w:r>
      <w:r w:rsidR="00FE013C" w:rsidRPr="002A6586">
        <w:rPr>
          <w:highlight w:val="yellow"/>
        </w:rPr>
        <w:t>.</w:t>
      </w:r>
    </w:p>
    <w:p w14:paraId="273CF30D" w14:textId="77777777" w:rsidR="00FE013C" w:rsidRPr="002A6586" w:rsidRDefault="00FE013C" w:rsidP="004C16FF">
      <w:pPr>
        <w:pStyle w:val="Heading20"/>
        <w:jc w:val="both"/>
        <w:rPr>
          <w:color w:val="auto"/>
          <w:highlight w:val="yellow"/>
        </w:rPr>
      </w:pPr>
      <w:r w:rsidRPr="002A6586">
        <w:rPr>
          <w:color w:val="auto"/>
          <w:highlight w:val="yellow"/>
        </w:rPr>
        <w:t>9.2 Grid Stability and Frequency Control</w:t>
      </w:r>
    </w:p>
    <w:p w14:paraId="6845009A" w14:textId="77777777" w:rsidR="00FE013C" w:rsidRPr="002A6586" w:rsidRDefault="00FE013C" w:rsidP="004C16FF">
      <w:pPr>
        <w:spacing w:after="120"/>
        <w:ind w:firstLine="480"/>
        <w:rPr>
          <w:highlight w:val="yellow"/>
        </w:rPr>
      </w:pPr>
      <w:r w:rsidRPr="002A6586">
        <w:rPr>
          <w:highlight w:val="yellow"/>
        </w:rPr>
        <w:t>Synchronous generators are being replaced by inverter-based resources, which diminishes the natural inertia that helps regulate grid frequency when disturbances occur, making it more difficult to maintain the frequency within acceptable limits. With high levels of renewable generation (above 50%), the rate of change of frequency (RoCoF) after a generator trip or load change may be beyond traditional governor-based frequency response, which can lead to load shedding or cascading events. The response time of grid-forming inverters is milliseconds, as opposed to seconds, making them more responsive to the effects of inertia than synchronous machines, and can be achieved using control algorithms that replicate the inertial reaction of a synchronous machine</w:t>
      </w:r>
      <w:r w:rsidRPr="002A6586">
        <w:rPr>
          <w:highlight w:val="yellow"/>
        </w:rPr>
        <w:fldChar w:fldCharType="begin"/>
      </w:r>
      <w:r w:rsidRPr="002A6586">
        <w:rPr>
          <w:highlight w:val="yellow"/>
        </w:rPr>
        <w:instrText xml:space="preserve"> ADDIN ZOTERO_ITEM CSL_CITATION {"citationID":"Anw73x1P","properties":{"unsorted":false,"formattedCitation":"[18]","plainCitation":"[18]","noteIndex":0},"citationItems":[{"id":1927,"uris":["http://zotero.org/users/9870935/items/PZK7R79L"],"itemData":{"id":1927,"type":"article-journal","abstract":"The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Operation","volume":"8","author":[{"family":"Song","given":"Guanhong"},{"family":"Cao","given":"Bo"},{"family":"Chang","given":"Liuchen"}],"issued":{"date-parts":[["2022",3]]}}}],"schema":"https://github.com/citation-style-language/schema/raw/master/csl-citation.json"} </w:instrText>
      </w:r>
      <w:r w:rsidRPr="002A6586">
        <w:rPr>
          <w:highlight w:val="yellow"/>
        </w:rPr>
        <w:fldChar w:fldCharType="separate"/>
      </w:r>
      <w:r w:rsidRPr="002A6586">
        <w:rPr>
          <w:highlight w:val="yellow"/>
        </w:rPr>
        <w:t>[18]</w:t>
      </w:r>
      <w:r w:rsidRPr="002A6586">
        <w:rPr>
          <w:highlight w:val="yellow"/>
        </w:rPr>
        <w:fldChar w:fldCharType="end"/>
      </w:r>
      <w:r w:rsidRPr="002A6586">
        <w:rPr>
          <w:highlight w:val="yellow"/>
        </w:rPr>
        <w:t>.</w:t>
      </w:r>
    </w:p>
    <w:p w14:paraId="3A350DB4" w14:textId="27959E3B" w:rsidR="00FE013C" w:rsidRPr="002A6586" w:rsidRDefault="00FE013C" w:rsidP="00E842C0">
      <w:pPr>
        <w:spacing w:after="120"/>
        <w:ind w:firstLine="480"/>
        <w:rPr>
          <w:highlight w:val="yellow"/>
        </w:rPr>
      </w:pPr>
      <w:r w:rsidRPr="002A6586">
        <w:rPr>
          <w:highlight w:val="yellow"/>
        </w:rPr>
        <w:lastRenderedPageBreak/>
        <w:t xml:space="preserve">Weak grid conditions, where the short circuit ratio at the point of interconnection is low, also pose stability issues. In such cases, the voltage at the point of interconnection is significantly affected by the output of the renewable plant, and grid-following inverters with PLL control can display instability or oscillatory operation. These solutions involve the deployment of grid-forming inverters, synchronous condensers (rotating masses without generation capacity) that provide inertia and reactive power support, STATCOM devices for dynamic voltage regulation, and the fast frequency response of battery systems that can inject or absorb power in sub-second time </w:t>
      </w:r>
      <w:r w:rsidRPr="002A6586">
        <w:rPr>
          <w:highlight w:val="yellow"/>
        </w:rPr>
        <w:fldChar w:fldCharType="begin"/>
      </w:r>
      <w:r w:rsidR="00E842C0">
        <w:rPr>
          <w:highlight w:val="yellow"/>
        </w:rPr>
        <w:instrText xml:space="preserve"> ADDIN ZOTERO_ITEM CSL_CITATION {"citationID":"MGfld3cH","properties":{"unsorted":false,"formattedCitation":"[151]","plainCitation":"[151]","noteIndex":0},"citationItems":[{"id":1100,"uris":["http://zotero.org/users/9870935/items/E7VUD4ZH"],"itemData":{"id":1100,"type":"article-journal","abstract":"Abstract\n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sidRPr="002A6586">
        <w:rPr>
          <w:highlight w:val="yellow"/>
        </w:rPr>
        <w:fldChar w:fldCharType="separate"/>
      </w:r>
      <w:r w:rsidR="00E842C0" w:rsidRPr="00E842C0">
        <w:rPr>
          <w:highlight w:val="yellow"/>
        </w:rPr>
        <w:t>[151]</w:t>
      </w:r>
      <w:r w:rsidRPr="002A6586">
        <w:rPr>
          <w:highlight w:val="yellow"/>
        </w:rPr>
        <w:fldChar w:fldCharType="end"/>
      </w:r>
      <w:r w:rsidRPr="002A6586">
        <w:rPr>
          <w:highlight w:val="yellow"/>
        </w:rPr>
        <w:t>.</w:t>
      </w:r>
    </w:p>
    <w:p w14:paraId="205B929A" w14:textId="77777777" w:rsidR="00FE013C" w:rsidRPr="002A6586" w:rsidRDefault="00FE013C" w:rsidP="004C16FF">
      <w:pPr>
        <w:pStyle w:val="Heading20"/>
        <w:jc w:val="both"/>
        <w:rPr>
          <w:color w:val="auto"/>
          <w:highlight w:val="yellow"/>
        </w:rPr>
      </w:pPr>
      <w:r w:rsidRPr="002A6586">
        <w:rPr>
          <w:color w:val="auto"/>
          <w:highlight w:val="yellow"/>
        </w:rPr>
        <w:t>9.3 Power quality and Harmonic Distortion</w:t>
      </w:r>
    </w:p>
    <w:p w14:paraId="7413DA1C" w14:textId="37EF639C" w:rsidR="00FE013C" w:rsidRPr="002A6586" w:rsidRDefault="00FE013C" w:rsidP="00A95675">
      <w:pPr>
        <w:spacing w:after="120"/>
        <w:ind w:firstLine="480"/>
        <w:rPr>
          <w:highlight w:val="yellow"/>
        </w:rPr>
      </w:pPr>
      <w:r w:rsidRPr="002A6586">
        <w:rPr>
          <w:highlight w:val="yellow"/>
        </w:rPr>
        <w:t xml:space="preserve">Data </w:t>
      </w:r>
      <w:r w:rsidR="00580BAE" w:rsidRPr="002A6586">
        <w:rPr>
          <w:highlight w:val="yellow"/>
        </w:rPr>
        <w:t>center</w:t>
      </w:r>
      <w:r w:rsidRPr="002A6586">
        <w:rPr>
          <w:highlight w:val="yellow"/>
        </w:rPr>
        <w:t xml:space="preserve"> loads contribute harmonics in several ways: SMPSs consume non-sinusoidal current that includes harmonics of the third, fifth, and seventh orders; VFDs that are used for cooling systems introduce harmonics related to their switching frequency; and renewable inverters with pulse-width modulation (PWM) switching create harmonics linked to their switching patterns. The cumulative impact of many individual loads can cause THD to be greater than the IEEE 519 standard of 5% at the POC, especially when the load is light and the harmonic currents are significant portions of the total current</w:t>
      </w:r>
      <w:r w:rsidRPr="002A6586">
        <w:rPr>
          <w:highlight w:val="yellow"/>
        </w:rPr>
        <w:fldChar w:fldCharType="begin"/>
      </w:r>
      <w:r w:rsidR="00A95675">
        <w:rPr>
          <w:highlight w:val="yellow"/>
        </w:rPr>
        <w:instrText xml:space="preserve"> ADDIN ZOTERO_ITEM CSL_CITATION {"citationID":"UtPmplxF","properties":{"unsorted":false,"formattedCitation":"[49]","plainCitation":"[49]","noteIndex":0},"citationItems":[{"id":1993,"uris":["http://zotero.org/users/9870935/items/2D54TKGT"],"itemData":{"id":1993,"type":"paper-conference","container-title":"2024 21st International Conference on Harmonics and Quality of Power (ICHQP)","DOI":"10.1109/ICHQP61174.2024.10768696","event-title":"2024 21st International Conference on Harmonics and Quality of Power (ICHQP)","ISBN":"979-8-3503-8256-3","license":"https://doi.org/10.15223/policy-029","page":"415-420","publisher":"IEEE","publisher-place":"Chengdu, China","source":"DOI.org (Crossref)","title":"Review of revisions of IEEE 519 Standard on Power System Harmonics (1981 to 2022)","URL":"https://ieeexplore.ieee.org/document/10768696/","author":[{"family":"Shelar","given":"Sachin"},{"family":"Bankar","given":"Deepak"},{"family":"Bakre","given":"Shashikant"}],"accessed":{"date-parts":[["2026",5,16]]},"issued":{"date-parts":[["2024",10,15]]}}}],"schema":"https://github.com/citation-style-language/schema/raw/master/csl-citation.json"} </w:instrText>
      </w:r>
      <w:r w:rsidRPr="002A6586">
        <w:rPr>
          <w:highlight w:val="yellow"/>
        </w:rPr>
        <w:fldChar w:fldCharType="separate"/>
      </w:r>
      <w:r w:rsidR="00A95675" w:rsidRPr="00A95675">
        <w:rPr>
          <w:highlight w:val="yellow"/>
        </w:rPr>
        <w:t>[49]</w:t>
      </w:r>
      <w:r w:rsidRPr="002A6586">
        <w:rPr>
          <w:highlight w:val="yellow"/>
        </w:rPr>
        <w:fldChar w:fldCharType="end"/>
      </w:r>
      <w:r w:rsidRPr="002A6586">
        <w:rPr>
          <w:highlight w:val="yellow"/>
        </w:rPr>
        <w:t>.</w:t>
      </w:r>
    </w:p>
    <w:p w14:paraId="38A35EE8" w14:textId="7588378E" w:rsidR="00FE013C" w:rsidRPr="002A6586" w:rsidRDefault="00FE013C" w:rsidP="001D1223">
      <w:pPr>
        <w:spacing w:after="120"/>
        <w:ind w:firstLine="480"/>
        <w:rPr>
          <w:highlight w:val="yellow"/>
        </w:rPr>
      </w:pPr>
      <w:r w:rsidRPr="002A6586">
        <w:rPr>
          <w:highlight w:val="yellow"/>
        </w:rPr>
        <w:t xml:space="preserve">Active power filters (APFs) continuously monitor harmonic currents and feed the compensating currents into the system, resulting in a reduction of THD down to less than 3%; multi-pulse rectifiers (12-pulse, 18-pulse, or 24-pulse) are a natural solution for cancellation of low-order harmonics through phase-shifting transformer configurations; passive LC filters tuned to the harmonic frequencies are other solutions that are available. In the case of renewable-powered data </w:t>
      </w:r>
      <w:r w:rsidR="00580BAE" w:rsidRPr="002A6586">
        <w:rPr>
          <w:highlight w:val="yellow"/>
        </w:rPr>
        <w:t>center</w:t>
      </w:r>
      <w:r w:rsidRPr="002A6586">
        <w:rPr>
          <w:highlight w:val="yellow"/>
        </w:rPr>
        <w:t>s, a combination of inverter harmonics and load harmonics requires system-level analysis using harmonic impedance scanning and frequency-domain simulation to determine the resonance conditions that may amplify harmonics of interest</w:t>
      </w:r>
      <w:r w:rsidRPr="002A6586">
        <w:rPr>
          <w:highlight w:val="yellow"/>
        </w:rPr>
        <w:fldChar w:fldCharType="begin"/>
      </w:r>
      <w:r w:rsidR="001D1223">
        <w:rPr>
          <w:highlight w:val="yellow"/>
        </w:rPr>
        <w:instrText xml:space="preserve"> ADDIN ZOTERO_ITEM CSL_CITATION {"citationID":"NFe4OOQX","properties":{"unsorted":false,"formattedCitation":"[59]","plainCitation":"[59]","noteIndex":0},"citationItems":[{"id":2101,"uris":["http://zotero.org/users/9870935/items/VB4B8XL6"],"itemData":{"id":2101,"type":"book","DOI":"10.1002/9781118887059","edition":"1","ISBN":"978-1-118-86162-2","language":"en","publisher":"Wiley","source":"DOI.org (Crossref)","title":"Power System Harmonics and Passive Filter Designs","URL":"https://onlinelibrary.wiley.com/doi/book/10.1002/9781118887059","author":[{"family":"Das","given":"J. C."}],"accessed":{"date-parts":[["2026",5,18]]},"issued":{"date-parts":[["2015",3,16]]}}}],"schema":"https://github.com/citation-style-language/schema/raw/master/csl-citation.json"} </w:instrText>
      </w:r>
      <w:r w:rsidRPr="002A6586">
        <w:rPr>
          <w:highlight w:val="yellow"/>
        </w:rPr>
        <w:fldChar w:fldCharType="separate"/>
      </w:r>
      <w:r w:rsidR="001D1223" w:rsidRPr="001D1223">
        <w:rPr>
          <w:highlight w:val="yellow"/>
        </w:rPr>
        <w:t>[59]</w:t>
      </w:r>
      <w:r w:rsidRPr="002A6586">
        <w:rPr>
          <w:highlight w:val="yellow"/>
        </w:rPr>
        <w:fldChar w:fldCharType="end"/>
      </w:r>
      <w:r w:rsidRPr="002A6586">
        <w:rPr>
          <w:highlight w:val="yellow"/>
        </w:rPr>
        <w:t>.</w:t>
      </w:r>
    </w:p>
    <w:p w14:paraId="6E7CB223" w14:textId="77777777" w:rsidR="00FE013C" w:rsidRPr="002A6586" w:rsidRDefault="00FE013C" w:rsidP="004C16FF">
      <w:pPr>
        <w:pStyle w:val="Heading20"/>
        <w:jc w:val="both"/>
        <w:rPr>
          <w:color w:val="auto"/>
          <w:highlight w:val="yellow"/>
        </w:rPr>
      </w:pPr>
      <w:r w:rsidRPr="002A6586">
        <w:rPr>
          <w:color w:val="auto"/>
          <w:highlight w:val="yellow"/>
        </w:rPr>
        <w:t>9.4 Grid Interconnection Complexity</w:t>
      </w:r>
    </w:p>
    <w:p w14:paraId="48C784C2" w14:textId="3AE60DE7" w:rsidR="00404B18" w:rsidRPr="002A6586" w:rsidRDefault="00404B18" w:rsidP="00404B18">
      <w:pPr>
        <w:spacing w:after="120"/>
        <w:ind w:firstLine="480"/>
        <w:rPr>
          <w:highlight w:val="yellow"/>
        </w:rPr>
      </w:pPr>
      <w:r w:rsidRPr="002A6586">
        <w:rPr>
          <w:highlight w:val="yellow"/>
        </w:rPr>
        <w:t>Interconnection with the grid can become a core limitation for renewable energy based data-center development. Some study timelines, application requirements, application deposits, upgrade costs, and construction timing can differ dramatically by applicable system operator, project size, interconnection voltage, network conditions, and requested service. These parameters (generalized queue duration, study cost, and upgrade-cost ranges) should not be considered as general project parameters. Interconnection planning should instead be done using the existing procedures, requirements, and applicable project specific studies by the applicable utility, regional transmission organization (RTO), independent system operator (ISO), or transmission provider</w:t>
      </w:r>
      <w:r w:rsidR="0088199A" w:rsidRPr="002A6586">
        <w:rPr>
          <w:highlight w:val="yellow"/>
        </w:rPr>
        <w:t xml:space="preserve"> </w:t>
      </w:r>
      <w:r w:rsidR="004F3F4A" w:rsidRPr="002A6586">
        <w:rPr>
          <w:highlight w:val="yellow"/>
        </w:rPr>
        <w:fldChar w:fldCharType="begin"/>
      </w:r>
      <w:r w:rsidR="004F3F4A" w:rsidRPr="002A6586">
        <w:rPr>
          <w:highlight w:val="yellow"/>
        </w:rPr>
        <w:instrText xml:space="preserve"> ADDIN ZOTERO_ITEM CSL_CITATION {"citationID":"RlODVJTM","properties":{"unsorted":false,"formattedCitation":"[24]","plainCitation":"[24]","noteIndex":0},"citationItems":[{"id":1948,"uris":["http://zotero.org/users/9870935/items/H8VJGQHI"],"itemData":{"id":1948,"type":"post-weblog","title":"Improvements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4F3F4A" w:rsidRPr="002A6586">
        <w:rPr>
          <w:highlight w:val="yellow"/>
        </w:rPr>
        <w:fldChar w:fldCharType="separate"/>
      </w:r>
      <w:r w:rsidR="004F3F4A" w:rsidRPr="002A6586">
        <w:rPr>
          <w:highlight w:val="yellow"/>
        </w:rPr>
        <w:t>[24]</w:t>
      </w:r>
      <w:r w:rsidR="004F3F4A" w:rsidRPr="002A6586">
        <w:rPr>
          <w:highlight w:val="yellow"/>
        </w:rPr>
        <w:fldChar w:fldCharType="end"/>
      </w:r>
      <w:r w:rsidR="0088199A" w:rsidRPr="002A6586">
        <w:rPr>
          <w:highlight w:val="yellow"/>
        </w:rPr>
        <w:t>.</w:t>
      </w:r>
    </w:p>
    <w:p w14:paraId="1E56E208" w14:textId="7856EBFC" w:rsidR="00404B18" w:rsidRPr="002A6586" w:rsidRDefault="00404B18" w:rsidP="00E842C0">
      <w:pPr>
        <w:spacing w:after="120"/>
        <w:ind w:firstLine="480"/>
        <w:rPr>
          <w:highlight w:val="yellow"/>
        </w:rPr>
      </w:pPr>
      <w:r w:rsidRPr="002A6586">
        <w:rPr>
          <w:highlight w:val="yellow"/>
        </w:rPr>
        <w:t>In July 2023, FERC issued Order No. 2023, which implemented changes to U.S. generator interconnection procedures, such as for cluster studies, generator readiness, measures to combat study delays, and queue management. The impact of these reforms in individual projects, however, varies by region, by utility operations, by project attributes, and by interconnection tariff. Therefore, Order No. 2023 should not be interpreted as fast-tracking or guarantee that interconnection delays or project costs will be lower</w:t>
      </w:r>
      <w:r w:rsidR="003B36C2" w:rsidRPr="002A6586">
        <w:rPr>
          <w:highlight w:val="yellow"/>
        </w:rPr>
        <w:t xml:space="preserve"> </w:t>
      </w:r>
      <w:r w:rsidR="0028021C" w:rsidRPr="002A6586">
        <w:rPr>
          <w:highlight w:val="yellow"/>
        </w:rPr>
        <w:fldChar w:fldCharType="begin"/>
      </w:r>
      <w:r w:rsidR="00C45F8A">
        <w:rPr>
          <w:highlight w:val="yellow"/>
        </w:rPr>
        <w:instrText xml:space="preserve"> ADDIN ZOTERO_ITEM CSL_CITATION {"citationID":"UiQ1J5NX","properties":{"unsorted":false,"formattedCitation":"[24]","plainCitation":"[24]","noteIndex":0},"citationItems":[{"id":1948,"uris":["http://zotero.org/users/9870935/items/H8VJGQHI"],"itemData":{"id":1948,"type":"post-weblog","title":"Improvements to Generator Interconnection Procedures and Agreements","URL":"https://www.federalregister.gov/documents/2023/09/06/2023-16628/improvements-to-generator-interconnection-procedures-and-agreements","accessed":{"date-parts":[["2023",9,6]]}}}],"schema":"https://github.com/citation-style-language/schema/raw/master/csl-citation.json"} </w:instrText>
      </w:r>
      <w:r w:rsidR="0028021C" w:rsidRPr="002A6586">
        <w:rPr>
          <w:highlight w:val="yellow"/>
        </w:rPr>
        <w:fldChar w:fldCharType="separate"/>
      </w:r>
      <w:r w:rsidR="0028021C" w:rsidRPr="002A6586">
        <w:rPr>
          <w:highlight w:val="yellow"/>
        </w:rPr>
        <w:t>[24]</w:t>
      </w:r>
      <w:r w:rsidR="0028021C" w:rsidRPr="002A6586">
        <w:rPr>
          <w:highlight w:val="yellow"/>
        </w:rPr>
        <w:fldChar w:fldCharType="end"/>
      </w:r>
      <w:r w:rsidRPr="002A6586">
        <w:rPr>
          <w:highlight w:val="yellow"/>
        </w:rPr>
        <w:t xml:space="preserve">, </w:t>
      </w:r>
      <w:r w:rsidR="009449FB" w:rsidRPr="002A6586">
        <w:rPr>
          <w:highlight w:val="yellow"/>
        </w:rPr>
        <w:fldChar w:fldCharType="begin"/>
      </w:r>
      <w:r w:rsidR="00E842C0">
        <w:rPr>
          <w:highlight w:val="yellow"/>
        </w:rPr>
        <w:instrText xml:space="preserve"> ADDIN ZOTERO_ITEM CSL_CITATION {"citationID":"kbAiY4Ky","properties":{"unsorted":false,"formattedCitation":"[152]","plainCitation":"[152]","noteIndex":0},"citationItems":[{"id":2146,"uris":["http://zotero.org/users/9870935/items/FR4FPZ9U"],"itemData":{"id":2146,"type":"article-journal","language":"en","source":"Zotero","title":"Beyond FERC Order 2023: Considerations on Deep Interconnection Reform","URL":"https://www.researchgate.net/publication/382074664_Beyond_FERC_Order_2023_Considerations_on_Deep_Interconnection_Reform","author":[{"family":"Institute","given":"Nicholas"}]}}],"schema":"https://github.com/citation-style-language/schema/raw/master/csl-citation.json"} </w:instrText>
      </w:r>
      <w:r w:rsidR="009449FB" w:rsidRPr="002A6586">
        <w:rPr>
          <w:highlight w:val="yellow"/>
        </w:rPr>
        <w:fldChar w:fldCharType="separate"/>
      </w:r>
      <w:r w:rsidR="00E842C0" w:rsidRPr="00E842C0">
        <w:rPr>
          <w:highlight w:val="yellow"/>
        </w:rPr>
        <w:t>[152]</w:t>
      </w:r>
      <w:r w:rsidR="009449FB" w:rsidRPr="002A6586">
        <w:rPr>
          <w:highlight w:val="yellow"/>
        </w:rPr>
        <w:fldChar w:fldCharType="end"/>
      </w:r>
      <w:r w:rsidR="003B36C2" w:rsidRPr="002A6586">
        <w:rPr>
          <w:highlight w:val="yellow"/>
        </w:rPr>
        <w:t>.</w:t>
      </w:r>
    </w:p>
    <w:p w14:paraId="20EE5620" w14:textId="56F2AF7D" w:rsidR="00404B18" w:rsidRPr="002A6586" w:rsidRDefault="00404B18" w:rsidP="00A95675">
      <w:pPr>
        <w:spacing w:after="120"/>
        <w:ind w:firstLine="480"/>
        <w:rPr>
          <w:highlight w:val="yellow"/>
        </w:rPr>
      </w:pPr>
      <w:r w:rsidRPr="002A6586">
        <w:rPr>
          <w:highlight w:val="yellow"/>
        </w:rPr>
        <w:t>The IEEE 1547-2018 specifies technical standards for interconnection and interoperability of distributed energy resources (DERs), such as anti-islanding protection, voltage and frequency ride-</w:t>
      </w:r>
      <w:r w:rsidRPr="002A6586">
        <w:rPr>
          <w:highlight w:val="yellow"/>
        </w:rPr>
        <w:lastRenderedPageBreak/>
        <w:t>through capabilities, and power-quality requirements. These performance requirements are detailed in IEEE 2800-2022 for larger inverter based resources (IBRs) at transmission or sub transmission voltage levels that involve system stability, voltage support, frequency response, and disturbance ride-through. The extent that these standards apply will be subject to project size, interconnection voltage, resource aspects, and local utility/system-operator requirements</w:t>
      </w:r>
      <w:r w:rsidR="005B66D3" w:rsidRPr="002A6586">
        <w:rPr>
          <w:highlight w:val="yellow"/>
        </w:rPr>
        <w:fldChar w:fldCharType="begin"/>
      </w:r>
      <w:r w:rsidR="00A95675">
        <w:rPr>
          <w:highlight w:val="yellow"/>
        </w:rPr>
        <w:instrText xml:space="preserve"> ADDIN ZOTERO_ITEM CSL_CITATION {"citationID":"aTXS1liU","properties":{"unsorted":false,"formattedCitation":"[48]","plainCitation":"[48]","noteIndex":0},"citationItems":[{"id":1990,"uris":["http://zotero.org/users/9870935/items/XCEZUJHB"],"itemData":{"id":1990,"type":"standard","DOI":"10.1109/IEEESTD.2022.9762253","ISBN":"978-1-5044-8462-6","license":"https://doi.org/10.15223/policy-029","publisher":"IEEE","source":"DOI.org (Crossref)","title":"IEEE Standard for Interconnection and Interoperability of Inverter-Based Resources (IBRs) Interconnecting with Associated Transmission Electric Power Systems","URL":"https://ieeexplore.ieee.org/document/9762253/","accessed":{"date-parts":[["2026",5,16]]}}}],"schema":"https://github.com/citation-style-language/schema/raw/master/csl-citation.json"} </w:instrText>
      </w:r>
      <w:r w:rsidR="005B66D3" w:rsidRPr="002A6586">
        <w:rPr>
          <w:highlight w:val="yellow"/>
        </w:rPr>
        <w:fldChar w:fldCharType="separate"/>
      </w:r>
      <w:r w:rsidR="00A95675" w:rsidRPr="00A95675">
        <w:rPr>
          <w:highlight w:val="yellow"/>
        </w:rPr>
        <w:t>[48]</w:t>
      </w:r>
      <w:r w:rsidR="005B66D3" w:rsidRPr="002A6586">
        <w:rPr>
          <w:highlight w:val="yellow"/>
        </w:rPr>
        <w:fldChar w:fldCharType="end"/>
      </w:r>
      <w:r w:rsidR="00F0450C" w:rsidRPr="002A6586">
        <w:rPr>
          <w:highlight w:val="yellow"/>
        </w:rPr>
        <w:t>.</w:t>
      </w:r>
    </w:p>
    <w:p w14:paraId="79DCD748" w14:textId="77777777" w:rsidR="00FE013C" w:rsidRPr="002A6586" w:rsidRDefault="00FE013C" w:rsidP="004C16FF">
      <w:pPr>
        <w:pStyle w:val="Heading20"/>
        <w:jc w:val="both"/>
        <w:rPr>
          <w:color w:val="auto"/>
          <w:highlight w:val="yellow"/>
        </w:rPr>
      </w:pPr>
      <w:r w:rsidRPr="002A6586">
        <w:rPr>
          <w:color w:val="auto"/>
          <w:highlight w:val="yellow"/>
        </w:rPr>
        <w:t>9.5 Demand-side Management and AI Workload Flexibility</w:t>
      </w:r>
    </w:p>
    <w:p w14:paraId="283BD03B" w14:textId="037782DB" w:rsidR="00FE013C" w:rsidRPr="002A6586" w:rsidRDefault="00FE013C" w:rsidP="00E842C0">
      <w:pPr>
        <w:spacing w:after="120"/>
        <w:ind w:firstLine="480"/>
        <w:rPr>
          <w:highlight w:val="yellow"/>
        </w:rPr>
      </w:pPr>
      <w:r w:rsidRPr="002A6586">
        <w:rPr>
          <w:highlight w:val="yellow"/>
        </w:rPr>
        <w:t>AI workload flexibility is a distinct and growing demand-side resource that can substantially decrease the cost and complexity of integrating renewable energy. Training workloads (often hours to weeks to complete, not latency-sensitive) can be deferred to times of low latency demand and high renewable generation</w:t>
      </w:r>
      <w:r w:rsidRPr="002A6586">
        <w:rPr>
          <w:highlight w:val="yellow"/>
        </w:rPr>
        <w:fldChar w:fldCharType="begin"/>
      </w:r>
      <w:r w:rsidR="00E842C0">
        <w:rPr>
          <w:highlight w:val="yellow"/>
        </w:rPr>
        <w:instrText xml:space="preserve"> ADDIN ZOTERO_ITEM CSL_CITATION {"citationID":"SNAvsnwi","properties":{"unsorted":false,"formattedCitation":"[153]","plainCitation":"[153]","noteIndex":0},"citationItems":[{"id":2126,"uris":["http://zotero.org/users/9870935/items/5SGD5DQK"],"itemData":{"id":2126,"type":"paper-conference","container-title":"ICC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Pr="002A6586">
        <w:rPr>
          <w:highlight w:val="yellow"/>
        </w:rPr>
        <w:fldChar w:fldCharType="separate"/>
      </w:r>
      <w:r w:rsidR="00E842C0" w:rsidRPr="00E842C0">
        <w:rPr>
          <w:highlight w:val="yellow"/>
        </w:rPr>
        <w:t>[153]</w:t>
      </w:r>
      <w:r w:rsidRPr="002A6586">
        <w:rPr>
          <w:highlight w:val="yellow"/>
        </w:rPr>
        <w:fldChar w:fldCharType="end"/>
      </w:r>
      <w:r w:rsidRPr="002A6586">
        <w:rPr>
          <w:highlight w:val="yellow"/>
        </w:rPr>
        <w:t>. Deferral windows of hours to days make batch processing workloads such as data preprocessing, model validation, and analytics even more flexible. Time-shift can be used for inference workloads that do not require a high latency requirement, such as batch image inference or non-interactive recommendations, within the SLA.</w:t>
      </w:r>
    </w:p>
    <w:p w14:paraId="19B030A4" w14:textId="35AC3597" w:rsidR="00FE013C" w:rsidRPr="002A6586" w:rsidRDefault="00E912B6" w:rsidP="00E842C0">
      <w:pPr>
        <w:spacing w:after="120"/>
        <w:ind w:firstLine="480"/>
        <w:rPr>
          <w:highlight w:val="yellow"/>
        </w:rPr>
      </w:pPr>
      <w:r w:rsidRPr="002A6586">
        <w:rPr>
          <w:highlight w:val="yellow"/>
        </w:rPr>
        <w:t xml:space="preserve">Published studies and industry demonstrations suggest that workload scheduling may reduce energy costs and improve renewable-energy utilization under suitable operating conditions. However, the magnitude of the benefit depends on workload characteristics, renewable-resource availability, electricity-market conditions, scheduling flexibility, and organizational constraints. Consequently, no universal savings percentage should be assumed without project-specific analysis </w:t>
      </w:r>
      <w:r w:rsidR="00FE013C" w:rsidRPr="002A6586">
        <w:rPr>
          <w:highlight w:val="yellow"/>
        </w:rPr>
        <w:fldChar w:fldCharType="begin"/>
      </w:r>
      <w:r w:rsidR="00E842C0">
        <w:rPr>
          <w:highlight w:val="yellow"/>
        </w:rPr>
        <w:instrText xml:space="preserve"> ADDIN ZOTERO_ITEM CSL_CITATION {"citationID":"0JMNKF3g","properties":{"unsorted":false,"formattedCitation":"[154]","plainCitation":"[154]","noteIndex":0},"citationItems":[{"id":79,"uris":["http://zotero.org/users/9870935/items/FT42XEM5"],"itemData":{"id":79,"type":"article-journal","container-title":"IEEE Access","DOI":"10.1109/ACCESS.2025.3559725","ISSN":"2169-3536","journalAbbreviation":"IEEE Access","license":"https://creativecommons.org/licenses/by/4.0/legalcode","page":"63486-63503","source":"DOI.org (Crossref)","title":"Optimized Renewable Energy Integration: Advanced Modeling, Control, and Design of a Standalone Microgrid Using Hybrid FA-PSO","title-short":"Optimized Renewable Energy Integration","volume":"13","author":[{"family":"Talebi","given":"Shiva"},{"family":"Aly","given":"Hamed H."}],"issued":{"date-parts":[["2025"]]}}}],"schema":"https://github.com/citation-style-language/schema/raw/master/csl-citation.json"} </w:instrText>
      </w:r>
      <w:r w:rsidR="00FE013C" w:rsidRPr="002A6586">
        <w:rPr>
          <w:highlight w:val="yellow"/>
        </w:rPr>
        <w:fldChar w:fldCharType="separate"/>
      </w:r>
      <w:r w:rsidR="00E842C0" w:rsidRPr="00E842C0">
        <w:rPr>
          <w:highlight w:val="yellow"/>
        </w:rPr>
        <w:t>[154]</w:t>
      </w:r>
      <w:r w:rsidR="00FE013C" w:rsidRPr="002A6586">
        <w:rPr>
          <w:highlight w:val="yellow"/>
        </w:rPr>
        <w:fldChar w:fldCharType="end"/>
      </w:r>
      <w:r w:rsidR="00FE013C" w:rsidRPr="002A6586">
        <w:rPr>
          <w:highlight w:val="yellow"/>
        </w:rPr>
        <w:t xml:space="preserve">. This requires integration between the workload scheduler (usually Kubernetes-based) and the energy management system, and the renewable availability API delivers 24–48-hour forecasts of renewable generation as a portion of the total load </w:t>
      </w:r>
      <w:r w:rsidR="00FE013C" w:rsidRPr="002A6586">
        <w:rPr>
          <w:highlight w:val="yellow"/>
        </w:rPr>
        <w:fldChar w:fldCharType="begin"/>
      </w:r>
      <w:r w:rsidR="00E842C0">
        <w:rPr>
          <w:highlight w:val="yellow"/>
        </w:rPr>
        <w:instrText xml:space="preserve"> ADDIN ZOTERO_ITEM CSL_CITATION {"citationID":"LieaEasU","properties":{"unsorted":false,"formattedCitation":"[153]","plainCitation":"[153]","noteIndex":0},"citationItems":[{"id":2126,"uris":["http://zotero.org/users/9870935/items/5SGD5DQK"],"itemData":{"id":2126,"type":"paper-conference","container-title":"ICC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FE013C" w:rsidRPr="002A6586">
        <w:rPr>
          <w:highlight w:val="yellow"/>
        </w:rPr>
        <w:fldChar w:fldCharType="separate"/>
      </w:r>
      <w:r w:rsidR="00E842C0" w:rsidRPr="00E842C0">
        <w:rPr>
          <w:highlight w:val="yellow"/>
        </w:rPr>
        <w:t>[153]</w:t>
      </w:r>
      <w:r w:rsidR="00FE013C" w:rsidRPr="002A6586">
        <w:rPr>
          <w:highlight w:val="yellow"/>
        </w:rPr>
        <w:fldChar w:fldCharType="end"/>
      </w:r>
      <w:r w:rsidR="00FE013C" w:rsidRPr="002A6586">
        <w:rPr>
          <w:highlight w:val="yellow"/>
        </w:rPr>
        <w:t>. Some of the major considerations are that the deferral may lead to an increase in latency as experienced by users, the risk of violating SLAs if deferral is performed too aggressively, and the operational complexity of coordinating workload scheduling across multiple facilities and time zones.</w:t>
      </w:r>
    </w:p>
    <w:p w14:paraId="1746C8D1" w14:textId="77777777" w:rsidR="00FE013C" w:rsidRPr="002A6586" w:rsidRDefault="00FE013C" w:rsidP="004C16FF">
      <w:pPr>
        <w:pStyle w:val="Heading20"/>
        <w:jc w:val="both"/>
        <w:rPr>
          <w:color w:val="auto"/>
          <w:highlight w:val="yellow"/>
        </w:rPr>
      </w:pPr>
      <w:r w:rsidRPr="002A6586">
        <w:rPr>
          <w:color w:val="auto"/>
          <w:highlight w:val="yellow"/>
        </w:rPr>
        <w:t>9.6 Energy Storage Control and Battery Management</w:t>
      </w:r>
    </w:p>
    <w:p w14:paraId="1192A71C" w14:textId="054C889C" w:rsidR="00FE013C" w:rsidRPr="002A6586" w:rsidRDefault="00FE013C" w:rsidP="00A95675">
      <w:pPr>
        <w:spacing w:after="120"/>
        <w:ind w:firstLine="480"/>
        <w:rPr>
          <w:highlight w:val="yellow"/>
        </w:rPr>
      </w:pPr>
      <w:r w:rsidRPr="002A6586">
        <w:rPr>
          <w:highlight w:val="yellow"/>
        </w:rPr>
        <w:t xml:space="preserve">There are several criteria for optimal battery dispatch: most renewable usage, least energy cost, longest battery life, and sufficient reserve for emergency backup. The state-of-charge (SOC) setpoint </w:t>
      </w:r>
      <w:r w:rsidR="00030122" w:rsidRPr="002A6586">
        <w:rPr>
          <w:highlight w:val="yellow"/>
        </w:rPr>
        <w:t>optimization</w:t>
      </w:r>
      <w:r w:rsidRPr="002A6586">
        <w:rPr>
          <w:highlight w:val="yellow"/>
        </w:rPr>
        <w:t xml:space="preserve"> defines the charging and discharging timing according to the current state and future forecasting, where the most advanced approach is model-predictive control (MPC)</w:t>
      </w:r>
      <w:r w:rsidRPr="002A6586">
        <w:rPr>
          <w:highlight w:val="yellow"/>
        </w:rPr>
        <w:fldChar w:fldCharType="begin"/>
      </w:r>
      <w:r w:rsidR="00A95675">
        <w:rPr>
          <w:highlight w:val="yellow"/>
        </w:rPr>
        <w:instrText xml:space="preserve"> ADDIN ZOTERO_ITEM CSL_CITATION {"citationID":"qyaUl6tX","properties":{"unsorted":false,"formattedCitation":"[117]","plainCitation":"[117]","noteIndex":0},"citationItems":[{"id":2086,"uris":["http://zotero.org/users/9870935/items/PSX5T5NE"],"itemData":{"id":2086,"type":"article-journal","abstract":"Renewable energy sources (wind turbine and photovoltaic system) are connected to the smart grid to promote the grid power, but the output of these sources is changed due to the sunlight and wind speed variations. Power storage system has the ability to reduce variations in a power system. Battery energy storage system (BESS) and superconducting magnetic energy storage system (SMES) are good solutions for this problem. The storage unit is connected to a power system at the point of common coupling and is able to absorb/store both active and reactive powers from this system and inject them into the power system in the peak demand periods. A control strategy based on proportional–integrative–derivative (PID) and model predictive controller (MPC) are used to control (SMES/BESS) to enhance the transient performance of a smart grid. The proposed algorithm has been tested on standard IEEE 5‐bus system connected to wind turbine distributed generator, non‐linear loads, and storage device (BESS/SMES) to verify the superiority of the presented method. The simulation results show that the performance of SMES with PID is more efficient than BESS with PID, but they have nearly the same output when MPC control strategy is used.","container-title":"IET Renewable Power Generation","DOI":"10.1049/iet-rpg.2016.0892","ISSN":"1752-1416, 1752-1424","issue":"10","journalAbbreviation":"IET Renewable Power Gen","language":"en","page":"1316-1324","source":"DOI.org (Crossref)","title":"Enhancing smart grid transient performance using storage device‐based MPC controller","volume":"11","author":[{"family":"Sultan","given":"Yara A."},{"family":"Kaddah","given":"Sahar S."},{"family":"Elhosseini","given":"Mostafa A."}],"issued":{"date-parts":[["2017",8]]}}}],"schema":"https://github.com/citation-style-language/schema/raw/master/csl-citation.json"} </w:instrText>
      </w:r>
      <w:r w:rsidRPr="002A6586">
        <w:rPr>
          <w:highlight w:val="yellow"/>
        </w:rPr>
        <w:fldChar w:fldCharType="separate"/>
      </w:r>
      <w:r w:rsidR="00A95675" w:rsidRPr="00A95675">
        <w:rPr>
          <w:highlight w:val="yellow"/>
        </w:rPr>
        <w:t>[117]</w:t>
      </w:r>
      <w:r w:rsidRPr="002A6586">
        <w:rPr>
          <w:highlight w:val="yellow"/>
        </w:rPr>
        <w:fldChar w:fldCharType="end"/>
      </w:r>
      <w:r w:rsidRPr="002A6586">
        <w:rPr>
          <w:highlight w:val="yellow"/>
        </w:rPr>
        <w:t xml:space="preserve">. The economic factor of battery ageing: deep cycling (depth of discharge above 80%) decreases battery life, while shallow cycling increases battery life, but at the cost of reduced energy capacity for renewable time-shifting. Studies have shown that a maximum depth of discharge of 50% can nearly double the cycle life, indicating that appropriately oversizing battery systems may provide better lifetime economics, albeit at higher initial capital costs </w:t>
      </w:r>
      <w:r w:rsidRPr="002A6586">
        <w:rPr>
          <w:highlight w:val="yellow"/>
        </w:rPr>
        <w:fldChar w:fldCharType="begin"/>
      </w:r>
      <w:r w:rsidR="00A95675">
        <w:rPr>
          <w:highlight w:val="yellow"/>
        </w:rPr>
        <w:instrText xml:space="preserve"> ADDIN ZOTERO_ITEM CSL_CITATION {"citationID":"QHLWj7wZ","properties":{"unsorted":false,"formattedCitation":"[70]","plainCitation":"[70]","noteIndex":0},"citationItems":[{"id":2070,"uris":["http://zotero.org/users/9870935/items/YRGN99DK"],"itemData":{"id":2070,"type":"article-journal","container-title":"Journal of Energy Storage","DOI":"10.1016/j.est.2024.112941","ISSN":"2352152X","journalAbbreviation":"Journal of Energy Storage","language":"en","page":"112941","source":"DOI.org (Crossref)","title":"A case study of optimising energy storage dispatch: Convex optimisation approach with degradation considerations","title-short":"A case study of optimising energy storage dispatch","volume":"97","author":[{"family":"Vaičys","given":"Jonas"},{"family":"Gudžius","given":"Saulius"},{"family":"Jonaitis","given":"Audrius"},{"family":"Račkienė","given":"Roma"},{"family":"Blinov","given":"Andrei"},{"family":"Peftitsis","given":"Dimosthenis"}],"issued":{"date-parts":[["2024",9]]}}}],"schema":"https://github.com/citation-style-language/schema/raw/master/csl-citation.json"} </w:instrText>
      </w:r>
      <w:r w:rsidRPr="002A6586">
        <w:rPr>
          <w:highlight w:val="yellow"/>
        </w:rPr>
        <w:fldChar w:fldCharType="separate"/>
      </w:r>
      <w:r w:rsidR="00A95675" w:rsidRPr="00A95675">
        <w:rPr>
          <w:highlight w:val="yellow"/>
        </w:rPr>
        <w:t>[70]</w:t>
      </w:r>
      <w:r w:rsidRPr="002A6586">
        <w:rPr>
          <w:highlight w:val="yellow"/>
        </w:rPr>
        <w:fldChar w:fldCharType="end"/>
      </w:r>
      <w:r w:rsidRPr="002A6586">
        <w:rPr>
          <w:highlight w:val="yellow"/>
        </w:rPr>
        <w:t>.</w:t>
      </w:r>
    </w:p>
    <w:p w14:paraId="4221A4F4" w14:textId="0055AC64" w:rsidR="00FE013C" w:rsidRPr="002A6586" w:rsidRDefault="0038749B" w:rsidP="00E842C0">
      <w:pPr>
        <w:spacing w:after="120"/>
        <w:ind w:firstLine="480"/>
        <w:rPr>
          <w:highlight w:val="yellow"/>
          <w:lang w:val="en-CA"/>
        </w:rPr>
      </w:pPr>
      <w:r w:rsidRPr="002A6586">
        <w:rPr>
          <w:highlight w:val="yellow"/>
          <w:lang w:val="en-CA"/>
        </w:rPr>
        <w:t>Participation in frequency-regulation, capacity, and ancillary-service markets may provide additional revenue, but the achievable value depends on market qualification requirements, performance scores, local clearing prices, battery availability, degradation costs, and the facility’s primary reliability obligations. Project-specific market analysis is therefore required</w:t>
      </w:r>
      <w:r w:rsidR="00FE013C" w:rsidRPr="002A6586">
        <w:rPr>
          <w:highlight w:val="yellow"/>
        </w:rPr>
        <w:t xml:space="preserve">. Remaining useful life (RUL) prediction and scheduling of maintenance tasks can be achieved by state-of-health (SOH) </w:t>
      </w:r>
      <w:r w:rsidR="00FE013C" w:rsidRPr="002A6586">
        <w:rPr>
          <w:highlight w:val="yellow"/>
        </w:rPr>
        <w:lastRenderedPageBreak/>
        <w:t xml:space="preserve">monitoring with machine-learning approaches trained on cycling data, which helps to </w:t>
      </w:r>
      <w:r w:rsidR="00030122" w:rsidRPr="002A6586">
        <w:rPr>
          <w:highlight w:val="yellow"/>
        </w:rPr>
        <w:t>minimize</w:t>
      </w:r>
      <w:r w:rsidR="00FE013C" w:rsidRPr="002A6586">
        <w:rPr>
          <w:highlight w:val="yellow"/>
        </w:rPr>
        <w:t xml:space="preserve"> the likelihood of unexpected capacity degradation</w:t>
      </w:r>
      <w:r w:rsidR="00FE013C" w:rsidRPr="002A6586">
        <w:rPr>
          <w:highlight w:val="yellow"/>
        </w:rPr>
        <w:fldChar w:fldCharType="begin"/>
      </w:r>
      <w:r w:rsidR="00E842C0">
        <w:rPr>
          <w:highlight w:val="yellow"/>
        </w:rPr>
        <w:instrText xml:space="preserve"> ADDIN ZOTERO_ITEM CSL_CITATION {"citationID":"qxkXnTwN","properties":{"unsorted":false,"formattedCitation":"[155]","plainCitation":"[155]","noteIndex":0},"citationItems":[{"id":2149,"uris":["http://zotero.org/users/9870935/items/9CUAPP72"],"itemData":{"id":2149,"type":"article-journal","abstract":"Abstract\n            State of health is a critical state which evaluates the degradation level of batteries. However, it cannot be measured directly but requires estimation. While accurate state of health estimation has progressed markedly, the time- and resource-consuming degradation experiments to generate target battery labels hinder the development of state of health estimation methods. In this article, we design a deep-learning framework to enable the estimation of battery state of health in the absence of target battery labels. This framework integrates a swarm of deep neural networks equipped with domain adaptation to produce accurate estimation. We employ 65 commercial batteries from 5 different manufacturers to generate 71,588 samples for cross-validation. The validation results indicate that the proposed framework can ensure absolute errors of less than 3% for 89.4% of samples (less than 5% for 98.9% of samples), with a maximum absolute error of less than 8.87% in the absence of target labels. This work emphasizes the power of deep learning in precluding degradation experiments and highlights the promise of rapid development of battery management algorithms for new-generation batteries using only previous experimental data.","container-title":"Nature Communications","DOI":"10.1038/s41467-023-38458-w","ISSN":"2041-1723","issue":"1","journalAbbreviation":"Nat Commun","language":"en","page":"2760","source":"DOI.org (Crossref)","title":"Deep learning to estimate lithium-ion battery state of health without additional degradation experiments","volume":"14","author":[{"family":"Lu","given":"Jiahuan"},{"family":"Xiong","given":"Rui"},{"family":"Tian","given":"Jinpeng"},{"family":"Wang","given":"Chenxu"},{"family":"Sun","given":"Fengchun"}],"issued":{"date-parts":[["2023",5,13]]}}}],"schema":"https://github.com/citation-style-language/schema/raw/master/csl-citation.json"} </w:instrText>
      </w:r>
      <w:r w:rsidR="00FE013C" w:rsidRPr="002A6586">
        <w:rPr>
          <w:highlight w:val="yellow"/>
        </w:rPr>
        <w:fldChar w:fldCharType="separate"/>
      </w:r>
      <w:r w:rsidR="00E842C0" w:rsidRPr="00E842C0">
        <w:rPr>
          <w:highlight w:val="yellow"/>
        </w:rPr>
        <w:t>[155]</w:t>
      </w:r>
      <w:r w:rsidR="00FE013C" w:rsidRPr="002A6586">
        <w:rPr>
          <w:highlight w:val="yellow"/>
        </w:rPr>
        <w:fldChar w:fldCharType="end"/>
      </w:r>
      <w:r w:rsidR="00FE013C" w:rsidRPr="002A6586">
        <w:rPr>
          <w:highlight w:val="yellow"/>
        </w:rPr>
        <w:t>.</w:t>
      </w:r>
    </w:p>
    <w:p w14:paraId="1FC1FEEE" w14:textId="77777777" w:rsidR="00FE013C" w:rsidRPr="002A6586" w:rsidRDefault="00FE013C" w:rsidP="004C16FF">
      <w:pPr>
        <w:pStyle w:val="Heading20"/>
        <w:jc w:val="both"/>
        <w:rPr>
          <w:color w:val="auto"/>
          <w:highlight w:val="yellow"/>
        </w:rPr>
      </w:pPr>
      <w:r w:rsidRPr="002A6586">
        <w:rPr>
          <w:color w:val="auto"/>
          <w:highlight w:val="yellow"/>
        </w:rPr>
        <w:t>9.7 Hydrogen and Fuel Cell Challenges</w:t>
      </w:r>
    </w:p>
    <w:p w14:paraId="42AECFBD" w14:textId="0ED61C16" w:rsidR="00753C0C" w:rsidRPr="002A6586" w:rsidRDefault="00753C0C" w:rsidP="00E842C0">
      <w:pPr>
        <w:spacing w:after="120"/>
        <w:ind w:firstLine="480"/>
        <w:rPr>
          <w:highlight w:val="yellow"/>
        </w:rPr>
      </w:pPr>
      <w:r w:rsidRPr="002A6586">
        <w:rPr>
          <w:highlight w:val="yellow"/>
        </w:rPr>
        <w:t xml:space="preserve">Hydrogen fuel cells have the theoretical potential to deliver long-duration backup power (48+ hours proven) and produce zero direct emissions, but they are still costly, inefficient, and lack infrastructure. Microsoft's 3 MW demo project at their data center proved the technical viability, but also pointed to the cost problem: Fuel cell electricity currently costs $150 to $250/MWh, compared to grid electricity or battery storage, which cost $50 to $80/MWh at the same time. The CAPEX of the electrolyzer, which ranges from $1,000–$2,000/kW, is another constraint for on-site green hydrogen production and is decreasing as the size of the plants increases </w:t>
      </w:r>
      <w:r w:rsidRPr="002A6586">
        <w:rPr>
          <w:highlight w:val="yellow"/>
        </w:rPr>
        <w:fldChar w:fldCharType="begin"/>
      </w:r>
      <w:r w:rsidR="00A95675">
        <w:rPr>
          <w:highlight w:val="yellow"/>
        </w:rPr>
        <w:instrText xml:space="preserve"> ADDIN ZOTERO_ITEM CSL_CITATION {"citationID":"EK3ZfdLP","properties":{"unsorted":false,"formattedCitation":"[112]","plainCitation":"[112]","noteIndex":0},"citationItems":[{"id":2076,"uris":["http://zotero.org/users/9870935/items/WSZ9BQJG"],"itemData":{"id":2076,"type":"article-journal","abstract":"Abstract\n            The Chinese government has set long-term carbon neutrality and variable renewable energy development goals for the power sector. The clean energy transition requires a co-evolution of innovation, investment, and deployment strategies for emerging energy storage technologies. Hydrogen could play a pivotal role as a long-duration energy storage in future low-carbon electricity systems, balancing inflexible or intermittent supply with demand. Cost projections are important for understanding this role, but data are scarce and uncertain. Here, we provide a techno-economic evaluation and uncertainty analysis of hydrogen as a long-duration energy storage, using a learning rate approach to estimate the long-term cost. We find that the levelized cost of hydrogen energy storage based on a modeled 25 MW system with proton exchange membranes technology is 3.981 yuan/kWh in 2025. Capital expenditure and equipment replacement costs are the top two contributors, accounting for 32.7% and 33.6%, respectively. Technological advancements and deployment scaling of electrolyzers and fuel cells are projected to drive the levelized cost of hydrogen energy storage down to 1.848 yuan/kWh by 2050 under an 18% learning rate trajectory. Although projections indicate that hydrogen energy storage remains less cost-competitive compared to mature technologies through 2050, like electrochemical storage and pumped hydro storage, its unique value proposition for long-duration storage and grid resilience sustains development potential in high variable renewable energy penetration scenarios.","container-title":"Clean Energy","DOI":"10.1093/ce/zkaf075","ISSN":"2515-4230, 2515-396X","issue":"2","language":"en","license":"https://creativecommons.org/licenses/by-nc/4.0/","page":"146-155","source":"DOI.org (Crossref)","title":"Estimating future costs of hydrogen as long-duration energy storage based on a learning rate approach","volume":"10","author":[{"family":"Yang","given":"Fuyuan"},{"family":"Wang","given":"Zhidong"},{"family":"Tian","given":"Xueqin"}],"issued":{"date-parts":[["2026",3,25]]}}}],"schema":"https://github.com/citation-style-language/schema/raw/master/csl-citation.json"} </w:instrText>
      </w:r>
      <w:r w:rsidRPr="002A6586">
        <w:rPr>
          <w:highlight w:val="yellow"/>
        </w:rPr>
        <w:fldChar w:fldCharType="separate"/>
      </w:r>
      <w:r w:rsidR="00A95675" w:rsidRPr="00A95675">
        <w:rPr>
          <w:highlight w:val="yellow"/>
        </w:rPr>
        <w:t>[112]</w:t>
      </w:r>
      <w:r w:rsidRPr="002A6586">
        <w:rPr>
          <w:highlight w:val="yellow"/>
        </w:rPr>
        <w:fldChar w:fldCharType="end"/>
      </w:r>
      <w:r w:rsidRPr="002A6586">
        <w:rPr>
          <w:highlight w:val="yellow"/>
        </w:rPr>
        <w:t xml:space="preserve">, </w:t>
      </w:r>
      <w:r w:rsidRPr="002A6586">
        <w:rPr>
          <w:highlight w:val="yellow"/>
        </w:rPr>
        <w:fldChar w:fldCharType="begin"/>
      </w:r>
      <w:r w:rsidR="00E842C0">
        <w:rPr>
          <w:highlight w:val="yellow"/>
        </w:rPr>
        <w:instrText xml:space="preserve"> ADDIN ZOTERO_ITEM CSL_CITATION {"citationID":"ONo7xelO","properties":{"unsorted":false,"formattedCitation":"[150]","plainCitation":"[150]","noteIndex":0},"citationItems":[{"id":2140,"uris":["http://zotero.org/users/9870935/items/ZUBI2HTD"],"itemData":{"id":2140,"type":"article-journal","container-title":"Energy Conversion and Management","DOI":"10.1016/j.enconman.2025.119762","ISSN":"01968904","journalAbbreviation":"Energy Conversion and Management","language":"en","page":"119762","source":"DOI.org (Crossref)","title":"Modeling and analysis of solid oxide fuel cell-based multigeneration system with supercritical and transcritical carbon dioxide power cycles, humidification-dehumidification system and hydrogen generation","volume":"332","author":[{"family":"Soyturk","given":"Gamze"},{"family":"Kizilkan","given":"Onder"}],"issued":{"date-parts":[["2025",5]]}}}],"schema":"https://github.com/citation-style-language/schema/raw/master/csl-citation.json"} </w:instrText>
      </w:r>
      <w:r w:rsidRPr="002A6586">
        <w:rPr>
          <w:highlight w:val="yellow"/>
        </w:rPr>
        <w:fldChar w:fldCharType="separate"/>
      </w:r>
      <w:r w:rsidR="00E842C0" w:rsidRPr="00E842C0">
        <w:rPr>
          <w:highlight w:val="yellow"/>
        </w:rPr>
        <w:t>[150]</w:t>
      </w:r>
      <w:r w:rsidRPr="002A6586">
        <w:rPr>
          <w:highlight w:val="yellow"/>
        </w:rPr>
        <w:fldChar w:fldCharType="end"/>
      </w:r>
      <w:r w:rsidRPr="002A6586">
        <w:rPr>
          <w:highlight w:val="yellow"/>
        </w:rPr>
        <w:t>.</w:t>
      </w:r>
    </w:p>
    <w:p w14:paraId="4C0FFEE3" w14:textId="10CE6D50" w:rsidR="00313E38" w:rsidRPr="002A6586" w:rsidRDefault="00313E38" w:rsidP="00A95675">
      <w:pPr>
        <w:spacing w:after="120"/>
        <w:ind w:firstLine="480"/>
        <w:rPr>
          <w:highlight w:val="yellow"/>
        </w:rPr>
      </w:pPr>
      <w:r w:rsidRPr="002A6586">
        <w:rPr>
          <w:highlight w:val="yellow"/>
        </w:rPr>
        <w:t>Greater fuel cell efficiency occurs at partial load (55–65%) versus full load (40–50%), resulting in an operational compromise where running at peak efficiency requires installing a larger, more expensive system to cover max power demands. Safety requirements for hydrogen storage, including pressure vessel certification, leak detection, and ventilation systems, further increase the complexity and cost of fuel cell installations. The IEA expects the cost of green hydrogen to drop to $2 per kg by 2030 and $1 per kg by 2040 under the best of conditions, putting fuel cells in economic competition with data center backup by the mid-2030s</w:t>
      </w:r>
      <w:r w:rsidR="001752D4" w:rsidRPr="002A6586">
        <w:rPr>
          <w:highlight w:val="yellow"/>
        </w:rPr>
        <w:t xml:space="preserve"> </w:t>
      </w:r>
      <w:r w:rsidR="001752D4" w:rsidRPr="002A6586">
        <w:rPr>
          <w:highlight w:val="yellow"/>
        </w:rPr>
        <w:fldChar w:fldCharType="begin"/>
      </w:r>
      <w:r w:rsidR="00A95675">
        <w:rPr>
          <w:highlight w:val="yellow"/>
        </w:rPr>
        <w:instrText xml:space="preserve"> ADDIN ZOTERO_ITEM CSL_CITATION {"citationID":"9bTL2YbA","properties":{"unsorted":false,"formattedCitation":"[111]","plainCitation":"[111]","noteIndex":0},"citationItems":[{"id":1987,"uris":["http://zotero.org/users/9870935/items/2TYM8STM"],"itemData":{"id":1987,"type":"article-journal","abstract":"The Global Hydrogen Review is an annual publication by the International Energy Agency that tracks hydrogen production and demand worldwide, shedding light on the latest developments on policy, infrastructure, trade, investments and innovation.","language":"en","source":"Zotero","title":"Global Hydrogen Review 2025","URL":"https://iea.blob.core.windows.net/assets/12d92ecc-e960-40f3-aff5-b2de6690ab6b/GlobalHydrogenReview2025.pdf","author":[{"family":"Remme","given":"Uwe"}],"issued":{"date-parts":[["2025"]]}}}],"schema":"https://github.com/citation-style-language/schema/raw/master/csl-citation.json"} </w:instrText>
      </w:r>
      <w:r w:rsidR="001752D4" w:rsidRPr="002A6586">
        <w:rPr>
          <w:highlight w:val="yellow"/>
        </w:rPr>
        <w:fldChar w:fldCharType="separate"/>
      </w:r>
      <w:r w:rsidR="00A95675" w:rsidRPr="00A95675">
        <w:rPr>
          <w:highlight w:val="yellow"/>
        </w:rPr>
        <w:t>[111]</w:t>
      </w:r>
      <w:r w:rsidR="001752D4" w:rsidRPr="002A6586">
        <w:rPr>
          <w:highlight w:val="yellow"/>
        </w:rPr>
        <w:fldChar w:fldCharType="end"/>
      </w:r>
      <w:r w:rsidR="001752D4" w:rsidRPr="002A6586">
        <w:rPr>
          <w:highlight w:val="yellow"/>
        </w:rPr>
        <w:t xml:space="preserve">, </w:t>
      </w:r>
      <w:r w:rsidR="001752D4" w:rsidRPr="002A6586">
        <w:rPr>
          <w:highlight w:val="yellow"/>
        </w:rPr>
        <w:fldChar w:fldCharType="begin"/>
      </w:r>
      <w:r w:rsidR="00A95675">
        <w:rPr>
          <w:highlight w:val="yellow"/>
        </w:rPr>
        <w:instrText xml:space="preserve"> ADDIN ZOTERO_ITEM CSL_CITATION {"citationID":"TVLyO4rw","properties":{"unsorted":false,"formattedCitation":"[122]","plainCitation":"[122]","noteIndex":0},"citationItems":[{"id":2141,"uris":["http://zotero.org/users/9870935/items/G3GVLHVX"],"itemData":{"id":2141,"type":"article-journal","container-title":"Renewable and Sustainable Energy Reviews","DOI":"10.1016/j.rser.2026.116861","ISSN":"13640321","journalAbbreviation":"Renewable and Sustainable Energy Reviews","language":"en","page":"116861","source":"DOI.org (Crossref)","title":"Reviewing the socio-technical dynamics of AI, data centers and digitalization on energy and the environment","volume":"234","author":[{"family":"Kim","given":"Jinsoo"},{"family":"Kim","given":"Jihyo"},{"family":"Sovacool","given":"Benjamin K."},{"family":"Griffiths","given":"Steve"},{"family":"Bazilian","given":"Morgan"},{"family":"Creutzig","given":"Felix"},{"family":"Furszyfer Del Rio","given":"Dylan D."},{"family":"Agrawala","given":"Matthew"},{"family":"Choi","given":"Minki"},{"family":"Debnath","given":"Ramit"}],"issued":{"date-parts":[["2026",7]]}}}],"schema":"https://github.com/citation-style-language/schema/raw/master/csl-citation.json"} </w:instrText>
      </w:r>
      <w:r w:rsidR="001752D4" w:rsidRPr="002A6586">
        <w:rPr>
          <w:highlight w:val="yellow"/>
        </w:rPr>
        <w:fldChar w:fldCharType="separate"/>
      </w:r>
      <w:r w:rsidR="00A95675" w:rsidRPr="00A95675">
        <w:rPr>
          <w:highlight w:val="yellow"/>
        </w:rPr>
        <w:t>[122]</w:t>
      </w:r>
      <w:r w:rsidR="001752D4" w:rsidRPr="002A6586">
        <w:rPr>
          <w:highlight w:val="yellow"/>
        </w:rPr>
        <w:fldChar w:fldCharType="end"/>
      </w:r>
      <w:r w:rsidRPr="002A6586">
        <w:rPr>
          <w:highlight w:val="yellow"/>
        </w:rPr>
        <w:t>.</w:t>
      </w:r>
    </w:p>
    <w:p w14:paraId="1AF22D4C" w14:textId="77777777" w:rsidR="00FE013C" w:rsidRPr="002A6586" w:rsidRDefault="00FE013C" w:rsidP="004C16FF">
      <w:pPr>
        <w:pStyle w:val="Heading20"/>
        <w:jc w:val="both"/>
        <w:rPr>
          <w:color w:val="auto"/>
          <w:highlight w:val="yellow"/>
        </w:rPr>
      </w:pPr>
      <w:r w:rsidRPr="002A6586">
        <w:rPr>
          <w:color w:val="auto"/>
          <w:highlight w:val="yellow"/>
        </w:rPr>
        <w:t>9.8 Cooling System Integration</w:t>
      </w:r>
    </w:p>
    <w:p w14:paraId="04A6F52E" w14:textId="66605A1E" w:rsidR="00AB00A3" w:rsidRPr="002A6586" w:rsidRDefault="00AB00A3" w:rsidP="001D1223">
      <w:pPr>
        <w:spacing w:after="120"/>
        <w:ind w:firstLine="480"/>
        <w:rPr>
          <w:highlight w:val="yellow"/>
        </w:rPr>
      </w:pPr>
      <w:r w:rsidRPr="002A6586">
        <w:rPr>
          <w:highlight w:val="yellow"/>
        </w:rPr>
        <w:t>The coupling of cooling systems to a renewable energy supply demands the synchronized handling of thermal and electric energy flows. Thermal energy storage (TES) can help defer cooling loads into hours when renewable energy is available in abundance or electricity is cheap, such as at night or during peak solar hours. When renewable power generation is higher than needed, chillers freeze water into ice; conversely, when renewable power output drops below demand, the ice is melted to provide cooling without chiller operation. This thermal-electrical coupling provides powerful opportunities for optimization but introduces complexity into the control system, which must simultaneously manage the electrical dispatch state and the thermal storage state</w:t>
      </w:r>
      <w:r w:rsidR="009A7346" w:rsidRPr="002A6586">
        <w:rPr>
          <w:highlight w:val="yellow"/>
        </w:rPr>
        <w:t xml:space="preserve"> </w:t>
      </w:r>
      <w:r w:rsidR="009A7346" w:rsidRPr="002A6586">
        <w:rPr>
          <w:highlight w:val="yellow"/>
        </w:rPr>
        <w:fldChar w:fldCharType="begin"/>
      </w:r>
      <w:r w:rsidR="001D1223">
        <w:rPr>
          <w:highlight w:val="yellow"/>
        </w:rPr>
        <w:instrText xml:space="preserve"> ADDIN ZOTERO_ITEM CSL_CITATION {"citationID":"9NU2Bjoq","properties":{"unsorted":false,"formattedCitation":"[92]","plainCitation":"[92]","noteIndex":0},"citationItems":[{"id":2046,"uris":["http://zotero.org/users/9870935/items/P4BXZMCV"],"itemData":{"id":2046,"type":"article","abstract":"Data center cooling systems consume significant auxiliary energy, yet optimization studies rarely quantify the gap between theoretically optimal and operationally deployable control strategies. This paper develops a digital twin of the liquid cooling infrastructure at the Frontier exascale supercomputer, in which a hot-temperature water system comprises three parallel subloops, each serving dedicated coolant distribution unit clusters through plate heat exchangers and variable-speed pumps. The surrogate model is built based on Modelica and validated through one full calendar year of 10-minute operational data following ASHRAE Guideline 14. The model achieves a subloop coefficient of variation of the root mean square error below 2.7% and a normalized mean bias error within 2.5%. Using this validated surrogate model, a layered optimization framework evaluates three progressively constrained strategies: an analytical flow-only optimization achieves 20.4% total energy saving, unconstrained joint optimization of flow rate and supply temperature demonstrates 30.1% total energy saving, and ramp-constrained optimization of flow rate and supply temperature, enforcing actuator rate limits, can reach total energy saving of 27.8%. The analysis reveals that the baseline system operates at 2.9 times the minimum thermally safe flow rate, and the co-optimizing supply temperature with flow rate nearly doubles the savings achievable by flow reduction alone.","DOI":"10.48550/ARXIV.2603.01198","license":"Creative Commons Attribution 4.0 International","note":"version: 3","publisher":"arXiv","source":"DOI.org (Datacite)","title":"Digital Twin-Based Cooling System Optimization for Data Center","URL":"https://arxiv.org/abs/2603.01198","author":[{"family":"Jadhav","given":"Shrenik"},{"family":"Liu","given":"Zheng"}],"accessed":{"date-parts":[["2026",5,17]]},"issued":{"date-parts":[["2026"]]}}}],"schema":"https://github.com/citation-style-language/schema/raw/master/csl-citation.json"} </w:instrText>
      </w:r>
      <w:r w:rsidR="009A7346" w:rsidRPr="002A6586">
        <w:rPr>
          <w:highlight w:val="yellow"/>
        </w:rPr>
        <w:fldChar w:fldCharType="separate"/>
      </w:r>
      <w:r w:rsidR="001D1223" w:rsidRPr="001D1223">
        <w:rPr>
          <w:highlight w:val="yellow"/>
        </w:rPr>
        <w:t>[92]</w:t>
      </w:r>
      <w:r w:rsidR="009A7346" w:rsidRPr="002A6586">
        <w:rPr>
          <w:highlight w:val="yellow"/>
        </w:rPr>
        <w:fldChar w:fldCharType="end"/>
      </w:r>
      <w:r w:rsidRPr="002A6586">
        <w:rPr>
          <w:highlight w:val="yellow"/>
        </w:rPr>
        <w:t>.</w:t>
      </w:r>
    </w:p>
    <w:p w14:paraId="0EAB38C2" w14:textId="0D7C6018" w:rsidR="00AB00A3" w:rsidRPr="002A6586" w:rsidRDefault="00AB00A3" w:rsidP="00E842C0">
      <w:pPr>
        <w:spacing w:after="120"/>
        <w:ind w:firstLine="480"/>
        <w:rPr>
          <w:highlight w:val="yellow"/>
        </w:rPr>
      </w:pPr>
      <w:r w:rsidRPr="002A6586">
        <w:rPr>
          <w:highlight w:val="yellow"/>
        </w:rPr>
        <w:t>Another way to reduce cooling energy usage is by leveraging favorable ambient environmental conditions, a method known as free cooling. Free cooling can achieve 3,000 to 6,000 hours of cooling per year in temperate and cold climates, resulting in compressor energy savings of 40 to 70 percent for chillers during these periods. When renewable energy is scarce and cooling demands are energy-intensive, a slight increase in data center inlet temperatures—moving from the traditional 20–22 °C up to 32–35 °C—can be implemented via dynamic setpoint management. This strategy saves 15% to 25% in cooling energy usage, though it requires a minor compromise in accelerated component aging</w:t>
      </w:r>
      <w:r w:rsidR="007515FF" w:rsidRPr="002A6586">
        <w:rPr>
          <w:highlight w:val="yellow"/>
        </w:rPr>
        <w:fldChar w:fldCharType="begin"/>
      </w:r>
      <w:r w:rsidR="00E842C0">
        <w:rPr>
          <w:highlight w:val="yellow"/>
        </w:rPr>
        <w:instrText xml:space="preserve"> ADDIN ZOTERO_ITEM CSL_CITATION {"citationID":"CuNn0HfJ","properties":{"unsorted":false,"formattedCitation":"[153]","plainCitation":"[153]","noteIndex":0},"citationItems":[{"id":2126,"uris":["http://zotero.org/users/9870935/items/5SGD5DQK"],"itemData":{"id":2126,"type":"paper-conference","container-title":"ICC 2025 - IEEE International Conference on Communications","DOI":"10.1109/ICC52391.2025.11160865","event-title":"ICC 2025 - IEEE International Conference on Communications","ISBN":"979-8-3315-0521-9","license":"https://doi.org/10.15223/policy-029","page":"1500-1505","publisher":"IEEE","publisher-place":"Montreal, QC, Canada","source":"DOI.org (Crossref)","title":"Enabling Power-Awareness for Kubernetes Scheduling Through Multi-Criteria Optimization","URL":"https://ieeexplore.ieee.org/document/11160865/","author":[{"family":"Gouaouri","given":"Mohammed Dhiya Eddine"},{"family":"Bagaa","given":"Miloud"},{"family":"Ouahouah","given":"Sihem"},{"family":"Ouameur","given":"Messaoud Ahmed"},{"family":"Ksentini","given":"Adlen"}],"accessed":{"date-parts":[["2026",5,23]]},"issued":{"date-parts":[["2025",6,8]]}}}],"schema":"https://github.com/citation-style-language/schema/raw/master/csl-citation.json"} </w:instrText>
      </w:r>
      <w:r w:rsidR="007515FF" w:rsidRPr="002A6586">
        <w:rPr>
          <w:highlight w:val="yellow"/>
        </w:rPr>
        <w:fldChar w:fldCharType="separate"/>
      </w:r>
      <w:r w:rsidR="00E842C0" w:rsidRPr="00E842C0">
        <w:rPr>
          <w:highlight w:val="yellow"/>
        </w:rPr>
        <w:t>[153]</w:t>
      </w:r>
      <w:r w:rsidR="007515FF" w:rsidRPr="002A6586">
        <w:rPr>
          <w:highlight w:val="yellow"/>
        </w:rPr>
        <w:fldChar w:fldCharType="end"/>
      </w:r>
      <w:r w:rsidRPr="002A6586">
        <w:rPr>
          <w:highlight w:val="yellow"/>
        </w:rPr>
        <w:t>.</w:t>
      </w:r>
    </w:p>
    <w:p w14:paraId="0438A364" w14:textId="77777777" w:rsidR="00FE013C" w:rsidRPr="002A6586" w:rsidRDefault="00FE013C" w:rsidP="004C16FF">
      <w:pPr>
        <w:pStyle w:val="Heading20"/>
        <w:jc w:val="both"/>
        <w:rPr>
          <w:color w:val="auto"/>
          <w:highlight w:val="yellow"/>
        </w:rPr>
      </w:pPr>
      <w:r w:rsidRPr="002A6586">
        <w:rPr>
          <w:color w:val="auto"/>
          <w:highlight w:val="yellow"/>
        </w:rPr>
        <w:t>9.9 Cybersecurity and Operational Technology</w:t>
      </w:r>
    </w:p>
    <w:p w14:paraId="0BE0E768" w14:textId="23F7568B" w:rsidR="00FE013C" w:rsidRPr="002A6586" w:rsidRDefault="00FE013C" w:rsidP="00E842C0">
      <w:pPr>
        <w:spacing w:after="120"/>
        <w:ind w:firstLine="480"/>
        <w:rPr>
          <w:highlight w:val="yellow"/>
        </w:rPr>
      </w:pPr>
      <w:r w:rsidRPr="002A6586">
        <w:rPr>
          <w:highlight w:val="yellow"/>
        </w:rPr>
        <w:t xml:space="preserve">The augmentation of the attack surface area due to the integration of renewable energy systems, such as energy management platforms, smart inverters, battery management systems, and renewable monitoring systems, creates cybersecurity challenges that should be considered during system design. The possible threats to the system include false data injection (providing corrupted sensor readings to the EMS), malicious control commands (causing equipment to operate outside safe parameters), and </w:t>
      </w:r>
      <w:r w:rsidRPr="002A6586">
        <w:rPr>
          <w:highlight w:val="yellow"/>
        </w:rPr>
        <w:lastRenderedPageBreak/>
        <w:t>denial-of-service attacks (disrupting communication between components)</w:t>
      </w:r>
      <w:r w:rsidRPr="002A6586">
        <w:rPr>
          <w:highlight w:val="yellow"/>
        </w:rPr>
        <w:fldChar w:fldCharType="begin"/>
      </w:r>
      <w:r w:rsidR="00E842C0">
        <w:rPr>
          <w:highlight w:val="yellow"/>
        </w:rPr>
        <w:instrText xml:space="preserve"> ADDIN ZOTERO_ITEM CSL_CITATION {"citationID":"oozQ5wwK","properties":{"unsorted":false,"formattedCitation":"[156]","plainCitation":"[156]","noteIndex":0},"citationItems":[{"id":2151,"uris":["http://zotero.org/users/9870935/items/G8D3K3TM"],"itemData":{"id":2151,"type":"article-journal","abstract":"The oil and gas industry, a cornerstone of critical infrastructure, faces an escalating threat landscape due to supply chain malware targeting Operational Technology (OT). These attacks exploit vulnerabilities introduced by third-party vendors and the convergence of legacy OT systems with modern IT networks, posing significant risks to industrial processes, national energy resilience, and environmental safety. This article examines the unique risks in OT systems, highlighting cascading operational, financial, and environmental consequences. Grounded in NERC CIP-013 standards, it proposes mitigation strategies such as supply chain mapping, sandbox testing, Zero Trust Architecture (ZTA), robust vendor audits, and cybersecurityintegrated project management practices. By analyzing high- impact scenarios and lessons learned, it provides actionable insights to empower stakeholders in safeguarding critical infrastructure.","language":"en","source":"Zotero","title":"Mitigating Supply Chain Malware Risks in Operational Technology: Challenges and Solutions for the Oil and Gas Industry","author":[{"family":"Chatterjee","given":"Suchismita"}]}}],"schema":"https://github.com/citation-style-language/schema/raw/master/csl-citation.json"} </w:instrText>
      </w:r>
      <w:r w:rsidRPr="002A6586">
        <w:rPr>
          <w:highlight w:val="yellow"/>
        </w:rPr>
        <w:fldChar w:fldCharType="separate"/>
      </w:r>
      <w:r w:rsidR="00E842C0" w:rsidRPr="00E842C0">
        <w:rPr>
          <w:highlight w:val="yellow"/>
        </w:rPr>
        <w:t>[156]</w:t>
      </w:r>
      <w:r w:rsidRPr="002A6586">
        <w:rPr>
          <w:highlight w:val="yellow"/>
        </w:rPr>
        <w:fldChar w:fldCharType="end"/>
      </w:r>
      <w:r w:rsidRPr="002A6586">
        <w:rPr>
          <w:highlight w:val="yellow"/>
        </w:rPr>
        <w:t xml:space="preserve">. As the IT and OT networks in modern data </w:t>
      </w:r>
      <w:r w:rsidR="00580BAE" w:rsidRPr="002A6586">
        <w:rPr>
          <w:highlight w:val="yellow"/>
        </w:rPr>
        <w:t>center</w:t>
      </w:r>
      <w:r w:rsidRPr="002A6586">
        <w:rPr>
          <w:highlight w:val="yellow"/>
        </w:rPr>
        <w:t>s converge, there are opportunities for cyber threats to spread from enterprise systems to critical power infrastructure.</w:t>
      </w:r>
    </w:p>
    <w:p w14:paraId="4E1A3D79" w14:textId="08810A4D" w:rsidR="00FE013C" w:rsidRPr="00BD4B33" w:rsidRDefault="00FE013C" w:rsidP="00E842C0">
      <w:pPr>
        <w:spacing w:after="120"/>
        <w:ind w:firstLine="480"/>
      </w:pPr>
      <w:r w:rsidRPr="002A6586">
        <w:rPr>
          <w:highlight w:val="yellow"/>
        </w:rPr>
        <w:t xml:space="preserve">The following principles are followed to support best practices for OT cybersecurity: air-gapping or VPN-protected control networks, multi-factor authentication of all operator access, role-based access control that </w:t>
      </w:r>
      <w:r w:rsidR="00030122" w:rsidRPr="002A6586">
        <w:rPr>
          <w:highlight w:val="yellow"/>
        </w:rPr>
        <w:t>minimizes</w:t>
      </w:r>
      <w:r w:rsidRPr="002A6586">
        <w:rPr>
          <w:highlight w:val="yellow"/>
        </w:rPr>
        <w:t xml:space="preserve"> the permissions of each user, encrypted communications with TLS 1.3 or its higher versions, and redundant communication paths to ensure control capability for disruptions to the network</w:t>
      </w:r>
      <w:r w:rsidRPr="002A6586">
        <w:rPr>
          <w:highlight w:val="yellow"/>
        </w:rPr>
        <w:fldChar w:fldCharType="begin"/>
      </w:r>
      <w:r w:rsidR="004E7A62">
        <w:rPr>
          <w:highlight w:val="yellow"/>
        </w:rPr>
        <w:instrText xml:space="preserve"> ADDIN ZOTERO_ITEM CSL_CITATION {"citationID":"Z3L6Q0Rb","properties":{"unsorted":false,"formattedCitation":"[129]","plainCitation":"[129]","noteIndex":0},"citationItems":[{"id":2153,"uris":["http://zotero.org/users/9870935/items/BM962LGX"],"itemData":{"id":2153,"type":"article-journal","abstract":"Power system is not exempt from the cyber security threats that threaten almost all digitalised society sectors and activities. Consequences of cyber-attacks to power control infrastructures can be extremely significant for operators’ core business, but also for most of the essential services of developed society, even potentially affecting safety of people. Fortunately countermeasures exist as there are international standard that specify which countermeasures have to be applied to raise the security level and to allow interoperability between operators’, vendors’, and customers’ devices. Cyber security countermeasures have an impact on performance that must be evaluated early enough to assess the adequacy of a solution, or to select the most appropriate configuration among multiple alternatives. This article describes a platform developed to measure the impact of cyber security measures indicated by the TLS profiles specified by IEC 62351 standard series. The experimental platform is described and the performances of different cypher suites supported by the standard are reported for communications using a IEC 61850 protocol stack.","language":"en","source":"Zotero","title":"IMPACT EVALUATION OF IEC 62351 CYBER SECURITY ON IEC 61850 COMMUNICATIONS PERFORMANCE","author":[{"family":"Todeschini","given":"Mauro G"},{"family":"Dondossola","given":"Giovanna"},{"family":"Terruggia","given":"Roberta"}],"issued":{"date-parts":[["2019"]]}}}],"schema":"https://github.com/citation-style-language/schema/raw/master/csl-citation.json"} </w:instrText>
      </w:r>
      <w:r w:rsidRPr="002A6586">
        <w:rPr>
          <w:highlight w:val="yellow"/>
        </w:rPr>
        <w:fldChar w:fldCharType="separate"/>
      </w:r>
      <w:r w:rsidR="004E7A62" w:rsidRPr="004E7A62">
        <w:rPr>
          <w:highlight w:val="yellow"/>
        </w:rPr>
        <w:t>[129]</w:t>
      </w:r>
      <w:r w:rsidRPr="002A6586">
        <w:rPr>
          <w:highlight w:val="yellow"/>
        </w:rPr>
        <w:fldChar w:fldCharType="end"/>
      </w:r>
      <w:r w:rsidRPr="002A6586">
        <w:rPr>
          <w:highlight w:val="yellow"/>
        </w:rPr>
        <w:t>. Relevant standards include NERC CIP (Critical Infrastructure Protection) for bulk power systems, IEC 62351 for power system communications security, and the NIST Cybersecurity Framework for overall risk management. Vulnerability scans and penetration tests should be performed at least once a year to determine and fix security weaknesses</w:t>
      </w:r>
      <w:r w:rsidRPr="002A6586">
        <w:rPr>
          <w:highlight w:val="yellow"/>
        </w:rPr>
        <w:fldChar w:fldCharType="begin"/>
      </w:r>
      <w:r w:rsidR="00E842C0">
        <w:rPr>
          <w:highlight w:val="yellow"/>
        </w:rPr>
        <w:instrText xml:space="preserve"> ADDIN ZOTERO_ITEM CSL_CITATION {"citationID":"WrmxBe2a","properties":{"unsorted":false,"formattedCitation":"[157]","plainCitation":"[157]","noteIndex":0},"citationItems":[{"id":2154,"uris":["http://zotero.org/users/9870935/items/5WIYJKYR"],"itemData":{"id":2154,"type":"article-journal","abstract":"As technology advances and digitalization becomes more prevalent in the industry, the cyber threats to maritime systems and operations have significantly increased. The maritime sector relies heavily on interconnected networks, communication systems, and sophisticated technologies for its operations, making it an attractive target for cybercriminals, nation-states, and other threat actors. Safeguarding the maritime sector against cyber threats is crucial to ensuring the safety, integrity, and efficiency of maritime operations as well as for protecting sensitive information and global trade. The International Maritime Organization (IMO) has played a significant role in addressing cybersecurity issues, leading to the implementation of regulations aimed at risk reduction. This paper delves into the realm of cybersecurity within the maritime industry, offering an in-depth analysis of its various aspects through an extensive literature review based on the latest Version 2.0 of the National Institute of Standards and Technology’s (NIST) Cybersecurity Framework (CSF) functional areas. The primary objective is to establish a connection between research and NIST’s functions and categories, thereby presenting a nascent perspective and identifying existing security research gaps. Through the adoption of this strategic approach, the present paper aims to cultivate a forward-looking and proactive state of maturity in anticipation of future developments within the maritime industry. The outcomes of this research can provide valuable reference points in academic discourse, potentially leading to new hypotheses, and fuel innovation in developing advanced cybersecurity measures within the maritime industry.","container-title":"Journal of Marine Science and Engineering","DOI":"10.3390/jmse12060919","ISSN":"2077-1312","issue":"6","journalAbbreviation":"JMSE","language":"en","page":"919","source":"DOI.org (Crossref)","title":"Comprehensive Analysis of Maritime Cybersecurity Landscape Based on the NIST CSF v2.0","volume":"12","author":[{"family":"Dimakopoulou","given":"Anastasia"},{"family":"Rantos","given":"Konstantinos"}],"issued":{"date-parts":[["2024",5,30]]}}}],"schema":"https://github.com/citation-style-language/schema/raw/master/csl-citation.json"} </w:instrText>
      </w:r>
      <w:r w:rsidRPr="002A6586">
        <w:rPr>
          <w:highlight w:val="yellow"/>
        </w:rPr>
        <w:fldChar w:fldCharType="separate"/>
      </w:r>
      <w:r w:rsidR="00E842C0" w:rsidRPr="00E842C0">
        <w:rPr>
          <w:highlight w:val="yellow"/>
        </w:rPr>
        <w:t>[157]</w:t>
      </w:r>
      <w:r w:rsidRPr="002A6586">
        <w:rPr>
          <w:highlight w:val="yellow"/>
        </w:rPr>
        <w:fldChar w:fldCharType="end"/>
      </w:r>
      <w:r w:rsidRPr="002A6586">
        <w:rPr>
          <w:highlight w:val="yellow"/>
        </w:rPr>
        <w:t>.</w:t>
      </w:r>
    </w:p>
    <w:p w14:paraId="5FB529BD" w14:textId="77777777" w:rsidR="00FE013C" w:rsidRDefault="00FE013C" w:rsidP="004C16FF">
      <w:pPr>
        <w:pStyle w:val="Heading1"/>
        <w:keepNext/>
        <w:jc w:val="both"/>
      </w:pPr>
      <w:bookmarkStart w:id="23" w:name="_Toc100067"/>
      <w:r>
        <w:t>10. Economic Analysis and Financial Viability</w:t>
      </w:r>
      <w:bookmarkEnd w:id="23"/>
    </w:p>
    <w:p w14:paraId="5CAC49A2" w14:textId="4B2934CE" w:rsidR="00F77E8E" w:rsidRDefault="00F77E8E" w:rsidP="004C16FF">
      <w:pPr>
        <w:spacing w:after="120"/>
        <w:ind w:firstLine="480"/>
        <w:rPr>
          <w:color w:val="000000" w:themeColor="text1"/>
          <w:szCs w:val="24"/>
          <w:lang w:val="en-CA"/>
        </w:rPr>
      </w:pPr>
      <w:r w:rsidRPr="002D05E1">
        <w:rPr>
          <w:color w:val="000000" w:themeColor="text1"/>
          <w:szCs w:val="24"/>
          <w:highlight w:val="yellow"/>
          <w:lang w:val="en-CA"/>
        </w:rPr>
        <w:t xml:space="preserve">This section reviews the economic features of AI data centers powered by renewables, including capital cost of technologies, operating and maintenance costs, levelized generation costs, firming and grid-integration costs, power purchase agreements (PPAs), financial assumptions, tax incentives and methods for financial evaluation of projects. The comparison is divided into unfirmed renewable generation, firmed renewable systems, and delivered grid electricity, as these are not a like-for-like comparison as they are not the same product and availability is different. Values cited in this section are not the results of an independent project-specific financial </w:t>
      </w:r>
      <w:r w:rsidR="002D05E1" w:rsidRPr="002D05E1">
        <w:rPr>
          <w:color w:val="000000" w:themeColor="text1"/>
          <w:szCs w:val="24"/>
          <w:highlight w:val="yellow"/>
          <w:lang w:val="en-CA"/>
        </w:rPr>
        <w:t>model but</w:t>
      </w:r>
      <w:r w:rsidRPr="002D05E1">
        <w:rPr>
          <w:color w:val="000000" w:themeColor="text1"/>
          <w:szCs w:val="24"/>
          <w:highlight w:val="yellow"/>
          <w:lang w:val="en-CA"/>
        </w:rPr>
        <w:t xml:space="preserve"> are literature-based benchmarks.</w:t>
      </w:r>
    </w:p>
    <w:p w14:paraId="159459D5" w14:textId="77777777" w:rsidR="00FE013C" w:rsidRPr="00EB1FF0" w:rsidRDefault="00FE013C" w:rsidP="004C16FF">
      <w:pPr>
        <w:pStyle w:val="Heading20"/>
        <w:jc w:val="both"/>
        <w:rPr>
          <w:color w:val="auto"/>
        </w:rPr>
      </w:pPr>
      <w:bookmarkStart w:id="24" w:name="_Toc100068"/>
      <w:r w:rsidRPr="00EB1FF0">
        <w:rPr>
          <w:color w:val="auto"/>
        </w:rPr>
        <w:t>10.1 Capital</w:t>
      </w:r>
      <w:r>
        <w:rPr>
          <w:color w:val="auto"/>
        </w:rPr>
        <w:t xml:space="preserve"> and Operational</w:t>
      </w:r>
      <w:r w:rsidRPr="00EB1FF0">
        <w:rPr>
          <w:color w:val="auto"/>
        </w:rPr>
        <w:t xml:space="preserve"> Cost Analysis</w:t>
      </w:r>
      <w:bookmarkEnd w:id="24"/>
    </w:p>
    <w:p w14:paraId="76E4F47C" w14:textId="140119A0" w:rsidR="00D81E2E" w:rsidRPr="00157584" w:rsidRDefault="00D81E2E" w:rsidP="00A95675">
      <w:pPr>
        <w:spacing w:after="120"/>
        <w:ind w:firstLine="480"/>
        <w:rPr>
          <w:color w:val="000000" w:themeColor="text1"/>
          <w:szCs w:val="24"/>
          <w:highlight w:val="yellow"/>
        </w:rPr>
      </w:pPr>
      <w:r w:rsidRPr="002814C1">
        <w:rPr>
          <w:color w:val="000000" w:themeColor="text1"/>
          <w:szCs w:val="24"/>
          <w:highlight w:val="yellow"/>
          <w:lang w:val="en-CA"/>
        </w:rPr>
        <w:t xml:space="preserve">Costs for renewable-energy projects tend to be capital-intensive, and most of the cost is in developing and building the project. As a result, the reported capital costs range depending on the geographic location, quality of resources, labor and equipment markets, interconnection needs, permitting process, supply-chain limitations, and financing arrangement. </w:t>
      </w:r>
      <w:r w:rsidR="00A721DF" w:rsidRPr="00A721DF">
        <w:rPr>
          <w:color w:val="000000" w:themeColor="text1"/>
          <w:szCs w:val="24"/>
          <w:highlight w:val="yellow"/>
        </w:rPr>
        <w:t>The National Renewable Energy Laboratory (NREL) Annual Technology Baseline (ATB) provides internally consistent technology-cost and performance assumptions for U.S. electricity-sector analysis, while the International Renewable Energy Agency (IRENA) reports global and regional observations for commissioned projects</w:t>
      </w:r>
      <w:r w:rsidR="00157584">
        <w:rPr>
          <w:color w:val="000000" w:themeColor="text1"/>
          <w:szCs w:val="24"/>
          <w:highlight w:val="yellow"/>
        </w:rPr>
        <w:t xml:space="preserve"> </w:t>
      </w:r>
      <w:r w:rsidR="002814C1">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{"citationID":"TiaPh2yu","properties":{"unsorted":false,"formattedCitation":"[16], [116]","plainCitation":"[16], [116]","noteIndex":0},"citationItems":[{"id":1925,"uris":["http://zotero.org/users/9870935/items/ZT343IZI"],"itemData":{"id":1925,"type":"article-journal","language":"en","source":"Zotero","title":"Renewable power generation costs in 2024","URL":"https://www.rinnovabili.it/wp-content/uploads/2025/07/IRENA-RENEWABLE-POWER-GENERATION-COSTS-IN-2024.pdf"}},{"id":2715,"uris":["http://zotero.org/users/9870935/items/7394XZ5J"],"itemData":{"id":2715,"type":"post-weblog","title":"Annual Technoogy Baseline","URL":"https://atb-archive.nlr.gov/","author":[{"literal":"NREL"}]}}],"schema":"https://github.com/citation-style-language/schema/raw/master/csl-citation.json"} </w:instrText>
      </w:r>
      <w:r w:rsidR="002814C1">
        <w:rPr>
          <w:color w:val="000000" w:themeColor="text1"/>
          <w:szCs w:val="24"/>
          <w:highlight w:val="yellow"/>
          <w:lang w:val="en-CA"/>
        </w:rPr>
        <w:fldChar w:fldCharType="separate"/>
      </w:r>
      <w:r w:rsidR="00A95675" w:rsidRPr="00A95675">
        <w:rPr>
          <w:highlight w:val="yellow"/>
          <w:lang w:val="en-CA"/>
        </w:rPr>
        <w:t>[16], [116]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10D1FDD0" w14:textId="24E412B3"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In 2024, IRENA reported the global weighted-average total installed costs (TICs) of $691/kW for utility-scale solar photovoltaic (PV) systems and $1,041/kW for onshore wind. Such world averages should not be used as typical project costs for the United States, as permitting, labor and equipment costs, as well as BOS and interconnection delays may lead to higher costs in North America and Europe [186]. Additionally, IRENA published the total installed price for battery energy storage systems (BESS) at the utility scale cost at about $192/kWh in 2024</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1l15Jiku","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[16]</w:t>
      </w:r>
      <w:r w:rsidR="002814C1">
        <w:rPr>
          <w:color w:val="000000" w:themeColor="text1"/>
          <w:szCs w:val="24"/>
          <w:highlight w:val="yellow"/>
          <w:lang w:val="en-CA"/>
        </w:rPr>
        <w:fldChar w:fldCharType="end"/>
      </w:r>
      <w:r w:rsidRPr="002814C1">
        <w:rPr>
          <w:color w:val="000000" w:themeColor="text1"/>
          <w:szCs w:val="24"/>
          <w:highlight w:val="yellow"/>
          <w:lang w:val="en-CA"/>
        </w:rPr>
        <w:t>.</w:t>
      </w:r>
    </w:p>
    <w:p w14:paraId="002DB1DD" w14:textId="165714E9"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cost of batteries should be reported regularly. According to BloombergNEF's 2025 survey, the volume-weighted average price of lithium-ion battery-packs for applications dropped to $108/kWh. The average pack price for stationary-storage was about $70/kWh</w:t>
      </w:r>
      <w:r w:rsidR="002814C1">
        <w:rPr>
          <w:color w:val="000000" w:themeColor="text1"/>
          <w:szCs w:val="24"/>
          <w:highlight w:val="yellow"/>
          <w:lang w:val="en-CA"/>
        </w:rPr>
        <w:t xml:space="preserve"> </w:t>
      </w:r>
      <w:r w:rsidR="002814C1">
        <w:rPr>
          <w:color w:val="000000" w:themeColor="text1"/>
          <w:szCs w:val="24"/>
          <w:highlight w:val="yellow"/>
          <w:lang w:val="en-CA"/>
        </w:rPr>
        <w:fldChar w:fldCharType="begin"/>
      </w:r>
      <w:r w:rsidR="002814C1">
        <w:rPr>
          <w:color w:val="000000" w:themeColor="text1"/>
          <w:szCs w:val="24"/>
          <w:highlight w:val="yellow"/>
          <w:lang w:val="en-CA"/>
        </w:rPr>
        <w:instrText xml:space="preserve"> ADDIN ZOTERO_ITEM CSL_CITATION {"citationID":"cL5TvLm8","properties":{"unsorted":false,"formattedCitation":"[17]","plainCitation":"[17]","noteIndex":0},"citationItems":[{"id":1923,"uris":["http://zotero.org/users/9870935/items/K5N743Z5"],"itemData":{"id":1923,"type":"post-weblog","title":"BNEF: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2814C1">
        <w:rPr>
          <w:color w:val="000000" w:themeColor="text1"/>
          <w:szCs w:val="24"/>
          <w:highlight w:val="yellow"/>
          <w:lang w:val="en-CA"/>
        </w:rPr>
        <w:fldChar w:fldCharType="separate"/>
      </w:r>
      <w:r w:rsidR="002814C1" w:rsidRPr="002814C1">
        <w:rPr>
          <w:highlight w:val="yellow"/>
          <w:lang w:val="en-CA"/>
        </w:rPr>
        <w:t>[17]</w:t>
      </w:r>
      <w:r w:rsidR="002814C1">
        <w:rPr>
          <w:color w:val="000000" w:themeColor="text1"/>
          <w:szCs w:val="24"/>
          <w:highlight w:val="yellow"/>
          <w:lang w:val="en-CA"/>
        </w:rPr>
        <w:fldChar w:fldCharType="end"/>
      </w:r>
      <w:r w:rsidRPr="002814C1">
        <w:rPr>
          <w:color w:val="000000" w:themeColor="text1"/>
          <w:szCs w:val="24"/>
          <w:highlight w:val="yellow"/>
          <w:lang w:val="en-CA"/>
        </w:rPr>
        <w:t xml:space="preserve">. These values are based on battery-packs and do not cover all costs needed to build an operational battery energy storage system. </w:t>
      </w:r>
      <w:r w:rsidRPr="002814C1">
        <w:rPr>
          <w:color w:val="000000" w:themeColor="text1"/>
          <w:szCs w:val="24"/>
          <w:highlight w:val="yellow"/>
          <w:lang w:val="en-CA"/>
        </w:rPr>
        <w:lastRenderedPageBreak/>
        <w:t xml:space="preserve">Other costs included in a complete </w:t>
      </w:r>
      <w:r w:rsidR="002814C1" w:rsidRPr="002814C1">
        <w:rPr>
          <w:color w:val="000000" w:themeColor="text1"/>
          <w:szCs w:val="24"/>
          <w:highlight w:val="yellow"/>
          <w:lang w:val="en-CA"/>
        </w:rPr>
        <w:t>installed system</w:t>
      </w:r>
      <w:r w:rsidRPr="002814C1">
        <w:rPr>
          <w:color w:val="000000" w:themeColor="text1"/>
          <w:szCs w:val="24"/>
          <w:highlight w:val="yellow"/>
          <w:lang w:val="en-CA"/>
        </w:rPr>
        <w:t xml:space="preserve"> include the power-conversion system, the thermal management, battery enclosures, controls, fire protection, engineering, procurement, construction, interconnection equipment and site-development costs. The price of the pack is thus not a viable alternative to the installed BESS cost.</w:t>
      </w:r>
    </w:p>
    <w:p w14:paraId="37AC81A4" w14:textId="25C9E738" w:rsidR="00D81E2E" w:rsidRPr="002814C1" w:rsidRDefault="00D81E2E" w:rsidP="002814C1">
      <w:pPr>
        <w:spacing w:after="120"/>
        <w:ind w:firstLine="480"/>
        <w:rPr>
          <w:color w:val="000000" w:themeColor="text1"/>
          <w:szCs w:val="24"/>
          <w:highlight w:val="yellow"/>
          <w:lang w:val="en-CA"/>
        </w:rPr>
      </w:pPr>
      <w:r w:rsidRPr="002814C1">
        <w:rPr>
          <w:color w:val="000000" w:themeColor="text1"/>
          <w:szCs w:val="24"/>
          <w:highlight w:val="yellow"/>
          <w:lang w:val="en-CA"/>
        </w:rPr>
        <w:t>The following cost categories are kept for screening-level analysis in this review:</w:t>
      </w:r>
    </w:p>
    <w:p w14:paraId="6FF64ADD" w14:textId="45360048" w:rsidR="00D81E2E" w:rsidRPr="002814C1" w:rsidRDefault="00D81E2E" w:rsidP="00A95675">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Capital cost of utility-scale solar PV:</w:t>
      </w:r>
      <w:r w:rsidRPr="002814C1">
        <w:rPr>
          <w:color w:val="000000" w:themeColor="text1"/>
          <w:szCs w:val="24"/>
          <w:highlight w:val="yellow"/>
          <w:lang w:val="en-CA"/>
        </w:rPr>
        <w:t xml:space="preserve"> project-specific capital cost from the NREL Annual Technology Baseline or a similar regional engineering estimate</w:t>
      </w:r>
      <w:r w:rsidR="008B3B48">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{"citationID":"0JgMbJWx","properties":{"unsorted":false,"formattedCitation":"[116]","plainCitation":"[116]","noteIndex":0},"citationItems":[{"id":2715,"uris":["http://zotero.org/users/9870935/items/7394XZ5J"],"itemData":{"id":2715,"type":"post-weblog","title":"Annual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A95675" w:rsidRPr="00A95675">
        <w:rPr>
          <w:highlight w:val="yellow"/>
          <w:lang w:val="en-CA"/>
        </w:rPr>
        <w:t>[116]</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56A2FBC4" w14:textId="2540D352" w:rsidR="00D81E2E" w:rsidRPr="002814C1" w:rsidRDefault="00D81E2E" w:rsidP="00A95675">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Onshore wind:</w:t>
      </w:r>
      <w:r w:rsidRPr="002814C1">
        <w:rPr>
          <w:color w:val="000000" w:themeColor="text1"/>
          <w:szCs w:val="24"/>
          <w:highlight w:val="yellow"/>
          <w:lang w:val="en-CA"/>
        </w:rPr>
        <w:t xml:space="preserve"> A project-specific capital cost from the NREL Annual Technology Baseline or other regionally available estimate </w:t>
      </w:r>
      <w:r w:rsidR="008B3B48">
        <w:rPr>
          <w:color w:val="000000" w:themeColor="text1"/>
          <w:szCs w:val="24"/>
          <w:highlight w:val="yellow"/>
          <w:lang w:val="en-CA"/>
        </w:rPr>
        <w:fldChar w:fldCharType="begin"/>
      </w:r>
      <w:r w:rsidR="00A95675">
        <w:rPr>
          <w:color w:val="000000" w:themeColor="text1"/>
          <w:szCs w:val="24"/>
          <w:highlight w:val="yellow"/>
          <w:lang w:val="en-CA"/>
        </w:rPr>
        <w:instrText xml:space="preserve"> ADDIN ZOTERO_ITEM CSL_CITATION {"citationID":"QgPzQghO","properties":{"unsorted":false,"formattedCitation":"[116]","plainCitation":"[116]","noteIndex":0},"citationItems":[{"id":2715,"uris":["http://zotero.org/users/9870935/items/7394XZ5J"],"itemData":{"id":2715,"type":"post-weblog","title":"Annual Technoogy Baseline","URL":"https://atb-archive.nlr.gov/","author":[{"literal":"NREL"}]}}],"schema":"https://github.com/citation-style-language/schema/raw/master/csl-citation.json"} </w:instrText>
      </w:r>
      <w:r w:rsidR="008B3B48">
        <w:rPr>
          <w:color w:val="000000" w:themeColor="text1"/>
          <w:szCs w:val="24"/>
          <w:highlight w:val="yellow"/>
          <w:lang w:val="en-CA"/>
        </w:rPr>
        <w:fldChar w:fldCharType="separate"/>
      </w:r>
      <w:r w:rsidR="00A95675" w:rsidRPr="00A95675">
        <w:rPr>
          <w:highlight w:val="yellow"/>
          <w:lang w:val="en-CA"/>
        </w:rPr>
        <w:t>[116]</w:t>
      </w:r>
      <w:r w:rsidR="008B3B48">
        <w:rPr>
          <w:color w:val="000000" w:themeColor="text1"/>
          <w:szCs w:val="24"/>
          <w:highlight w:val="yellow"/>
          <w:lang w:val="en-CA"/>
        </w:rPr>
        <w:fldChar w:fldCharType="end"/>
      </w:r>
      <w:r w:rsidRPr="002814C1">
        <w:rPr>
          <w:color w:val="000000" w:themeColor="text1"/>
          <w:szCs w:val="24"/>
          <w:highlight w:val="yellow"/>
          <w:lang w:val="en-CA"/>
        </w:rPr>
        <w:t>.</w:t>
      </w:r>
    </w:p>
    <w:p w14:paraId="45A1753B" w14:textId="2104934A" w:rsidR="00D81E2E" w:rsidRPr="002814C1" w:rsidRDefault="00D81E2E" w:rsidP="000D42C3">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Lithium-ion battery pack:</w:t>
      </w:r>
      <w:r w:rsidRPr="002814C1">
        <w:rPr>
          <w:color w:val="000000" w:themeColor="text1"/>
          <w:szCs w:val="24"/>
          <w:highlight w:val="yellow"/>
          <w:lang w:val="en-CA"/>
        </w:rPr>
        <w:t xml:space="preserve"> $108/kWh as the 2025 volume-weighted average across applications, with stationary-storage packs averaging $70/kWh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{"citationID":"ly3sI2Ew","properties":{"unsorted":false,"formattedCitation":"[17]","plainCitation":"[17]","noteIndex":0},"citationItems":[{"id":1923,"uris":["http://zotero.org/users/9870935/items/K5N743Z5"],"itemData":{"id":1923,"type":"post-weblog","title":"BNEF: Lithium-ion battery pack prices fall to $108/kWh, stationary storage becomes lowest price segment","URL":"https://www.ess-news.com/2025/12/09/bnef-lithium-ion-battery-pack-prices-fall-to-108-kwh-stationary-storage-becomes-lowest-price-segment/","author":[{"family":"BNEF","given":""}],"accessed":{"date-parts":[["2025",12,9]]}}}],"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[17]</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6B74578B" w14:textId="77FB8E97" w:rsidR="00B9300E" w:rsidRPr="00B9300E" w:rsidRDefault="00D81E2E" w:rsidP="00B9300E">
      <w:pPr>
        <w:pStyle w:val="ListParagraph"/>
        <w:numPr>
          <w:ilvl w:val="0"/>
          <w:numId w:val="23"/>
        </w:numPr>
        <w:spacing w:after="120"/>
        <w:rPr>
          <w:color w:val="000000" w:themeColor="text1"/>
          <w:szCs w:val="24"/>
          <w:highlight w:val="yellow"/>
          <w:lang w:val="en-CA"/>
        </w:rPr>
      </w:pPr>
      <w:r w:rsidRPr="002814C1">
        <w:rPr>
          <w:b/>
          <w:bCs/>
          <w:color w:val="000000" w:themeColor="text1"/>
          <w:szCs w:val="24"/>
          <w:highlight w:val="yellow"/>
          <w:lang w:val="en-CA"/>
        </w:rPr>
        <w:t>Installed cost of utility-scale BESS:</w:t>
      </w:r>
      <w:r w:rsidRPr="002814C1">
        <w:rPr>
          <w:color w:val="000000" w:themeColor="text1"/>
          <w:szCs w:val="24"/>
          <w:highlight w:val="yellow"/>
          <w:lang w:val="en-CA"/>
        </w:rPr>
        <w:t xml:space="preserve"> global weighted-average 2024 installed cost from IRENA, which could vary across regions and projects, of approximately $192/kWh</w:t>
      </w:r>
      <w:r w:rsidR="000D42C3">
        <w:rPr>
          <w:color w:val="000000" w:themeColor="text1"/>
          <w:szCs w:val="24"/>
          <w:highlight w:val="yellow"/>
          <w:lang w:val="en-CA"/>
        </w:rPr>
        <w:fldChar w:fldCharType="begin"/>
      </w:r>
      <w:r w:rsidR="000D42C3">
        <w:rPr>
          <w:color w:val="000000" w:themeColor="text1"/>
          <w:szCs w:val="24"/>
          <w:highlight w:val="yellow"/>
          <w:lang w:val="en-CA"/>
        </w:rPr>
        <w:instrText xml:space="preserve"> ADDIN ZOTERO_ITEM CSL_CITATION {"citationID":"oeDt1TSW","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0D42C3">
        <w:rPr>
          <w:color w:val="000000" w:themeColor="text1"/>
          <w:szCs w:val="24"/>
          <w:highlight w:val="yellow"/>
          <w:lang w:val="en-CA"/>
        </w:rPr>
        <w:fldChar w:fldCharType="separate"/>
      </w:r>
      <w:r w:rsidR="000D42C3" w:rsidRPr="000D42C3">
        <w:rPr>
          <w:highlight w:val="yellow"/>
          <w:lang w:val="en-CA"/>
        </w:rPr>
        <w:t>[16]</w:t>
      </w:r>
      <w:r w:rsidR="000D42C3">
        <w:rPr>
          <w:color w:val="000000" w:themeColor="text1"/>
          <w:szCs w:val="24"/>
          <w:highlight w:val="yellow"/>
          <w:lang w:val="en-CA"/>
        </w:rPr>
        <w:fldChar w:fldCharType="end"/>
      </w:r>
      <w:r w:rsidRPr="002814C1">
        <w:rPr>
          <w:color w:val="000000" w:themeColor="text1"/>
          <w:szCs w:val="24"/>
          <w:highlight w:val="yellow"/>
          <w:lang w:val="en-CA"/>
        </w:rPr>
        <w:t>.</w:t>
      </w:r>
    </w:p>
    <w:p w14:paraId="1782112C" w14:textId="2701F7DB" w:rsidR="00B9300E" w:rsidRPr="00B9300E" w:rsidRDefault="00B9300E" w:rsidP="00B9300E">
      <w:pPr>
        <w:spacing w:after="120"/>
        <w:ind w:firstLine="480"/>
        <w:rPr>
          <w:color w:val="000000" w:themeColor="text1"/>
          <w:szCs w:val="24"/>
          <w:highlight w:val="yellow"/>
        </w:rPr>
      </w:pPr>
      <w:r w:rsidRPr="00B9300E">
        <w:rPr>
          <w:color w:val="000000" w:themeColor="text1"/>
          <w:szCs w:val="24"/>
          <w:highlight w:val="yellow"/>
        </w:rPr>
        <w:t>Unless otherwise stated, cost values reported in this section are literature-based benchmarks extracted from published sources and are presented in the original reports' currency years. These values have not been normalized to a common base year unless explicitly indicated. Consequently, direct numerical comparisons should be interpreted with caution. Project-specific evaluations should use locally applicable cost data and inflation-adjusted assumptions.</w:t>
      </w:r>
    </w:p>
    <w:p w14:paraId="076ABDA0" w14:textId="4E995590" w:rsidR="00D81E2E" w:rsidRPr="000D42C3" w:rsidRDefault="00D81E2E" w:rsidP="000D42C3">
      <w:pPr>
        <w:spacing w:after="120"/>
        <w:ind w:firstLine="480"/>
        <w:rPr>
          <w:color w:val="000000" w:themeColor="text1"/>
          <w:szCs w:val="24"/>
          <w:highlight w:val="yellow"/>
          <w:lang w:val="en-CA"/>
        </w:rPr>
      </w:pPr>
      <w:r w:rsidRPr="000D42C3">
        <w:rPr>
          <w:color w:val="000000" w:themeColor="text1"/>
          <w:szCs w:val="24"/>
          <w:highlight w:val="yellow"/>
          <w:lang w:val="en-CA"/>
        </w:rPr>
        <w:t>Fundamentally, the same technology data set should be used for fixed operation and maintenance costs. Annual fixed O&amp;M can be reported as a percent of initial capital cost for project screening, but should be reported as technology-specific dollar per kilowatt per year costs in investment-grade project analysis, and should separately report costs for land leases, insurance and asset management, inverter replacement, battery augmentation, property taxes, and planned component replacement</w:t>
      </w:r>
      <w:r w:rsidR="000D42C3">
        <w:rPr>
          <w:color w:val="000000" w:themeColor="text1"/>
          <w:szCs w:val="24"/>
          <w:highlight w:val="yellow"/>
          <w:lang w:val="en-CA"/>
        </w:rPr>
        <w:t>.</w:t>
      </w:r>
    </w:p>
    <w:p w14:paraId="2E77E158" w14:textId="77777777" w:rsidR="00FE013C" w:rsidRDefault="00FE013C" w:rsidP="004C16FF">
      <w:pPr>
        <w:pStyle w:val="Heading20"/>
        <w:jc w:val="both"/>
        <w:rPr>
          <w:color w:val="auto"/>
        </w:rPr>
      </w:pPr>
      <w:r w:rsidRPr="00EB1FF0">
        <w:rPr>
          <w:color w:val="auto"/>
        </w:rPr>
        <w:t>10.</w:t>
      </w:r>
      <w:r>
        <w:rPr>
          <w:color w:val="auto"/>
        </w:rPr>
        <w:t>2</w:t>
      </w:r>
      <w:r w:rsidRPr="00EB1FF0">
        <w:rPr>
          <w:color w:val="auto"/>
        </w:rPr>
        <w:t xml:space="preserve"> </w:t>
      </w:r>
      <w:r>
        <w:rPr>
          <w:color w:val="auto"/>
        </w:rPr>
        <w:t>Levelized Cost of Energy (LCOE) Comparison</w:t>
      </w:r>
    </w:p>
    <w:p w14:paraId="019243BB" w14:textId="506E2A96" w:rsidR="00044E2C" w:rsidRPr="00880E70" w:rsidRDefault="00044E2C" w:rsidP="00E842C0">
      <w:pPr>
        <w:spacing w:after="120"/>
        <w:ind w:firstLine="480"/>
        <w:rPr>
          <w:color w:val="000000" w:themeColor="text1"/>
          <w:szCs w:val="24"/>
          <w:highlight w:val="yellow"/>
          <w:lang w:val="en-CA"/>
        </w:rPr>
      </w:pPr>
      <w:r w:rsidRPr="00044E2C">
        <w:rPr>
          <w:color w:val="000000" w:themeColor="text1"/>
          <w:szCs w:val="24"/>
          <w:highlight w:val="yellow"/>
          <w:lang w:val="en-CA"/>
        </w:rPr>
        <w:t>Levelized cost of electricity (LCOE) is the discounted LCOE of constructing and operating a generation asset divided by the discounted lifetime electricity production. While LCOE is useful for comparing generation technologies when the same assumptions are made, it cannot be used to measure the temporal availability, capacity value, transmission requirements, curtailment or the cost of reliably serving a continuous data-center load</w:t>
      </w:r>
      <w:r>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{"citationID":"GxLmBcf8","properties":{"unsorted":false,"formattedCitation":"[16], [158]","plainCitation":"[16], [158]","noteIndex":0},"citationItems":[{"id":1925,"uris":["http://zotero.org/users/9870935/items/ZT343IZI"],"itemData":{"id":1925,"type":"article-journal","language":"en","source":"Zotero","title":"Renewable power generation costs in 2024","URL":"https://www.rinnovabili.it/wp-content/uploads/2025/07/IRENA-RENEWABLE-POWER-GENERATION-COSTS-IN-2024.pdf"}},{"id":2716,"uris":["http://zotero.org/users/9870935/items/QM3FE6TY"],"itemData":{"id":2716,"type":"post-weblog","title":"Lazard’s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Pr>
          <w:color w:val="000000" w:themeColor="text1"/>
          <w:szCs w:val="24"/>
          <w:highlight w:val="yellow"/>
          <w:lang w:val="en-CA"/>
        </w:rPr>
        <w:fldChar w:fldCharType="separate"/>
      </w:r>
      <w:r w:rsidR="00E842C0" w:rsidRPr="00E842C0">
        <w:rPr>
          <w:highlight w:val="yellow"/>
          <w:lang w:val="en-CA"/>
        </w:rPr>
        <w:t>[16], [158]</w:t>
      </w:r>
      <w:r>
        <w:rPr>
          <w:color w:val="000000" w:themeColor="text1"/>
          <w:szCs w:val="24"/>
          <w:highlight w:val="yellow"/>
          <w:lang w:val="en-CA"/>
        </w:rPr>
        <w:fldChar w:fldCharType="end"/>
      </w:r>
      <w:r w:rsidRPr="00044E2C">
        <w:rPr>
          <w:color w:val="000000" w:themeColor="text1"/>
          <w:szCs w:val="24"/>
          <w:highlight w:val="yellow"/>
          <w:lang w:val="en-CA"/>
        </w:rPr>
        <w:t>.</w:t>
      </w:r>
    </w:p>
    <w:p w14:paraId="39E4AFB9" w14:textId="48981AF3" w:rsidR="00044E2C" w:rsidRPr="00044E2C" w:rsidRDefault="00044E2C" w:rsidP="00044E2C">
      <w:pPr>
        <w:spacing w:after="120"/>
        <w:ind w:firstLine="480"/>
        <w:rPr>
          <w:color w:val="000000" w:themeColor="text1"/>
          <w:szCs w:val="24"/>
          <w:highlight w:val="yellow"/>
          <w:lang w:val="en-CA"/>
        </w:rPr>
      </w:pPr>
      <w:r w:rsidRPr="00044E2C">
        <w:rPr>
          <w:color w:val="000000" w:themeColor="text1"/>
          <w:szCs w:val="24"/>
          <w:highlight w:val="yellow"/>
          <w:lang w:val="en-CA"/>
        </w:rPr>
        <w:t xml:space="preserve">This is therefore the difference between unfirmed and firmed electricity that is important. Standalone solar PV and wind LCOEs are the cost of variable electricity </w:t>
      </w:r>
      <w:r w:rsidR="00417AAE" w:rsidRPr="00044E2C">
        <w:rPr>
          <w:color w:val="000000" w:themeColor="text1"/>
          <w:szCs w:val="24"/>
          <w:highlight w:val="yellow"/>
          <w:lang w:val="en-CA"/>
        </w:rPr>
        <w:t>if</w:t>
      </w:r>
      <w:r w:rsidRPr="00044E2C">
        <w:rPr>
          <w:color w:val="000000" w:themeColor="text1"/>
          <w:szCs w:val="24"/>
          <w:highlight w:val="yellow"/>
          <w:lang w:val="en-CA"/>
        </w:rPr>
        <w:t xml:space="preserve"> the resource is available. On the other hand, a data center has a high demand for </w:t>
      </w:r>
      <w:r w:rsidR="00417AAE" w:rsidRPr="00044E2C">
        <w:rPr>
          <w:color w:val="000000" w:themeColor="text1"/>
          <w:szCs w:val="24"/>
          <w:highlight w:val="yellow"/>
          <w:lang w:val="en-CA"/>
        </w:rPr>
        <w:t>electricity,</w:t>
      </w:r>
      <w:r w:rsidRPr="00044E2C">
        <w:rPr>
          <w:color w:val="000000" w:themeColor="text1"/>
          <w:szCs w:val="24"/>
          <w:highlight w:val="yellow"/>
          <w:lang w:val="en-CA"/>
        </w:rPr>
        <w:t xml:space="preserve"> and the electricity has to be constant, so it needs to increase the demand elasticity or geographic dispersion or use storage, imports, and backup generation to increase the demand stability. Unfirmed solar and wind LCOEs should not be explicitly compared to the all-in cost of firm grid service.</w:t>
      </w:r>
    </w:p>
    <w:p w14:paraId="56F187F7" w14:textId="20DF528F" w:rsidR="00044E2C" w:rsidRPr="00044E2C" w:rsidRDefault="00044E2C" w:rsidP="00E842C0">
      <w:pPr>
        <w:spacing w:after="120"/>
        <w:ind w:firstLine="480"/>
        <w:rPr>
          <w:color w:val="000000" w:themeColor="text1"/>
          <w:szCs w:val="24"/>
          <w:highlight w:val="yellow"/>
          <w:lang w:val="en-CA"/>
        </w:rPr>
      </w:pPr>
      <w:r w:rsidRPr="00044E2C">
        <w:rPr>
          <w:color w:val="000000" w:themeColor="text1"/>
          <w:szCs w:val="24"/>
          <w:highlight w:val="yellow"/>
          <w:lang w:val="en-CA"/>
        </w:rPr>
        <w:t>IRENA also listed the weighted-average LCOEs for solar PV and onshore wind for 2024 as $43/MWh and $34/MWh respectively</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OszfCbIt","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 Lazard's 2025 LCOE+ also found utility-scale solar and onshore wind to be cost competitive in the U.S. for new build, and noted that it is benchmarking current markets, not predicting the future</w:t>
      </w:r>
      <w:r w:rsidR="00417AA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{"citationID":"DLHqQ4hD","properties":{"unsorted":false,"formattedCitation":"[158]","plainCitation":"[158]","noteIndex":0},"citationItems":[{"id":2716,"uris":["http://zotero.org/users/9870935/items/QM3FE6TY"],"itemData":{"id":2716,"type":"post-weblog","title":"Lazard’s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417AAE">
        <w:rPr>
          <w:color w:val="000000" w:themeColor="text1"/>
          <w:szCs w:val="24"/>
          <w:highlight w:val="yellow"/>
          <w:lang w:val="en-CA"/>
        </w:rPr>
        <w:fldChar w:fldCharType="separate"/>
      </w:r>
      <w:r w:rsidR="00E842C0" w:rsidRPr="00E842C0">
        <w:rPr>
          <w:highlight w:val="yellow"/>
          <w:lang w:val="en-CA"/>
        </w:rPr>
        <w:t>[158]</w:t>
      </w:r>
      <w:r w:rsidR="00417AAE">
        <w:rPr>
          <w:color w:val="000000" w:themeColor="text1"/>
          <w:szCs w:val="24"/>
          <w:highlight w:val="yellow"/>
          <w:lang w:val="en-CA"/>
        </w:rPr>
        <w:fldChar w:fldCharType="end"/>
      </w:r>
      <w:r w:rsidRPr="00044E2C">
        <w:rPr>
          <w:color w:val="000000" w:themeColor="text1"/>
          <w:szCs w:val="24"/>
          <w:highlight w:val="yellow"/>
          <w:lang w:val="en-CA"/>
        </w:rPr>
        <w:t>. These values represent only the cost of a generation and do not reflect the full cost of securing supply to a data centre that is continually running.</w:t>
      </w:r>
    </w:p>
    <w:p w14:paraId="741F214F" w14:textId="77777777" w:rsidR="005810CB" w:rsidRPr="005810CB" w:rsidRDefault="005810CB" w:rsidP="005810CB">
      <w:pPr>
        <w:spacing w:after="120"/>
        <w:ind w:firstLine="480"/>
        <w:rPr>
          <w:color w:val="000000" w:themeColor="text1"/>
          <w:szCs w:val="24"/>
          <w:highlight w:val="yellow"/>
        </w:rPr>
      </w:pPr>
      <w:r w:rsidRPr="005810CB">
        <w:rPr>
          <w:color w:val="000000" w:themeColor="text1"/>
          <w:szCs w:val="24"/>
          <w:highlight w:val="yellow"/>
        </w:rPr>
        <w:lastRenderedPageBreak/>
        <w:t>Evidence from operational hybrid renewable-storage projects provides a more relevant comparison for data-center applications because a portion of renewable variability is addressed through storage. IRENA reported a weighted-average LCOE of approximately USD 79/MWh for seventeen utility-scale solar-plus-storage projects commissioned in 2024. This benchmark reflects the specific project portfolio evaluated by IRENA and should not be interpreted as a universal cost for hybrid renewable-energy systems.</w:t>
      </w:r>
    </w:p>
    <w:p w14:paraId="0AA27ACC" w14:textId="74AA2BEB" w:rsidR="00044E2C" w:rsidRDefault="00044E2C" w:rsidP="00417AAE">
      <w:pPr>
        <w:spacing w:after="120"/>
        <w:ind w:firstLine="480"/>
        <w:rPr>
          <w:color w:val="000000" w:themeColor="text1"/>
          <w:szCs w:val="24"/>
          <w:highlight w:val="yellow"/>
          <w:lang w:val="en-CA"/>
        </w:rPr>
      </w:pPr>
      <w:r w:rsidRPr="00044E2C">
        <w:rPr>
          <w:color w:val="000000" w:themeColor="text1"/>
          <w:szCs w:val="24"/>
          <w:highlight w:val="yellow"/>
          <w:lang w:val="en-CA"/>
        </w:rPr>
        <w:t>IRENA also found that the weighted-average price for eight Australian hybrid renewable-storage projects is around $51/MWh, highlighting the significance of project configuration, market structures, resource quality and location</w:t>
      </w:r>
      <w:r w:rsidR="00417AAE">
        <w:rPr>
          <w:color w:val="000000" w:themeColor="text1"/>
          <w:szCs w:val="24"/>
          <w:highlight w:val="yellow"/>
          <w:lang w:val="en-CA"/>
        </w:rPr>
        <w:fldChar w:fldCharType="begin"/>
      </w:r>
      <w:r w:rsidR="00417AAE">
        <w:rPr>
          <w:color w:val="000000" w:themeColor="text1"/>
          <w:szCs w:val="24"/>
          <w:highlight w:val="yellow"/>
          <w:lang w:val="en-CA"/>
        </w:rPr>
        <w:instrText xml:space="preserve"> ADDIN ZOTERO_ITEM CSL_CITATION {"citationID":"t1SBBOEG","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417AAE">
        <w:rPr>
          <w:color w:val="000000" w:themeColor="text1"/>
          <w:szCs w:val="24"/>
          <w:highlight w:val="yellow"/>
          <w:lang w:val="en-CA"/>
        </w:rPr>
        <w:fldChar w:fldCharType="separate"/>
      </w:r>
      <w:r w:rsidR="00417AAE" w:rsidRPr="00417AAE">
        <w:rPr>
          <w:highlight w:val="yellow"/>
          <w:lang w:val="en-CA"/>
        </w:rPr>
        <w:t>[16]</w:t>
      </w:r>
      <w:r w:rsidR="00417AAE">
        <w:rPr>
          <w:color w:val="000000" w:themeColor="text1"/>
          <w:szCs w:val="24"/>
          <w:highlight w:val="yellow"/>
          <w:lang w:val="en-CA"/>
        </w:rPr>
        <w:fldChar w:fldCharType="end"/>
      </w:r>
      <w:r w:rsidRPr="00044E2C">
        <w:rPr>
          <w:color w:val="000000" w:themeColor="text1"/>
          <w:szCs w:val="24"/>
          <w:highlight w:val="yellow"/>
          <w:lang w:val="en-CA"/>
        </w:rPr>
        <w:t>.</w:t>
      </w:r>
    </w:p>
    <w:p w14:paraId="5BA44890" w14:textId="77777777" w:rsidR="00ED6944" w:rsidRPr="00ED6944" w:rsidRDefault="00ED6944" w:rsidP="00ED6944">
      <w:pPr>
        <w:spacing w:after="120"/>
        <w:ind w:firstLine="480"/>
        <w:rPr>
          <w:color w:val="000000" w:themeColor="text1"/>
          <w:szCs w:val="24"/>
          <w:highlight w:val="yellow"/>
        </w:rPr>
      </w:pPr>
      <w:r w:rsidRPr="00ED6944">
        <w:rPr>
          <w:color w:val="000000" w:themeColor="text1"/>
          <w:szCs w:val="24"/>
          <w:highlight w:val="yellow"/>
        </w:rPr>
        <w:t>For clarity, three cost categories are distinguished throughout this review:</w:t>
      </w:r>
    </w:p>
    <w:p w14:paraId="488090FB"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Unfirmed generation</w:t>
      </w:r>
      <w:r w:rsidRPr="00ED6944">
        <w:rPr>
          <w:color w:val="000000" w:themeColor="text1"/>
          <w:szCs w:val="24"/>
          <w:highlight w:val="yellow"/>
        </w:rPr>
        <w:t xml:space="preserve"> refers to electricity generated from variable renewable resources without storage, backup generation, or contracted firming services.</w:t>
      </w:r>
    </w:p>
    <w:p w14:paraId="0746D0C4" w14:textId="77777777" w:rsidR="00ED6944" w:rsidRPr="00ED6944" w:rsidRDefault="00ED6944" w:rsidP="00ED6944">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Partially firmed hybrid supply</w:t>
      </w:r>
      <w:r w:rsidRPr="00ED6944">
        <w:rPr>
          <w:color w:val="000000" w:themeColor="text1"/>
          <w:szCs w:val="24"/>
          <w:highlight w:val="yellow"/>
        </w:rPr>
        <w:t xml:space="preserve"> refers to renewable-generation systems combined with storage and/or grid support that reduce variability but do not independently demonstrate continuous supply at the specified reliability target.</w:t>
      </w:r>
    </w:p>
    <w:p w14:paraId="32FFC839" w14:textId="102F5379" w:rsidR="0021192F" w:rsidRPr="005E43E6" w:rsidRDefault="00ED6944" w:rsidP="005E43E6">
      <w:pPr>
        <w:pStyle w:val="ListParagraph"/>
        <w:numPr>
          <w:ilvl w:val="0"/>
          <w:numId w:val="30"/>
        </w:numPr>
        <w:spacing w:after="120"/>
        <w:rPr>
          <w:color w:val="000000" w:themeColor="text1"/>
          <w:szCs w:val="24"/>
          <w:highlight w:val="yellow"/>
        </w:rPr>
      </w:pPr>
      <w:r w:rsidRPr="00ED6944">
        <w:rPr>
          <w:b/>
          <w:bCs/>
          <w:color w:val="000000" w:themeColor="text1"/>
          <w:szCs w:val="24"/>
          <w:highlight w:val="yellow"/>
        </w:rPr>
        <w:t>Firm electricity supply</w:t>
      </w:r>
      <w:r w:rsidRPr="00ED6944">
        <w:rPr>
          <w:color w:val="000000" w:themeColor="text1"/>
          <w:szCs w:val="24"/>
          <w:highlight w:val="yellow"/>
        </w:rPr>
        <w:t xml:space="preserve"> refers to electricity service capable of meeting demand continuously through a combination of generation, storage, backup resources, contractual supply arrangements, and network support.</w:t>
      </w:r>
    </w:p>
    <w:p w14:paraId="2DA205BF" w14:textId="3742C90F" w:rsidR="0021192F" w:rsidRPr="00AF443A" w:rsidRDefault="0021192F" w:rsidP="0017635A">
      <w:pPr>
        <w:spacing w:after="120"/>
        <w:ind w:firstLine="480"/>
        <w:rPr>
          <w:color w:val="000000" w:themeColor="text1"/>
          <w:szCs w:val="24"/>
          <w:highlight w:val="yellow"/>
        </w:rPr>
      </w:pPr>
      <w:r w:rsidRPr="00AF443A">
        <w:rPr>
          <w:color w:val="000000" w:themeColor="text1"/>
          <w:szCs w:val="24"/>
          <w:highlight w:val="yellow"/>
        </w:rPr>
        <w:t xml:space="preserve">Using these distinctions, </w:t>
      </w:r>
      <w:r w:rsidR="0017635A" w:rsidRPr="00AF443A">
        <w:rPr>
          <w:color w:val="000000" w:themeColor="text1"/>
          <w:szCs w:val="24"/>
          <w:highlight w:val="yellow"/>
        </w:rPr>
        <w:fldChar w:fldCharType="begin"/>
      </w:r>
      <w:r w:rsidR="0017635A" w:rsidRPr="00AF443A">
        <w:rPr>
          <w:color w:val="000000" w:themeColor="text1"/>
          <w:szCs w:val="24"/>
          <w:highlight w:val="yellow"/>
        </w:rPr>
        <w:instrText xml:space="preserve"> REF _Ref239530954 \h </w:instrText>
      </w:r>
      <w:r w:rsidR="0017635A" w:rsidRPr="00AF443A">
        <w:rPr>
          <w:color w:val="000000" w:themeColor="text1"/>
          <w:szCs w:val="24"/>
          <w:highlight w:val="yellow"/>
        </w:rPr>
      </w:r>
      <w:r w:rsidR="00AF443A">
        <w:rPr>
          <w:color w:val="000000" w:themeColor="text1"/>
          <w:szCs w:val="24"/>
          <w:highlight w:val="yellow"/>
        </w:rPr>
        <w:instrText xml:space="preserve"> \* MERGEFORMAT </w:instrText>
      </w:r>
      <w:r w:rsidR="0017635A" w:rsidRPr="00AF443A">
        <w:rPr>
          <w:color w:val="000000" w:themeColor="text1"/>
          <w:szCs w:val="24"/>
          <w:highlight w:val="yellow"/>
        </w:rPr>
        <w:fldChar w:fldCharType="separate"/>
      </w:r>
      <w:r w:rsidR="0017635A" w:rsidRPr="00AF443A">
        <w:rPr>
          <w:highlight w:val="yellow"/>
        </w:rPr>
        <w:t xml:space="preserve">Table </w:t>
      </w:r>
      <w:r w:rsidR="0017635A" w:rsidRPr="00AF443A">
        <w:rPr>
          <w:noProof/>
          <w:highlight w:val="yellow"/>
        </w:rPr>
        <w:t>9</w:t>
      </w:r>
      <w:r w:rsidR="0017635A" w:rsidRPr="00AF443A">
        <w:rPr>
          <w:highlight w:val="yellow"/>
        </w:rPr>
        <w:t xml:space="preserve"> </w:t>
      </w:r>
      <w:r w:rsidR="0017635A" w:rsidRPr="00AF443A">
        <w:rPr>
          <w:highlight w:val="yellow"/>
          <w:lang w:val="en-CA"/>
        </w:rPr>
        <w:t>Literature-based electricity-cost benchmarks relevant to AI data centers</w:t>
      </w:r>
      <w:r w:rsidR="0017635A" w:rsidRPr="00AF443A">
        <w:rPr>
          <w:color w:val="000000" w:themeColor="text1"/>
          <w:szCs w:val="24"/>
          <w:highlight w:val="yellow"/>
        </w:rPr>
        <w:fldChar w:fldCharType="end"/>
      </w:r>
      <w:r w:rsidR="0017635A" w:rsidRPr="00AF443A">
        <w:rPr>
          <w:color w:val="000000" w:themeColor="text1"/>
          <w:szCs w:val="24"/>
          <w:highlight w:val="yellow"/>
        </w:rPr>
        <w:t xml:space="preserve">, </w:t>
      </w:r>
      <w:r w:rsidRPr="00AF443A">
        <w:rPr>
          <w:color w:val="000000" w:themeColor="text1"/>
          <w:szCs w:val="24"/>
          <w:highlight w:val="yellow"/>
        </w:rPr>
        <w:t>summarizes representative literature-based electricity-cost benchmarks relevant to AI data centers. The values are organized according to their underlying cost boundary so that generation-only LCOE, partially firmed renewable-storage configurations, and firm delivered electricity service are not treated as directly equivalent cost metrics.</w:t>
      </w:r>
    </w:p>
    <w:p w14:paraId="2A8D6365" w14:textId="716FFBB7" w:rsidR="00FE013C" w:rsidRPr="00417AAE" w:rsidRDefault="00FE013C" w:rsidP="00417AAE">
      <w:pPr>
        <w:pStyle w:val="Caption"/>
        <w:keepNext/>
        <w:rPr>
          <w:lang w:val="en-CA"/>
        </w:rPr>
      </w:pPr>
      <w:bookmarkStart w:id="25" w:name="_Ref239530954"/>
      <w:r>
        <w:t xml:space="preserve">Table </w:t>
      </w:r>
      <w:r>
        <w:fldChar w:fldCharType="begin"/>
      </w:r>
      <w:r>
        <w:instrText xml:space="preserve"> SEQ Table \* ARABIC </w:instrText>
      </w:r>
      <w:r>
        <w:fldChar w:fldCharType="separate"/>
      </w:r>
      <w:r w:rsidR="003A45CA">
        <w:rPr>
          <w:noProof/>
        </w:rPr>
        <w:t>9</w:t>
      </w:r>
      <w:r>
        <w:rPr>
          <w:noProof/>
        </w:rPr>
        <w:fldChar w:fldCharType="end"/>
      </w:r>
      <w:r>
        <w:t xml:space="preserve"> </w:t>
      </w:r>
      <w:r w:rsidR="00417AAE" w:rsidRPr="00417AAE">
        <w:rPr>
          <w:lang w:val="en-CA"/>
        </w:rPr>
        <w:t>Literature-based electricity-cost benchmarks relevant to AI data centers</w:t>
      </w:r>
      <w:bookmarkEnd w:id="25"/>
    </w:p>
    <w:tbl>
      <w:tblPr>
        <w:tblStyle w:val="MDPI41threelinetable"/>
        <w:tblW w:w="0" w:type="auto"/>
        <w:tblLook w:val="04A0" w:firstRow="1" w:lastRow="0" w:firstColumn="1" w:lastColumn="0" w:noHBand="0" w:noVBand="1"/>
      </w:tblPr>
      <w:tblGrid>
        <w:gridCol w:w="1353"/>
        <w:gridCol w:w="1253"/>
        <w:gridCol w:w="1352"/>
        <w:gridCol w:w="3699"/>
        <w:gridCol w:w="2095"/>
      </w:tblGrid>
      <w:tr w:rsidR="003C5CA7" w:rsidRPr="002651BD" w14:paraId="265CBA4B" w14:textId="77777777" w:rsidTr="003C5CA7">
        <w:trPr>
          <w:cnfStyle w:val="100000000000" w:firstRow="1" w:lastRow="0" w:firstColumn="0" w:lastColumn="0" w:oddVBand="0" w:evenVBand="0" w:oddHBand="0" w:evenHBand="0" w:firstRowFirstColumn="0" w:firstRowLastColumn="0" w:lastRowFirstColumn="0" w:lastRowLastColumn="0"/>
        </w:trPr>
        <w:tc>
          <w:tcPr>
            <w:tcW w:w="0" w:type="auto"/>
            <w:hideMark/>
          </w:tcPr>
          <w:p w14:paraId="7B7B48A6" w14:textId="1CBDB56D" w:rsidR="003C5CA7" w:rsidRPr="002651BD" w:rsidRDefault="003C5CA7" w:rsidP="003C5CA7">
            <w:pPr>
              <w:spacing w:after="120"/>
              <w:rPr>
                <w:bCs/>
                <w:color w:val="EE0000"/>
                <w:sz w:val="18"/>
                <w:szCs w:val="18"/>
                <w:highlight w:val="yellow"/>
                <w:lang w:val="en-CA"/>
              </w:rPr>
            </w:pPr>
            <w:commentRangeStart w:id="26"/>
            <w:r w:rsidRPr="002651BD">
              <w:rPr>
                <w:b w:val="0"/>
                <w:bCs/>
                <w:color w:val="EE0000"/>
                <w:sz w:val="18"/>
                <w:szCs w:val="18"/>
              </w:rPr>
              <w:t>Supply Option</w:t>
            </w:r>
          </w:p>
        </w:tc>
        <w:tc>
          <w:tcPr>
            <w:tcW w:w="0" w:type="auto"/>
            <w:hideMark/>
          </w:tcPr>
          <w:p w14:paraId="439EEF68" w14:textId="71E745A5"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Cost Benchmark</w:t>
            </w:r>
          </w:p>
        </w:tc>
        <w:tc>
          <w:tcPr>
            <w:tcW w:w="0" w:type="auto"/>
            <w:hideMark/>
          </w:tcPr>
          <w:p w14:paraId="43534039" w14:textId="36EC5328"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Classification</w:t>
            </w:r>
          </w:p>
        </w:tc>
        <w:tc>
          <w:tcPr>
            <w:tcW w:w="0" w:type="auto"/>
            <w:hideMark/>
          </w:tcPr>
          <w:p w14:paraId="6BD3A392" w14:textId="3F317B37"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Interpretation</w:t>
            </w:r>
          </w:p>
        </w:tc>
        <w:tc>
          <w:tcPr>
            <w:tcW w:w="0" w:type="auto"/>
            <w:hideMark/>
          </w:tcPr>
          <w:p w14:paraId="31370237" w14:textId="7D559E8E" w:rsidR="003C5CA7" w:rsidRPr="002651BD" w:rsidRDefault="003C5CA7" w:rsidP="003C5CA7">
            <w:pPr>
              <w:spacing w:after="120"/>
              <w:rPr>
                <w:bCs/>
                <w:color w:val="EE0000"/>
                <w:sz w:val="18"/>
                <w:szCs w:val="18"/>
                <w:highlight w:val="yellow"/>
                <w:lang w:val="en-CA"/>
              </w:rPr>
            </w:pPr>
            <w:r w:rsidRPr="002651BD">
              <w:rPr>
                <w:b w:val="0"/>
                <w:bCs/>
                <w:color w:val="EE0000"/>
                <w:sz w:val="18"/>
                <w:szCs w:val="18"/>
              </w:rPr>
              <w:t>Principal Sensitivity</w:t>
            </w:r>
          </w:p>
        </w:tc>
      </w:tr>
      <w:tr w:rsidR="003C5CA7" w:rsidRPr="002651BD" w14:paraId="38047541" w14:textId="77777777" w:rsidTr="003C5CA7">
        <w:tc>
          <w:tcPr>
            <w:tcW w:w="0" w:type="auto"/>
            <w:hideMark/>
          </w:tcPr>
          <w:p w14:paraId="4E639F92" w14:textId="09F73384"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Utility-Scale</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PV</w:t>
            </w:r>
          </w:p>
        </w:tc>
        <w:tc>
          <w:tcPr>
            <w:tcW w:w="0" w:type="auto"/>
            <w:hideMark/>
          </w:tcPr>
          <w:p w14:paraId="5EED7316" w14:textId="270FBCF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$43/MWh</w:t>
            </w:r>
          </w:p>
        </w:tc>
        <w:tc>
          <w:tcPr>
            <w:tcW w:w="0" w:type="auto"/>
            <w:hideMark/>
          </w:tcPr>
          <w:p w14:paraId="56650508" w14:textId="7A10662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7C7EEF46" w14:textId="52CE2D8E"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utility-scale solar PV projects commissioned in 2024. Represents generation cost only and excludes storage, backup generation, curtailment, transmission, and reliability requirements.</w:t>
            </w:r>
          </w:p>
        </w:tc>
        <w:tc>
          <w:tcPr>
            <w:tcW w:w="0" w:type="auto"/>
            <w:hideMark/>
          </w:tcPr>
          <w:p w14:paraId="2CAE5BCC" w14:textId="56C28AEA" w:rsidR="003C5CA7" w:rsidRPr="002651BD" w:rsidRDefault="003C5CA7" w:rsidP="003C5CA7">
            <w:pPr>
              <w:spacing w:after="120"/>
              <w:rPr>
                <w:color w:val="EE0000"/>
                <w:sz w:val="18"/>
                <w:szCs w:val="18"/>
                <w:highlight w:val="yellow"/>
                <w:lang w:val="en-CA"/>
              </w:rPr>
            </w:pPr>
            <w:r w:rsidRPr="002651BD">
              <w:rPr>
                <w:color w:val="EE0000"/>
                <w:sz w:val="18"/>
                <w:szCs w:val="18"/>
              </w:rPr>
              <w:t>Solar resource quality, financing cost, curtailment, interconnection requirements</w:t>
            </w:r>
          </w:p>
        </w:tc>
      </w:tr>
      <w:tr w:rsidR="003C5CA7" w:rsidRPr="002651BD" w14:paraId="423E6E3D" w14:textId="77777777" w:rsidTr="003C5CA7">
        <w:tc>
          <w:tcPr>
            <w:tcW w:w="0" w:type="auto"/>
            <w:hideMark/>
          </w:tcPr>
          <w:p w14:paraId="1E1317C8" w14:textId="4D508E3C"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Onshore</w:t>
            </w:r>
            <w:r w:rsidRPr="002651BD">
              <w:rPr>
                <w:rStyle w:val="Strong"/>
                <w:color w:val="EE0000"/>
                <w:sz w:val="18"/>
                <w:szCs w:val="18"/>
              </w:rPr>
              <w:t xml:space="preserve"> </w:t>
            </w:r>
            <w:r w:rsidRPr="002651BD">
              <w:rPr>
                <w:rStyle w:val="xxxjie0"/>
                <w:b/>
                <w:bCs/>
                <w:color w:val="EE0000"/>
                <w:sz w:val="18"/>
                <w:szCs w:val="18"/>
              </w:rPr>
              <w:t>Wind</w:t>
            </w:r>
          </w:p>
        </w:tc>
        <w:tc>
          <w:tcPr>
            <w:tcW w:w="0" w:type="auto"/>
            <w:hideMark/>
          </w:tcPr>
          <w:p w14:paraId="5D840CFA" w14:textId="51A068E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$34/MWh</w:t>
            </w:r>
          </w:p>
        </w:tc>
        <w:tc>
          <w:tcPr>
            <w:tcW w:w="0" w:type="auto"/>
            <w:hideMark/>
          </w:tcPr>
          <w:p w14:paraId="2DF2AAF0" w14:textId="36CB40D2"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Unfirmed Generation</w:t>
            </w:r>
          </w:p>
        </w:tc>
        <w:tc>
          <w:tcPr>
            <w:tcW w:w="0" w:type="auto"/>
            <w:hideMark/>
          </w:tcPr>
          <w:p w14:paraId="5194840A" w14:textId="60470384" w:rsidR="003C5CA7" w:rsidRPr="002651BD" w:rsidRDefault="003C5CA7" w:rsidP="003C5CA7">
            <w:pPr>
              <w:spacing w:after="120"/>
              <w:rPr>
                <w:color w:val="EE0000"/>
                <w:sz w:val="18"/>
                <w:szCs w:val="18"/>
                <w:highlight w:val="yellow"/>
                <w:lang w:val="en-CA"/>
              </w:rPr>
            </w:pPr>
            <w:r w:rsidRPr="002651BD">
              <w:rPr>
                <w:color w:val="EE0000"/>
                <w:sz w:val="18"/>
                <w:szCs w:val="18"/>
              </w:rPr>
              <w:t>Global weighted-average LCOE for onshore wind projects commissioned in 2024. Represents generation cost only and excludes storage, backup generation, transmission, and reliability requirements.</w:t>
            </w:r>
          </w:p>
        </w:tc>
        <w:tc>
          <w:tcPr>
            <w:tcW w:w="0" w:type="auto"/>
            <w:hideMark/>
          </w:tcPr>
          <w:p w14:paraId="499A5F14" w14:textId="10B5EBFB" w:rsidR="003C5CA7" w:rsidRPr="002651BD" w:rsidRDefault="003C5CA7" w:rsidP="003C5CA7">
            <w:pPr>
              <w:spacing w:after="120"/>
              <w:rPr>
                <w:color w:val="EE0000"/>
                <w:sz w:val="18"/>
                <w:szCs w:val="18"/>
                <w:highlight w:val="yellow"/>
                <w:lang w:val="en-CA"/>
              </w:rPr>
            </w:pPr>
            <w:r w:rsidRPr="002651BD">
              <w:rPr>
                <w:color w:val="EE0000"/>
                <w:sz w:val="18"/>
                <w:szCs w:val="18"/>
              </w:rPr>
              <w:t>Wind resource quality, capital cost, financing assumptions, grid access</w:t>
            </w:r>
          </w:p>
        </w:tc>
      </w:tr>
      <w:tr w:rsidR="003C5CA7" w:rsidRPr="002651BD" w14:paraId="09B0EC78" w14:textId="77777777" w:rsidTr="003C5CA7">
        <w:tc>
          <w:tcPr>
            <w:tcW w:w="0" w:type="auto"/>
            <w:hideMark/>
          </w:tcPr>
          <w:p w14:paraId="7017EA2E" w14:textId="37794E5E"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U.S.</w:t>
            </w:r>
            <w:r w:rsidRPr="002651BD">
              <w:rPr>
                <w:rStyle w:val="Strong"/>
                <w:color w:val="EE0000"/>
                <w:sz w:val="18"/>
                <w:szCs w:val="18"/>
              </w:rPr>
              <w:t xml:space="preserve"> </w:t>
            </w:r>
            <w:r w:rsidRPr="002651BD">
              <w:rPr>
                <w:rStyle w:val="xxxjie0"/>
                <w:b/>
                <w:bCs/>
                <w:color w:val="EE0000"/>
                <w:sz w:val="18"/>
                <w:szCs w:val="18"/>
              </w:rPr>
              <w:t>Solar</w:t>
            </w:r>
            <w:r w:rsidRPr="002651BD">
              <w:rPr>
                <w:rStyle w:val="Strong"/>
                <w:color w:val="EE0000"/>
                <w:sz w:val="18"/>
                <w:szCs w:val="18"/>
              </w:rPr>
              <w:t xml:space="preserve"> </w:t>
            </w:r>
            <w:r w:rsidRPr="002651BD">
              <w:rPr>
                <w:rStyle w:val="xxxjie0"/>
                <w:b/>
                <w:bCs/>
                <w:color w:val="EE0000"/>
                <w:sz w:val="18"/>
                <w:szCs w:val="18"/>
              </w:rPr>
              <w:t>+</w:t>
            </w:r>
            <w:r w:rsidRPr="002651BD">
              <w:rPr>
                <w:rStyle w:val="Strong"/>
                <w:color w:val="EE0000"/>
                <w:sz w:val="18"/>
                <w:szCs w:val="18"/>
              </w:rPr>
              <w:t xml:space="preserve"> </w:t>
            </w:r>
            <w:r w:rsidRPr="002651BD">
              <w:rPr>
                <w:rStyle w:val="xxxjie0"/>
                <w:b/>
                <w:bCs/>
                <w:color w:val="EE0000"/>
                <w:sz w:val="18"/>
                <w:szCs w:val="18"/>
              </w:rPr>
              <w:t>Storage</w:t>
            </w:r>
            <w:r w:rsidRPr="002651BD">
              <w:rPr>
                <w:rStyle w:val="Strong"/>
                <w:color w:val="EE0000"/>
                <w:sz w:val="18"/>
                <w:szCs w:val="18"/>
              </w:rPr>
              <w:t xml:space="preserve"> </w:t>
            </w:r>
            <w:r w:rsidRPr="002651BD">
              <w:rPr>
                <w:rStyle w:val="xxxjie0"/>
                <w:b/>
                <w:bCs/>
                <w:color w:val="EE0000"/>
                <w:sz w:val="18"/>
                <w:szCs w:val="18"/>
              </w:rPr>
              <w:t>Hybrids</w:t>
            </w:r>
          </w:p>
        </w:tc>
        <w:tc>
          <w:tcPr>
            <w:tcW w:w="0" w:type="auto"/>
            <w:hideMark/>
          </w:tcPr>
          <w:p w14:paraId="607FE69D" w14:textId="41E5311C"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$79/MWh</w:t>
            </w:r>
          </w:p>
        </w:tc>
        <w:tc>
          <w:tcPr>
            <w:tcW w:w="0" w:type="auto"/>
            <w:hideMark/>
          </w:tcPr>
          <w:p w14:paraId="25BEF146" w14:textId="77B44A71"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293AD4E9" w14:textId="32BD668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17 operational U.S. solar-plus-storage projects reported by IRENA. Includes a degree of renewable firming but does not necessarily demonstrate continuous supply at a 99.99% reliability target.</w:t>
            </w:r>
          </w:p>
        </w:tc>
        <w:tc>
          <w:tcPr>
            <w:tcW w:w="0" w:type="auto"/>
            <w:hideMark/>
          </w:tcPr>
          <w:p w14:paraId="5106B740" w14:textId="7EAA59D9" w:rsidR="003C5CA7" w:rsidRPr="002651BD" w:rsidRDefault="003C5CA7" w:rsidP="003C5CA7">
            <w:pPr>
              <w:spacing w:after="120"/>
              <w:rPr>
                <w:color w:val="EE0000"/>
                <w:sz w:val="18"/>
                <w:szCs w:val="18"/>
                <w:highlight w:val="yellow"/>
                <w:lang w:val="en-CA"/>
              </w:rPr>
            </w:pPr>
            <w:r w:rsidRPr="002651BD">
              <w:rPr>
                <w:color w:val="EE0000"/>
                <w:sz w:val="18"/>
                <w:szCs w:val="18"/>
              </w:rPr>
              <w:t>Storage duration, battery cycling, charging source, capacity value</w:t>
            </w:r>
          </w:p>
        </w:tc>
      </w:tr>
      <w:tr w:rsidR="003C5CA7" w:rsidRPr="002651BD" w14:paraId="41478744" w14:textId="77777777" w:rsidTr="003C5CA7">
        <w:tc>
          <w:tcPr>
            <w:tcW w:w="0" w:type="auto"/>
            <w:hideMark/>
          </w:tcPr>
          <w:p w14:paraId="636C5F61" w14:textId="5A20C492" w:rsidR="003C5CA7" w:rsidRPr="002651BD" w:rsidRDefault="003C5CA7" w:rsidP="003C5CA7">
            <w:pPr>
              <w:spacing w:after="120"/>
              <w:rPr>
                <w:color w:val="EE0000"/>
                <w:sz w:val="18"/>
                <w:szCs w:val="18"/>
                <w:highlight w:val="yellow"/>
                <w:lang w:val="en-CA"/>
              </w:rPr>
            </w:pPr>
            <w:r w:rsidRPr="002651BD">
              <w:rPr>
                <w:rStyle w:val="xxxjie0"/>
                <w:b/>
                <w:bCs/>
                <w:color w:val="EE0000"/>
                <w:sz w:val="18"/>
                <w:szCs w:val="18"/>
              </w:rPr>
              <w:t>Australian</w:t>
            </w:r>
            <w:r w:rsidRPr="002651BD">
              <w:rPr>
                <w:rStyle w:val="Strong"/>
                <w:color w:val="EE0000"/>
                <w:sz w:val="18"/>
                <w:szCs w:val="18"/>
              </w:rPr>
              <w:t xml:space="preserve"> </w:t>
            </w:r>
            <w:r w:rsidRPr="002651BD">
              <w:rPr>
                <w:rStyle w:val="xxxjie0"/>
                <w:b/>
                <w:bCs/>
                <w:color w:val="EE0000"/>
                <w:sz w:val="18"/>
                <w:szCs w:val="18"/>
              </w:rPr>
              <w:t>Renewable-Storage</w:t>
            </w:r>
          </w:p>
        </w:tc>
        <w:tc>
          <w:tcPr>
            <w:tcW w:w="0" w:type="auto"/>
            <w:hideMark/>
          </w:tcPr>
          <w:p w14:paraId="4F93F763" w14:textId="50B609D0"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$51/MWh</w:t>
            </w:r>
          </w:p>
        </w:tc>
        <w:tc>
          <w:tcPr>
            <w:tcW w:w="0" w:type="auto"/>
            <w:hideMark/>
          </w:tcPr>
          <w:p w14:paraId="7A86610F" w14:textId="7DB1FFDA"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Partially Firmed Hybrid</w:t>
            </w:r>
          </w:p>
        </w:tc>
        <w:tc>
          <w:tcPr>
            <w:tcW w:w="0" w:type="auto"/>
            <w:hideMark/>
          </w:tcPr>
          <w:p w14:paraId="10468353" w14:textId="1ED9DCA1" w:rsidR="003C5CA7" w:rsidRPr="002651BD" w:rsidRDefault="003C5CA7" w:rsidP="003C5CA7">
            <w:pPr>
              <w:spacing w:after="120"/>
              <w:rPr>
                <w:color w:val="EE0000"/>
                <w:sz w:val="18"/>
                <w:szCs w:val="18"/>
                <w:highlight w:val="yellow"/>
                <w:lang w:val="en-CA"/>
              </w:rPr>
            </w:pPr>
            <w:r w:rsidRPr="002651BD">
              <w:rPr>
                <w:color w:val="EE0000"/>
                <w:sz w:val="18"/>
                <w:szCs w:val="18"/>
              </w:rPr>
              <w:t>Weighted-average LCOE for eight operational renewable-storage hybrid projects reported by IRENA. Project economics reflect local resource quality, market design, and project configuration.</w:t>
            </w:r>
          </w:p>
        </w:tc>
        <w:tc>
          <w:tcPr>
            <w:tcW w:w="0" w:type="auto"/>
            <w:hideMark/>
          </w:tcPr>
          <w:p w14:paraId="7C28B8D4" w14:textId="25BCBD1E" w:rsidR="003C5CA7" w:rsidRPr="002651BD" w:rsidRDefault="003C5CA7" w:rsidP="003C5CA7">
            <w:pPr>
              <w:spacing w:after="120"/>
              <w:rPr>
                <w:color w:val="EE0000"/>
                <w:sz w:val="18"/>
                <w:szCs w:val="18"/>
                <w:highlight w:val="yellow"/>
                <w:lang w:val="en-CA"/>
              </w:rPr>
            </w:pPr>
            <w:r w:rsidRPr="002651BD">
              <w:rPr>
                <w:color w:val="EE0000"/>
                <w:sz w:val="18"/>
                <w:szCs w:val="18"/>
              </w:rPr>
              <w:t>Resource quality, project design, market structure</w:t>
            </w:r>
          </w:p>
        </w:tc>
      </w:tr>
      <w:tr w:rsidR="003C5CA7" w:rsidRPr="002651BD" w14:paraId="424C1BAD" w14:textId="77777777" w:rsidTr="003C5CA7">
        <w:tc>
          <w:tcPr>
            <w:tcW w:w="0" w:type="auto"/>
            <w:hideMark/>
          </w:tcPr>
          <w:p w14:paraId="701D050E" w14:textId="7B5A0E34" w:rsidR="003C5CA7" w:rsidRPr="002651BD" w:rsidRDefault="003C5CA7" w:rsidP="003C5CA7">
            <w:pPr>
              <w:spacing w:after="120"/>
              <w:rPr>
                <w:b/>
                <w:bCs/>
                <w:color w:val="EE0000"/>
                <w:sz w:val="18"/>
                <w:szCs w:val="18"/>
                <w:highlight w:val="yellow"/>
                <w:lang w:val="en-CA"/>
              </w:rPr>
            </w:pPr>
            <w:r w:rsidRPr="002651BD">
              <w:rPr>
                <w:rStyle w:val="xxxjie0"/>
                <w:b/>
                <w:bCs/>
                <w:color w:val="EE0000"/>
                <w:sz w:val="18"/>
                <w:szCs w:val="18"/>
              </w:rPr>
              <w:lastRenderedPageBreak/>
              <w:t>Grid</w:t>
            </w:r>
            <w:r w:rsidRPr="002651BD">
              <w:rPr>
                <w:rStyle w:val="Strong"/>
                <w:color w:val="EE0000"/>
                <w:sz w:val="18"/>
                <w:szCs w:val="18"/>
              </w:rPr>
              <w:t xml:space="preserve"> </w:t>
            </w:r>
            <w:r w:rsidRPr="002651BD">
              <w:rPr>
                <w:rStyle w:val="xxxjie0"/>
                <w:b/>
                <w:bCs/>
                <w:color w:val="EE0000"/>
                <w:sz w:val="18"/>
                <w:szCs w:val="18"/>
              </w:rPr>
              <w:t>Electricity</w:t>
            </w:r>
            <w:r w:rsidRPr="002651BD">
              <w:rPr>
                <w:rStyle w:val="Strong"/>
                <w:color w:val="EE0000"/>
                <w:sz w:val="18"/>
                <w:szCs w:val="18"/>
              </w:rPr>
              <w:t xml:space="preserve"> </w:t>
            </w:r>
            <w:r w:rsidRPr="002651BD">
              <w:rPr>
                <w:rStyle w:val="xxxjie0"/>
                <w:b/>
                <w:bCs/>
                <w:color w:val="EE0000"/>
                <w:sz w:val="18"/>
                <w:szCs w:val="18"/>
              </w:rPr>
              <w:t>Supply</w:t>
            </w:r>
          </w:p>
        </w:tc>
        <w:tc>
          <w:tcPr>
            <w:tcW w:w="0" w:type="auto"/>
            <w:hideMark/>
          </w:tcPr>
          <w:p w14:paraId="2457E39F" w14:textId="514F3615"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Region- and Tariff-Specific</w:t>
            </w:r>
          </w:p>
        </w:tc>
        <w:tc>
          <w:tcPr>
            <w:tcW w:w="0" w:type="auto"/>
            <w:hideMark/>
          </w:tcPr>
          <w:p w14:paraId="5AC41637" w14:textId="6AFA8039" w:rsidR="003C5CA7" w:rsidRPr="002651BD" w:rsidRDefault="003C5CA7" w:rsidP="003C5CA7">
            <w:pPr>
              <w:spacing w:after="120"/>
              <w:rPr>
                <w:color w:val="EE0000"/>
                <w:sz w:val="18"/>
                <w:szCs w:val="18"/>
                <w:highlight w:val="yellow"/>
                <w:lang w:val="en-CA"/>
              </w:rPr>
            </w:pPr>
            <w:r w:rsidRPr="002651BD">
              <w:rPr>
                <w:rStyle w:val="Strong"/>
                <w:color w:val="EE0000"/>
                <w:sz w:val="18"/>
                <w:szCs w:val="18"/>
              </w:rPr>
              <w:t>Firm Delivered Service</w:t>
            </w:r>
          </w:p>
        </w:tc>
        <w:tc>
          <w:tcPr>
            <w:tcW w:w="0" w:type="auto"/>
            <w:hideMark/>
          </w:tcPr>
          <w:p w14:paraId="2F951273" w14:textId="0F6BEF56" w:rsidR="003C5CA7" w:rsidRPr="002651BD" w:rsidRDefault="003C5CA7" w:rsidP="003C5CA7">
            <w:pPr>
              <w:spacing w:after="120"/>
              <w:rPr>
                <w:color w:val="EE0000"/>
                <w:sz w:val="18"/>
                <w:szCs w:val="18"/>
                <w:highlight w:val="yellow"/>
                <w:lang w:val="en-CA"/>
              </w:rPr>
            </w:pPr>
            <w:r w:rsidRPr="002651BD">
              <w:rPr>
                <w:color w:val="EE0000"/>
                <w:sz w:val="18"/>
                <w:szCs w:val="18"/>
              </w:rPr>
              <w:t>Delivered electricity service that includes energy charges, capacity charges (where applicable), ancillary services, transmission, distribution, demand charges, taxes, and utility fees. This is not an LCOE value.</w:t>
            </w:r>
          </w:p>
        </w:tc>
        <w:tc>
          <w:tcPr>
            <w:tcW w:w="0" w:type="auto"/>
            <w:hideMark/>
          </w:tcPr>
          <w:p w14:paraId="04F190C9" w14:textId="5A31BD4D" w:rsidR="003C5CA7" w:rsidRPr="002651BD" w:rsidRDefault="003C5CA7" w:rsidP="003C5CA7">
            <w:pPr>
              <w:spacing w:after="120"/>
              <w:rPr>
                <w:color w:val="EE0000"/>
                <w:sz w:val="18"/>
                <w:szCs w:val="18"/>
                <w:highlight w:val="yellow"/>
                <w:lang w:val="en-CA"/>
              </w:rPr>
            </w:pPr>
            <w:r w:rsidRPr="002651BD">
              <w:rPr>
                <w:color w:val="EE0000"/>
                <w:sz w:val="18"/>
                <w:szCs w:val="18"/>
              </w:rPr>
              <w:t>Tariff structure, load factor, demand profile, market conditions</w:t>
            </w:r>
            <w:commentRangeEnd w:id="26"/>
            <w:r w:rsidR="002651BD" w:rsidRPr="002651BD">
              <w:rPr>
                <w:rStyle w:val="CommentReference"/>
                <w:color w:val="EE0000"/>
                <w:sz w:val="18"/>
                <w:szCs w:val="18"/>
                <w:highlight w:val="yellow"/>
                <w:lang w:val="en-CA"/>
              </w:rPr>
              <w:commentReference w:id="26"/>
            </w:r>
          </w:p>
        </w:tc>
      </w:tr>
    </w:tbl>
    <w:p w14:paraId="3C220C6C" w14:textId="77777777" w:rsidR="00417AAE" w:rsidRDefault="00417AAE" w:rsidP="004C16FF">
      <w:pPr>
        <w:spacing w:after="120"/>
        <w:rPr>
          <w:szCs w:val="24"/>
          <w:lang w:val="en-CA"/>
        </w:rPr>
      </w:pPr>
    </w:p>
    <w:p w14:paraId="7F7DADC9" w14:textId="574FCA0B" w:rsidR="00F416AE" w:rsidRPr="00F416AE" w:rsidRDefault="00F416AE" w:rsidP="00F416AE">
      <w:pPr>
        <w:spacing w:after="120"/>
        <w:ind w:firstLine="480"/>
        <w:rPr>
          <w:color w:val="000000" w:themeColor="text1"/>
          <w:szCs w:val="24"/>
          <w:highlight w:val="yellow"/>
          <w:lang w:val="en-CA"/>
        </w:rPr>
      </w:pPr>
      <w:r w:rsidRPr="00F416AE">
        <w:rPr>
          <w:color w:val="000000" w:themeColor="text1"/>
          <w:szCs w:val="24"/>
          <w:highlight w:val="yellow"/>
          <w:lang w:val="en-CA"/>
        </w:rPr>
        <w:t>Unfirmed generation cost values for standalone solar PV and onshore wind are maintained as resource-cost value-only only. These values are data-center load values that exclude storage, backup generation, grid imports, curtailment, transmission and varying operational flexibility as required to support a continuous data-center load. The question therefore should not be compared directly with the firm delivered-grid service.</w:t>
      </w:r>
      <w:r>
        <w:rPr>
          <w:color w:val="000000" w:themeColor="text1"/>
          <w:szCs w:val="24"/>
          <w:highlight w:val="yellow"/>
          <w:lang w:val="en-CA"/>
        </w:rPr>
        <w:t xml:space="preserve"> </w:t>
      </w:r>
      <w:r w:rsidRPr="00F416AE">
        <w:rPr>
          <w:color w:val="000000" w:themeColor="text1"/>
          <w:szCs w:val="24"/>
          <w:highlight w:val="yellow"/>
          <w:lang w:val="en-CA"/>
        </w:rPr>
        <w:t>Renewable-storage hybrid benchmarks are more relevant, in that they will consider a minimum part of the cost of a change in variable renewable generation. However</w:t>
      </w:r>
      <w:r w:rsidR="00F149F2">
        <w:rPr>
          <w:color w:val="000000" w:themeColor="text1"/>
          <w:szCs w:val="24"/>
          <w:highlight w:val="yellow"/>
          <w:lang w:val="en-CA"/>
        </w:rPr>
        <w:t xml:space="preserve"> </w:t>
      </w:r>
      <w:r w:rsidRPr="00F416AE">
        <w:rPr>
          <w:color w:val="000000" w:themeColor="text1"/>
          <w:szCs w:val="24"/>
          <w:highlight w:val="yellow"/>
          <w:lang w:val="en-CA"/>
        </w:rPr>
        <w:t>the hybrid renewable/firm storage must be treated as full firm storage until it has been proven over an extended period by chronological reliability analysis. Other grid support, back-up generation, redundancy or demand flexibility may still be needed to meet the requirement of 99.99% availability of the framework.</w:t>
      </w:r>
    </w:p>
    <w:p w14:paraId="031ABA0B" w14:textId="77777777" w:rsidR="00F416AE"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Solar and wind values are global weighted averages for newly commissioned projects and should not be interpreted as site-specific US data-center electricity costs. Hybrid values represent observed project portfolios with different designs and do not guarantee 99.99% facility-level power availability without additional grid, backup, or redundancy provisions. Grid supply is not an LCOE and should be evaluated using the applicable utility tariff or retail supply agreement. The grid-supply row is deliberately not assigned a universal LCOE. </w:t>
      </w:r>
    </w:p>
    <w:p w14:paraId="71E90D41" w14:textId="461A8986"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The all-in cost of grid electricity consists of several components: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AC4E47" w:rsidRPr="00100329" w14:paraId="60A8C724" w14:textId="77777777" w:rsidTr="00AC4E47">
        <w:tc>
          <w:tcPr>
            <w:tcW w:w="421" w:type="dxa"/>
          </w:tcPr>
          <w:p w14:paraId="300300D7" w14:textId="77777777" w:rsidR="00AC4E47" w:rsidRPr="00100329" w:rsidRDefault="00AC4E47" w:rsidP="001E5821">
            <w:pPr>
              <w:rPr>
                <w:color w:val="auto"/>
                <w:szCs w:val="24"/>
                <w:highlight w:val="yellow"/>
                <w:lang w:val="en-CA" w:eastAsia="en-CA"/>
              </w:rPr>
            </w:pPr>
          </w:p>
        </w:tc>
        <w:tc>
          <w:tcPr>
            <w:tcW w:w="7908" w:type="dxa"/>
          </w:tcPr>
          <w:p w14:paraId="7E43F5C5" w14:textId="554A89AE" w:rsidR="00AC4E47"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grid, delivered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energy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ancillary</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transmission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distribution</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demand</m:t>
                    </m:r>
                  </m:sub>
                </m:sSub>
                <m:r>
                  <w:rPr>
                    <w:rFonts w:ascii="Cambria Math" w:hAnsi="Cambria Math"/>
                    <w:color w:val="auto"/>
                    <w:sz w:val="18"/>
                    <w:szCs w:val="18"/>
                    <w:highlight w:val="yellow"/>
                  </w:rPr>
                  <m:t>+</m:t>
                </m:r>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taxes and fees</m:t>
                    </m:r>
                  </m:sub>
                </m:sSub>
              </m:oMath>
            </m:oMathPara>
          </w:p>
        </w:tc>
        <w:tc>
          <w:tcPr>
            <w:tcW w:w="616" w:type="dxa"/>
            <w:vAlign w:val="center"/>
          </w:tcPr>
          <w:p w14:paraId="10387337" w14:textId="48AA906F" w:rsidR="00AC4E47" w:rsidRPr="00100329" w:rsidRDefault="00AC4E47" w:rsidP="001E5821">
            <w:pPr>
              <w:rPr>
                <w:color w:val="auto"/>
                <w:szCs w:val="24"/>
                <w:highlight w:val="yellow"/>
                <w:lang w:val="en-CA" w:eastAsia="en-CA"/>
              </w:rPr>
            </w:pPr>
            <w:r w:rsidRPr="00100329">
              <w:rPr>
                <w:color w:val="auto"/>
                <w:szCs w:val="24"/>
                <w:highlight w:val="yellow"/>
                <w:lang w:val="en-CA" w:eastAsia="en-CA"/>
              </w:rPr>
              <w:t>(1</w:t>
            </w:r>
            <w:r w:rsidR="00966EE7">
              <w:rPr>
                <w:color w:val="auto"/>
                <w:szCs w:val="24"/>
                <w:highlight w:val="yellow"/>
                <w:lang w:val="en-CA" w:eastAsia="en-CA"/>
              </w:rPr>
              <w:t>9</w:t>
            </w:r>
            <w:r w:rsidRPr="00100329">
              <w:rPr>
                <w:color w:val="auto"/>
                <w:szCs w:val="24"/>
                <w:highlight w:val="yellow"/>
                <w:lang w:val="en-CA" w:eastAsia="en-CA"/>
              </w:rPr>
              <w:t>)</w:t>
            </w:r>
          </w:p>
        </w:tc>
      </w:tr>
    </w:tbl>
    <w:p w14:paraId="41EBFE3A" w14:textId="469D33C7" w:rsidR="00AC4E47" w:rsidRPr="00100329" w:rsidRDefault="00AC4E47" w:rsidP="00100329">
      <w:pPr>
        <w:spacing w:after="120"/>
        <w:ind w:firstLine="480"/>
        <w:rPr>
          <w:color w:val="000000" w:themeColor="text1"/>
          <w:szCs w:val="24"/>
          <w:highlight w:val="yellow"/>
          <w:lang w:val="en-CA"/>
        </w:rPr>
      </w:pPr>
      <w:r w:rsidRPr="00100329">
        <w:rPr>
          <w:color w:val="000000" w:themeColor="text1"/>
          <w:szCs w:val="24"/>
          <w:highlight w:val="yellow"/>
          <w:lang w:val="en-CA"/>
        </w:rPr>
        <w:t xml:space="preserve">Wholesale-energy prices are generally reported in dollars per megawatt-hour, whereas capacity-market prices may be reported in dollars per megawatt-day. A capacity price must therefore be converted before it is combined with an energy price. For an illustrative load factor </w:t>
      </w:r>
      <m:oMath>
        <m:r>
          <w:rPr>
            <w:rFonts w:ascii="Cambria Math" w:hAnsi="Cambria Math"/>
            <w:color w:val="000000" w:themeColor="text1"/>
            <w:szCs w:val="24"/>
            <w:highlight w:val="yellow"/>
            <w:lang w:val="en-CA"/>
          </w:rPr>
          <m:t>LF</m:t>
        </m:r>
      </m:oMath>
      <w:r w:rsidRPr="00100329">
        <w:rPr>
          <w:color w:val="000000" w:themeColor="text1"/>
          <w:szCs w:val="24"/>
          <w:highlight w:val="yellow"/>
          <w:lang w:val="en-CA"/>
        </w:rPr>
        <w:t>, the equivalent capacity-cost adder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677594" w:rsidRPr="00100329" w14:paraId="325959B8" w14:textId="77777777" w:rsidTr="001E5821">
        <w:tc>
          <w:tcPr>
            <w:tcW w:w="421" w:type="dxa"/>
          </w:tcPr>
          <w:p w14:paraId="16A1EE11" w14:textId="77777777" w:rsidR="00677594" w:rsidRPr="00100329" w:rsidRDefault="00677594" w:rsidP="001E5821">
            <w:pPr>
              <w:rPr>
                <w:color w:val="auto"/>
                <w:szCs w:val="24"/>
                <w:highlight w:val="yellow"/>
                <w:lang w:val="en-CA" w:eastAsia="en-CA"/>
              </w:rPr>
            </w:pPr>
          </w:p>
        </w:tc>
        <w:tc>
          <w:tcPr>
            <w:tcW w:w="7908" w:type="dxa"/>
          </w:tcPr>
          <w:p w14:paraId="5D36BCB1" w14:textId="75D8519C" w:rsidR="00677594" w:rsidRPr="00100329" w:rsidRDefault="00000000" w:rsidP="001E5821">
            <w:pPr>
              <w:rPr>
                <w:rFonts w:asciiTheme="majorBidi" w:hAnsiTheme="majorBidi" w:cstheme="majorBidi"/>
                <w:color w:val="auto"/>
                <w:sz w:val="18"/>
                <w:szCs w:val="18"/>
                <w:highlight w:val="yellow"/>
                <w:lang w:val="en-CA" w:eastAsia="en-CA"/>
              </w:rPr>
            </w:pPr>
            <m:oMathPara>
              <m:oMath>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C</m:t>
                    </m:r>
                  </m:e>
                  <m:sub>
                    <m:r>
                      <m:rPr>
                        <m:nor/>
                      </m:rPr>
                      <w:rPr>
                        <w:rFonts w:ascii="Cambria Math" w:hAnsi="Cambria Math"/>
                        <w:color w:val="auto"/>
                        <w:sz w:val="18"/>
                        <w:szCs w:val="18"/>
                        <w:highlight w:val="yellow"/>
                      </w:rPr>
                      <m:t>capacity,equivalent</m:t>
                    </m:r>
                  </m:sub>
                </m:sSub>
                <m:r>
                  <w:rPr>
                    <w:rFonts w:ascii="Cambria Math" w:hAnsi="Cambria Math"/>
                    <w:color w:val="auto"/>
                    <w:sz w:val="18"/>
                    <w:szCs w:val="18"/>
                    <w:highlight w:val="yellow"/>
                  </w:rPr>
                  <m:t>=</m:t>
                </m:r>
                <m:f>
                  <m:fPr>
                    <m:ctrlPr>
                      <w:rPr>
                        <w:rFonts w:ascii="Cambria Math" w:hAnsi="Cambria Math"/>
                        <w:color w:val="auto"/>
                        <w:sz w:val="18"/>
                        <w:szCs w:val="18"/>
                        <w:highlight w:val="yellow"/>
                      </w:rPr>
                    </m:ctrlPr>
                  </m:fPr>
                  <m:num>
                    <m:sSub>
                      <m:sSubPr>
                        <m:ctrlPr>
                          <w:rPr>
                            <w:rFonts w:ascii="Cambria Math" w:hAnsi="Cambria Math"/>
                            <w:color w:val="auto"/>
                            <w:sz w:val="18"/>
                            <w:szCs w:val="18"/>
                            <w:highlight w:val="yellow"/>
                          </w:rPr>
                        </m:ctrlPr>
                      </m:sSubPr>
                      <m:e>
                        <m:r>
                          <w:rPr>
                            <w:rFonts w:ascii="Cambria Math" w:hAnsi="Cambria Math"/>
                            <w:color w:val="auto"/>
                            <w:sz w:val="18"/>
                            <w:szCs w:val="18"/>
                            <w:highlight w:val="yellow"/>
                          </w:rPr>
                          <m:t>π</m:t>
                        </m:r>
                      </m:e>
                      <m:sub>
                        <m:r>
                          <m:rPr>
                            <m:nor/>
                          </m:rPr>
                          <w:rPr>
                            <w:rFonts w:ascii="Cambria Math" w:hAnsi="Cambria Math"/>
                            <w:color w:val="auto"/>
                            <w:sz w:val="18"/>
                            <w:szCs w:val="18"/>
                            <w:highlight w:val="yellow"/>
                          </w:rPr>
                          <m:t>capacity</m:t>
                        </m:r>
                      </m:sub>
                    </m:sSub>
                    <m:r>
                      <w:rPr>
                        <w:rFonts w:ascii="Cambria Math" w:hAnsi="Cambria Math"/>
                        <w:color w:val="auto"/>
                        <w:sz w:val="18"/>
                        <w:szCs w:val="18"/>
                        <w:highlight w:val="yellow"/>
                      </w:rPr>
                      <m:t>×365</m:t>
                    </m:r>
                  </m:num>
                  <m:den>
                    <m:r>
                      <w:rPr>
                        <w:rFonts w:ascii="Cambria Math" w:hAnsi="Cambria Math"/>
                        <w:color w:val="auto"/>
                        <w:sz w:val="18"/>
                        <w:szCs w:val="18"/>
                        <w:highlight w:val="yellow"/>
                      </w:rPr>
                      <m:t>8760×LF</m:t>
                    </m:r>
                  </m:den>
                </m:f>
              </m:oMath>
            </m:oMathPara>
          </w:p>
        </w:tc>
        <w:tc>
          <w:tcPr>
            <w:tcW w:w="616" w:type="dxa"/>
            <w:vAlign w:val="center"/>
          </w:tcPr>
          <w:p w14:paraId="17F1CD30" w14:textId="7F1A9E43" w:rsidR="00677594" w:rsidRPr="00100329" w:rsidRDefault="00677594" w:rsidP="001E5821">
            <w:pPr>
              <w:rPr>
                <w:color w:val="auto"/>
                <w:szCs w:val="24"/>
                <w:highlight w:val="yellow"/>
                <w:lang w:val="en-CA" w:eastAsia="en-CA"/>
              </w:rPr>
            </w:pPr>
            <w:r w:rsidRPr="00100329">
              <w:rPr>
                <w:color w:val="auto"/>
                <w:szCs w:val="24"/>
                <w:highlight w:val="yellow"/>
                <w:lang w:val="en-CA" w:eastAsia="en-CA"/>
              </w:rPr>
              <w:t>(</w:t>
            </w:r>
            <w:r w:rsidR="00966EE7">
              <w:rPr>
                <w:color w:val="auto"/>
                <w:szCs w:val="24"/>
                <w:highlight w:val="yellow"/>
                <w:lang w:val="en-CA" w:eastAsia="en-CA"/>
              </w:rPr>
              <w:t>20</w:t>
            </w:r>
            <w:r w:rsidRPr="00100329">
              <w:rPr>
                <w:color w:val="auto"/>
                <w:szCs w:val="24"/>
                <w:highlight w:val="yellow"/>
                <w:lang w:val="en-CA" w:eastAsia="en-CA"/>
              </w:rPr>
              <w:t>)</w:t>
            </w:r>
          </w:p>
        </w:tc>
      </w:tr>
    </w:tbl>
    <w:p w14:paraId="3BD21833" w14:textId="77777777" w:rsidR="009F5D08" w:rsidRPr="009F5D08" w:rsidRDefault="009F5D08" w:rsidP="009F5D08">
      <w:pPr>
        <w:spacing w:after="120"/>
        <w:ind w:firstLine="480"/>
        <w:rPr>
          <w:szCs w:val="24"/>
          <w:highlight w:val="yellow"/>
          <w:lang w:val="en-CA"/>
        </w:rPr>
      </w:pPr>
      <w:r w:rsidRPr="009F5D08">
        <w:rPr>
          <w:szCs w:val="24"/>
          <w:highlight w:val="yellow"/>
          <w:lang w:val="en-CA"/>
        </w:rPr>
        <w:t>where:</w:t>
      </w:r>
    </w:p>
    <w:p w14:paraId="05F73B04" w14:textId="44E4F9AF"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C</m:t>
            </m:r>
          </m:e>
          <m:sub>
            <m:r>
              <m:rPr>
                <m:sty m:val="p"/>
              </m:rPr>
              <w:rPr>
                <w:rFonts w:ascii="Cambria Math" w:hAnsi="Cambria Math"/>
                <w:szCs w:val="24"/>
                <w:highlight w:val="yellow"/>
                <w:lang w:val="en-CA"/>
              </w:rPr>
              <m:t>capacity</m:t>
            </m:r>
            <m:r>
              <w:rPr>
                <w:rFonts w:ascii="Cambria Math" w:hAnsi="Cambria Math"/>
                <w:szCs w:val="24"/>
                <w:highlight w:val="yellow"/>
                <w:lang w:val="en-CA"/>
              </w:rPr>
              <m:t>,</m:t>
            </m:r>
            <m:r>
              <m:rPr>
                <m:sty m:val="p"/>
              </m:rPr>
              <w:rPr>
                <w:rFonts w:ascii="Cambria Math" w:hAnsi="Cambria Math"/>
                <w:szCs w:val="24"/>
                <w:highlight w:val="yellow"/>
                <w:lang w:val="en-CA"/>
              </w:rPr>
              <m:t>equivalent</m:t>
            </m:r>
          </m:sub>
        </m:sSub>
      </m:oMath>
      <w:r w:rsidR="009F5D08" w:rsidRPr="009F5D08">
        <w:rPr>
          <w:szCs w:val="24"/>
          <w:highlight w:val="yellow"/>
          <w:lang w:val="en-CA"/>
        </w:rPr>
        <w:t>= equivalent capacity-cost contribution (USD/MWh)</w:t>
      </w:r>
    </w:p>
    <w:p w14:paraId="789FBDCD" w14:textId="4F6674DC" w:rsidR="009F5D08" w:rsidRPr="009F5D08" w:rsidRDefault="00000000" w:rsidP="009F5D08">
      <w:pPr>
        <w:numPr>
          <w:ilvl w:val="0"/>
          <w:numId w:val="28"/>
        </w:numPr>
        <w:spacing w:after="120"/>
        <w:rPr>
          <w:szCs w:val="24"/>
          <w:highlight w:val="yellow"/>
          <w:lang w:val="en-CA"/>
        </w:rPr>
      </w:pPr>
      <m:oMath>
        <m:sSub>
          <m:sSubPr>
            <m:ctrlPr>
              <w:rPr>
                <w:rFonts w:ascii="Cambria Math" w:hAnsi="Cambria Math"/>
                <w:szCs w:val="24"/>
                <w:highlight w:val="yellow"/>
                <w:lang w:val="en-CA"/>
              </w:rPr>
            </m:ctrlPr>
          </m:sSubPr>
          <m:e>
            <m:r>
              <w:rPr>
                <w:rFonts w:ascii="Cambria Math" w:hAnsi="Cambria Math"/>
                <w:szCs w:val="24"/>
                <w:highlight w:val="yellow"/>
                <w:lang w:val="en-CA"/>
              </w:rPr>
              <m:t>π</m:t>
            </m:r>
          </m:e>
          <m:sub>
            <m:r>
              <m:rPr>
                <m:sty m:val="p"/>
              </m:rPr>
              <w:rPr>
                <w:rFonts w:ascii="Cambria Math" w:hAnsi="Cambria Math"/>
                <w:szCs w:val="24"/>
                <w:highlight w:val="yellow"/>
                <w:lang w:val="en-CA"/>
              </w:rPr>
              <m:t>capacity</m:t>
            </m:r>
          </m:sub>
        </m:sSub>
      </m:oMath>
      <w:r w:rsidR="009F5D08" w:rsidRPr="009F5D08">
        <w:rPr>
          <w:szCs w:val="24"/>
          <w:highlight w:val="yellow"/>
          <w:lang w:val="en-CA"/>
        </w:rPr>
        <w:t>= capacity-market clearing price (USD/MW-day)</w:t>
      </w:r>
    </w:p>
    <w:p w14:paraId="234147E7" w14:textId="4EEA0B83" w:rsidR="009F5D08" w:rsidRPr="009F5D08" w:rsidRDefault="009F5D08" w:rsidP="009F5D08">
      <w:pPr>
        <w:numPr>
          <w:ilvl w:val="0"/>
          <w:numId w:val="28"/>
        </w:numPr>
        <w:spacing w:after="120"/>
        <w:rPr>
          <w:szCs w:val="24"/>
          <w:highlight w:val="yellow"/>
          <w:lang w:val="en-CA"/>
        </w:rPr>
      </w:pPr>
      <m:oMath>
        <m:r>
          <w:rPr>
            <w:rFonts w:ascii="Cambria Math" w:hAnsi="Cambria Math"/>
            <w:szCs w:val="24"/>
            <w:highlight w:val="yellow"/>
            <w:lang w:val="en-CA"/>
          </w:rPr>
          <m:t>LF</m:t>
        </m:r>
      </m:oMath>
      <w:r w:rsidRPr="009F5D08">
        <w:rPr>
          <w:szCs w:val="24"/>
          <w:highlight w:val="yellow"/>
          <w:lang w:val="en-CA"/>
        </w:rPr>
        <w:t>= annual load factor (dimensionless)</w:t>
      </w:r>
    </w:p>
    <w:p w14:paraId="1A702816"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365 = days per year</w:t>
      </w:r>
    </w:p>
    <w:p w14:paraId="5BBE8C30" w14:textId="77777777" w:rsidR="009F5D08" w:rsidRPr="009F5D08" w:rsidRDefault="009F5D08" w:rsidP="009F5D08">
      <w:pPr>
        <w:numPr>
          <w:ilvl w:val="0"/>
          <w:numId w:val="28"/>
        </w:numPr>
        <w:spacing w:after="120"/>
        <w:rPr>
          <w:szCs w:val="24"/>
          <w:highlight w:val="yellow"/>
          <w:lang w:val="en-CA"/>
        </w:rPr>
      </w:pPr>
      <w:r w:rsidRPr="009F5D08">
        <w:rPr>
          <w:szCs w:val="24"/>
          <w:highlight w:val="yellow"/>
          <w:lang w:val="en-CA"/>
        </w:rPr>
        <w:t>8,760 = hours per year</w:t>
      </w:r>
    </w:p>
    <w:p w14:paraId="51339625" w14:textId="1E9CE8BB" w:rsidR="00100329" w:rsidRPr="00100329" w:rsidRDefault="00100329" w:rsidP="00E842C0">
      <w:pPr>
        <w:spacing w:after="120"/>
        <w:ind w:firstLine="480"/>
        <w:rPr>
          <w:color w:val="000000" w:themeColor="text1"/>
          <w:szCs w:val="24"/>
          <w:highlight w:val="yellow"/>
          <w:lang w:val="en-CA"/>
        </w:rPr>
      </w:pPr>
      <w:r w:rsidRPr="00100329">
        <w:rPr>
          <w:color w:val="000000" w:themeColor="text1"/>
          <w:szCs w:val="24"/>
          <w:highlight w:val="yellow"/>
          <w:lang w:val="en-CA"/>
        </w:rPr>
        <w:t>For example, PJM’s 2026/2027 Base Residual Auction cleared at $329.17/MW-day</w:t>
      </w:r>
      <w:r>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{"citationID":"6FlDxlFD","properties":{"unsorted":false,"formattedCitation":"[159]","plainCitation":"[159]","noteIndex":0},"citationItems":[{"id":2717,"uris":["http://zotero.org/users/9870935/items/MQIRHM6M"],"itemData":{"id":2717,"type":"post-weblog","title":"PJM Markets Support Efficiency and Resource Adequacy","URL":"https://services.pjm.com/annualreport2025/markets/","author":[{"literal":"Markets"}]}}],"schema":"https://github.com/citation-style-language/schema/raw/master/csl-citation.json"} </w:instrText>
      </w:r>
      <w:r>
        <w:rPr>
          <w:color w:val="000000" w:themeColor="text1"/>
          <w:szCs w:val="24"/>
          <w:highlight w:val="yellow"/>
          <w:lang w:val="en-CA"/>
        </w:rPr>
        <w:fldChar w:fldCharType="separate"/>
      </w:r>
      <w:r w:rsidR="00E842C0" w:rsidRPr="00E842C0">
        <w:rPr>
          <w:highlight w:val="yellow"/>
          <w:lang w:val="en-CA"/>
        </w:rPr>
        <w:t>[159]</w:t>
      </w:r>
      <w:r>
        <w:rPr>
          <w:color w:val="000000" w:themeColor="text1"/>
          <w:szCs w:val="24"/>
          <w:highlight w:val="yellow"/>
          <w:lang w:val="en-CA"/>
        </w:rPr>
        <w:fldChar w:fldCharType="end"/>
      </w:r>
      <w:r w:rsidRPr="00100329">
        <w:rPr>
          <w:color w:val="000000" w:themeColor="text1"/>
          <w:szCs w:val="24"/>
          <w:highlight w:val="yellow"/>
          <w:lang w:val="en-CA"/>
        </w:rPr>
        <w:t xml:space="preserve">.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w:t>
      </w:r>
      <w:r w:rsidRPr="00100329">
        <w:rPr>
          <w:color w:val="000000" w:themeColor="text1"/>
          <w:szCs w:val="24"/>
          <w:highlight w:val="yellow"/>
          <w:lang w:val="en-CA"/>
        </w:rPr>
        <w:lastRenderedPageBreak/>
        <w:t>delivered electricity tariff. As for energy and capacity, PJM's separate report on YTD load-weighted average locational marginal price (</w:t>
      </w:r>
      <w:r w:rsidR="00453135">
        <w:rPr>
          <w:color w:val="000000" w:themeColor="text1"/>
          <w:szCs w:val="24"/>
          <w:highlight w:val="yellow"/>
          <w:lang w:val="en-CA"/>
        </w:rPr>
        <w:t>LMP</w:t>
      </w:r>
      <w:r w:rsidRPr="00100329">
        <w:rPr>
          <w:color w:val="000000" w:themeColor="text1"/>
          <w:szCs w:val="24"/>
          <w:highlight w:val="yellow"/>
          <w:lang w:val="en-CA"/>
        </w:rPr>
        <w:t>) through October 2025 shows it to be about $50.53/MWh for 2025</w:t>
      </w:r>
      <w:r w:rsidR="005D447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{"citationID":"58h5ye89","properties":{"unsorted":false,"formattedCitation":"[160]","plainCitation":"[160]","noteIndex":0},"citationItems":[{"id":2735,"uris":["http://zotero.org/users/9870935/items/WFERDGP5"],"itemData":{"id":2735,"type":"document","title":"Markets Report","URL":"https://www.pjm.com/-/media/DotCom/committees-groups/committees/mc/2025/20251120/20251120-item-04a---1-pjm-market-operations-report---presentation.pdf","author":[{"literal":"PJM"}]}}],"schema":"https://github.com/citation-style-language/schema/raw/master/csl-citation.json"} </w:instrText>
      </w:r>
      <w:r w:rsidR="005D447E">
        <w:rPr>
          <w:color w:val="000000" w:themeColor="text1"/>
          <w:szCs w:val="24"/>
          <w:highlight w:val="yellow"/>
          <w:lang w:val="en-CA"/>
        </w:rPr>
        <w:fldChar w:fldCharType="separate"/>
      </w:r>
      <w:r w:rsidR="00E842C0" w:rsidRPr="00E842C0">
        <w:rPr>
          <w:highlight w:val="yellow"/>
          <w:lang w:val="en-CA"/>
        </w:rPr>
        <w:t>[160]</w:t>
      </w:r>
      <w:r w:rsidR="005D447E">
        <w:rPr>
          <w:color w:val="000000" w:themeColor="text1"/>
          <w:szCs w:val="24"/>
          <w:highlight w:val="yellow"/>
          <w:lang w:val="en-CA"/>
        </w:rPr>
        <w:fldChar w:fldCharType="end"/>
      </w:r>
      <w:r w:rsidRPr="00100329">
        <w:rPr>
          <w:color w:val="000000" w:themeColor="text1"/>
          <w:szCs w:val="24"/>
          <w:highlight w:val="yellow"/>
          <w:lang w:val="en-CA"/>
        </w:rPr>
        <w:t>.</w:t>
      </w:r>
    </w:p>
    <w:p w14:paraId="38A065E8" w14:textId="13422266" w:rsidR="00FF669C" w:rsidRPr="00FF669C" w:rsidRDefault="00FF669C" w:rsidP="00FF669C">
      <w:pPr>
        <w:spacing w:after="120"/>
        <w:ind w:firstLine="480"/>
        <w:rPr>
          <w:color w:val="000000" w:themeColor="text1"/>
          <w:szCs w:val="24"/>
          <w:highlight w:val="yellow"/>
        </w:rPr>
      </w:pPr>
      <w:r w:rsidRPr="00FF669C">
        <w:rPr>
          <w:color w:val="000000" w:themeColor="text1"/>
          <w:szCs w:val="24"/>
          <w:highlight w:val="yellow"/>
        </w:rPr>
        <w:t>Rather than using a single universal grid supply LCOE, regional grid-electricity costs should be determined by considering the specific tariff components of the relevant wholesale energy, capacity, ancillary-service, transmission, distribution and retail components. Capacity-market prices in USD/MW-day are prices of available capacity and should not be treated as energy prices or LCOE values in USD/MWh without a specified price allocation methodology. There are also significant differences in markets across regions, meaning the facility load profile, energy price, regional capacity mechanism (if applicable), ancillary service and network charges, demand charges, taxes and fees, and applicable utility tariff or electricity supply agreement are necessary to implement a reproducible grid cost assessment.</w:t>
      </w:r>
    </w:p>
    <w:p w14:paraId="45BFE78D" w14:textId="498520A4" w:rsidR="00FF669C" w:rsidRPr="00FF669C" w:rsidRDefault="00FF669C" w:rsidP="00FF669C">
      <w:pPr>
        <w:spacing w:after="120"/>
        <w:ind w:firstLine="480"/>
        <w:rPr>
          <w:color w:val="000000" w:themeColor="text1"/>
          <w:szCs w:val="24"/>
          <w:highlight w:val="yellow"/>
        </w:rPr>
      </w:pPr>
      <w:r w:rsidRPr="00FF669C">
        <w:rPr>
          <w:color w:val="000000" w:themeColor="text1"/>
          <w:szCs w:val="24"/>
          <w:highlight w:val="yellow"/>
        </w:rPr>
        <w:t>When comparing grid electricity with renewable-generation and storage options, this distinction is crucial. Generation-only LCOE is the levelized cost of electricity generation within a specific generation-system boundary and is not the same as the all-in cost of firm electricity delivered to the data-center facility. Likewise, a regional wholesale electricity-price average does not reflect the actual electricity expense for a data-center operator since electricity delivered to a data-center may contain capacity, transmission and distribution, demand, ancillary-service and tax, and tariff-specific components. The literature-derived costs listed in Table 7 therefore should be viewed as a cost benchmark with varying system boundaries, not as a direct comparison of the delivered electricity cost. They should not therefore be interpreted as a general rule that renewable or renewable storage systems are always cheaper than electricity from the grid.</w:t>
      </w:r>
    </w:p>
    <w:p w14:paraId="744689C8" w14:textId="634AA5C8" w:rsidR="00AC4E47" w:rsidRDefault="00F12435" w:rsidP="00FF669C">
      <w:pPr>
        <w:spacing w:after="120"/>
        <w:ind w:firstLine="480"/>
        <w:rPr>
          <w:color w:val="000000" w:themeColor="text1"/>
          <w:szCs w:val="24"/>
          <w:highlight w:val="yellow"/>
          <w:lang w:val="en-CA"/>
        </w:rPr>
      </w:pPr>
      <w:r w:rsidRPr="00F12435">
        <w:rPr>
          <w:color w:val="000000" w:themeColor="text1"/>
          <w:szCs w:val="24"/>
          <w:highlight w:val="yellow"/>
        </w:rPr>
        <w:fldChar w:fldCharType="begin"/>
      </w:r>
      <w:r w:rsidRPr="00F12435">
        <w:rPr>
          <w:color w:val="000000" w:themeColor="text1"/>
          <w:szCs w:val="24"/>
          <w:highlight w:val="yellow"/>
        </w:rPr>
        <w:instrText xml:space="preserve"> REF _Ref239529865 \h </w:instrText>
      </w:r>
      <w:r w:rsidRPr="00F12435">
        <w:rPr>
          <w:color w:val="000000" w:themeColor="text1"/>
          <w:szCs w:val="24"/>
          <w:highlight w:val="yellow"/>
        </w:rPr>
      </w:r>
      <w:r>
        <w:rPr>
          <w:color w:val="000000" w:themeColor="text1"/>
          <w:szCs w:val="24"/>
          <w:highlight w:val="yellow"/>
        </w:rPr>
        <w:instrText xml:space="preserve"> \* MERGEFORMAT </w:instrText>
      </w:r>
      <w:r w:rsidRPr="00F12435">
        <w:rPr>
          <w:color w:val="000000" w:themeColor="text1"/>
          <w:szCs w:val="24"/>
          <w:highlight w:val="yellow"/>
        </w:rPr>
        <w:fldChar w:fldCharType="separate"/>
      </w:r>
      <w:r w:rsidRPr="00F12435">
        <w:rPr>
          <w:color w:val="000000" w:themeColor="text1"/>
          <w:szCs w:val="24"/>
          <w:highlight w:val="yellow"/>
        </w:rPr>
        <w:t>Figure 10 Literature-Based Electricity-Cost Benchmarks</w:t>
      </w:r>
      <w:r w:rsidRPr="00F12435">
        <w:rPr>
          <w:color w:val="000000" w:themeColor="text1"/>
          <w:szCs w:val="24"/>
          <w:highlight w:val="yellow"/>
        </w:rPr>
        <w:fldChar w:fldCharType="end"/>
      </w:r>
      <w:r w:rsidRPr="00F12435">
        <w:rPr>
          <w:color w:val="000000" w:themeColor="text1"/>
          <w:szCs w:val="24"/>
          <w:highlight w:val="yellow"/>
        </w:rPr>
        <w:t>, distinguishing unfirmed renewable generation, partially firmed renewable-storage supply, and location- and tariff-specific firm delivered grid electricity. Source: Authors’ synthesis based on IRENA [16], Lazard [161], and the literature summarized in Table 9. Grid electricity is not assigned a universal LCOE because delivered electricity costs are region-, tariff-, and load-specific.</w:t>
      </w:r>
    </w:p>
    <w:p w14:paraId="79B0EA98" w14:textId="0C787491" w:rsidR="00725F05" w:rsidRPr="00725F05" w:rsidRDefault="00725F05" w:rsidP="00725F05">
      <w:pPr>
        <w:keepNext/>
        <w:spacing w:after="120"/>
        <w:jc w:val="center"/>
        <w:rPr>
          <w:lang w:val="en-CA"/>
        </w:rPr>
      </w:pPr>
      <w:r w:rsidRPr="00725F05">
        <w:rPr>
          <w:lang w:val="en-CA"/>
        </w:rPr>
        <w:lastRenderedPageBreak/>
        <w:drawing>
          <wp:inline distT="0" distB="0" distL="0" distR="0" wp14:anchorId="3DDA45B4" wp14:editId="58AF2C38">
            <wp:extent cx="6192520" cy="2876566"/>
            <wp:effectExtent l="0" t="0" r="0" b="0"/>
            <wp:docPr id="21251577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096"/>
                    <a:stretch>
                      <a:fillRect/>
                    </a:stretch>
                  </pic:blipFill>
                  <pic:spPr bwMode="auto">
                    <a:xfrm>
                      <a:off x="0" y="0"/>
                      <a:ext cx="6192520" cy="2876566"/>
                    </a:xfrm>
                    <a:prstGeom prst="rect">
                      <a:avLst/>
                    </a:prstGeom>
                    <a:noFill/>
                    <a:ln>
                      <a:noFill/>
                    </a:ln>
                    <a:extLst>
                      <a:ext uri="{53640926-AAD7-44D8-BBD7-CCE9431645EC}">
                        <a14:shadowObscured xmlns:a14="http://schemas.microsoft.com/office/drawing/2010/main"/>
                      </a:ext>
                    </a:extLst>
                  </pic:spPr>
                </pic:pic>
              </a:graphicData>
            </a:graphic>
          </wp:inline>
        </w:drawing>
      </w:r>
    </w:p>
    <w:p w14:paraId="4515981F" w14:textId="7DA7E4F4" w:rsidR="00807110" w:rsidRDefault="00807110" w:rsidP="00807110">
      <w:pPr>
        <w:keepNext/>
        <w:spacing w:after="120"/>
        <w:ind w:firstLine="480"/>
        <w:jc w:val="center"/>
      </w:pPr>
    </w:p>
    <w:p w14:paraId="2AFE6F6E" w14:textId="2BFB6C81" w:rsidR="00807110" w:rsidRPr="00100329" w:rsidRDefault="00807110" w:rsidP="001B5CFD">
      <w:pPr>
        <w:pStyle w:val="Caption"/>
        <w:jc w:val="center"/>
        <w:rPr>
          <w:color w:val="000000" w:themeColor="text1"/>
          <w:szCs w:val="24"/>
          <w:highlight w:val="yellow"/>
          <w:lang w:val="en-CA"/>
        </w:rPr>
      </w:pPr>
      <w:bookmarkStart w:id="27" w:name="_Ref239529865"/>
      <w:r>
        <w:t xml:space="preserve">Figure </w:t>
      </w:r>
      <w:r>
        <w:fldChar w:fldCharType="begin"/>
      </w:r>
      <w:r>
        <w:instrText xml:space="preserve"> SEQ Figure \* ARABIC </w:instrText>
      </w:r>
      <w:r>
        <w:fldChar w:fldCharType="separate"/>
      </w:r>
      <w:r>
        <w:rPr>
          <w:noProof/>
        </w:rPr>
        <w:t>10</w:t>
      </w:r>
      <w:r>
        <w:fldChar w:fldCharType="end"/>
      </w:r>
      <w:r>
        <w:t xml:space="preserve"> Literature-Based Electricity-Cost Benchmarks</w:t>
      </w:r>
      <w:bookmarkEnd w:id="27"/>
    </w:p>
    <w:p w14:paraId="76DA58C6" w14:textId="77777777" w:rsidR="00FE013C" w:rsidRDefault="00FE013C" w:rsidP="004C16FF">
      <w:pPr>
        <w:pStyle w:val="Heading20"/>
        <w:jc w:val="both"/>
        <w:rPr>
          <w:color w:val="auto"/>
        </w:rPr>
      </w:pPr>
      <w:r w:rsidRPr="00807110">
        <w:rPr>
          <w:color w:val="auto"/>
          <w:highlight w:val="yellow"/>
        </w:rPr>
        <w:t>10.3 Power Purchase Agreements (PPAs)</w:t>
      </w:r>
    </w:p>
    <w:p w14:paraId="67E2BF33" w14:textId="75D85732" w:rsidR="00E16731" w:rsidRPr="00E16731" w:rsidRDefault="00E16731" w:rsidP="00E16731">
      <w:pPr>
        <w:spacing w:after="120"/>
        <w:ind w:firstLine="480"/>
        <w:rPr>
          <w:color w:val="000000" w:themeColor="text1"/>
          <w:szCs w:val="24"/>
          <w:highlight w:val="yellow"/>
          <w:lang w:val="en-CA"/>
        </w:rPr>
      </w:pPr>
      <w:r w:rsidRPr="00E16731">
        <w:rPr>
          <w:color w:val="000000" w:themeColor="text1"/>
          <w:szCs w:val="24"/>
          <w:highlight w:val="yellow"/>
          <w:lang w:val="en-CA"/>
        </w:rPr>
        <w:t>PPAs still play a significant role in data center procurement strategy as they offer long-term price transparency, enable financing of fresh RE investments, and enable corporations to achieve their clean energy goals. Note that the PPA price is not the same as the delivered retail electricity price, however</w:t>
      </w:r>
      <w:r>
        <w:rPr>
          <w:color w:val="000000" w:themeColor="text1"/>
          <w:szCs w:val="24"/>
          <w:highlight w:val="yellow"/>
          <w:lang w:val="en-CA"/>
        </w:rPr>
        <w:t>,</w:t>
      </w:r>
      <w:r w:rsidRPr="00E16731">
        <w:rPr>
          <w:color w:val="000000" w:themeColor="text1"/>
          <w:szCs w:val="24"/>
          <w:highlight w:val="yellow"/>
          <w:lang w:val="en-CA"/>
        </w:rPr>
        <w:t xml:space="preserve"> </w:t>
      </w:r>
      <w:r>
        <w:rPr>
          <w:color w:val="000000" w:themeColor="text1"/>
          <w:szCs w:val="24"/>
          <w:highlight w:val="yellow"/>
          <w:lang w:val="en-CA"/>
        </w:rPr>
        <w:t>t</w:t>
      </w:r>
      <w:r w:rsidRPr="00E16731">
        <w:rPr>
          <w:color w:val="000000" w:themeColor="text1"/>
          <w:szCs w:val="24"/>
          <w:highlight w:val="yellow"/>
          <w:lang w:val="en-CA"/>
        </w:rPr>
        <w:t>he buyer could be subject to basis risk, shape risk, balancing risk, congestion risk, curtailment risk, transmission risk as well as the gap between the contracted electricity production of the renewables plant and the plant's electricity consumption.</w:t>
      </w:r>
    </w:p>
    <w:p w14:paraId="77E966AF" w14:textId="2F426CCE" w:rsidR="00E16731" w:rsidRPr="00E16731" w:rsidRDefault="00291195" w:rsidP="001D1223">
      <w:pPr>
        <w:spacing w:after="120"/>
        <w:ind w:firstLine="480"/>
        <w:rPr>
          <w:color w:val="000000" w:themeColor="text1"/>
          <w:szCs w:val="24"/>
          <w:highlight w:val="yellow"/>
          <w:lang w:val="en-CA"/>
        </w:rPr>
      </w:pPr>
      <w:r w:rsidRPr="00291195">
        <w:rPr>
          <w:color w:val="000000" w:themeColor="text1"/>
          <w:szCs w:val="24"/>
          <w:highlight w:val="yellow"/>
          <w:lang w:val="en-CA"/>
        </w:rPr>
        <w:t xml:space="preserve">LevelTen Energy’s North American PPA Price Index reported continued upward pressure on renewable-energy procurement costs during the first quarter of 2026. Market-averaged P25 solar PPA prices increased by 4.6% during the quarter and by more than 13% year over year, while corresponding wind PPA prices increased by nearly 8% during the quarter and approximately 24% relative to the same period in the previous year. Average North American PPA offer prices were reported at approximately USD 64.49/MWh for solar and USD 79.40/MWh for wind </w:t>
      </w:r>
      <w:r w:rsidR="00E16731">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5HLOw4Iq","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E16731">
        <w:rPr>
          <w:color w:val="000000" w:themeColor="text1"/>
          <w:szCs w:val="24"/>
          <w:highlight w:val="yellow"/>
          <w:lang w:val="en-CA"/>
        </w:rPr>
        <w:fldChar w:fldCharType="separate"/>
      </w:r>
      <w:r w:rsidR="001D1223" w:rsidRPr="001D1223">
        <w:rPr>
          <w:highlight w:val="yellow"/>
          <w:lang w:val="en-CA"/>
        </w:rPr>
        <w:t>[63]</w:t>
      </w:r>
      <w:r w:rsidR="00E16731">
        <w:rPr>
          <w:color w:val="000000" w:themeColor="text1"/>
          <w:szCs w:val="24"/>
          <w:highlight w:val="yellow"/>
          <w:lang w:val="en-CA"/>
        </w:rPr>
        <w:fldChar w:fldCharType="end"/>
      </w:r>
      <w:r w:rsidR="00E16731" w:rsidRPr="00E16731">
        <w:rPr>
          <w:color w:val="000000" w:themeColor="text1"/>
          <w:szCs w:val="24"/>
          <w:highlight w:val="yellow"/>
          <w:lang w:val="en-CA"/>
        </w:rPr>
        <w:t>.</w:t>
      </w:r>
    </w:p>
    <w:p w14:paraId="5B331D38" w14:textId="1BB25FD0" w:rsidR="00E16731" w:rsidRPr="00E16731" w:rsidRDefault="00E16731" w:rsidP="001D1223">
      <w:pPr>
        <w:spacing w:after="120"/>
        <w:ind w:firstLine="480"/>
        <w:rPr>
          <w:color w:val="000000" w:themeColor="text1"/>
          <w:szCs w:val="24"/>
          <w:highlight w:val="yellow"/>
          <w:lang w:val="en-CA"/>
        </w:rPr>
      </w:pPr>
      <w:r w:rsidRPr="00E16731">
        <w:rPr>
          <w:color w:val="000000" w:themeColor="text1"/>
          <w:szCs w:val="24"/>
          <w:highlight w:val="yellow"/>
          <w:lang w:val="en-CA"/>
        </w:rPr>
        <w:t xml:space="preserve">The rise was linked to the high electricity demand, permitting delays, equipment tariffs, labor shortage, rising insurance rates, and other development constraints </w:t>
      </w:r>
      <w:r w:rsidR="00B37D51">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YxxwLXnf","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B37D51">
        <w:rPr>
          <w:color w:val="000000" w:themeColor="text1"/>
          <w:szCs w:val="24"/>
          <w:highlight w:val="yellow"/>
          <w:lang w:val="en-CA"/>
        </w:rPr>
        <w:fldChar w:fldCharType="separate"/>
      </w:r>
      <w:r w:rsidR="001D1223" w:rsidRPr="001D1223">
        <w:rPr>
          <w:highlight w:val="yellow"/>
          <w:lang w:val="en-CA"/>
        </w:rPr>
        <w:t>[63]</w:t>
      </w:r>
      <w:r w:rsidR="00B37D51">
        <w:rPr>
          <w:color w:val="000000" w:themeColor="text1"/>
          <w:szCs w:val="24"/>
          <w:highlight w:val="yellow"/>
          <w:lang w:val="en-CA"/>
        </w:rPr>
        <w:fldChar w:fldCharType="end"/>
      </w:r>
      <w:r w:rsidRPr="00E16731">
        <w:rPr>
          <w:color w:val="000000" w:themeColor="text1"/>
          <w:szCs w:val="24"/>
          <w:highlight w:val="yellow"/>
          <w:lang w:val="en-CA"/>
        </w:rPr>
        <w:t>. The prices listed in these offers are not indicative of single contract prices due to the following: PPA pricing is dependent on market location, commercial operation date, project maturity, contract tenor, settlement point, escalation provisions, environmental attributes, credit terms and risk allocation.</w:t>
      </w:r>
    </w:p>
    <w:p w14:paraId="761CDC7B" w14:textId="1B43ABE5" w:rsidR="00807110" w:rsidRDefault="00E16731" w:rsidP="001D1223">
      <w:pPr>
        <w:spacing w:after="120"/>
        <w:ind w:firstLine="480"/>
        <w:rPr>
          <w:color w:val="000000" w:themeColor="text1"/>
          <w:szCs w:val="24"/>
          <w:highlight w:val="yellow"/>
          <w:lang w:val="en-CA"/>
        </w:rPr>
      </w:pPr>
      <w:r w:rsidRPr="00E16731">
        <w:rPr>
          <w:color w:val="000000" w:themeColor="text1"/>
          <w:szCs w:val="24"/>
          <w:highlight w:val="yellow"/>
          <w:lang w:val="en-CA"/>
        </w:rPr>
        <w:t xml:space="preserve">So, for data centers, a PPA should be considered as part of the overall portfolio of electricity-procurement options. Having a PPA with annual energy matching does not guarantee that the electricity will be carbon-free or physically reliable on an hourly basis. To handle the time shift between electricity production and consumption, a data center could need a mix of a PPA, grid service, storage, backup generation and workload flexibility. While basis and settlement risk may be present with PPAs, it can be minimized by project generation and facility demand being at different locations or at different times </w:t>
      </w:r>
      <w:r w:rsidR="00962957">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hPcVMlIH","properties":{"unsorted":false,"formattedCitation":"[63]","plainCitation":"[63]","noteIndex":0},"citationItems":[{"id":2718,"uris":["http://zotero.org/users/9870935/items/RW4QJL73"],"itemData":{"id":2718,"type":"post-weblog","title":"https://www.leveltenenergy.com/post/levelten-north-american-ppa-price-index-q1-2026","URL":"https://www.leveltenenergy.com/post/levelten-north-american-ppa-price-index-q1-2026","author":[{"literal":"leveltenenergy"}]}}],"schema":"https://github.com/citation-style-language/schema/raw/master/csl-citation.json"} </w:instrText>
      </w:r>
      <w:r w:rsidR="00962957">
        <w:rPr>
          <w:color w:val="000000" w:themeColor="text1"/>
          <w:szCs w:val="24"/>
          <w:highlight w:val="yellow"/>
          <w:lang w:val="en-CA"/>
        </w:rPr>
        <w:fldChar w:fldCharType="separate"/>
      </w:r>
      <w:r w:rsidR="001D1223" w:rsidRPr="001D1223">
        <w:rPr>
          <w:highlight w:val="yellow"/>
          <w:lang w:val="en-CA"/>
        </w:rPr>
        <w:t>[63]</w:t>
      </w:r>
      <w:r w:rsidR="00962957">
        <w:rPr>
          <w:color w:val="000000" w:themeColor="text1"/>
          <w:szCs w:val="24"/>
          <w:highlight w:val="yellow"/>
          <w:lang w:val="en-CA"/>
        </w:rPr>
        <w:fldChar w:fldCharType="end"/>
      </w:r>
      <w:r w:rsidRPr="00E16731">
        <w:rPr>
          <w:color w:val="000000" w:themeColor="text1"/>
          <w:szCs w:val="24"/>
          <w:highlight w:val="yellow"/>
          <w:lang w:val="en-CA"/>
        </w:rPr>
        <w:t>.</w:t>
      </w:r>
    </w:p>
    <w:p w14:paraId="7C5BF444" w14:textId="3C6E7F77" w:rsidR="00FE013C" w:rsidRPr="00807110" w:rsidRDefault="00FE013C" w:rsidP="00807110">
      <w:pPr>
        <w:pStyle w:val="Heading20"/>
        <w:jc w:val="both"/>
        <w:rPr>
          <w:color w:val="auto"/>
          <w:highlight w:val="yellow"/>
        </w:rPr>
      </w:pPr>
      <w:r w:rsidRPr="00807110">
        <w:rPr>
          <w:color w:val="auto"/>
          <w:highlight w:val="yellow"/>
        </w:rPr>
        <w:lastRenderedPageBreak/>
        <w:t>10.4 Financial Modeling: NPV and IRR</w:t>
      </w:r>
    </w:p>
    <w:p w14:paraId="6E3DE7F1" w14:textId="77777777"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Project-specific financial viability should be evaluated using net present value (NPV), internal rate of return (IRR), discounted payback period, and sensitivity analysis. These metrics require an auditable cash-flow model rather than applying assumed return ranges to generic project configurations.</w:t>
      </w:r>
    </w:p>
    <w:p w14:paraId="2459874A" w14:textId="036884D3" w:rsidR="005810F9" w:rsidRPr="005810F9" w:rsidRDefault="005810F9" w:rsidP="005810F9">
      <w:pPr>
        <w:spacing w:after="120"/>
        <w:ind w:firstLine="480"/>
        <w:rPr>
          <w:color w:val="000000" w:themeColor="text1"/>
          <w:szCs w:val="24"/>
          <w:highlight w:val="yellow"/>
          <w:lang w:val="en-CA"/>
        </w:rPr>
      </w:pPr>
      <w:r w:rsidRPr="005810F9">
        <w:rPr>
          <w:color w:val="000000" w:themeColor="text1"/>
          <w:szCs w:val="24"/>
          <w:highlight w:val="yellow"/>
          <w:lang w:val="en-CA"/>
        </w:rPr>
        <w:t xml:space="preserve">For a project lifetime of </w:t>
      </w:r>
      <m:oMath>
        <m:r>
          <w:rPr>
            <w:rFonts w:ascii="Cambria Math" w:hAnsi="Cambria Math"/>
            <w:color w:val="000000" w:themeColor="text1"/>
            <w:szCs w:val="24"/>
            <w:highlight w:val="yellow"/>
            <w:lang w:val="en-CA"/>
          </w:rPr>
          <m:t>N</m:t>
        </m:r>
      </m:oMath>
      <w:r w:rsidRPr="005810F9">
        <w:rPr>
          <w:color w:val="000000" w:themeColor="text1"/>
          <w:szCs w:val="24"/>
          <w:highlight w:val="yellow"/>
          <w:lang w:val="en-CA"/>
        </w:rPr>
        <w:t>years, NPV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C96AEE" w:rsidRPr="00100329" w14:paraId="5B31A178" w14:textId="77777777" w:rsidTr="001E5821">
        <w:tc>
          <w:tcPr>
            <w:tcW w:w="421" w:type="dxa"/>
          </w:tcPr>
          <w:p w14:paraId="4A8B1FBF" w14:textId="77777777" w:rsidR="00C96AEE" w:rsidRPr="00100329" w:rsidRDefault="00C96AEE" w:rsidP="001E5821">
            <w:pPr>
              <w:rPr>
                <w:color w:val="auto"/>
                <w:szCs w:val="24"/>
                <w:highlight w:val="yellow"/>
                <w:lang w:val="en-CA" w:eastAsia="en-CA"/>
              </w:rPr>
            </w:pPr>
          </w:p>
        </w:tc>
        <w:tc>
          <w:tcPr>
            <w:tcW w:w="7908" w:type="dxa"/>
          </w:tcPr>
          <w:p w14:paraId="564DB089" w14:textId="5F6FAF82" w:rsidR="00C96AEE" w:rsidRPr="00100329" w:rsidRDefault="00C96AEE" w:rsidP="001E5821">
            <w:pPr>
              <w:rPr>
                <w:rFonts w:asciiTheme="majorBidi" w:hAnsiTheme="majorBidi" w:cstheme="majorBidi"/>
                <w:color w:val="auto"/>
                <w:sz w:val="18"/>
                <w:szCs w:val="18"/>
                <w:highlight w:val="yellow"/>
                <w:lang w:val="en-CA" w:eastAsia="en-CA"/>
              </w:rPr>
            </w:pPr>
            <m:oMathPara>
              <m:oMath>
                <m:r>
                  <m:rPr>
                    <m:nor/>
                  </m:rPr>
                  <w:rPr>
                    <w:rFonts w:ascii="Cambria Math" w:hAnsi="Cambria Math"/>
                    <w:color w:val="auto"/>
                    <w:sz w:val="18"/>
                    <w:szCs w:val="18"/>
                  </w:rPr>
                  <m:t>NPV</m:t>
                </m:r>
                <m:r>
                  <w:rPr>
                    <w:rFonts w:ascii="Cambria Math" w:hAnsi="Cambria Math"/>
                    <w:color w:val="auto"/>
                    <w:sz w:val="18"/>
                    <w:szCs w:val="18"/>
                  </w:rPr>
                  <m:t>=-</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1+r</m:t>
                            </m:r>
                          </m:e>
                        </m:d>
                      </m:e>
                      <m:sup>
                        <m:r>
                          <w:rPr>
                            <w:rFonts w:ascii="Cambria Math" w:hAnsi="Cambria Math"/>
                            <w:color w:val="auto"/>
                            <w:sz w:val="18"/>
                            <w:szCs w:val="18"/>
                          </w:rPr>
                          <m:t>N</m:t>
                        </m:r>
                      </m:sup>
                    </m:sSup>
                  </m:den>
                </m:f>
              </m:oMath>
            </m:oMathPara>
          </w:p>
        </w:tc>
        <w:tc>
          <w:tcPr>
            <w:tcW w:w="616" w:type="dxa"/>
            <w:vAlign w:val="center"/>
          </w:tcPr>
          <w:p w14:paraId="7D7A62EA" w14:textId="4114CD2E" w:rsidR="00C96AEE" w:rsidRPr="00100329" w:rsidRDefault="00C96AEE"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21</w:t>
            </w:r>
            <w:r w:rsidRPr="00100329">
              <w:rPr>
                <w:color w:val="auto"/>
                <w:szCs w:val="24"/>
                <w:highlight w:val="yellow"/>
                <w:lang w:val="en-CA" w:eastAsia="en-CA"/>
              </w:rPr>
              <w:t>)</w:t>
            </w:r>
          </w:p>
        </w:tc>
      </w:tr>
    </w:tbl>
    <w:p w14:paraId="49A81060" w14:textId="7D29D3F8" w:rsidR="00A50C22" w:rsidRPr="00A50C22" w:rsidRDefault="00A50C22" w:rsidP="00A50C22">
      <w:pPr>
        <w:spacing w:after="120"/>
        <w:ind w:firstLine="480"/>
        <w:rPr>
          <w:color w:val="000000" w:themeColor="text1"/>
          <w:szCs w:val="24"/>
          <w:highlight w:val="yellow"/>
          <w:lang w:val="en-CA"/>
        </w:rPr>
      </w:pPr>
      <w:r w:rsidRPr="00A50C22">
        <w:rPr>
          <w:color w:val="000000" w:themeColor="text1"/>
          <w:szCs w:val="24"/>
          <w:highlight w:val="yellow"/>
          <w:lang w:val="en-CA"/>
        </w:rPr>
        <w:t xml:space="preserve">where </w:t>
      </w:r>
      <m:oMath>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I</m:t>
            </m:r>
          </m:e>
          <m:sub>
            <m:r>
              <m:rPr>
                <m:sty m:val="p"/>
              </m:rPr>
              <w:rPr>
                <w:rFonts w:ascii="Cambria Math" w:hAnsi="Cambria Math"/>
                <w:color w:val="000000" w:themeColor="text1"/>
                <w:szCs w:val="24"/>
                <w:highlight w:val="yellow"/>
                <w:lang w:val="en-CA"/>
              </w:rPr>
              <m:t>0</m:t>
            </m:r>
          </m:sub>
        </m:sSub>
      </m:oMath>
      <w:r w:rsidRPr="00A50C22">
        <w:rPr>
          <w:color w:val="000000" w:themeColor="text1"/>
          <w:szCs w:val="24"/>
          <w:highlight w:val="yellow"/>
          <w:lang w:val="en-CA"/>
        </w:rPr>
        <w:t xml:space="preserve">is the initial investment, </w:t>
      </w:r>
      <m:oMath>
        <m:r>
          <w:rPr>
            <w:rFonts w:ascii="Cambria Math" w:hAnsi="Cambria Math"/>
            <w:color w:val="000000" w:themeColor="text1"/>
            <w:szCs w:val="24"/>
            <w:highlight w:val="yellow"/>
            <w:lang w:val="en-CA"/>
          </w:rPr>
          <m:t>C</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F</m:t>
            </m:r>
          </m:e>
          <m:sub>
            <m:r>
              <w:rPr>
                <w:rFonts w:ascii="Cambria Math" w:hAnsi="Cambria Math"/>
                <w:color w:val="000000" w:themeColor="text1"/>
                <w:szCs w:val="24"/>
                <w:highlight w:val="yellow"/>
                <w:lang w:val="en-CA"/>
              </w:rPr>
              <m:t>t</m:t>
            </m:r>
          </m:sub>
        </m:sSub>
      </m:oMath>
      <w:r w:rsidRPr="00A50C22">
        <w:rPr>
          <w:color w:val="000000" w:themeColor="text1"/>
          <w:szCs w:val="24"/>
          <w:highlight w:val="yellow"/>
          <w:lang w:val="en-CA"/>
        </w:rPr>
        <w:t xml:space="preserve">is the net cash flow in year </w:t>
      </w:r>
      <m:oMath>
        <m:r>
          <w:rPr>
            <w:rFonts w:ascii="Cambria Math" w:hAnsi="Cambria Math"/>
            <w:color w:val="000000" w:themeColor="text1"/>
            <w:szCs w:val="24"/>
            <w:highlight w:val="yellow"/>
            <w:lang w:val="en-CA"/>
          </w:rPr>
          <m:t>t</m:t>
        </m:r>
      </m:oMath>
      <w:r w:rsidRPr="00A50C22">
        <w:rPr>
          <w:color w:val="000000" w:themeColor="text1"/>
          <w:szCs w:val="24"/>
          <w:highlight w:val="yellow"/>
          <w:lang w:val="en-CA"/>
        </w:rPr>
        <w:t xml:space="preserve">, </w:t>
      </w:r>
      <m:oMath>
        <m:r>
          <w:rPr>
            <w:rFonts w:ascii="Cambria Math" w:hAnsi="Cambria Math"/>
            <w:color w:val="000000" w:themeColor="text1"/>
            <w:szCs w:val="24"/>
            <w:highlight w:val="yellow"/>
            <w:lang w:val="en-CA"/>
          </w:rPr>
          <m:t>r</m:t>
        </m:r>
      </m:oMath>
      <w:r w:rsidRPr="00A50C22">
        <w:rPr>
          <w:color w:val="000000" w:themeColor="text1"/>
          <w:szCs w:val="24"/>
          <w:highlight w:val="yellow"/>
          <w:lang w:val="en-CA"/>
        </w:rPr>
        <w:t xml:space="preserve">is the real discount rate, and </w:t>
      </w:r>
      <m:oMath>
        <m:r>
          <w:rPr>
            <w:rFonts w:ascii="Cambria Math" w:hAnsi="Cambria Math"/>
            <w:color w:val="000000" w:themeColor="text1"/>
            <w:szCs w:val="24"/>
            <w:highlight w:val="yellow"/>
            <w:lang w:val="en-CA"/>
          </w:rPr>
          <m:t>R</m:t>
        </m:r>
        <m:sSub>
          <m:sSubPr>
            <m:ctrlPr>
              <w:rPr>
                <w:rFonts w:ascii="Cambria Math" w:hAnsi="Cambria Math"/>
                <w:color w:val="000000" w:themeColor="text1"/>
                <w:szCs w:val="24"/>
                <w:highlight w:val="yellow"/>
                <w:lang w:val="en-CA"/>
              </w:rPr>
            </m:ctrlPr>
          </m:sSubPr>
          <m:e>
            <m:r>
              <w:rPr>
                <w:rFonts w:ascii="Cambria Math" w:hAnsi="Cambria Math"/>
                <w:color w:val="000000" w:themeColor="text1"/>
                <w:szCs w:val="24"/>
                <w:highlight w:val="yellow"/>
                <w:lang w:val="en-CA"/>
              </w:rPr>
              <m:t>V</m:t>
            </m:r>
          </m:e>
          <m:sub>
            <m:r>
              <w:rPr>
                <w:rFonts w:ascii="Cambria Math" w:hAnsi="Cambria Math"/>
                <w:color w:val="000000" w:themeColor="text1"/>
                <w:szCs w:val="24"/>
                <w:highlight w:val="yellow"/>
                <w:lang w:val="en-CA"/>
              </w:rPr>
              <m:t>N</m:t>
            </m:r>
          </m:sub>
        </m:sSub>
      </m:oMath>
      <w:r w:rsidRPr="00A50C22">
        <w:rPr>
          <w:color w:val="000000" w:themeColor="text1"/>
          <w:szCs w:val="24"/>
          <w:highlight w:val="yellow"/>
          <w:lang w:val="en-CA"/>
        </w:rPr>
        <w:t>is the residual value at the end of the analysis period.</w:t>
      </w:r>
    </w:p>
    <w:p w14:paraId="5E8F04A7" w14:textId="77777777" w:rsidR="00833AA9" w:rsidRPr="00A52AC2" w:rsidRDefault="00833AA9" w:rsidP="00A52AC2">
      <w:pPr>
        <w:spacing w:after="120"/>
        <w:ind w:firstLine="480"/>
        <w:rPr>
          <w:color w:val="000000" w:themeColor="text1"/>
          <w:szCs w:val="24"/>
          <w:highlight w:val="yellow"/>
          <w:lang w:val="en-CA"/>
        </w:rPr>
      </w:pPr>
      <w:r w:rsidRPr="00A52AC2">
        <w:rPr>
          <w:color w:val="000000" w:themeColor="text1"/>
          <w:szCs w:val="24"/>
          <w:highlight w:val="yellow"/>
          <w:lang w:val="en-CA"/>
        </w:rPr>
        <w:t>The IRR is the discount rate that satisfies: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908"/>
        <w:gridCol w:w="616"/>
      </w:tblGrid>
      <w:tr w:rsidR="00833AA9" w:rsidRPr="00100329" w14:paraId="5164CB15" w14:textId="77777777" w:rsidTr="001E5821">
        <w:tc>
          <w:tcPr>
            <w:tcW w:w="421" w:type="dxa"/>
          </w:tcPr>
          <w:p w14:paraId="67E7A95A" w14:textId="77777777" w:rsidR="00833AA9" w:rsidRPr="00100329" w:rsidRDefault="00833AA9" w:rsidP="001E5821">
            <w:pPr>
              <w:rPr>
                <w:color w:val="auto"/>
                <w:szCs w:val="24"/>
                <w:highlight w:val="yellow"/>
                <w:lang w:val="en-CA" w:eastAsia="en-CA"/>
              </w:rPr>
            </w:pPr>
          </w:p>
        </w:tc>
        <w:tc>
          <w:tcPr>
            <w:tcW w:w="7908" w:type="dxa"/>
          </w:tcPr>
          <w:p w14:paraId="3D58E01A" w14:textId="35E3FDE6" w:rsidR="00833AA9" w:rsidRPr="00100329" w:rsidRDefault="00833AA9" w:rsidP="001E5821">
            <w:pPr>
              <w:rPr>
                <w:rFonts w:asciiTheme="majorBidi" w:hAnsiTheme="majorBidi" w:cstheme="majorBidi"/>
                <w:color w:val="auto"/>
                <w:sz w:val="18"/>
                <w:szCs w:val="18"/>
                <w:highlight w:val="yellow"/>
                <w:lang w:val="en-CA" w:eastAsia="en-CA"/>
              </w:rPr>
            </w:pPr>
            <m:oMathPara>
              <m:oMath>
                <m:r>
                  <w:rPr>
                    <w:rFonts w:ascii="Cambria Math" w:hAnsi="Cambria Math"/>
                    <w:color w:val="auto"/>
                    <w:sz w:val="18"/>
                    <w:szCs w:val="18"/>
                  </w:rPr>
                  <m:t>0=-</m:t>
                </m:r>
                <m:sSub>
                  <m:sSubPr>
                    <m:ctrlPr>
                      <w:rPr>
                        <w:rFonts w:ascii="Cambria Math" w:hAnsi="Cambria Math"/>
                        <w:color w:val="auto"/>
                        <w:sz w:val="18"/>
                        <w:szCs w:val="18"/>
                      </w:rPr>
                    </m:ctrlPr>
                  </m:sSubPr>
                  <m:e>
                    <m:r>
                      <w:rPr>
                        <w:rFonts w:ascii="Cambria Math" w:hAnsi="Cambria Math"/>
                        <w:color w:val="auto"/>
                        <w:sz w:val="18"/>
                        <w:szCs w:val="18"/>
                      </w:rPr>
                      <m:t>I</m:t>
                    </m:r>
                  </m:e>
                  <m:sub>
                    <m:r>
                      <w:rPr>
                        <w:rFonts w:ascii="Cambria Math" w:hAnsi="Cambria Math"/>
                        <w:color w:val="auto"/>
                        <w:sz w:val="18"/>
                        <w:szCs w:val="18"/>
                      </w:rPr>
                      <m:t>0</m:t>
                    </m:r>
                  </m:sub>
                </m:sSub>
                <m:r>
                  <w:rPr>
                    <w:rFonts w:ascii="Cambria Math" w:hAnsi="Cambria Math"/>
                    <w:color w:val="auto"/>
                    <w:sz w:val="18"/>
                    <w:szCs w:val="18"/>
                  </w:rPr>
                  <m:t>+</m:t>
                </m:r>
                <m:nary>
                  <m:naryPr>
                    <m:chr m:val="∑"/>
                    <m:limLoc m:val="undOvr"/>
                    <m:ctrlPr>
                      <w:rPr>
                        <w:rFonts w:ascii="Cambria Math" w:hAnsi="Cambria Math"/>
                        <w:color w:val="auto"/>
                        <w:sz w:val="18"/>
                        <w:szCs w:val="18"/>
                      </w:rPr>
                    </m:ctrlPr>
                  </m:naryPr>
                  <m:sub>
                    <m:r>
                      <w:rPr>
                        <w:rFonts w:ascii="Cambria Math" w:hAnsi="Cambria Math"/>
                        <w:color w:val="auto"/>
                        <w:sz w:val="18"/>
                        <w:szCs w:val="18"/>
                      </w:rPr>
                      <m:t>t=1</m:t>
                    </m:r>
                  </m:sub>
                  <m:sup>
                    <m:r>
                      <w:rPr>
                        <w:rFonts w:ascii="Cambria Math" w:hAnsi="Cambria Math"/>
                        <w:color w:val="auto"/>
                        <w:sz w:val="18"/>
                        <w:szCs w:val="18"/>
                      </w:rPr>
                      <m:t>N</m:t>
                    </m:r>
                  </m:sup>
                  <m:e>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CF</m:t>
                            </m:r>
                          </m:e>
                          <m:sub>
                            <m:r>
                              <w:rPr>
                                <w:rFonts w:ascii="Cambria Math" w:hAnsi="Cambria Math"/>
                                <w:color w:val="auto"/>
                                <w:sz w:val="18"/>
                                <w:szCs w:val="18"/>
                              </w:rPr>
                              <m:t>t</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m:t>
                                </m:r>
                                <m:r>
                                  <m:rPr>
                                    <m:nor/>
                                  </m:rPr>
                                  <w:rPr>
                                    <w:rFonts w:ascii="Cambria Math" w:hAnsi="Cambria Math"/>
                                    <w:color w:val="auto"/>
                                    <w:sz w:val="18"/>
                                    <w:szCs w:val="18"/>
                                  </w:rPr>
                                  <m:t>IRR</m:t>
                                </m:r>
                              </m:e>
                            </m:d>
                          </m:e>
                          <m:sup>
                            <m:r>
                              <w:rPr>
                                <w:rFonts w:ascii="Cambria Math" w:hAnsi="Cambria Math"/>
                                <w:color w:val="auto"/>
                                <w:sz w:val="18"/>
                                <w:szCs w:val="18"/>
                              </w:rPr>
                              <m:t>t</m:t>
                            </m:r>
                          </m:sup>
                        </m:sSup>
                      </m:den>
                    </m:f>
                  </m:e>
                </m:nary>
                <m:r>
                  <w:rPr>
                    <w:rFonts w:ascii="Cambria Math" w:hAnsi="Cambria Math"/>
                    <w:color w:val="auto"/>
                    <w:sz w:val="18"/>
                    <w:szCs w:val="18"/>
                  </w:rPr>
                  <m:t>+</m:t>
                </m:r>
                <m:f>
                  <m:fPr>
                    <m:ctrlPr>
                      <w:rPr>
                        <w:rFonts w:ascii="Cambria Math" w:hAnsi="Cambria Math"/>
                        <w:color w:val="auto"/>
                        <w:sz w:val="18"/>
                        <w:szCs w:val="18"/>
                      </w:rPr>
                    </m:ctrlPr>
                  </m:fPr>
                  <m:num>
                    <m:sSub>
                      <m:sSubPr>
                        <m:ctrlPr>
                          <w:rPr>
                            <w:rFonts w:ascii="Cambria Math" w:hAnsi="Cambria Math"/>
                            <w:color w:val="auto"/>
                            <w:sz w:val="18"/>
                            <w:szCs w:val="18"/>
                          </w:rPr>
                        </m:ctrlPr>
                      </m:sSubPr>
                      <m:e>
                        <m:r>
                          <m:rPr>
                            <m:nor/>
                          </m:rPr>
                          <w:rPr>
                            <w:rFonts w:ascii="Cambria Math" w:hAnsi="Cambria Math"/>
                            <w:color w:val="auto"/>
                            <w:sz w:val="18"/>
                            <w:szCs w:val="18"/>
                          </w:rPr>
                          <m:t>RV</m:t>
                        </m:r>
                      </m:e>
                      <m:sub>
                        <m:r>
                          <w:rPr>
                            <w:rFonts w:ascii="Cambria Math" w:hAnsi="Cambria Math"/>
                            <w:color w:val="auto"/>
                            <w:sz w:val="18"/>
                            <w:szCs w:val="18"/>
                          </w:rPr>
                          <m:t>N</m:t>
                        </m:r>
                      </m:sub>
                    </m:sSub>
                  </m:num>
                  <m:den>
                    <m:sSup>
                      <m:sSupPr>
                        <m:ctrlPr>
                          <w:rPr>
                            <w:rFonts w:ascii="Cambria Math" w:hAnsi="Cambria Math"/>
                            <w:color w:val="auto"/>
                            <w:sz w:val="18"/>
                            <w:szCs w:val="18"/>
                          </w:rPr>
                        </m:ctrlPr>
                      </m:sSupPr>
                      <m:e>
                        <m:d>
                          <m:dPr>
                            <m:ctrlPr>
                              <w:rPr>
                                <w:rFonts w:ascii="Cambria Math" w:hAnsi="Cambria Math"/>
                                <w:color w:val="auto"/>
                                <w:sz w:val="18"/>
                                <w:szCs w:val="18"/>
                              </w:rPr>
                            </m:ctrlPr>
                          </m:dPr>
                          <m:e>
                            <m:r>
                              <w:rPr>
                                <w:rFonts w:ascii="Cambria Math" w:hAnsi="Cambria Math"/>
                                <w:color w:val="auto"/>
                                <w:sz w:val="18"/>
                                <w:szCs w:val="18"/>
                              </w:rPr>
                              <m:t>1+</m:t>
                            </m:r>
                            <m:r>
                              <m:rPr>
                                <m:nor/>
                              </m:rPr>
                              <w:rPr>
                                <w:rFonts w:ascii="Cambria Math" w:hAnsi="Cambria Math"/>
                                <w:color w:val="auto"/>
                                <w:sz w:val="18"/>
                                <w:szCs w:val="18"/>
                              </w:rPr>
                              <m:t>IRR</m:t>
                            </m:r>
                          </m:e>
                        </m:d>
                      </m:e>
                      <m:sup>
                        <m:r>
                          <w:rPr>
                            <w:rFonts w:ascii="Cambria Math" w:hAnsi="Cambria Math"/>
                            <w:color w:val="auto"/>
                            <w:sz w:val="18"/>
                            <w:szCs w:val="18"/>
                          </w:rPr>
                          <m:t>n</m:t>
                        </m:r>
                      </m:sup>
                    </m:sSup>
                  </m:den>
                </m:f>
              </m:oMath>
            </m:oMathPara>
          </w:p>
        </w:tc>
        <w:tc>
          <w:tcPr>
            <w:tcW w:w="616" w:type="dxa"/>
            <w:vAlign w:val="center"/>
          </w:tcPr>
          <w:p w14:paraId="159A0955" w14:textId="6D5C7E41" w:rsidR="00833AA9" w:rsidRPr="00100329" w:rsidRDefault="00833AA9" w:rsidP="001E5821">
            <w:pPr>
              <w:rPr>
                <w:color w:val="auto"/>
                <w:szCs w:val="24"/>
                <w:highlight w:val="yellow"/>
                <w:lang w:val="en-CA" w:eastAsia="en-CA"/>
              </w:rPr>
            </w:pPr>
            <w:r w:rsidRPr="00100329">
              <w:rPr>
                <w:color w:val="auto"/>
                <w:szCs w:val="24"/>
                <w:highlight w:val="yellow"/>
                <w:lang w:val="en-CA" w:eastAsia="en-CA"/>
              </w:rPr>
              <w:t>(</w:t>
            </w:r>
            <w:r w:rsidR="0098004E">
              <w:rPr>
                <w:color w:val="auto"/>
                <w:szCs w:val="24"/>
                <w:highlight w:val="yellow"/>
                <w:lang w:val="en-CA" w:eastAsia="en-CA"/>
              </w:rPr>
              <w:t>22</w:t>
            </w:r>
            <w:r w:rsidRPr="00100329">
              <w:rPr>
                <w:color w:val="auto"/>
                <w:szCs w:val="24"/>
                <w:highlight w:val="yellow"/>
                <w:lang w:val="en-CA" w:eastAsia="en-CA"/>
              </w:rPr>
              <w:t>)</w:t>
            </w:r>
          </w:p>
        </w:tc>
      </w:tr>
    </w:tbl>
    <w:p w14:paraId="5AF900CC" w14:textId="77777777" w:rsidR="00E028BC" w:rsidRPr="00E028BC" w:rsidRDefault="00E028BC" w:rsidP="00E028BC">
      <w:pPr>
        <w:spacing w:after="120"/>
        <w:ind w:firstLine="480"/>
        <w:rPr>
          <w:color w:val="000000" w:themeColor="text1"/>
          <w:szCs w:val="24"/>
          <w:highlight w:val="yellow"/>
        </w:rPr>
      </w:pPr>
      <w:r w:rsidRPr="00E028BC">
        <w:rPr>
          <w:color w:val="000000" w:themeColor="text1"/>
          <w:szCs w:val="24"/>
          <w:highlight w:val="yellow"/>
        </w:rPr>
        <w:t>A real WACC of 7.5% may be used as an illustrative screening assumption, with a real discount-rate range of 5%–12% considered in sensitivity analysis. This assumption is not a finding or a recommended project-specific financing rate. Investment-grade analysis should derive the discount rate from the actual capital structure, technology and market risks, ownership arrangement, and contractual allocation of risk. Real cash flows should be discounted using a real rate, while nominal cash flows require a nominal rate and explicit treatment of inflation.</w:t>
      </w:r>
    </w:p>
    <w:p w14:paraId="67C01547" w14:textId="22A6C24B" w:rsidR="000E7A56" w:rsidRPr="00A52AC2" w:rsidRDefault="000E7A56" w:rsidP="00A52AC2">
      <w:pPr>
        <w:spacing w:after="120"/>
        <w:ind w:firstLine="480"/>
        <w:rPr>
          <w:color w:val="000000" w:themeColor="text1"/>
          <w:szCs w:val="24"/>
          <w:highlight w:val="yellow"/>
          <w:lang w:val="en-CA"/>
        </w:rPr>
      </w:pPr>
      <w:r w:rsidRPr="00A52AC2">
        <w:rPr>
          <w:color w:val="000000" w:themeColor="text1"/>
          <w:szCs w:val="24"/>
          <w:highlight w:val="yellow"/>
          <w:lang w:val="en-CA"/>
        </w:rPr>
        <w:t>A good project cash-flow model will contain:</w:t>
      </w:r>
    </w:p>
    <w:p w14:paraId="5CEC7440" w14:textId="12D824B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Capital costs for renewable generation, BESS, backup power, interconnection, and electrical infrastructure.</w:t>
      </w:r>
    </w:p>
    <w:p w14:paraId="76349BFB" w14:textId="74F03DE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Engineering, procurement, construction, development, financing, and contingency costs.</w:t>
      </w:r>
    </w:p>
    <w:p w14:paraId="5B50D921" w14:textId="62F48AC5"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Fixed and variable operation and maintenance costs.</w:t>
      </w:r>
    </w:p>
    <w:p w14:paraId="47A6A506" w14:textId="6F966EAC"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Battery augmentation and replacement costs.</w:t>
      </w:r>
    </w:p>
    <w:p w14:paraId="5F15AF72" w14:textId="6E76CE6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Replacement of major equipment, including inverters, transformers, and control systems.</w:t>
      </w:r>
    </w:p>
    <w:p w14:paraId="5DF88134" w14:textId="6AEB913F"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Grid-energy purchases, capacity charges, demand charges, and tariff escalation.</w:t>
      </w:r>
    </w:p>
    <w:p w14:paraId="21818B19" w14:textId="6ECCB4B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Avoided electricity-purchase and demand-charge costs.</w:t>
      </w:r>
    </w:p>
    <w:p w14:paraId="01C20472" w14:textId="07554CD0"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PPA settlements and payments, where applicable.</w:t>
      </w:r>
    </w:p>
    <w:p w14:paraId="0B312C09" w14:textId="3C27FE29"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Ancillary-service or demand-response revenues, where applicable and demonstrable.</w:t>
      </w:r>
    </w:p>
    <w:p w14:paraId="78730599" w14:textId="6219B466"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Outage-related costs, conversion losses, equipment degradation, and renewable curtailment.</w:t>
      </w:r>
    </w:p>
    <w:p w14:paraId="6FAAB57B" w14:textId="3045A17D" w:rsidR="00074D1F" w:rsidRPr="00316C84" w:rsidRDefault="00074D1F" w:rsidP="003257A5">
      <w:pPr>
        <w:pStyle w:val="ListParagraph"/>
        <w:numPr>
          <w:ilvl w:val="0"/>
          <w:numId w:val="35"/>
        </w:numPr>
        <w:spacing w:after="120"/>
        <w:rPr>
          <w:iCs/>
          <w:noProof/>
          <w:snapToGrid w:val="0"/>
          <w:color w:val="auto"/>
          <w:szCs w:val="22"/>
          <w:highlight w:val="yellow"/>
          <w:lang w:bidi="en-US"/>
        </w:rPr>
      </w:pPr>
      <w:r w:rsidRPr="00316C84">
        <w:rPr>
          <w:iCs/>
          <w:noProof/>
          <w:snapToGrid w:val="0"/>
          <w:color w:val="auto"/>
          <w:szCs w:val="22"/>
          <w:highlight w:val="yellow"/>
          <w:lang w:bidi="en-US"/>
        </w:rPr>
        <w:t>Applicable taxes, incentives, depreciation, and residual value.</w:t>
      </w:r>
    </w:p>
    <w:p w14:paraId="54D4C2B9" w14:textId="5DC651C3" w:rsidR="00305DE9" w:rsidRPr="00305DE9" w:rsidRDefault="00305DE9" w:rsidP="00E842C0">
      <w:pPr>
        <w:spacing w:after="120"/>
        <w:ind w:firstLine="480"/>
        <w:rPr>
          <w:color w:val="000000" w:themeColor="text1"/>
          <w:szCs w:val="24"/>
          <w:highlight w:val="yellow"/>
        </w:rPr>
      </w:pPr>
      <w:r w:rsidRPr="00305DE9">
        <w:rPr>
          <w:color w:val="000000" w:themeColor="text1"/>
          <w:szCs w:val="24"/>
          <w:highlight w:val="yellow"/>
        </w:rPr>
        <w:t>Federal incentive eligibility is highly dependent on the applicable regulatory framework, project commissioning date, ownership structure, technology type, domestic-content requirements, and jurisdiction-specific implementation rules. Because renewable-energy incentive programs continue to evolve, project developers should verify eligibility using current legislation, regulatory guidance, and professional tax advice. The discussion presented here is intended only as contextual information and should not be interpreted as investment or tax guidance</w:t>
      </w:r>
      <w:r w:rsidR="004775FE">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{"citationID":"t87KCa5e","properties":{"unsorted":false,"formattedCitation":"[161]","plainCitation":"[161]","noteIndex":0},"citationItems":[{"id":2719,"uris":["http://zotero.org/users/9870935/items/MKVPUMBA"],"itemData":{"id":2719,"type":"document","title":"What’s News in Tax Analysis that matters from Washington National Tax","URL":"https://kpmg.com/kpmg-us/content/dam/kpmg/taxnewsflash/pdf/2026/01/tnf-wnit-energy-credits-jan-12-2026.pdf","author":[{"literal":"KPMG"}]}}],"schema":"https://github.com/citation-style-language/schema/raw/master/csl-citation.json"} </w:instrText>
      </w:r>
      <w:r w:rsidR="004775FE">
        <w:rPr>
          <w:color w:val="000000" w:themeColor="text1"/>
          <w:szCs w:val="24"/>
          <w:highlight w:val="yellow"/>
          <w:lang w:val="en-CA"/>
        </w:rPr>
        <w:fldChar w:fldCharType="separate"/>
      </w:r>
      <w:r w:rsidR="00E842C0" w:rsidRPr="00E842C0">
        <w:rPr>
          <w:highlight w:val="yellow"/>
          <w:lang w:val="en-CA"/>
        </w:rPr>
        <w:t>[161]</w:t>
      </w:r>
      <w:r w:rsidR="004775FE">
        <w:rPr>
          <w:color w:val="000000" w:themeColor="text1"/>
          <w:szCs w:val="24"/>
          <w:highlight w:val="yellow"/>
          <w:lang w:val="en-CA"/>
        </w:rPr>
        <w:fldChar w:fldCharType="end"/>
      </w:r>
      <w:r w:rsidRPr="00305DE9">
        <w:rPr>
          <w:color w:val="000000" w:themeColor="text1"/>
          <w:szCs w:val="24"/>
          <w:highlight w:val="yellow"/>
        </w:rPr>
        <w:t>.</w:t>
      </w:r>
    </w:p>
    <w:p w14:paraId="4DB0D478" w14:textId="184C856B" w:rsidR="00A52AC2" w:rsidRDefault="00A52AC2" w:rsidP="00A52AC2">
      <w:pPr>
        <w:pStyle w:val="Heading20"/>
        <w:jc w:val="both"/>
        <w:rPr>
          <w:color w:val="auto"/>
          <w:highlight w:val="yellow"/>
        </w:rPr>
      </w:pPr>
      <w:r w:rsidRPr="00807110">
        <w:rPr>
          <w:color w:val="auto"/>
          <w:highlight w:val="yellow"/>
        </w:rPr>
        <w:t>10.</w:t>
      </w:r>
      <w:r>
        <w:rPr>
          <w:color w:val="auto"/>
          <w:highlight w:val="yellow"/>
        </w:rPr>
        <w:t>5</w:t>
      </w:r>
      <w:r w:rsidRPr="00807110">
        <w:rPr>
          <w:color w:val="auto"/>
          <w:highlight w:val="yellow"/>
        </w:rPr>
        <w:t xml:space="preserve"> </w:t>
      </w:r>
      <w:r>
        <w:rPr>
          <w:color w:val="auto"/>
          <w:highlight w:val="yellow"/>
        </w:rPr>
        <w:t>Business Case and Critical Appraisal</w:t>
      </w:r>
    </w:p>
    <w:p w14:paraId="0C111F3D" w14:textId="7CF04783" w:rsidR="003342AC" w:rsidRPr="003342AC" w:rsidRDefault="003342AC" w:rsidP="003342AC">
      <w:pPr>
        <w:spacing w:after="120"/>
        <w:ind w:firstLine="480"/>
        <w:rPr>
          <w:color w:val="000000" w:themeColor="text1"/>
          <w:szCs w:val="24"/>
          <w:highlight w:val="yellow"/>
          <w:lang w:val="en-CA"/>
        </w:rPr>
      </w:pPr>
      <w:r w:rsidRPr="003342AC">
        <w:rPr>
          <w:color w:val="000000" w:themeColor="text1"/>
          <w:szCs w:val="24"/>
          <w:highlight w:val="yellow"/>
          <w:lang w:val="en-CA"/>
        </w:rPr>
        <w:lastRenderedPageBreak/>
        <w:t>There are four interconnected factors that support the business viability of AI data centers that use renewable energy.</w:t>
      </w:r>
    </w:p>
    <w:p w14:paraId="6CCEA258" w14:textId="0C6EF91D" w:rsidR="003342AC" w:rsidRPr="003342AC" w:rsidRDefault="003342AC" w:rsidP="00E842C0">
      <w:pPr>
        <w:spacing w:after="120"/>
        <w:ind w:firstLine="480"/>
        <w:rPr>
          <w:color w:val="000000" w:themeColor="text1"/>
          <w:szCs w:val="24"/>
          <w:highlight w:val="yellow"/>
          <w:lang w:val="en-CA"/>
        </w:rPr>
      </w:pPr>
      <w:r w:rsidRPr="003342AC">
        <w:rPr>
          <w:b/>
          <w:bCs/>
          <w:color w:val="000000" w:themeColor="text1"/>
          <w:szCs w:val="24"/>
          <w:highlight w:val="yellow"/>
          <w:lang w:val="en-CA"/>
        </w:rPr>
        <w:t xml:space="preserve">Energy-cost </w:t>
      </w:r>
      <w:r>
        <w:rPr>
          <w:b/>
          <w:bCs/>
          <w:color w:val="000000" w:themeColor="text1"/>
          <w:szCs w:val="24"/>
          <w:highlight w:val="yellow"/>
          <w:lang w:val="en-CA"/>
        </w:rPr>
        <w:t>M</w:t>
      </w:r>
      <w:r w:rsidRPr="003342AC">
        <w:rPr>
          <w:b/>
          <w:bCs/>
          <w:color w:val="000000" w:themeColor="text1"/>
          <w:szCs w:val="24"/>
          <w:highlight w:val="yellow"/>
          <w:lang w:val="en-CA"/>
        </w:rPr>
        <w:t>anagement</w:t>
      </w:r>
      <w:r>
        <w:rPr>
          <w:b/>
          <w:bCs/>
          <w:color w:val="000000" w:themeColor="text1"/>
          <w:szCs w:val="24"/>
          <w:highlight w:val="yellow"/>
          <w:lang w:val="en-CA"/>
        </w:rPr>
        <w:t>:</w:t>
      </w:r>
      <w:r w:rsidRPr="003342AC">
        <w:rPr>
          <w:color w:val="000000" w:themeColor="text1"/>
          <w:szCs w:val="24"/>
          <w:highlight w:val="yellow"/>
          <w:lang w:val="en-CA"/>
        </w:rPr>
        <w:t xml:space="preserve"> The cost of new solar and onshore wind are still competitive, and existing hybrid schemes show the cost of renewable electricity with battery storage can match the cost of conventional electricity generation in some markets</w:t>
      </w:r>
      <w:r w:rsidR="003511DA">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{"citationID":"oYKlJ3go","properties":{"unsorted":false,"formattedCitation":"[158]","plainCitation":"[158]","noteIndex":0},"citationItems":[{"id":2716,"uris":["http://zotero.org/users/9870935/items/QM3FE6TY"],"itemData":{"id":2716,"type":"post-weblog","title":"Lazard’s Levelized Cost of Energy","URL":"https://www.lazard.com/research-insights/levelized-cost-of-energyplus-lcoeplus/","author":[{"literal":"LAZARD"}]}}],"schema":"https://github.com/citation-style-language/schema/raw/master/csl-citation.json"} </w:instrText>
      </w:r>
      <w:r w:rsidR="003511DA">
        <w:rPr>
          <w:color w:val="000000" w:themeColor="text1"/>
          <w:szCs w:val="24"/>
          <w:highlight w:val="yellow"/>
          <w:lang w:val="en-CA"/>
        </w:rPr>
        <w:fldChar w:fldCharType="separate"/>
      </w:r>
      <w:r w:rsidR="00E842C0" w:rsidRPr="00E842C0">
        <w:rPr>
          <w:highlight w:val="yellow"/>
          <w:lang w:val="en-CA"/>
        </w:rPr>
        <w:t>[158]</w:t>
      </w:r>
      <w:r w:rsidR="003511DA">
        <w:rPr>
          <w:color w:val="000000" w:themeColor="text1"/>
          <w:szCs w:val="24"/>
          <w:highlight w:val="yellow"/>
          <w:lang w:val="en-CA"/>
        </w:rPr>
        <w:fldChar w:fldCharType="end"/>
      </w:r>
      <w:r w:rsidRPr="003342AC">
        <w:rPr>
          <w:color w:val="000000" w:themeColor="text1"/>
          <w:szCs w:val="24"/>
          <w:highlight w:val="yellow"/>
          <w:lang w:val="en-CA"/>
        </w:rPr>
        <w:t>,</w:t>
      </w:r>
      <w:r w:rsidR="003511DA">
        <w:rPr>
          <w:color w:val="000000" w:themeColor="text1"/>
          <w:szCs w:val="24"/>
          <w:highlight w:val="yellow"/>
          <w:lang w:val="en-CA"/>
        </w:rPr>
        <w:fldChar w:fldCharType="begin"/>
      </w:r>
      <w:r w:rsidR="003511DA">
        <w:rPr>
          <w:color w:val="000000" w:themeColor="text1"/>
          <w:szCs w:val="24"/>
          <w:highlight w:val="yellow"/>
          <w:lang w:val="en-CA"/>
        </w:rPr>
        <w:instrText xml:space="preserve"> ADDIN ZOTERO_ITEM CSL_CITATION {"citationID":"wYIdAcMN","properties":{"unsorted":false,"formattedCitation":"[16]","plainCitation":"[16]","noteIndex":0},"citationItems":[{"id":1925,"uris":["http://zotero.org/users/9870935/items/ZT343IZI"],"itemData":{"id":1925,"type":"article-journal","language":"en","source":"Zotero","title":"Renewable power generation costs in 2024","URL":"https://www.rinnovabili.it/wp-content/uploads/2025/07/IRENA-RENEWABLE-POWER-GENERATION-COSTS-IN-2024.pdf"}}],"schema":"https://github.com/citation-style-language/schema/raw/master/csl-citation.json"} </w:instrText>
      </w:r>
      <w:r w:rsidR="003511DA">
        <w:rPr>
          <w:color w:val="000000" w:themeColor="text1"/>
          <w:szCs w:val="24"/>
          <w:highlight w:val="yellow"/>
          <w:lang w:val="en-CA"/>
        </w:rPr>
        <w:fldChar w:fldCharType="separate"/>
      </w:r>
      <w:r w:rsidR="003511DA" w:rsidRPr="003511DA">
        <w:rPr>
          <w:highlight w:val="yellow"/>
          <w:lang w:val="en-CA"/>
        </w:rPr>
        <w:t>[16]</w:t>
      </w:r>
      <w:r w:rsidR="003511DA">
        <w:rPr>
          <w:color w:val="000000" w:themeColor="text1"/>
          <w:szCs w:val="24"/>
          <w:highlight w:val="yellow"/>
          <w:lang w:val="en-CA"/>
        </w:rPr>
        <w:fldChar w:fldCharType="end"/>
      </w:r>
      <w:r w:rsidRPr="003342AC">
        <w:rPr>
          <w:color w:val="000000" w:themeColor="text1"/>
          <w:szCs w:val="24"/>
          <w:highlight w:val="yellow"/>
          <w:lang w:val="en-CA"/>
        </w:rPr>
        <w:t>. However, viability of the project is subject to resource quality, project financing, firming requirements, grid access, curtailment, and interconnection costs. Cost of the continuous data center service should not be estimated as Generation-only LCOE.</w:t>
      </w:r>
    </w:p>
    <w:p w14:paraId="2D9FCD90" w14:textId="5CEAC543" w:rsidR="003342AC" w:rsidRPr="003342AC" w:rsidRDefault="003342AC" w:rsidP="003342AC">
      <w:pPr>
        <w:spacing w:after="120"/>
        <w:ind w:firstLine="480"/>
        <w:rPr>
          <w:color w:val="000000" w:themeColor="text1"/>
          <w:szCs w:val="24"/>
          <w:highlight w:val="yellow"/>
          <w:lang w:val="en-CA"/>
        </w:rPr>
      </w:pPr>
      <w:r w:rsidRPr="00CA7AD5">
        <w:rPr>
          <w:b/>
          <w:bCs/>
          <w:color w:val="000000" w:themeColor="text1"/>
          <w:szCs w:val="24"/>
          <w:highlight w:val="yellow"/>
          <w:lang w:val="en-CA"/>
        </w:rPr>
        <w:t xml:space="preserve">Reliability and </w:t>
      </w:r>
      <w:r w:rsidR="00CA7AD5">
        <w:rPr>
          <w:b/>
          <w:bCs/>
          <w:color w:val="000000" w:themeColor="text1"/>
          <w:szCs w:val="24"/>
          <w:highlight w:val="yellow"/>
          <w:lang w:val="en-CA"/>
        </w:rPr>
        <w:t>R</w:t>
      </w:r>
      <w:r w:rsidRPr="00CA7AD5">
        <w:rPr>
          <w:b/>
          <w:bCs/>
          <w:color w:val="000000" w:themeColor="text1"/>
          <w:szCs w:val="24"/>
          <w:highlight w:val="yellow"/>
          <w:lang w:val="en-CA"/>
        </w:rPr>
        <w:t>esilience</w:t>
      </w:r>
      <w:r w:rsidR="00CA7AD5" w:rsidRPr="00EE49A4">
        <w:rPr>
          <w:b/>
          <w:bCs/>
          <w:color w:val="000000" w:themeColor="text1"/>
          <w:szCs w:val="24"/>
          <w:highlight w:val="yellow"/>
          <w:lang w:val="en-CA"/>
        </w:rPr>
        <w:t>:</w:t>
      </w:r>
      <w:r w:rsidRPr="003342AC">
        <w:rPr>
          <w:color w:val="000000" w:themeColor="text1"/>
          <w:szCs w:val="24"/>
          <w:highlight w:val="yellow"/>
          <w:lang w:val="en-CA"/>
        </w:rPr>
        <w:t xml:space="preserve"> On-site generation and storage can minimize exposure to some of the disturbances in the grid, offer short duration ride-through capability, and enable control of transitions to a backup supply. These resources are not sufficient, however, to ensure outage risk is eliminated, as reliability is also dependent upon distribution topology, protection coordination, common-mode failure, fuel availability, control systems and maintenance practices. The Uptime Institute also provides distribution of outage costs without setting a universal cost of $500,000 per hour for training clusters of AI. The previous per-hour downtime value has been thus eliminated. Downtime costs for a project model should be based on the IT capacity and workload values of the affected facility, the time required for recovery, contractual penalties, and lost utilization.</w:t>
      </w:r>
    </w:p>
    <w:p w14:paraId="4F35DD51" w14:textId="628C0C35" w:rsidR="003342AC" w:rsidRPr="003342AC" w:rsidRDefault="003342AC" w:rsidP="001D1223">
      <w:pPr>
        <w:spacing w:after="120"/>
        <w:ind w:firstLine="480"/>
        <w:rPr>
          <w:color w:val="000000" w:themeColor="text1"/>
          <w:szCs w:val="24"/>
          <w:highlight w:val="yellow"/>
          <w:lang w:val="en-CA"/>
        </w:rPr>
      </w:pPr>
      <w:r w:rsidRPr="001F3982">
        <w:rPr>
          <w:b/>
          <w:bCs/>
          <w:color w:val="000000" w:themeColor="text1"/>
          <w:szCs w:val="24"/>
          <w:highlight w:val="yellow"/>
          <w:lang w:val="en-CA"/>
        </w:rPr>
        <w:t xml:space="preserve">Sustainability and </w:t>
      </w:r>
      <w:r w:rsidR="001F3982">
        <w:rPr>
          <w:b/>
          <w:bCs/>
          <w:color w:val="000000" w:themeColor="text1"/>
          <w:szCs w:val="24"/>
          <w:highlight w:val="yellow"/>
          <w:lang w:val="en-CA"/>
        </w:rPr>
        <w:t>C</w:t>
      </w:r>
      <w:r w:rsidRPr="001F3982">
        <w:rPr>
          <w:b/>
          <w:bCs/>
          <w:color w:val="000000" w:themeColor="text1"/>
          <w:szCs w:val="24"/>
          <w:highlight w:val="yellow"/>
          <w:lang w:val="en-CA"/>
        </w:rPr>
        <w:t xml:space="preserve">ompliance with </w:t>
      </w:r>
      <w:r w:rsidR="001F3982">
        <w:rPr>
          <w:b/>
          <w:bCs/>
          <w:color w:val="000000" w:themeColor="text1"/>
          <w:szCs w:val="24"/>
          <w:highlight w:val="yellow"/>
          <w:lang w:val="en-CA"/>
        </w:rPr>
        <w:t>R</w:t>
      </w:r>
      <w:r w:rsidRPr="001F3982">
        <w:rPr>
          <w:b/>
          <w:bCs/>
          <w:color w:val="000000" w:themeColor="text1"/>
          <w:szCs w:val="24"/>
          <w:highlight w:val="yellow"/>
          <w:lang w:val="en-CA"/>
        </w:rPr>
        <w:t>egulations</w:t>
      </w:r>
      <w:r w:rsidR="001F3982" w:rsidRPr="001F3982">
        <w:rPr>
          <w:b/>
          <w:bCs/>
          <w:color w:val="000000" w:themeColor="text1"/>
          <w:szCs w:val="24"/>
          <w:highlight w:val="yellow"/>
          <w:lang w:val="en-CA"/>
        </w:rPr>
        <w:t>:</w:t>
      </w:r>
      <w:r w:rsidRPr="003342AC">
        <w:rPr>
          <w:color w:val="000000" w:themeColor="text1"/>
          <w:szCs w:val="24"/>
          <w:highlight w:val="yellow"/>
          <w:lang w:val="en-CA"/>
        </w:rPr>
        <w:t xml:space="preserve"> Market-based Scope 2 emissions can be reduced through renewable </w:t>
      </w:r>
      <w:r w:rsidR="003511DA" w:rsidRPr="003342AC">
        <w:rPr>
          <w:color w:val="000000" w:themeColor="text1"/>
          <w:szCs w:val="24"/>
          <w:highlight w:val="yellow"/>
          <w:lang w:val="en-CA"/>
        </w:rPr>
        <w:t>procurement and</w:t>
      </w:r>
      <w:r w:rsidRPr="003342AC">
        <w:rPr>
          <w:color w:val="000000" w:themeColor="text1"/>
          <w:szCs w:val="24"/>
          <w:highlight w:val="yellow"/>
          <w:lang w:val="en-CA"/>
        </w:rPr>
        <w:t xml:space="preserve"> can help companies meet their clean energy goals. The monetary benefit of these advantages varies on reporting conditions, structures of the electricity contract, characteristics of renewable energy, relevant carbon prices and customer needs. Purchasing corporate sustainability claims based on PPAs or renewable-energy certificates should be separated from actual physical delivery on an hourly basis, as well as from 24/7 carbon-free energy matching</w:t>
      </w:r>
      <w:r w:rsidR="003511DA">
        <w:rPr>
          <w:color w:val="000000" w:themeColor="text1"/>
          <w:szCs w:val="24"/>
          <w:highlight w:val="yellow"/>
          <w:lang w:val="en-CA"/>
        </w:rPr>
        <w:fldChar w:fldCharType="begin"/>
      </w:r>
      <w:r w:rsidR="001D1223">
        <w:rPr>
          <w:color w:val="000000" w:themeColor="text1"/>
          <w:szCs w:val="24"/>
          <w:highlight w:val="yellow"/>
          <w:lang w:val="en-CA"/>
        </w:rPr>
        <w:instrText xml:space="preserve"> ADDIN ZOTERO_ITEM CSL_CITATION {"citationID":"xwziHGBm","properties":{"unsorted":false,"formattedCitation":"[65], [66]","plainCitation":"[65], [66]","noteIndex":0},"citationItems":[{"id":2720,"uris":["http://zotero.org/users/9870935/items/HK3R4MRM"],"itemData":{"id":2720,"type":"document","title":"GHG Protocol Scope 2 Guidance","URL":"https://ghgprotocol.org/sites/default/files/2023-03/Scope%202%20Guidance.pdf","author":[{"literal":"Green House Gas Protocol"}]}},{"id":2721,"uris":["http://zotero.org/users/9870935/items/P43AYUI6"],"itemData":{"id":2721,"type":"post-weblog","title":"24/7 Carbon-free Energy Compact","URL":"https://www.un.org/en/energy-compacts/page/compact-247-carbon-free-energy","author":[{"literal":"UN Energy"}]}}],"schema":"https://github.com/citation-style-language/schema/raw/master/csl-citation.json"} </w:instrText>
      </w:r>
      <w:r w:rsidR="003511DA">
        <w:rPr>
          <w:color w:val="000000" w:themeColor="text1"/>
          <w:szCs w:val="24"/>
          <w:highlight w:val="yellow"/>
          <w:lang w:val="en-CA"/>
        </w:rPr>
        <w:fldChar w:fldCharType="separate"/>
      </w:r>
      <w:r w:rsidR="001D1223" w:rsidRPr="001D1223">
        <w:rPr>
          <w:highlight w:val="yellow"/>
          <w:lang w:val="en-CA"/>
        </w:rPr>
        <w:t>[65], [66]</w:t>
      </w:r>
      <w:r w:rsidR="003511DA">
        <w:rPr>
          <w:color w:val="000000" w:themeColor="text1"/>
          <w:szCs w:val="24"/>
          <w:highlight w:val="yellow"/>
          <w:lang w:val="en-CA"/>
        </w:rPr>
        <w:fldChar w:fldCharType="end"/>
      </w:r>
      <w:r w:rsidRPr="003342AC">
        <w:rPr>
          <w:color w:val="000000" w:themeColor="text1"/>
          <w:szCs w:val="24"/>
          <w:highlight w:val="yellow"/>
          <w:lang w:val="en-CA"/>
        </w:rPr>
        <w:t>.</w:t>
      </w:r>
    </w:p>
    <w:p w14:paraId="04B027E6" w14:textId="2ACDE0D9" w:rsidR="003342AC" w:rsidRPr="003342AC" w:rsidRDefault="003342AC" w:rsidP="00E842C0">
      <w:pPr>
        <w:spacing w:after="120"/>
        <w:ind w:firstLine="480"/>
        <w:rPr>
          <w:color w:val="000000" w:themeColor="text1"/>
          <w:szCs w:val="24"/>
          <w:highlight w:val="yellow"/>
          <w:lang w:val="en-CA"/>
        </w:rPr>
      </w:pPr>
      <w:r w:rsidRPr="003511DA">
        <w:rPr>
          <w:b/>
          <w:bCs/>
          <w:color w:val="000000" w:themeColor="text1"/>
          <w:szCs w:val="24"/>
          <w:highlight w:val="yellow"/>
          <w:lang w:val="en-CA"/>
        </w:rPr>
        <w:t xml:space="preserve">Long-term </w:t>
      </w:r>
      <w:r w:rsidR="003511DA">
        <w:rPr>
          <w:b/>
          <w:bCs/>
          <w:color w:val="000000" w:themeColor="text1"/>
          <w:szCs w:val="24"/>
          <w:highlight w:val="yellow"/>
          <w:lang w:val="en-CA"/>
        </w:rPr>
        <w:t>R</w:t>
      </w:r>
      <w:r w:rsidRPr="003511DA">
        <w:rPr>
          <w:b/>
          <w:bCs/>
          <w:color w:val="000000" w:themeColor="text1"/>
          <w:szCs w:val="24"/>
          <w:highlight w:val="yellow"/>
          <w:lang w:val="en-CA"/>
        </w:rPr>
        <w:t xml:space="preserve">isk </w:t>
      </w:r>
      <w:r w:rsidR="003511DA">
        <w:rPr>
          <w:b/>
          <w:bCs/>
          <w:color w:val="000000" w:themeColor="text1"/>
          <w:szCs w:val="24"/>
          <w:highlight w:val="yellow"/>
          <w:lang w:val="en-CA"/>
        </w:rPr>
        <w:t>M</w:t>
      </w:r>
      <w:r w:rsidRPr="003511DA">
        <w:rPr>
          <w:b/>
          <w:bCs/>
          <w:color w:val="000000" w:themeColor="text1"/>
          <w:szCs w:val="24"/>
          <w:highlight w:val="yellow"/>
          <w:lang w:val="en-CA"/>
        </w:rPr>
        <w:t>anagement</w:t>
      </w:r>
      <w:r w:rsidR="003511DA">
        <w:rPr>
          <w:b/>
          <w:bCs/>
          <w:color w:val="000000" w:themeColor="text1"/>
          <w:szCs w:val="24"/>
          <w:highlight w:val="yellow"/>
          <w:lang w:val="en-CA"/>
        </w:rPr>
        <w:t>:</w:t>
      </w:r>
      <w:r w:rsidRPr="003342AC">
        <w:rPr>
          <w:color w:val="000000" w:themeColor="text1"/>
          <w:szCs w:val="24"/>
          <w:highlight w:val="yellow"/>
          <w:lang w:val="en-CA"/>
        </w:rPr>
        <w:t xml:space="preserve"> Long-term PPAs can mitigate some types of fuel and wholesale electricity price risk, but also pose settlement, counterparty, basis, curtailment and shape risks. The merits of PPA should therefore be considered in conjunction with the grid tariff, storage needs, flexibility and the load profile of the purchaser</w:t>
      </w:r>
      <w:r w:rsidR="003511DA">
        <w:rPr>
          <w:color w:val="000000" w:themeColor="text1"/>
          <w:szCs w:val="24"/>
          <w:highlight w:val="yellow"/>
          <w:lang w:val="en-CA"/>
        </w:rPr>
        <w:fldChar w:fldCharType="begin"/>
      </w:r>
      <w:r w:rsidR="00E842C0">
        <w:rPr>
          <w:color w:val="000000" w:themeColor="text1"/>
          <w:szCs w:val="24"/>
          <w:highlight w:val="yellow"/>
          <w:lang w:val="en-CA"/>
        </w:rPr>
        <w:instrText xml:space="preserve"> ADDIN ZOTERO_ITEM CSL_CITATION {"citationID":"pGf1JNIH","properties":{"unsorted":false,"formattedCitation":"[162], [163]","plainCitation":"[162], [163]","noteIndex":0},"citationItems":[{"id":2722,"uris":["http://zotero.org/users/9870935/items/5SC4PJND"],"itemData":{"id":2722,"type":"article-journal","container-title":"International Review of Economics &amp; Finance","DOI":"10.1016/j.iref.2025.104442","ISSN":"10590560","journalAbbreviation":"International Review of Economics &amp; Finance","language":"en","page":"104442","source":"DOI.org (Crossref)","title":"Carbon pricing and revenue growth valuation risk exposure","volume":"103","author":[{"family":"Duppati","given":"Geeta"}],"issued":{"date-parts":[["2025",10]]}}},{"id":2724,"uris":["http://zotero.org/users/9870935/items/U7SXPGAB"],"itemData":{"id":2724,"type":"document","title":"Risk Structure and Financial Hedging in Nodal Electricity Markets","URL":"https://www.oxfordenergy.org/wpcms/wp-content/uploads/2026/01/EL-61-Risk-Structure-and-Financial-Hedging.pdf","author":[{"literal":"Oxford"}]}}],"schema":"https://github.com/citation-style-language/schema/raw/master/csl-citation.json"} </w:instrText>
      </w:r>
      <w:r w:rsidR="003511DA">
        <w:rPr>
          <w:color w:val="000000" w:themeColor="text1"/>
          <w:szCs w:val="24"/>
          <w:highlight w:val="yellow"/>
          <w:lang w:val="en-CA"/>
        </w:rPr>
        <w:fldChar w:fldCharType="separate"/>
      </w:r>
      <w:r w:rsidR="00E842C0" w:rsidRPr="00E842C0">
        <w:rPr>
          <w:highlight w:val="yellow"/>
          <w:lang w:val="en-CA"/>
        </w:rPr>
        <w:t>[162], [163]</w:t>
      </w:r>
      <w:r w:rsidR="003511DA">
        <w:rPr>
          <w:color w:val="000000" w:themeColor="text1"/>
          <w:szCs w:val="24"/>
          <w:highlight w:val="yellow"/>
          <w:lang w:val="en-CA"/>
        </w:rPr>
        <w:fldChar w:fldCharType="end"/>
      </w:r>
      <w:r w:rsidR="003511DA">
        <w:rPr>
          <w:color w:val="000000" w:themeColor="text1"/>
          <w:szCs w:val="24"/>
          <w:highlight w:val="yellow"/>
          <w:lang w:val="en-CA"/>
        </w:rPr>
        <w:t>.</w:t>
      </w:r>
    </w:p>
    <w:p w14:paraId="7952092B" w14:textId="4ECD06E0" w:rsidR="000E7A56" w:rsidRPr="00C46C72" w:rsidRDefault="003342AC" w:rsidP="00C46C72">
      <w:pPr>
        <w:spacing w:after="120"/>
        <w:ind w:firstLine="480"/>
        <w:rPr>
          <w:color w:val="000000" w:themeColor="text1"/>
          <w:szCs w:val="24"/>
          <w:highlight w:val="yellow"/>
        </w:rPr>
      </w:pPr>
      <w:r w:rsidRPr="003342AC">
        <w:rPr>
          <w:color w:val="000000" w:themeColor="text1"/>
          <w:szCs w:val="24"/>
          <w:highlight w:val="yellow"/>
          <w:lang w:val="en-CA"/>
        </w:rPr>
        <w:t xml:space="preserve">While </w:t>
      </w:r>
      <w:r w:rsidR="00C46C72" w:rsidRPr="00C46C72">
        <w:rPr>
          <w:color w:val="000000" w:themeColor="text1"/>
          <w:szCs w:val="24"/>
          <w:highlight w:val="yellow"/>
        </w:rPr>
        <w:t>there is insufficient evidence for universal cost parity</w:t>
      </w:r>
      <w:r w:rsidRPr="003342AC">
        <w:rPr>
          <w:color w:val="000000" w:themeColor="text1"/>
          <w:szCs w:val="24"/>
          <w:highlight w:val="yellow"/>
          <w:lang w:val="en-CA"/>
        </w:rPr>
        <w:t>, a critical reading of the evidence would temper such sweeping claims. The cost benchmarks reported are from projects with varying locations, commissioning years, financing requirements, resource quality, tax treatment, storage time, and market structure. Case studies from companies are frequently company-provided and commercial cost surveys do not necessarily identify all of the assumptions made at project level. Moreover, there is no proof of 99.99% availability for comparisons. The results should therefore be read as a demonstration that renewable and hybrid systems can be cost competitive, not as a demonstration that each AI data center that uses renewable energy will be more cost effective than the grid. A site-specific, reproducible model must be developed for investment decisions based on existing load, resource, tariff, interconnection, reliability and financing information.</w:t>
      </w:r>
    </w:p>
    <w:p w14:paraId="1D05BDAA" w14:textId="77777777" w:rsidR="00FE013C" w:rsidRDefault="00FE013C" w:rsidP="004C16FF">
      <w:pPr>
        <w:pStyle w:val="Heading1"/>
        <w:keepNext/>
        <w:jc w:val="both"/>
      </w:pPr>
      <w:r>
        <w:lastRenderedPageBreak/>
        <w:t>11. Operational Strategies and Demand-Side Integration</w:t>
      </w:r>
    </w:p>
    <w:p w14:paraId="0049E287" w14:textId="6929574B" w:rsidR="00FE013C" w:rsidRDefault="00FE013C" w:rsidP="004C16FF">
      <w:pPr>
        <w:spacing w:after="120"/>
        <w:ind w:firstLine="480"/>
      </w:pPr>
      <w:r>
        <w:t xml:space="preserve">This section examines operational strategies that maximise renewable energy utilisation in AI data </w:t>
      </w:r>
      <w:r w:rsidR="00580BAE">
        <w:t>center</w:t>
      </w:r>
      <w:r>
        <w:t>s, with particular emphasis on demand-side management, workload flexibility, and real-time grid services. These strategies leverage the unique characteristics of AI workloads to create value that is not available in conventional electricity-consuming facilities.</w:t>
      </w:r>
    </w:p>
    <w:p w14:paraId="2D83F843" w14:textId="77777777" w:rsidR="00FE013C"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1</w:t>
      </w:r>
      <w:r w:rsidRPr="00EB1FF0">
        <w:rPr>
          <w:color w:val="auto"/>
        </w:rPr>
        <w:t xml:space="preserve"> </w:t>
      </w:r>
      <w:r>
        <w:rPr>
          <w:color w:val="auto"/>
        </w:rPr>
        <w:t>Renewable Forecasting and Uncertainty</w:t>
      </w:r>
    </w:p>
    <w:p w14:paraId="3AD7E40E" w14:textId="5282A58B" w:rsidR="00FE013C" w:rsidRDefault="00FE013C" w:rsidP="004E7A62">
      <w:pPr>
        <w:spacing w:after="120"/>
        <w:ind w:firstLine="480"/>
      </w:pPr>
      <w:r w:rsidRPr="00F72FC8">
        <w:t>Accurate forecasting of renewable energy supplies is the key to implementing effective demand-side management. The accuracy of solar forecasting depends on the time scale forecasted (3–12</w:t>
      </w:r>
      <w:r>
        <w:t xml:space="preserve">% </w:t>
      </w:r>
      <w:r w:rsidRPr="00F72FC8">
        <w:t>MAPE for day-ahead forecasts using numerical weather prediction models; 3–8</w:t>
      </w:r>
      <w:r>
        <w:t xml:space="preserve">% </w:t>
      </w:r>
      <w:r w:rsidRPr="00F72FC8">
        <w:t>MAPE for intra-hour forecasts based on satellite observations and sky-camera networks; and less than 3</w:t>
      </w:r>
      <w:r>
        <w:t xml:space="preserve">% </w:t>
      </w:r>
      <w:r w:rsidRPr="00F72FC8">
        <w:t>MAPE for very short-term forecasting on the minute scale, according to persistence assumptions). Weather forecasting for wind is not as precise as solar forecasting, with day-ahead MAPE for renewables ranging from 10</w:t>
      </w:r>
      <w:r>
        <w:t xml:space="preserve">% </w:t>
      </w:r>
      <w:r w:rsidRPr="00F72FC8">
        <w:t>to 18</w:t>
      </w:r>
      <w:r>
        <w:t xml:space="preserve">% </w:t>
      </w:r>
      <w:r w:rsidRPr="00F72FC8">
        <w:t>based on a geographic area and terrain complexity. Machine learning post-processing based on LSTM and more sophisticated graph-based architectures has been shown to reduce MAPE by 20-30</w:t>
      </w:r>
      <w:r>
        <w:t xml:space="preserve">% </w:t>
      </w:r>
      <w:r w:rsidRPr="00F72FC8">
        <w:t>from NWP raw data, especially at lead times between 1 and 6 hours</w:t>
      </w:r>
      <w:r>
        <w:fldChar w:fldCharType="begin"/>
      </w:r>
      <w:r w:rsidR="004E7A62">
        <w:instrText xml:space="preserve"> ADDIN ZOTERO_ITEM CSL_CITATION {"citationID":"JrzmaHyH","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fldChar w:fldCharType="separate"/>
      </w:r>
      <w:r w:rsidR="004E7A62" w:rsidRPr="004E7A62">
        <w:t>[140]</w:t>
      </w:r>
      <w:r>
        <w:fldChar w:fldCharType="end"/>
      </w:r>
      <w:r w:rsidRPr="00F72FC8">
        <w:t>.</w:t>
      </w:r>
    </w:p>
    <w:p w14:paraId="7260ADC2" w14:textId="0EB44FA8" w:rsidR="00B42A22" w:rsidRPr="00E842C0" w:rsidRDefault="00B42A22" w:rsidP="003725EC">
      <w:pPr>
        <w:spacing w:after="120"/>
        <w:ind w:firstLine="480"/>
      </w:pPr>
      <w:r w:rsidRPr="00E842C0">
        <w:t>Renewable generation and load forecasts should be treated with uncertainty when making storage schedules, grid exchanges, commitment decisions for back-up resources, and establishing operating reserves directly in the dispatch optimization problem. Over-optimistic forecasts of renewable generation needs could lead to fewer reserves scheduled, with greater exposure to real-time balancing action, greater operating cost, or threats to reliability if generation does not meet forecast levels. One way to explicitly model such uncertainty is through the use of stochastic optimization, which entails the introduction of multiple scenarios or probability distributions of uncertain variables into the dispatch problem, so that the economic performance and reliability requirements can be evaluated together</w:t>
      </w:r>
      <w:r w:rsidR="00E842C0">
        <w:fldChar w:fldCharType="begin"/>
      </w:r>
      <w:r w:rsidR="00E842C0">
        <w:instrText xml:space="preserve"> ADDIN ZOTERO_ITEM CSL_CITATION {"citationID":"g7gaYOI2","properties":{"unsorted":false,"formattedCitation":"[121]","plainCitation":"[121]","noteIndex":0},"citationItems":[{"id":2110,"uris":["http://zotero.org/users/9870935/items/WXV5HE5P"],"itemData":{"id":2110,"type":"book","abstract":"This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E842C0">
        <w:fldChar w:fldCharType="separate"/>
      </w:r>
      <w:r w:rsidR="00E842C0" w:rsidRPr="00E842C0">
        <w:t>[121]</w:t>
      </w:r>
      <w:r w:rsidR="00E842C0">
        <w:fldChar w:fldCharType="end"/>
      </w:r>
      <w:r w:rsidRPr="00E842C0">
        <w:t>. Forecast uncertainty regarding renewables generation is also influenced by forecast horizon, meteorological conditions, geographic aggregation, and forecasting methodology</w:t>
      </w:r>
      <w:r w:rsidR="003725EC">
        <w:fldChar w:fldCharType="begin"/>
      </w:r>
      <w:r w:rsidR="003725EC">
        <w:instrText xml:space="preserve"> ADDIN ZOTERO_ITEM CSL_CITATION {"citationID":"6p9cdsjJ","properties":{"unsorted":false,"formattedCitation":"[140]","plainCitation":"[140]","noteIndex":0},"citationItems":[{"id":2112,"uris":["http://zotero.org/users/9870935/items/YCQ57T5E"],"itemData":{"id":2112,"type":"article-journal","container-title":"Progress in Energy and Combustion Science","DOI":"10.1016/j.pecs.2013.06.002","ISSN":"03601285","issue":"6","journalAbbreviation":"Progress in Energy and Combustion Science","language":"en","page":"535-576","source":"DOI.org (Crossref)","title":"Solar forecasting methods for renewable energy integration","volume":"39","author":[{"family":"Inman","given":"Rich H."},{"family":"Pedro","given":"Hugo T.C."},{"family":"Coimbra","given":"Carlos F.M."}],"issued":{"date-parts":[["2013",12]]}}}],"schema":"https://github.com/citation-style-language/schema/raw/master/csl-citation.json"} </w:instrText>
      </w:r>
      <w:r w:rsidR="003725EC">
        <w:fldChar w:fldCharType="separate"/>
      </w:r>
      <w:r w:rsidR="003725EC" w:rsidRPr="003725EC">
        <w:t>[140]</w:t>
      </w:r>
      <w:r w:rsidR="003725EC">
        <w:fldChar w:fldCharType="end"/>
      </w:r>
      <w:r w:rsidRPr="00E842C0">
        <w:t>. Therefore, the 2015 review does not specify a general percentage reserve margin. The values of the reserve requirements should be based on the forecast-error distribution, variability of renewable resources, state and availability of storage, grid-import capacity, characteristics of storage-backup resources, and the required reliability criterion</w:t>
      </w:r>
      <w:r w:rsidR="003725EC">
        <w:fldChar w:fldCharType="begin"/>
      </w:r>
      <w:r w:rsidR="003725EC">
        <w:instrText xml:space="preserve"> ADDIN ZOTERO_ITEM CSL_CITATION {"citationID":"Jb8CbN9B","properties":{"unsorted":false,"formattedCitation":"[113]","plainCitation":"[113]","noteIndex":0},"citationItems":[{"id":2078,"uris":["http://zotero.org/users/9870935/items/UAQIETIN"],"itemData":{"id":2078,"type":"article-journal","abstract":"Large-scale integration of photovoltaics (PV) introduces complex source-load temporal volatility and grid-connection/off-grid transitions. Traditional static reliability assessments fail to capture these dynamics, resulting in “considerable deviations” in system indices. This paper proposes a reliability evaluation framework that couples temporal source-load trajectories with a multi-stage fault recovery process. Unlike traditional methods that rely on a single static snapshot, the proposed model evaluates the system state across a continuous 5-h restoration window. The novelty lies in the unique integration of a Dynamic Time Warping (DTW)–Kmedoids method to preserve temporal phase-shifts and a multi-stage Mixed-Integer Linear Programming (MILP) model to simulate PV grid-connection transitions throughout this window. By capturing the intra-outage evolution of sources and loads, the framework fundamentally corrects the “considerable deviations” of static assessments. Case studies demonstrate high precision with an error of less than 0.71% and a 20-fold speedup. Crucially, the framework corrects the 22.31% risk underestimation bias inherent in static models by tracking real-time source-load evolution. This confirms that temporal coordination performance is the primary determinant of the reliability ceiling in active distribution networks. The findings reveal that the precise alignment of intermittent generation and fluctuating demand defines the actual operational safety margin, providing a superior quantitative foundation for grid resilience enhancement.","container-title":"Processes","DOI":"10.3390/pr14081296","ISSN":"2227-9717","issue":"8","journalAbbreviation":"Processes","language":"en","page":"1296","source":"DOI.org (Crossref)","title":"Research on Reliability Evaluation Method of Distribution Network Considering the Temporal Characteristics of Distributed Power Sources","volume":"14","author":[{"family":"Dong","given":"Xiaofeng"},{"family":"Yang","given":"Zhichao"},{"family":"Zhu","given":"Qiong"},{"family":"Li","given":"Junting"},{"family":"Zhou","given":"Binqian"},{"family":"Zhu","given":"Junpeng"}],"issued":{"date-parts":[["2026",4,18]]}}}],"schema":"https://github.com/citation-style-language/schema/raw/master/csl-citation.json"} </w:instrText>
      </w:r>
      <w:r w:rsidR="003725EC">
        <w:fldChar w:fldCharType="separate"/>
      </w:r>
      <w:r w:rsidR="003725EC" w:rsidRPr="003725EC">
        <w:t>[113]</w:t>
      </w:r>
      <w:r w:rsidR="003725EC">
        <w:fldChar w:fldCharType="end"/>
      </w:r>
      <w:r w:rsidRPr="00E842C0">
        <w:t xml:space="preserve">, </w:t>
      </w:r>
      <w:r w:rsidR="00E842C0">
        <w:fldChar w:fldCharType="begin"/>
      </w:r>
      <w:r w:rsidR="003725EC">
        <w:instrText xml:space="preserve"> ADDIN ZOTERO_ITEM CSL_CITATION {"citationID":"YimAljSz","properties":{"unsorted":false,"formattedCitation":"[121]","plainCitation":"[121]","noteIndex":0},"citationItems":[{"id":2110,"uris":["http://zotero.org/users/9870935/items/WXV5HE5P"],"itemData":{"id":2110,"type":"book","abstract":"This addition to the ISOR series addresses the analytics of the operations of electric energy systems with increasing penetration of stochastic renewable production facilities, such as wind- and solar-based generation units. As stochastic renewable production units become ubiquitous throughout electric energy systems, an increasing level of flexible backup provided by non-stochastic units and other system agents is needed if supply security and quality are to be maintained. Within the context above, this book provides up-to-date analytical tools to address challenging operational problems such as: - The modeling and forecasting of stochastic renewable power production. - The characterization of the impact of renewable production on market outcomes. - The clearing of electricity markets with high penetration of stochastic renewable units. - The development of mechanisms to counteract the variability and unpredictability of stochastic renewable units so that supply security is not at risk. - The trading of the electric energy produced by stochastic renewable producers. - The association of a number of electricity production facilities, stochastic and others, to increase their competitive edge in the electricity market. - The development of procedures to enable demand response and to facilitate the integration of stochastic renewable units. This book is written in a modular and tutorial manner and includes many illustrative examples to facilitate its comprehension. It is intended for advanced undergraduate and graduate students in the fields of electric energy systems, applied mathematics and economics. Practitioners in the electric energy sector will benefit as well from the concepts and techniques explained in this book","call-number":"658.40301","collection-number":"205","collection-title":"International Series in Operations Research &amp; Management Science","DOI":"10.1007/978-1-4614-9411-9","edition":"1st ed. 2014","ISBN":"978-1-4614-9411-9","number-of-pages":"1","publisher":"Springer US : Imprint: Springer","publisher-place":"New York, NY","source":"Library of Congress ISBN","title":"Integrating Renewables in Electricity Markets: Operational Problems","title-short":"Integrating Renewables in Electricity Markets","author":[{"family":"Morales","given":"Juan M."},{"family":"Conejo","given":"Antonio J."},{"family":"Madsen","given":"Henrik"},{"family":"Pinson","given":"Pierre"},{"family":"Zugno","given":"Marco"}],"issued":{"date-parts":[["2014"]]}}}],"schema":"https://github.com/citation-style-language/schema/raw/master/csl-citation.json"} </w:instrText>
      </w:r>
      <w:r w:rsidR="00E842C0">
        <w:fldChar w:fldCharType="separate"/>
      </w:r>
      <w:r w:rsidR="00E842C0" w:rsidRPr="00E842C0">
        <w:t>[121]</w:t>
      </w:r>
      <w:r w:rsidR="00E842C0">
        <w:fldChar w:fldCharType="end"/>
      </w:r>
      <w:r w:rsidRPr="00E842C0">
        <w:t>.</w:t>
      </w:r>
    </w:p>
    <w:p w14:paraId="5880395E" w14:textId="5A93C7B1" w:rsidR="00FE013C" w:rsidRPr="00F914E9" w:rsidRDefault="00FE013C" w:rsidP="004C16FF">
      <w:pPr>
        <w:pStyle w:val="Heading20"/>
        <w:jc w:val="both"/>
        <w:rPr>
          <w:color w:val="auto"/>
        </w:rPr>
      </w:pPr>
      <w:r w:rsidRPr="00EB1FF0">
        <w:rPr>
          <w:color w:val="auto"/>
        </w:rPr>
        <w:t>1</w:t>
      </w:r>
      <w:r>
        <w:rPr>
          <w:color w:val="auto"/>
        </w:rPr>
        <w:t>1</w:t>
      </w:r>
      <w:r w:rsidRPr="00EB1FF0">
        <w:rPr>
          <w:color w:val="auto"/>
        </w:rPr>
        <w:t>.</w:t>
      </w:r>
      <w:r>
        <w:rPr>
          <w:color w:val="auto"/>
        </w:rPr>
        <w:t>2</w:t>
      </w:r>
      <w:r w:rsidRPr="00EB1FF0">
        <w:rPr>
          <w:color w:val="auto"/>
        </w:rPr>
        <w:t xml:space="preserve"> </w:t>
      </w:r>
      <w:r>
        <w:rPr>
          <w:color w:val="auto"/>
        </w:rPr>
        <w:t xml:space="preserve">AI Workload Scheduling and Load Shifting </w:t>
      </w:r>
    </w:p>
    <w:p w14:paraId="4A25A237" w14:textId="56EAADD7" w:rsidR="00FE013C" w:rsidRPr="00CF3F57" w:rsidRDefault="00CF3F57" w:rsidP="00E842C0">
      <w:pPr>
        <w:spacing w:after="120"/>
        <w:ind w:firstLine="480"/>
        <w:rPr>
          <w:highlight w:val="yellow"/>
        </w:rPr>
      </w:pPr>
      <w:r w:rsidRPr="00CF3F57">
        <w:rPr>
          <w:highlight w:val="yellow"/>
        </w:rPr>
        <w:t>AI workload scheduling represents one of the most important demand-side flexibility mechanisms available in renewable-powered AI data centers</w:t>
      </w:r>
      <w:r w:rsidR="00FE013C" w:rsidRPr="00CF3F57">
        <w:rPr>
          <w:highlight w:val="yellow"/>
        </w:rPr>
        <w:t xml:space="preserve">. </w:t>
      </w:r>
      <w:r w:rsidR="00A5344E" w:rsidRPr="00CF3F57">
        <w:rPr>
          <w:highlight w:val="yellow"/>
        </w:rPr>
        <w:t>Training workloads are often considered among the most flexible data-center loads because many training processes can be checkpointed and resumed. However, the degree of achievable flexibility depends on model-development schedules, GPU-resource utilization targets, contractual commitments, service-level agreements, and business priorities. Consequently, not all training workloads can be deferred without operational consequences</w:t>
      </w:r>
      <w:r w:rsidR="00FE013C" w:rsidRPr="00CF3F57">
        <w:rPr>
          <w:highlight w:val="yellow"/>
        </w:rPr>
        <w:fldChar w:fldCharType="begin"/>
      </w:r>
      <w:r w:rsidR="00E842C0">
        <w:rPr>
          <w:highlight w:val="yellow"/>
        </w:rPr>
        <w:instrText xml:space="preserve"> ADDIN ZOTERO_ITEM CSL_CITATION {"citationID":"PsWoDqZ3","properties":{"unsorted":false,"formattedCitation":"[164]","plainCitation":"[164]","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rsidR="00FE013C" w:rsidRPr="00CF3F57">
        <w:rPr>
          <w:highlight w:val="yellow"/>
        </w:rPr>
        <w:fldChar w:fldCharType="separate"/>
      </w:r>
      <w:r w:rsidR="00E842C0" w:rsidRPr="00E842C0">
        <w:rPr>
          <w:highlight w:val="yellow"/>
        </w:rPr>
        <w:t>[164]</w:t>
      </w:r>
      <w:r w:rsidR="00FE013C" w:rsidRPr="00CF3F57">
        <w:rPr>
          <w:highlight w:val="yellow"/>
        </w:rPr>
        <w:fldChar w:fldCharType="end"/>
      </w:r>
      <w:r w:rsidR="00FE013C" w:rsidRPr="00CF3F57">
        <w:rPr>
          <w:highlight w:val="yellow"/>
        </w:rPr>
        <w:t>.</w:t>
      </w:r>
      <w:r w:rsidR="00FE013C" w:rsidRPr="00F914E9">
        <w:t xml:space="preserve"> </w:t>
      </w:r>
    </w:p>
    <w:p w14:paraId="20CCF45F" w14:textId="7985AA7D" w:rsidR="00FE013C" w:rsidRPr="00AE36CD" w:rsidRDefault="00FE013C" w:rsidP="004C16FF">
      <w:pPr>
        <w:spacing w:after="120"/>
        <w:ind w:firstLine="480"/>
      </w:pPr>
      <w:r w:rsidRPr="00AE36CD">
        <w:t xml:space="preserve">Latency requirements make the scheduling challenge for inference workloads more complicated. The interaction with users depends on sub-100ms response times and must not be postponed, as in </w:t>
      </w:r>
      <w:r w:rsidRPr="00AE36CD">
        <w:lastRenderedPageBreak/>
        <w:t xml:space="preserve">real-time inference, the user will be waiting for a response to the action. Batch inference (including image processing, document processing, or model scoring) can be flexed for minutes to hours and is suitable for load shifting. </w:t>
      </w:r>
      <w:r w:rsidRPr="00120E08">
        <w:t xml:space="preserve">A tiered scheduling approach — </w:t>
      </w:r>
      <w:r w:rsidR="00030122" w:rsidRPr="00120E08">
        <w:t>prioritizing</w:t>
      </w:r>
      <w:r w:rsidRPr="00120E08">
        <w:t xml:space="preserve"> real-time inference, then batch inference, then training workloads, then background tasks — provides a systematic method for allocating limited renewable energy across competing compute demands</w:t>
      </w:r>
      <w:r w:rsidRPr="00AE36CD">
        <w:t>.</w:t>
      </w:r>
    </w:p>
    <w:p w14:paraId="71C79290" w14:textId="77796BB1" w:rsidR="00FE013C" w:rsidRPr="00AE36CD" w:rsidRDefault="00FE013C" w:rsidP="004C16FF">
      <w:pPr>
        <w:spacing w:after="120"/>
        <w:ind w:firstLine="480"/>
      </w:pPr>
      <w:r w:rsidRPr="00AE36CD">
        <w:t xml:space="preserve">The EMS maintains a renewable availability API that provides </w:t>
      </w:r>
      <w:r w:rsidR="00030122" w:rsidRPr="00AE36CD">
        <w:t>24–48-hour</w:t>
      </w:r>
      <w:r w:rsidRPr="00AE36CD">
        <w:t xml:space="preserve"> forecasts that indicate the portion of the workload that can be achieved without depending on non-renewable resources. The scheduler will ask this API for the period of the day when there is excess renewable generation to schedule lower priority workloads. Cost incentive measures, such as internal carbon pricing and shadow electricity prices based on the marginal cost of renewable energy, offer economic signals for application teams to </w:t>
      </w:r>
      <w:r w:rsidR="00030122" w:rsidRPr="00AE36CD">
        <w:t>optimize</w:t>
      </w:r>
      <w:r w:rsidRPr="00AE36CD">
        <w:t xml:space="preserve"> energy efficiency and align with renewable energy resources.</w:t>
      </w:r>
    </w:p>
    <w:p w14:paraId="104E850B" w14:textId="77777777" w:rsidR="00FE013C" w:rsidRPr="00E75DCC" w:rsidRDefault="00FE013C" w:rsidP="004C16FF">
      <w:pPr>
        <w:pStyle w:val="Heading20"/>
        <w:jc w:val="both"/>
        <w:rPr>
          <w:color w:val="auto"/>
        </w:rPr>
      </w:pPr>
      <w:bookmarkStart w:id="28" w:name="_Toc100078"/>
      <w:r w:rsidRPr="00E75DCC">
        <w:rPr>
          <w:color w:val="auto"/>
        </w:rPr>
        <w:t>11.3 Multi-Facility Load Balancing and Geographic Diversity</w:t>
      </w:r>
      <w:bookmarkEnd w:id="28"/>
    </w:p>
    <w:p w14:paraId="51E7AA66" w14:textId="3E44B9C9" w:rsidR="007D29E8" w:rsidRPr="007D29E8" w:rsidRDefault="007D29E8" w:rsidP="00A95675">
      <w:pPr>
        <w:spacing w:after="120"/>
        <w:ind w:firstLine="480"/>
        <w:rPr>
          <w:highlight w:val="yellow"/>
        </w:rPr>
      </w:pPr>
      <w:r w:rsidRPr="007D29E8">
        <w:rPr>
          <w:highlight w:val="yellow"/>
        </w:rPr>
        <w:t>Multi-facility load balancing may exploit differences in renewable-resource availability across geographically distributed data centers. Geographic diversification can reduce aggregate renewable-generation variability when renewable-production profiles are weakly correlated; however, the magnitude of the benefit depends on geographic separation, weather systems, transmission availability, workload portability, network latency, and temporal resolution. Consequently, any reduction in storage requirements or renewable-generation variability must be quantified through geographically resolved chronological analysis rather than assumed from a universal percentage</w:t>
      </w:r>
      <w:r>
        <w:rPr>
          <w:highlight w:val="yellow"/>
        </w:rPr>
        <w:fldChar w:fldCharType="begin"/>
      </w:r>
      <w:r w:rsidR="00A95675">
        <w:rPr>
          <w:highlight w:val="yellow"/>
        </w:rPr>
        <w:instrText xml:space="preserve"> ADDIN ZOTERO_ITEM CSL_CITATION {"citationID":"knd2GV6A","properties":{"unsorted":false,"formattedCitation":"[20], [104], [105]","plainCitation":"[20], [104], [105]","noteIndex":0},"citationItems":[{"id":1929,"uris":["http://zotero.org/users/9870935/items/E595FMYI"],"itemData":{"id":1929,"type":"article-journal","container-title":"Renewable Energy","DOI":"10.1016/j.renene.2022.10.060","ISSN":"09601481","journalAbbreviation":"Renewable Energy","language":"en","page":"111-123","source":"DOI.org (Crossref)","title":"Temporal complementarity and value of wind-PV hybrid systems across the United States","volume":"201","author":[{"family":"Harrison-Atlas","given":"Dylan"},{"family":"Murphy","given":"Caitlin"},{"family":"Schleifer","given":"Anna"},{"family":"Grue","given":"Nicholas"}],"issued":{"date-parts":[["2022",12]]}}},{"id":2063,"uris":["http://zotero.org/users/9870935/items/47PEXHYC"],"itemData":{"id":2063,"type":"article-journal","container-title":"Communications Earth &amp; Environment","DOI":"10.1038/s43247-024-01850-5","ISSN":"2662-4435","issue":"1","journalAbbreviation":"Commun Earth Environ","language":"en","page":"661","source":"DOI.org (Crossref)","title":"Renewable energy quality trilemma and coincident wind and solar droughts","volume":"5","author":[{"family":"Li","given":"Mingquan"},{"family":"Ma","given":"Qingyuan"},{"family":"Shan","given":"Rui"},{"family":"Abdulla","given":"Ahmed"},{"family":"Virguez","given":"Edgar"},{"family":"Gao","given":"Shuo"},{"family":"Patiño-Echeverri","given":"Dalia"}],"issued":{"date-parts":[["2024",11,6]]}}},{"id":2064,"uris":["http://zotero.org/users/9870935/items/R5YJIQU4"],"itemData":{"id":2064,"type":"article-journal","container-title":"Renewable Energy","DOI":"10.1016/j.renene.2019.02.060","ISSN":"09601481","journalAbbreviation":"Renewable Energy","language":"en","page":"251-260","source":"DOI.org (Crossref)","title":"Future changes, or lack thereof, in the temporal variability of the combined wind-plus-solar power production in Europe","volume":"139","author":[{"family":"Jerez","given":"S."},{"family":"Tobin","given":"I."},{"family":"Turco","given":"M."},{"family":"Jiménez-Guerrero","given":"P."},{"family":"Vautard","given":"R."},{"family":"Montávez","given":"J.P."}],"issued":{"date-parts":[["2019",8]]}}}],"schema":"https://github.com/citation-style-language/schema/raw/master/csl-citation.json"} </w:instrText>
      </w:r>
      <w:r>
        <w:rPr>
          <w:highlight w:val="yellow"/>
        </w:rPr>
        <w:fldChar w:fldCharType="separate"/>
      </w:r>
      <w:r w:rsidR="00A95675" w:rsidRPr="00A95675">
        <w:rPr>
          <w:highlight w:val="yellow"/>
        </w:rPr>
        <w:t>[20], [104], [105]</w:t>
      </w:r>
      <w:r>
        <w:rPr>
          <w:highlight w:val="yellow"/>
        </w:rPr>
        <w:fldChar w:fldCharType="end"/>
      </w:r>
    </w:p>
    <w:p w14:paraId="4ECB9782" w14:textId="4F43046F" w:rsidR="007D29E8" w:rsidRPr="007D29E8" w:rsidRDefault="007D29E8" w:rsidP="007D29E8">
      <w:pPr>
        <w:spacing w:after="120"/>
        <w:ind w:firstLine="480"/>
        <w:rPr>
          <w:highlight w:val="yellow"/>
        </w:rPr>
      </w:pPr>
      <w:r w:rsidRPr="007D29E8">
        <w:rPr>
          <w:highlight w:val="yellow"/>
        </w:rPr>
        <w:t>A practical application of this concept involves operators with facilities located in different climatic regions and electricity markets. Differences in weather conditions, renewable-resource availability, electricity prices, and time zones may create opportunities to schedule eligible workloads at locations with more favorable operating conditions. However, the effectiveness of such strategies depends on the operational characteristics of the workload and the ability to transfer computational tasks among facilities without violating technical or commercial constraints.</w:t>
      </w:r>
    </w:p>
    <w:p w14:paraId="1AC60B10" w14:textId="465BEA94" w:rsidR="007D29E8" w:rsidRPr="007D29E8" w:rsidRDefault="007D29E8" w:rsidP="007D29E8">
      <w:pPr>
        <w:spacing w:after="120"/>
        <w:ind w:firstLine="480"/>
        <w:rPr>
          <w:highlight w:val="yellow"/>
        </w:rPr>
      </w:pPr>
      <w:r w:rsidRPr="007D29E8">
        <w:rPr>
          <w:highlight w:val="yellow"/>
        </w:rPr>
        <w:t>Technical constraints on multi-facility workload balancing include network latency, which may limit the geographic relocation of latency-sensitive applications, data-residency requirements that mandate processing within specific jurisdictions, inter-facility communication bandwidth, cybersecurity requirements, and the cost of transferring large datasets between regions. Consequently, not all workloads are suitable for geographic distribution.</w:t>
      </w:r>
    </w:p>
    <w:p w14:paraId="5B19B28C" w14:textId="0D2CE5A4" w:rsidR="007D29E8" w:rsidRPr="007D29E8" w:rsidRDefault="007D29E8" w:rsidP="007D29E8">
      <w:pPr>
        <w:spacing w:after="120"/>
        <w:ind w:firstLine="480"/>
        <w:rPr>
          <w:highlight w:val="yellow"/>
        </w:rPr>
      </w:pPr>
      <w:r w:rsidRPr="007D29E8">
        <w:rPr>
          <w:highlight w:val="yellow"/>
        </w:rPr>
        <w:t>Workloads most compatible with geographic balancing typically include model-training tasks, batch-processing applications, selected analytics workloads, and other computational processes that can tolerate delayed execution or limited geographic relocation. In contrast, real-time inference services and latency-sensitive applications generally require local execution and are therefore less suitable for large-scale geographic shifting. Successful implementation of multi-facility balancing strategies requires coordination among workload schedulers, renewable-generation forecasts, electricity-market signals, network availability, and service-level agreement requirements.</w:t>
      </w:r>
    </w:p>
    <w:p w14:paraId="0A1CD979" w14:textId="0029DF04" w:rsidR="007D29E8" w:rsidRPr="007D29E8" w:rsidRDefault="00FE013C" w:rsidP="007D29E8">
      <w:pPr>
        <w:pStyle w:val="Heading20"/>
        <w:jc w:val="both"/>
        <w:rPr>
          <w:color w:val="auto"/>
        </w:rPr>
      </w:pPr>
      <w:r w:rsidRPr="00E75DCC">
        <w:rPr>
          <w:color w:val="auto"/>
        </w:rPr>
        <w:t>11.</w:t>
      </w:r>
      <w:r>
        <w:rPr>
          <w:color w:val="auto"/>
        </w:rPr>
        <w:t>4</w:t>
      </w:r>
      <w:r w:rsidRPr="00E75DCC">
        <w:rPr>
          <w:color w:val="auto"/>
        </w:rPr>
        <w:t xml:space="preserve"> </w:t>
      </w:r>
      <w:r w:rsidRPr="00C33AC1">
        <w:rPr>
          <w:color w:val="auto"/>
        </w:rPr>
        <w:t>Real-Time Demand Response and Grid Services</w:t>
      </w:r>
    </w:p>
    <w:p w14:paraId="2BCA6182" w14:textId="0895F724" w:rsidR="007D29E8" w:rsidRPr="007D29E8" w:rsidRDefault="007D29E8" w:rsidP="00E842C0">
      <w:pPr>
        <w:spacing w:after="120"/>
        <w:ind w:firstLine="480"/>
        <w:rPr>
          <w:highlight w:val="yellow"/>
        </w:rPr>
      </w:pPr>
      <w:r w:rsidRPr="007D29E8">
        <w:rPr>
          <w:highlight w:val="yellow"/>
        </w:rPr>
        <w:t xml:space="preserve">Data-center battery systems and flexible computing loads can participate in demand-response and ancillary-service programs where electricity-market rules permit. These services can support grid </w:t>
      </w:r>
      <w:r w:rsidRPr="007D29E8">
        <w:rPr>
          <w:highlight w:val="yellow"/>
        </w:rPr>
        <w:lastRenderedPageBreak/>
        <w:t>reliability while potentially creating additional value streams for facility operators. One important application is primary frequency response (PFR), in which battery-storage systems or controllable loads automatically adjust power consumption or injection within seconds following a frequency disturbance. Fast-response resources are increasingly important in power systems with high penetrations of inverter-based renewable generation because they can help compensate for declining synchronous inertia and support system stability</w:t>
      </w:r>
      <w:r>
        <w:rPr>
          <w:highlight w:val="yellow"/>
        </w:rPr>
        <w:fldChar w:fldCharType="begin"/>
      </w:r>
      <w:r w:rsidR="00E842C0">
        <w:rPr>
          <w:highlight w:val="yellow"/>
        </w:rPr>
        <w:instrText xml:space="preserve"> ADDIN ZOTERO_ITEM CSL_CITATION {"citationID":"EjzMVRkt","properties":{"unsorted":false,"formattedCitation":"[114], [165]","plainCitation":"[114], [165]","noteIndex":0},"citationItems":[{"id":2215,"uris":["http://zotero.org/users/9870935/items/6KYBNJ5X"],"itemData":{"id":2215,"type":"article-journal","abstract":"Abstract\n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rPr>
          <w:highlight w:val="yellow"/>
        </w:rPr>
        <w:fldChar w:fldCharType="separate"/>
      </w:r>
      <w:r w:rsidR="00E842C0" w:rsidRPr="00E842C0">
        <w:rPr>
          <w:highlight w:val="yellow"/>
        </w:rPr>
        <w:t>[114], [165]</w:t>
      </w:r>
      <w:r>
        <w:rPr>
          <w:highlight w:val="yellow"/>
        </w:rPr>
        <w:fldChar w:fldCharType="end"/>
      </w:r>
      <w:r w:rsidRPr="007D29E8">
        <w:rPr>
          <w:highlight w:val="yellow"/>
        </w:rPr>
        <w:t>.</w:t>
      </w:r>
    </w:p>
    <w:p w14:paraId="6A5765B8" w14:textId="49093CC1" w:rsidR="007D29E8" w:rsidRPr="007D29E8" w:rsidRDefault="007D29E8" w:rsidP="001D1223">
      <w:pPr>
        <w:spacing w:after="120"/>
        <w:ind w:firstLine="480"/>
        <w:rPr>
          <w:highlight w:val="yellow"/>
        </w:rPr>
      </w:pPr>
      <w:r w:rsidRPr="007D29E8">
        <w:rPr>
          <w:highlight w:val="yellow"/>
        </w:rPr>
        <w:t>Advanced battery energy storage systems can also provide reserve services, demand-response participation, ramp-rate support, and other balancing functions depending on local market requirements and technical capabilities. Similarly, AI-enabled workload management can act as a flexible demand-side resource by adjusting selected computational workloads in response to grid conditions, electricity prices, or renewable-energy availability</w:t>
      </w:r>
      <w:r>
        <w:rPr>
          <w:highlight w:val="yellow"/>
        </w:rPr>
        <w:fldChar w:fldCharType="begin"/>
      </w:r>
      <w:r w:rsidR="001D1223">
        <w:rPr>
          <w:highlight w:val="yellow"/>
        </w:rPr>
        <w:instrText xml:space="preserve"> ADDIN ZOTERO_ITEM CSL_CITATION {"citationID":"1kyVFO1r","properties":{"unsorted":false,"formattedCitation":"[60],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001D1223" w:rsidRPr="001D1223">
        <w:rPr>
          <w:highlight w:val="yellow"/>
        </w:rPr>
        <w:t>[60], [114]</w:t>
      </w:r>
      <w:r>
        <w:rPr>
          <w:highlight w:val="yellow"/>
        </w:rPr>
        <w:fldChar w:fldCharType="end"/>
      </w:r>
      <w:r w:rsidRPr="007D29E8">
        <w:rPr>
          <w:highlight w:val="yellow"/>
        </w:rPr>
        <w:t>.</w:t>
      </w:r>
    </w:p>
    <w:p w14:paraId="5CAAFF17" w14:textId="4612A6FC" w:rsidR="007D29E8" w:rsidRPr="007D29E8" w:rsidRDefault="007D29E8" w:rsidP="00E842C0">
      <w:pPr>
        <w:spacing w:after="120"/>
        <w:ind w:firstLine="480"/>
        <w:rPr>
          <w:highlight w:val="yellow"/>
        </w:rPr>
      </w:pPr>
      <w:r w:rsidRPr="007D29E8">
        <w:rPr>
          <w:highlight w:val="yellow"/>
        </w:rPr>
        <w:t>Voltage-support services represent another potential grid-service application. Grid-forming and voltage-source-control (VSC) inverters can provide reactive-power support and voltage regulation without necessarily affecting active-power production, thereby contributing to power-quality management and local grid stability</w:t>
      </w:r>
      <w:r>
        <w:rPr>
          <w:highlight w:val="yellow"/>
        </w:rPr>
        <w:fldChar w:fldCharType="begin"/>
      </w:r>
      <w:r w:rsidR="00E842C0">
        <w:rPr>
          <w:highlight w:val="yellow"/>
        </w:rPr>
        <w:instrText xml:space="preserve"> ADDIN ZOTERO_ITEM CSL_CITATION {"citationID":"7fApsYgC","properties":{"unsorted":false,"formattedCitation":"[18], [151]","plainCitation":"[18], [151]","noteIndex":0},"citationItems":[{"id":1927,"uris":["http://zotero.org/users/9870935/items/PZK7R79L"],"itemData":{"id":1927,"type":"article-journal","abstract":"The penetration of distributed energy resources in electrical grids has been steadily increasing in an effort to reduce greenhouse gas emissions. Inverters, as interfaces between distributed energy resources and grids, have become critical assets in modern power systems. In recent years, the development and application of grid-forming inverters have gained significant traction due to their capability of supporting power grid operations. A comprehensive review of grid-forming inverters is presented for power system applications. A comparison between grid-forming inverters and grid-following inverters is conducted in terms of their functionalities to highlight the potential of grid-forming inverter technologies in support of power system stability and resiliency. In addition, advanced control strategies integrated into grid-forming inverters under various operation conditions are presented through reviewing the innovations introduced in recent literature and in industrial applications. This paper is intended to provide an updated reference regarding grid-forming inverters for power system applications to researchers and practitioners in the field of power electronics.","container-title":"Chinese Journal of Electrical Engineering","DOI":"10.23919/CJEE.2022.000001","ISSN":"2096-1529","issue":"1","journalAbbreviation":"Chin. J. Electr. Eng.","language":"en","page":"1-15","source":"DOI.org (Crossref)","title":"Review of Grid-forming Inverters in Support of Power System Operation","volume":"8","author":[{"family":"Song","given":"Guanhong"},{"family":"Cao","given":"Bo"},{"family":"Chang","given":"Liuchen"}],"issued":{"date-parts":[["2022",3]]}}},{"id":1100,"uris":["http://zotero.org/users/9870935/items/E7VUD4ZH"],"itemData":{"id":1100,"type":"article-journal","abstract":"Abstract\n            \n              The worldwide electricity network is undergoing a crucial transformation, shifting from traditional synchronous generators to inverter‐based renewable energy sources (IRESs). This shift is expected to reduce the grid's available fault level (AFL), potentially impacting grid functionality, particularly during the integration of IRESs into weak grids. This paper examines the challenges associated with weak grids, focusing on the steady‐state and dynamic stability of IRES when integrated into these systems. In the steady‐state analysis, the effects of AFL, injected power volume, and grid characteristics on the steady‐state voltage at the point of interconnection were explored. For dynamic stability, eigenvalue and\n              H\n              2\n              norm analyses are used for evaluation. Sensitivity analysis is conducted to assess the impact of these factors on the stability of IRESs connected to weak grids. A detailed case study using the IEEE 39 bus test power system is included to demonstrate our findings, where the steady‐state and dynamic stability of IRES connected to the test system are assessed using the proposed methods. The accuracy of these analyses is confirmed by extensive simulation studies on the OPAL‐RT real‐time digital simulator platform.","container-title":"IET Energy Systems Integration","DOI":"10.1049/esi2.12151","ISSN":"2516-8401, 2516-8401","issue":"4","journalAbbreviation":"IET Energy Syst Integration","language":"en","page":"525-544","source":"DOI.org (Crossref)","title":"Stability assessment of inverter‐based renewable energy sources integrated to weak grids","volume":"6","author":[{"family":"Saleem","given":"M. I."},{"family":"Saha","given":"S."},{"family":"Izhar","given":"U."},{"family":"Ang","given":"L."}],"issued":{"date-parts":[["2024",12]]}}}],"schema":"https://github.com/citation-style-language/schema/raw/master/csl-citation.json"} </w:instrText>
      </w:r>
      <w:r>
        <w:rPr>
          <w:highlight w:val="yellow"/>
        </w:rPr>
        <w:fldChar w:fldCharType="separate"/>
      </w:r>
      <w:r w:rsidR="00E842C0" w:rsidRPr="00E842C0">
        <w:rPr>
          <w:highlight w:val="yellow"/>
        </w:rPr>
        <w:t>[18], [151]</w:t>
      </w:r>
      <w:r>
        <w:rPr>
          <w:highlight w:val="yellow"/>
        </w:rPr>
        <w:fldChar w:fldCharType="end"/>
      </w:r>
      <w:r w:rsidRPr="007D29E8">
        <w:rPr>
          <w:highlight w:val="yellow"/>
        </w:rPr>
        <w:t>. The ability of renewable-generation and storage systems to supply reactive power can be particularly valuable in weak-grid environments where voltage support and dynamic system-strength services are required.</w:t>
      </w:r>
    </w:p>
    <w:p w14:paraId="557A034A" w14:textId="72DB6B3D" w:rsidR="007D29E8" w:rsidRPr="007D29E8" w:rsidRDefault="007D29E8" w:rsidP="001D1223">
      <w:pPr>
        <w:spacing w:after="120"/>
        <w:ind w:firstLine="480"/>
      </w:pPr>
      <w:r w:rsidRPr="007D29E8">
        <w:rPr>
          <w:highlight w:val="yellow"/>
        </w:rPr>
        <w:t>Although ancillary-service participation may provide additional economic value, the achievable revenues depend on market structure, qualification requirements, performance obligations, resource availability, battery degradation costs, and locational factors. Consequently, project-specific market analysis is required before assigning economic value to frequency-response, voltage-support, reserve, or demand-response services. Generalized revenue estimates should not be assumed because ancillary-service prices and participation rules vary significantly among electricity markets</w:t>
      </w:r>
      <w:r>
        <w:rPr>
          <w:highlight w:val="yellow"/>
        </w:rPr>
        <w:fldChar w:fldCharType="begin"/>
      </w:r>
      <w:r w:rsidR="001D1223">
        <w:rPr>
          <w:highlight w:val="yellow"/>
        </w:rPr>
        <w:instrText xml:space="preserve"> ADDIN ZOTERO_ITEM CSL_CITATION {"citationID":"uVx1lzOH","properties":{"unsorted":false,"formattedCitation":"[60], [114]","plainCitation":"[60], [114]","noteIndex":0},"citationItems":[{"id":2119,"uris":["http://zotero.org/users/9870935/items/HCPVHF7M"],"itemData":{"id":2119,"type":"article-journal","container-title":"Energy Reports","DOI":"10.1016/j.egyr.2025.03.020","ISSN":"23524847","journalAbbreviation":"Energy Reports","language":"en","page":"3661-3671","source":"DOI.org (Crossref)","title":"Data centres as a source of flexibility for power systems","volume":"13","author":[{"family":"Takci","given":"Mehmet Türker"},{"family":"Qadrdan","given":"Meysam"},{"family":"Summers","given":"Jon"},{"family":"Gustafsson","given":"Jonas"}],"issued":{"date-parts":[["2025",6]]}}},{"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rPr>
          <w:highlight w:val="yellow"/>
        </w:rPr>
        <w:fldChar w:fldCharType="separate"/>
      </w:r>
      <w:r w:rsidR="001D1223" w:rsidRPr="001D1223">
        <w:rPr>
          <w:highlight w:val="yellow"/>
        </w:rPr>
        <w:t>[60], [114]</w:t>
      </w:r>
      <w:r>
        <w:rPr>
          <w:highlight w:val="yellow"/>
        </w:rPr>
        <w:fldChar w:fldCharType="end"/>
      </w:r>
      <w:r w:rsidRPr="007D29E8">
        <w:rPr>
          <w:highlight w:val="yellow"/>
        </w:rPr>
        <w:t>.</w:t>
      </w:r>
    </w:p>
    <w:p w14:paraId="7FB6D186" w14:textId="1BE258EB" w:rsidR="00FE013C" w:rsidRPr="00C34C89" w:rsidRDefault="00FE013C" w:rsidP="004C16FF">
      <w:pPr>
        <w:pStyle w:val="Heading20"/>
        <w:jc w:val="both"/>
        <w:rPr>
          <w:color w:val="auto"/>
        </w:rPr>
      </w:pPr>
      <w:r w:rsidRPr="00E75DCC">
        <w:rPr>
          <w:color w:val="auto"/>
        </w:rPr>
        <w:t>11.</w:t>
      </w:r>
      <w:r>
        <w:rPr>
          <w:color w:val="auto"/>
        </w:rPr>
        <w:t>5</w:t>
      </w:r>
      <w:r w:rsidRPr="00E75DCC">
        <w:rPr>
          <w:color w:val="auto"/>
        </w:rPr>
        <w:t xml:space="preserve"> </w:t>
      </w:r>
      <w:r>
        <w:t>Energy Management System and Control Architecture</w:t>
      </w:r>
    </w:p>
    <w:p w14:paraId="23910089" w14:textId="7BE62EF2" w:rsidR="00FE013C" w:rsidRDefault="00FE013C" w:rsidP="00E842C0">
      <w:pPr>
        <w:spacing w:after="120"/>
        <w:ind w:firstLine="480"/>
      </w:pPr>
      <w:r w:rsidRPr="00C34C89">
        <w:t xml:space="preserve">Here, the EMS uses a hierarchical control system architecture with three timescales and varying control objectives. Level 1 (device-level) reacts to changes in frequency and voltage in milliseconds to deliver the primary frequency response and voltage regulation via the inverter/battery controller. With 24-to-48-hour horizons and model predictive control, Level 2 (facility-level) implements dispatch </w:t>
      </w:r>
      <w:r w:rsidR="008F5C4B" w:rsidRPr="00C34C89">
        <w:t>optimization</w:t>
      </w:r>
      <w:r w:rsidRPr="00C34C89">
        <w:t xml:space="preserve"> hours, achieving a balance of </w:t>
      </w:r>
      <w:r w:rsidR="008F5C4B" w:rsidRPr="00C34C89">
        <w:t>minimizing</w:t>
      </w:r>
      <w:r w:rsidRPr="00C34C89">
        <w:t xml:space="preserve"> energy cost/and or carbon emissions while maintaining reliability targets. Level 3 (corporate level) is responsible for the allocation of resources across multiple facilities, routing workloads to facilities whose renewable conditions are most </w:t>
      </w:r>
      <w:r w:rsidR="008F5C4B" w:rsidRPr="00C34C89">
        <w:t>favorable and</w:t>
      </w:r>
      <w:r w:rsidRPr="00C34C89">
        <w:t xml:space="preserve"> coordinating inter-facility energy exchanges.</w:t>
      </w:r>
      <w:r>
        <w:t xml:space="preserve"> </w:t>
      </w:r>
      <w:r w:rsidRPr="00C34C89">
        <w:t xml:space="preserve">The EMS's capabilities encompass forecasting, </w:t>
      </w:r>
      <w:r w:rsidR="008F5C4B" w:rsidRPr="00C34C89">
        <w:t>optimization</w:t>
      </w:r>
      <w:r w:rsidRPr="00C34C89">
        <w:t xml:space="preserve">, monitoring, and cyber security. Forecast modules include solar, wind, and load forecasts over a range of time scales. </w:t>
      </w:r>
      <w:r w:rsidR="008F5C4B" w:rsidRPr="00C34C89">
        <w:t>Optimization</w:t>
      </w:r>
      <w:r w:rsidRPr="00C34C89">
        <w:t xml:space="preserve"> modules formulate and solve the dispatch problem as a mixed-integer linear program (MILP) or use heuristic algorithms for real-time decision-making. Data collection modules gather information from metering points around the site and deliver dashboards, trending, alarms, and automated reporting</w:t>
      </w:r>
      <w:r>
        <w:fldChar w:fldCharType="begin"/>
      </w:r>
      <w:r w:rsidR="00E842C0">
        <w:instrText xml:space="preserve"> ADDIN ZOTERO_ITEM CSL_CITATION {"citationID":"HnuRFse8","properties":{"unsorted":false,"formattedCitation":"[166]","plainCitation":"[166]","noteIndex":0},"citationItems":[{"id":2122,"uris":["http://zotero.org/users/9870935/items/JQYYBKN7"],"itemData":{"id":2122,"type":"article-journal","abstract":"As data centers grow and face energy challenges, traditional thermal management struggles with dynamic loads, multi-scale coupling, and heterogeneous control. This review examines AI-driven solutions for energy efficiency, focusing on integrating deep learning and reinforcement learning. Key innovations include physics-data hybrid models and constrained RL controllers, achieving PUE&lt;1.2, a 55.7% reduction in fan energy, and enhanced thermal stability. Challenges remain in explainable decision-making, hardware compatibility, and the complexity of multi-physics simulation. Our evaluation framework emphasizes PUE and energy savings, advocating for future advancements in digital twins, edge AI deployment, and renewable cooling integration. Policy-supported AI implementation could increase annual energy savings to 8-12%, promoting sustainable digital infrastructure. Future research should explore multi-scale optimization, reliable AI mechanisms, and renewable-cooling coordination to meet dynamic demand and support carbon neutrality goals.","container-title":"International Journal of Applied Science","DOI":"10.30560/ijas.v8n3p108","ISSN":"2576-7259, 2576-7240","issue":"3","journalAbbreviation":"IJAS","language":"en","license":"http://creativecommons.org/licenses/by/4.0","page":"p108","source":"DOI.org (Crossref)","title":"A Review on AI-Driven Optimization of Data Center Energy Efficiency and Thermal Management","volume":"8","author":[{"family":"Li","given":"Xiyong"},{"family":"Zhao","given":"Zhiming"},{"family":"Jiang","given":"Xiangjun"},{"family":"Chen","given":"Yingmei"},{"family":"He","given":"Ruxuan"}],"issued":{"date-parts":[["2025",9,27]]}}}],"schema":"https://github.com/citation-style-language/schema/raw/master/csl-citation.json"} </w:instrText>
      </w:r>
      <w:r>
        <w:fldChar w:fldCharType="separate"/>
      </w:r>
      <w:r w:rsidR="00E842C0" w:rsidRPr="00E842C0">
        <w:t>[166]</w:t>
      </w:r>
      <w:r>
        <w:fldChar w:fldCharType="end"/>
      </w:r>
      <w:r w:rsidRPr="00C34C89">
        <w:t xml:space="preserve">. </w:t>
      </w:r>
    </w:p>
    <w:p w14:paraId="0CCE4F2E" w14:textId="77777777" w:rsidR="00FE013C" w:rsidRPr="00F56D3B" w:rsidRDefault="00FE013C" w:rsidP="004C16FF">
      <w:pPr>
        <w:pStyle w:val="Heading1"/>
        <w:keepNext/>
        <w:jc w:val="both"/>
        <w:rPr>
          <w:lang w:val="en-US"/>
        </w:rPr>
      </w:pPr>
      <w:r>
        <w:lastRenderedPageBreak/>
        <w:t>12. Regulatory, Policy, and Sustainability</w:t>
      </w:r>
    </w:p>
    <w:p w14:paraId="61C04F28" w14:textId="696E9B9E" w:rsidR="00FE013C" w:rsidRDefault="00FE013C" w:rsidP="004C16FF">
      <w:pPr>
        <w:spacing w:after="120"/>
        <w:ind w:firstLine="480"/>
      </w:pPr>
      <w:r>
        <w:t xml:space="preserve">This section examines the regulatory environment, policy frameworks, and sustainability standards that govern the design and operation of renewable-powered data </w:t>
      </w:r>
      <w:r w:rsidR="00580BAE">
        <w:t>center</w:t>
      </w:r>
      <w:r>
        <w:t>s. Effective navigation of this landscape is essential for project permitting, interconnection, and long-term compliance with evolving environmental requirements of the industry.</w:t>
      </w:r>
    </w:p>
    <w:p w14:paraId="29A99B42" w14:textId="77777777" w:rsidR="00FE013C" w:rsidRDefault="00FE013C" w:rsidP="004C16FF">
      <w:pPr>
        <w:pStyle w:val="Heading20"/>
        <w:jc w:val="both"/>
      </w:pPr>
      <w:r w:rsidRPr="00E75DCC">
        <w:rPr>
          <w:color w:val="auto"/>
        </w:rPr>
        <w:t>1</w:t>
      </w:r>
      <w:r>
        <w:rPr>
          <w:color w:val="auto"/>
        </w:rPr>
        <w:t>2.1</w:t>
      </w:r>
      <w:r w:rsidRPr="00E75DCC">
        <w:rPr>
          <w:color w:val="auto"/>
        </w:rPr>
        <w:t xml:space="preserve"> </w:t>
      </w:r>
      <w:r>
        <w:t>Grid Interconnection Standards</w:t>
      </w:r>
    </w:p>
    <w:p w14:paraId="6AB5F1C4" w14:textId="004B3758" w:rsidR="00FE013C" w:rsidRDefault="00961B9D" w:rsidP="00961B9D">
      <w:pPr>
        <w:spacing w:after="120"/>
        <w:ind w:firstLine="480"/>
      </w:pPr>
      <w:r w:rsidRPr="00961B9D">
        <w:rPr>
          <w:lang w:val="en-CA"/>
        </w:rPr>
        <w:t>Grid-interconnection standards define the technical and operational</w:t>
      </w:r>
      <w:r>
        <w:rPr>
          <w:lang w:val="en-CA"/>
        </w:rPr>
        <w:t xml:space="preserve"> </w:t>
      </w:r>
      <w:r w:rsidRPr="00961B9D">
        <w:rPr>
          <w:lang w:val="en-CA"/>
        </w:rPr>
        <w:t>requirements that generation, storage, and other inverter-based</w:t>
      </w:r>
      <w:r>
        <w:rPr>
          <w:lang w:val="en-CA"/>
        </w:rPr>
        <w:t xml:space="preserve"> </w:t>
      </w:r>
      <w:r w:rsidRPr="00961B9D">
        <w:rPr>
          <w:lang w:val="en-CA"/>
        </w:rPr>
        <w:t>resources must satisfy when connecting to an electric power system</w:t>
      </w:r>
      <w:r w:rsidR="00FE013C" w:rsidRPr="00BE55EA">
        <w:t xml:space="preserve">. Up to now, the basis of distribution-level interconnections is IEEE 1547. On the data </w:t>
      </w:r>
      <w:r w:rsidR="00580BAE">
        <w:t>center</w:t>
      </w:r>
      <w:r w:rsidR="00FE013C" w:rsidRPr="00BE55EA">
        <w:t xml:space="preserve"> scale, which typically involves medium-voltage or transmission-voltage installation with generation capacity ranging from 10 to 100 MW, the relevant standards that apply are IEEE 2800-2022 and Inverter-based resources (IBRs) </w:t>
      </w:r>
      <w:r w:rsidR="00FE013C">
        <w:fldChar w:fldCharType="begin"/>
      </w:r>
      <w:r w:rsidR="00E842C0">
        <w:instrText xml:space="preserve"> ADDIN ZOTERO_ITEM CSL_CITATION {"citationID":"PikiXW36","properties":{"unsorted":false,"formattedCitation":"[167]","plainCitation":"[167]","noteIndex":0},"citationItems":[{"id":2189,"uris":["http://zotero.org/users/9870935/items/U4Y7SALQ"],"itemData":{"id":2189,"type":"article-journal","abstract":"The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rsidR="00FE013C">
        <w:fldChar w:fldCharType="separate"/>
      </w:r>
      <w:r w:rsidR="00E842C0" w:rsidRPr="00E842C0">
        <w:t>[167]</w:t>
      </w:r>
      <w:r w:rsidR="00FE013C">
        <w:fldChar w:fldCharType="end"/>
      </w:r>
      <w:r w:rsidR="00FE013C" w:rsidRPr="00BE55EA">
        <w:t xml:space="preserve">. IBRs deployed in low-system-strength zones will soon become increasingly common in data </w:t>
      </w:r>
      <w:r w:rsidR="00580BAE">
        <w:t>center</w:t>
      </w:r>
      <w:r w:rsidR="00FE013C" w:rsidRPr="00BE55EA">
        <w:t>s, where the short circuit ratio (SCR) becomes an important measurement of grid stability to guarantee the stability of control</w:t>
      </w:r>
      <w:r w:rsidR="00FE013C">
        <w:fldChar w:fldCharType="begin"/>
      </w:r>
      <w:r w:rsidR="00E842C0">
        <w:instrText xml:space="preserve"> ADDIN ZOTERO_ITEM CSL_CITATION {"citationID":"XthWHI4E","properties":{"unsorted":false,"formattedCitation":"[135], [168]","plainCitation":"[135], [168]","noteIndex":0},"citationItems":[{"id":2097,"uris":["http://zotero.org/users/9870935/items/KGQXJHH9"],"itemData":{"id":2097,"type":"article-journal","container-title":"IEEE Access","DOI":"10.1109/ACCESS.2025.3546491","ISSN":"2169-3536","journalAbbreviation":"IEEE Access","license":"https://creativecommons.org/licenses/by/4.0/legalcode","page":"39912-39934","source":"DOI.org (Crossref)","title":"Power System Stability With High Penetration of Renewable Energy Sources: Challenges, Assessment, and Mitigation Strategies","title-short":"Power System Stability With High Penetration of Renewable Energy Sources","volume":"13","author":[{"family":"Ali","given":"Jana Sheikh"},{"family":"Qiblawey","given":"Yazan"},{"family":"Alassi","given":"Abdulrahman"},{"family":"Massoud","given":"Ahmed M."},{"family":"Muyeen","given":"S. M."},{"family":"Abu-Rub","given":"Haitham"}],"issued":{"date-parts":[["2025"]]}}},{"id":2196,"uris":["http://zotero.org/users/9870935/items/RLD3GZD9"],"itemData":{"id":2196,"type":"document","title":"Transmission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rsidR="00FE013C">
        <w:fldChar w:fldCharType="separate"/>
      </w:r>
      <w:r w:rsidR="00E842C0" w:rsidRPr="00E842C0">
        <w:t>[135], [168]</w:t>
      </w:r>
      <w:r w:rsidR="00FE013C">
        <w:fldChar w:fldCharType="end"/>
      </w:r>
      <w:r w:rsidR="00FE013C" w:rsidRPr="00BE55EA">
        <w:t xml:space="preserve">. In today's interconnection studies, IBR fault ride-through and dynamic voltage support during transients are given significant attention. </w:t>
      </w:r>
      <w:r w:rsidR="00FE013C" w:rsidRPr="002458A7">
        <w:t xml:space="preserve">FERC Order 2023 (issued July 2023, with implementation ongoing through 2027) represented a major reform </w:t>
      </w:r>
      <w:r w:rsidR="00FE013C" w:rsidRPr="00493D72">
        <w:t xml:space="preserve">of transmission interconnection procedures by shifting to cluster studies and </w:t>
      </w:r>
      <w:r w:rsidR="00DB7639" w:rsidRPr="00493D72">
        <w:t>penalizing</w:t>
      </w:r>
      <w:r w:rsidR="00FE013C" w:rsidRPr="00493D72">
        <w:t xml:space="preserve"> study delays. However, its implementation across regional transmission operators (RTOs) remains an ongoing challenge; as of the end of 2025, over 2,060 GW of generation and storage capacity was actively stalled in interconnection queues</w:t>
      </w:r>
      <w:r w:rsidR="00FE013C">
        <w:fldChar w:fldCharType="begin"/>
      </w:r>
      <w:r w:rsidR="00E842C0">
        <w:instrText xml:space="preserve"> ADDIN ZOTERO_ITEM CSL_CITATION {"citationID":"Px6p0cAj","properties":{"unsorted":false,"formattedCitation":"[169]","plainCitation":"[169]","noteIndex":0},"citationItems":[{"id":2190,"uris":["http://zotero.org/users/9870935/items/YT24FZW9"],"itemData":{"id":2190,"type":"article-journal","DOI":"10.13140/RG.2.2.12274.67520","language":"en","publisher":"Lawrence Berkeley National Laboratory","source":"DOI.org (Datacite)","title":"Up: 2025 Edition, Characteristics of Power Plants Seeking Transmission Interconnection As of the End of 2024","title-short":"Up","URL":"https://www.researchgate.net/doi/10.13140/RG.2.2.12274.67520","author":[{"family":"Rand","given":"Joseph"},{"family":"Manderlink","given":"Nick"},{"family":"Zhang","given":"Steven"},{"family":"Kahrl","given":"Fredrich"},{"family":"Jeong","given":"Seongeun"},{"family":"Gorman","given":"Will"},{"family":"Kemp","given":"Julie Mulvaney"},{"family":"Seel","given":"Joachim"},{"family":"Wiser","given":"Ryan"},{"literal":"chris talley"}],"accessed":{"date-parts":[["2026",6,6]]},"issued":{"date-parts":[["2025"]]}}}],"schema":"https://github.com/citation-style-language/schema/raw/master/csl-citation.json"} </w:instrText>
      </w:r>
      <w:r w:rsidR="00FE013C">
        <w:fldChar w:fldCharType="separate"/>
      </w:r>
      <w:r w:rsidR="00E842C0" w:rsidRPr="00E842C0">
        <w:t>[169]</w:t>
      </w:r>
      <w:r w:rsidR="00FE013C">
        <w:fldChar w:fldCharType="end"/>
      </w:r>
      <w:r w:rsidR="00FE013C" w:rsidRPr="00493D72">
        <w:t>.</w:t>
      </w:r>
    </w:p>
    <w:p w14:paraId="6108CE48" w14:textId="77777777" w:rsidR="00FE013C" w:rsidRDefault="00FE013C" w:rsidP="004C16FF">
      <w:pPr>
        <w:pStyle w:val="Heading20"/>
        <w:jc w:val="both"/>
      </w:pPr>
      <w:r w:rsidRPr="00E75DCC">
        <w:rPr>
          <w:color w:val="auto"/>
        </w:rPr>
        <w:t>1</w:t>
      </w:r>
      <w:r>
        <w:rPr>
          <w:color w:val="auto"/>
        </w:rPr>
        <w:t>2.2</w:t>
      </w:r>
      <w:r w:rsidRPr="00E75DCC">
        <w:rPr>
          <w:color w:val="auto"/>
        </w:rPr>
        <w:t xml:space="preserve"> </w:t>
      </w:r>
      <w:r>
        <w:t>Renewable Energy Policies and Mandates</w:t>
      </w:r>
    </w:p>
    <w:p w14:paraId="29DE9772" w14:textId="354C6E11" w:rsidR="00FE013C" w:rsidRPr="00EB3CAD" w:rsidRDefault="00FE013C" w:rsidP="00E842C0">
      <w:pPr>
        <w:spacing w:after="120"/>
        <w:ind w:firstLine="480"/>
      </w:pPr>
      <w:r w:rsidRPr="00EB3CAD">
        <w:t>Renewable Portfolio Standards (RPS) and Clean Energy Standards (CES) require utilities to buy a percentage of electricity from renewables. State-level calls for corporate renewable procurement persist in the United States. However, as AI workloads continue to ramp up at an unprecedented rate, they have rapidly accelerated the shift in procurement moves, projecting up to 945 TWh yearly worldwide by 2030</w:t>
      </w:r>
      <w:r>
        <w:fldChar w:fldCharType="begin"/>
      </w:r>
      <w:r w:rsidR="00E842C0">
        <w:instrText xml:space="preserve"> ADDIN ZOTERO_ITEM CSL_CITATION {"citationID":"2uQLzaxM","properties":{"unsorted":false,"formattedCitation":"[170]","plainCitation":"[170]","noteIndex":0},"citationItems":[{"id":2191,"uris":["http://zotero.org/users/9870935/items/PGQT4HIW"],"itemData":{"id":2191,"type":"document","title":"ENVIRONMENTAL COST OF AI'S ENERGY USE","author":[{"family":"UN","given":""}]}}],"schema":"https://github.com/citation-style-language/schema/raw/master/csl-citation.json"} </w:instrText>
      </w:r>
      <w:r>
        <w:fldChar w:fldCharType="separate"/>
      </w:r>
      <w:r w:rsidR="00E842C0" w:rsidRPr="00E842C0">
        <w:t>[170]</w:t>
      </w:r>
      <w:r>
        <w:fldChar w:fldCharType="end"/>
      </w:r>
      <w:r w:rsidRPr="00EB3CAD">
        <w:t xml:space="preserve">. In response to this demand, leading data </w:t>
      </w:r>
      <w:r w:rsidR="00580BAE">
        <w:t>center</w:t>
      </w:r>
      <w:r w:rsidRPr="00EB3CAD">
        <w:t xml:space="preserve"> companies are turning to nuclear generation partnership arrangements alongside traditional wind and solar PPAs to obtain baseload zero-carbon electricity. The EU Renewable Energy Directive (RED III) lays out a legal 42.5</w:t>
      </w:r>
      <w:r>
        <w:t xml:space="preserve">% </w:t>
      </w:r>
      <w:r w:rsidRPr="00EB3CAD">
        <w:t>RE target in Europe until 2030. This legislation (reported requirements) is now functioning as a catalyst for the creation of direct corporate PPAs and clean generation schemes</w:t>
      </w:r>
      <w:r>
        <w:fldChar w:fldCharType="begin"/>
      </w:r>
      <w:r w:rsidR="00E842C0">
        <w:instrText xml:space="preserve"> ADDIN ZOTERO_ITEM CSL_CITATION {"citationID":"ufdpjCHf","properties":{"unsorted":false,"formattedCitation":"[171]","plainCitation":"[171]","noteIndex":0},"citationItems":[{"id":2193,"uris":["http://zotero.org/users/9870935/items/VDQUTJZK"],"itemData":{"id":2193,"type":"document","title":"Powering AI: How Do Data Centers Affect Renewable Energy Investment?","URL":"https://papers.ssrn.com/sol3/papers.cfm?abstract_id=6426079","author":[{"literal":"Alexander Heiss"},{"literal":"Zacharias Sautner"},{"literal":"Zacharias Sautner"}]}}],"schema":"https://github.com/citation-style-language/schema/raw/master/csl-citation.json"} </w:instrText>
      </w:r>
      <w:r>
        <w:fldChar w:fldCharType="separate"/>
      </w:r>
      <w:r w:rsidR="00E842C0" w:rsidRPr="00E842C0">
        <w:t>[171]</w:t>
      </w:r>
      <w:r>
        <w:fldChar w:fldCharType="end"/>
      </w:r>
      <w:r w:rsidRPr="00EB3CAD">
        <w:t>.</w:t>
      </w:r>
    </w:p>
    <w:p w14:paraId="5B64AA7B" w14:textId="77777777" w:rsidR="00FE013C" w:rsidRDefault="00FE013C" w:rsidP="004C16FF">
      <w:pPr>
        <w:pStyle w:val="Heading20"/>
        <w:jc w:val="both"/>
      </w:pPr>
      <w:r w:rsidRPr="00E75DCC">
        <w:rPr>
          <w:color w:val="auto"/>
        </w:rPr>
        <w:t>1</w:t>
      </w:r>
      <w:r>
        <w:rPr>
          <w:color w:val="auto"/>
        </w:rPr>
        <w:t>2.3</w:t>
      </w:r>
      <w:r w:rsidRPr="00E75DCC">
        <w:rPr>
          <w:color w:val="auto"/>
        </w:rPr>
        <w:t xml:space="preserve"> </w:t>
      </w:r>
      <w:r>
        <w:t>Carbon Accounting and Environmental Reporting</w:t>
      </w:r>
    </w:p>
    <w:p w14:paraId="3FED281F" w14:textId="11321251" w:rsidR="00FE013C" w:rsidRDefault="00FE013C" w:rsidP="001D1223">
      <w:pPr>
        <w:spacing w:after="120"/>
        <w:ind w:firstLine="480"/>
      </w:pPr>
      <w:r w:rsidRPr="00AC40BA">
        <w:t xml:space="preserve">The standard framework for corporate carbon accounting is the Greenhouse Gas (GHG) Protocol. Scope 2 emissions include those arising from purchased electricity, using either location-based or market-based accounting methods. The transition to 24/7 carbon-free Energy (CFE) – pairing every hour of electricity usage with carbon-free electricity generation – has proven to be the new benchmark for data </w:t>
      </w:r>
      <w:r w:rsidR="00580BAE">
        <w:t>center</w:t>
      </w:r>
      <w:r w:rsidRPr="00AC40BA">
        <w:t xml:space="preserve"> sustainability. </w:t>
      </w:r>
      <w:r w:rsidRPr="00BD018A">
        <w:t>Implementing 24/7 CFE requires sub-hourly granular data, advanced forecasting, and stringent temporal and spatial carbon accounting frameworks to verify continuous clean energy alignment and prevent the double-counting of clean energy attributes</w:t>
      </w:r>
      <w:r>
        <w:fldChar w:fldCharType="begin"/>
      </w:r>
      <w:r w:rsidR="001D1223">
        <w:instrText xml:space="preserve"> ADDIN ZOTERO_ITEM CSL_CITATION {"citationID":"n6iDXFFL","properties":{"unsorted":false,"formattedCitation":"[64]","plainCitation":"[64]","noteIndex":0},"citationItems":[{"id":2194,"uris":["http://zotero.org/users/9870935/items/HM8VYHDA"],"itemData":{"id":2194,"type":"article-journal","container-title":"Joule","DOI":"10.1016/j.joule.2023.12.007","ISSN":"25424351","issue":"2","journalAbbreviation":"Joule","language":"en","page":"374-400","source":"DOI.org (Crossref)","title":"System-level impacts of voluntary carbon-free electricity procurement strategies","volume":"8","author":[{"family":"Xu","given":"Qingyu"},{"family":"Ricks","given":"Wilson"},{"family":"Manocha","given":"Aneesha"},{"family":"Patankar","given":"Neha"},{"family":"Jenkins","given":"Jesse D."}],"issued":{"date-parts":[["2024",2]]}}}],"schema":"https://github.com/citation-style-language/schema/raw/master/csl-citation.json"} </w:instrText>
      </w:r>
      <w:r>
        <w:fldChar w:fldCharType="separate"/>
      </w:r>
      <w:r w:rsidR="001D1223" w:rsidRPr="001D1223">
        <w:t>[64]</w:t>
      </w:r>
      <w:r>
        <w:fldChar w:fldCharType="end"/>
      </w:r>
      <w:r w:rsidRPr="00AC40BA">
        <w:t>.</w:t>
      </w:r>
      <w:r w:rsidR="00490AAB">
        <w:t xml:space="preserve"> </w:t>
      </w:r>
      <w:r w:rsidR="00490AAB">
        <w:fldChar w:fldCharType="begin"/>
      </w:r>
      <w:r w:rsidR="00490AAB">
        <w:instrText xml:space="preserve"> REF _Ref239530982 \h </w:instrText>
      </w:r>
      <w:r w:rsidR="00490AAB">
        <w:fldChar w:fldCharType="separate"/>
      </w:r>
      <w:r w:rsidR="00490AAB">
        <w:t xml:space="preserve">Table </w:t>
      </w:r>
      <w:r w:rsidR="00490AAB">
        <w:rPr>
          <w:noProof/>
        </w:rPr>
        <w:t>10</w:t>
      </w:r>
      <w:r w:rsidR="00490AAB">
        <w:t xml:space="preserve"> </w:t>
      </w:r>
      <w:r w:rsidR="00490AAB" w:rsidRPr="003D249D">
        <w:lastRenderedPageBreak/>
        <w:t>Common Sustainability Metrics Used in Renewable-Powered AI Data Centers</w:t>
      </w:r>
      <w:r w:rsidR="00490AAB">
        <w:fldChar w:fldCharType="end"/>
      </w:r>
      <w:r w:rsidR="00490AAB">
        <w:t xml:space="preserve">, </w:t>
      </w:r>
      <w:r w:rsidR="00490AAB" w:rsidRPr="00490AAB">
        <w:t>summarizes the principal sustainability metrics used to evaluate the energy and environmental performance of AI data centers, including energy efficiency, carbon performance, water consumption, renewable-energy matching, and lifecycle indicators. These metrics represent different dimensions of sustainability and should therefore be interpreted collectively rather than as interchangeable measures of overall facility performance.</w:t>
      </w:r>
    </w:p>
    <w:p w14:paraId="74FFE71C" w14:textId="045E0A7C" w:rsidR="003A45CA" w:rsidRDefault="003A45CA" w:rsidP="003A45CA">
      <w:pPr>
        <w:pStyle w:val="Caption"/>
        <w:keepNext/>
      </w:pPr>
      <w:bookmarkStart w:id="29" w:name="_Ref239530982"/>
      <w:r>
        <w:t xml:space="preserve">Table </w:t>
      </w:r>
      <w:r>
        <w:fldChar w:fldCharType="begin"/>
      </w:r>
      <w:r>
        <w:instrText xml:space="preserve"> SEQ Table \* ARABIC </w:instrText>
      </w:r>
      <w:r>
        <w:fldChar w:fldCharType="separate"/>
      </w:r>
      <w:r>
        <w:rPr>
          <w:noProof/>
        </w:rPr>
        <w:t>10</w:t>
      </w:r>
      <w:r>
        <w:fldChar w:fldCharType="end"/>
      </w:r>
      <w:r>
        <w:t xml:space="preserve"> </w:t>
      </w:r>
      <w:r w:rsidRPr="003D249D">
        <w:t>Common Sustainability Metrics Used in Renewable-Powered AI Data Centers</w:t>
      </w:r>
      <w:bookmarkEnd w:id="29"/>
    </w:p>
    <w:tbl>
      <w:tblPr>
        <w:tblStyle w:val="MDPI41threelinetable"/>
        <w:tblW w:w="0" w:type="auto"/>
        <w:tblLook w:val="04A0" w:firstRow="1" w:lastRow="0" w:firstColumn="1" w:lastColumn="0" w:noHBand="0" w:noVBand="1"/>
      </w:tblPr>
      <w:tblGrid>
        <w:gridCol w:w="1872"/>
        <w:gridCol w:w="2559"/>
        <w:gridCol w:w="1764"/>
        <w:gridCol w:w="1847"/>
        <w:gridCol w:w="1710"/>
      </w:tblGrid>
      <w:tr w:rsidR="00A2637A" w:rsidRPr="00D14A4D" w14:paraId="59C7E5F8" w14:textId="77777777" w:rsidTr="00A2637A">
        <w:trPr>
          <w:cnfStyle w:val="100000000000" w:firstRow="1" w:lastRow="0" w:firstColumn="0" w:lastColumn="0" w:oddVBand="0" w:evenVBand="0" w:oddHBand="0" w:evenHBand="0" w:firstRowFirstColumn="0" w:firstRowLastColumn="0" w:lastRowFirstColumn="0" w:lastRowLastColumn="0"/>
        </w:trPr>
        <w:tc>
          <w:tcPr>
            <w:tcW w:w="0" w:type="auto"/>
            <w:hideMark/>
          </w:tcPr>
          <w:p w14:paraId="5E8D3A96" w14:textId="77777777" w:rsidR="00A2637A" w:rsidRPr="00D14A4D" w:rsidRDefault="00A2637A" w:rsidP="00A2637A">
            <w:pPr>
              <w:spacing w:after="120"/>
              <w:ind w:firstLine="480"/>
              <w:rPr>
                <w:bCs/>
                <w:color w:val="EE0000"/>
                <w:sz w:val="18"/>
                <w:szCs w:val="18"/>
              </w:rPr>
            </w:pPr>
            <w:commentRangeStart w:id="30"/>
            <w:r w:rsidRPr="00D14A4D">
              <w:rPr>
                <w:bCs/>
                <w:color w:val="EE0000"/>
                <w:sz w:val="18"/>
                <w:szCs w:val="18"/>
              </w:rPr>
              <w:t>Metric</w:t>
            </w:r>
          </w:p>
        </w:tc>
        <w:tc>
          <w:tcPr>
            <w:tcW w:w="0" w:type="auto"/>
            <w:hideMark/>
          </w:tcPr>
          <w:p w14:paraId="6B0D7C0F" w14:textId="77777777" w:rsidR="00A2637A" w:rsidRPr="00D14A4D" w:rsidRDefault="00A2637A" w:rsidP="00A2637A">
            <w:pPr>
              <w:spacing w:after="120"/>
              <w:ind w:firstLine="480"/>
              <w:rPr>
                <w:bCs/>
                <w:color w:val="EE0000"/>
                <w:sz w:val="18"/>
                <w:szCs w:val="18"/>
              </w:rPr>
            </w:pPr>
            <w:r w:rsidRPr="00D14A4D">
              <w:rPr>
                <w:bCs/>
                <w:color w:val="EE0000"/>
                <w:sz w:val="18"/>
                <w:szCs w:val="18"/>
              </w:rPr>
              <w:t>Definition</w:t>
            </w:r>
          </w:p>
        </w:tc>
        <w:tc>
          <w:tcPr>
            <w:tcW w:w="0" w:type="auto"/>
            <w:hideMark/>
          </w:tcPr>
          <w:p w14:paraId="7F5D370B" w14:textId="77777777" w:rsidR="00A2637A" w:rsidRPr="00D14A4D" w:rsidRDefault="00A2637A" w:rsidP="00A2637A">
            <w:pPr>
              <w:spacing w:after="120"/>
              <w:ind w:firstLine="480"/>
              <w:rPr>
                <w:bCs/>
                <w:color w:val="EE0000"/>
                <w:sz w:val="18"/>
                <w:szCs w:val="18"/>
              </w:rPr>
            </w:pPr>
            <w:r w:rsidRPr="00D14A4D">
              <w:rPr>
                <w:bCs/>
                <w:color w:val="EE0000"/>
                <w:sz w:val="18"/>
                <w:szCs w:val="18"/>
              </w:rPr>
              <w:t>Units</w:t>
            </w:r>
          </w:p>
        </w:tc>
        <w:tc>
          <w:tcPr>
            <w:tcW w:w="0" w:type="auto"/>
            <w:hideMark/>
          </w:tcPr>
          <w:p w14:paraId="36159AE8" w14:textId="77777777" w:rsidR="00A2637A" w:rsidRPr="00D14A4D" w:rsidRDefault="00A2637A" w:rsidP="00A2637A">
            <w:pPr>
              <w:spacing w:after="120"/>
              <w:ind w:firstLine="480"/>
              <w:rPr>
                <w:bCs/>
                <w:color w:val="EE0000"/>
                <w:sz w:val="18"/>
                <w:szCs w:val="18"/>
              </w:rPr>
            </w:pPr>
            <w:r w:rsidRPr="00D14A4D">
              <w:rPr>
                <w:bCs/>
                <w:color w:val="EE0000"/>
                <w:sz w:val="18"/>
                <w:szCs w:val="18"/>
              </w:rPr>
              <w:t>Primary Purpose</w:t>
            </w:r>
          </w:p>
        </w:tc>
        <w:tc>
          <w:tcPr>
            <w:tcW w:w="0" w:type="auto"/>
            <w:hideMark/>
          </w:tcPr>
          <w:p w14:paraId="75E47E22" w14:textId="77777777" w:rsidR="00A2637A" w:rsidRPr="00D14A4D" w:rsidRDefault="00A2637A" w:rsidP="00A2637A">
            <w:pPr>
              <w:spacing w:after="120"/>
              <w:ind w:firstLine="480"/>
              <w:rPr>
                <w:bCs/>
                <w:color w:val="EE0000"/>
                <w:sz w:val="18"/>
                <w:szCs w:val="18"/>
              </w:rPr>
            </w:pPr>
            <w:r w:rsidRPr="00D14A4D">
              <w:rPr>
                <w:bCs/>
                <w:color w:val="EE0000"/>
                <w:sz w:val="18"/>
                <w:szCs w:val="18"/>
              </w:rPr>
              <w:t>Typical Boundary</w:t>
            </w:r>
          </w:p>
        </w:tc>
      </w:tr>
      <w:tr w:rsidR="00A2637A" w:rsidRPr="00D14A4D" w14:paraId="46C3F937" w14:textId="77777777" w:rsidTr="00A2637A">
        <w:tc>
          <w:tcPr>
            <w:tcW w:w="0" w:type="auto"/>
            <w:hideMark/>
          </w:tcPr>
          <w:p w14:paraId="64CE529A" w14:textId="77777777" w:rsidR="00A2637A" w:rsidRPr="00D14A4D" w:rsidRDefault="00A2637A" w:rsidP="00A2637A">
            <w:pPr>
              <w:spacing w:after="120"/>
              <w:ind w:firstLine="480"/>
              <w:rPr>
                <w:color w:val="EE0000"/>
                <w:sz w:val="18"/>
                <w:szCs w:val="18"/>
              </w:rPr>
            </w:pPr>
            <w:r w:rsidRPr="00D14A4D">
              <w:rPr>
                <w:color w:val="EE0000"/>
                <w:sz w:val="18"/>
                <w:szCs w:val="18"/>
              </w:rPr>
              <w:t>PUE (Power Usage Effectiveness)</w:t>
            </w:r>
          </w:p>
        </w:tc>
        <w:tc>
          <w:tcPr>
            <w:tcW w:w="0" w:type="auto"/>
            <w:hideMark/>
          </w:tcPr>
          <w:p w14:paraId="5A43D348" w14:textId="77777777" w:rsidR="00A2637A" w:rsidRPr="00D14A4D" w:rsidRDefault="00A2637A" w:rsidP="00A2637A">
            <w:pPr>
              <w:spacing w:after="120"/>
              <w:ind w:firstLine="480"/>
              <w:rPr>
                <w:color w:val="EE0000"/>
                <w:sz w:val="18"/>
                <w:szCs w:val="18"/>
              </w:rPr>
            </w:pPr>
            <w:r w:rsidRPr="00D14A4D">
              <w:rPr>
                <w:color w:val="EE0000"/>
                <w:sz w:val="18"/>
                <w:szCs w:val="18"/>
              </w:rPr>
              <w:t>Ratio of total facility energy consumption to IT-equipment energy consumption</w:t>
            </w:r>
          </w:p>
        </w:tc>
        <w:tc>
          <w:tcPr>
            <w:tcW w:w="0" w:type="auto"/>
            <w:hideMark/>
          </w:tcPr>
          <w:p w14:paraId="770D5C3A" w14:textId="77777777" w:rsidR="00A2637A" w:rsidRPr="00D14A4D" w:rsidRDefault="00A2637A" w:rsidP="00A2637A">
            <w:pPr>
              <w:spacing w:after="120"/>
              <w:ind w:firstLine="480"/>
              <w:rPr>
                <w:color w:val="EE0000"/>
                <w:sz w:val="18"/>
                <w:szCs w:val="18"/>
              </w:rPr>
            </w:pPr>
            <w:r w:rsidRPr="00D14A4D">
              <w:rPr>
                <w:color w:val="EE0000"/>
                <w:sz w:val="18"/>
                <w:szCs w:val="18"/>
              </w:rPr>
              <w:t>Dimensionless</w:t>
            </w:r>
          </w:p>
        </w:tc>
        <w:tc>
          <w:tcPr>
            <w:tcW w:w="0" w:type="auto"/>
            <w:hideMark/>
          </w:tcPr>
          <w:p w14:paraId="56980C90" w14:textId="77777777" w:rsidR="00A2637A" w:rsidRPr="00D14A4D" w:rsidRDefault="00A2637A" w:rsidP="00A2637A">
            <w:pPr>
              <w:spacing w:after="120"/>
              <w:ind w:firstLine="480"/>
              <w:rPr>
                <w:color w:val="EE0000"/>
                <w:sz w:val="18"/>
                <w:szCs w:val="18"/>
              </w:rPr>
            </w:pPr>
            <w:r w:rsidRPr="00D14A4D">
              <w:rPr>
                <w:color w:val="EE0000"/>
                <w:sz w:val="18"/>
                <w:szCs w:val="18"/>
              </w:rPr>
              <w:t>Energy-efficiency assessment</w:t>
            </w:r>
          </w:p>
        </w:tc>
        <w:tc>
          <w:tcPr>
            <w:tcW w:w="0" w:type="auto"/>
            <w:hideMark/>
          </w:tcPr>
          <w:p w14:paraId="2226D4F1" w14:textId="77777777" w:rsidR="00A2637A" w:rsidRPr="00D14A4D" w:rsidRDefault="00A2637A" w:rsidP="00A2637A">
            <w:pPr>
              <w:spacing w:after="120"/>
              <w:ind w:firstLine="480"/>
              <w:rPr>
                <w:color w:val="EE0000"/>
                <w:sz w:val="18"/>
                <w:szCs w:val="18"/>
              </w:rPr>
            </w:pPr>
            <w:r w:rsidRPr="00D14A4D">
              <w:rPr>
                <w:color w:val="EE0000"/>
                <w:sz w:val="18"/>
                <w:szCs w:val="18"/>
              </w:rPr>
              <w:t>Facility operation</w:t>
            </w:r>
          </w:p>
        </w:tc>
      </w:tr>
      <w:tr w:rsidR="00A2637A" w:rsidRPr="00D14A4D" w14:paraId="2AD2109C" w14:textId="77777777" w:rsidTr="00A2637A">
        <w:tc>
          <w:tcPr>
            <w:tcW w:w="0" w:type="auto"/>
            <w:hideMark/>
          </w:tcPr>
          <w:p w14:paraId="673CA0C0" w14:textId="77777777" w:rsidR="00A2637A" w:rsidRPr="00D14A4D" w:rsidRDefault="00A2637A" w:rsidP="00A2637A">
            <w:pPr>
              <w:spacing w:after="120"/>
              <w:ind w:firstLine="480"/>
              <w:rPr>
                <w:color w:val="EE0000"/>
                <w:sz w:val="18"/>
                <w:szCs w:val="18"/>
              </w:rPr>
            </w:pPr>
            <w:r w:rsidRPr="00D14A4D">
              <w:rPr>
                <w:color w:val="EE0000"/>
                <w:sz w:val="18"/>
                <w:szCs w:val="18"/>
              </w:rPr>
              <w:t>WUE (Water Usage Effectiveness)</w:t>
            </w:r>
          </w:p>
        </w:tc>
        <w:tc>
          <w:tcPr>
            <w:tcW w:w="0" w:type="auto"/>
            <w:hideMark/>
          </w:tcPr>
          <w:p w14:paraId="1BEFC390" w14:textId="77777777" w:rsidR="00A2637A" w:rsidRPr="00D14A4D" w:rsidRDefault="00A2637A" w:rsidP="00A2637A">
            <w:pPr>
              <w:spacing w:after="120"/>
              <w:ind w:firstLine="480"/>
              <w:rPr>
                <w:color w:val="EE0000"/>
                <w:sz w:val="18"/>
                <w:szCs w:val="18"/>
              </w:rPr>
            </w:pPr>
            <w:r w:rsidRPr="00D14A4D">
              <w:rPr>
                <w:color w:val="EE0000"/>
                <w:sz w:val="18"/>
                <w:szCs w:val="18"/>
              </w:rPr>
              <w:t>Annual water consumption divided by IT-equipment energy consumption</w:t>
            </w:r>
          </w:p>
        </w:tc>
        <w:tc>
          <w:tcPr>
            <w:tcW w:w="0" w:type="auto"/>
            <w:hideMark/>
          </w:tcPr>
          <w:p w14:paraId="582E2EAC" w14:textId="77777777" w:rsidR="00A2637A" w:rsidRPr="00D14A4D" w:rsidRDefault="00A2637A" w:rsidP="00A2637A">
            <w:pPr>
              <w:spacing w:after="120"/>
              <w:ind w:firstLine="480"/>
              <w:rPr>
                <w:color w:val="EE0000"/>
                <w:sz w:val="18"/>
                <w:szCs w:val="18"/>
              </w:rPr>
            </w:pPr>
            <w:r w:rsidRPr="00D14A4D">
              <w:rPr>
                <w:color w:val="EE0000"/>
                <w:sz w:val="18"/>
                <w:szCs w:val="18"/>
              </w:rPr>
              <w:t>L/kWhIT</w:t>
            </w:r>
          </w:p>
        </w:tc>
        <w:tc>
          <w:tcPr>
            <w:tcW w:w="0" w:type="auto"/>
            <w:hideMark/>
          </w:tcPr>
          <w:p w14:paraId="7EC161A2" w14:textId="77777777" w:rsidR="00A2637A" w:rsidRPr="00D14A4D" w:rsidRDefault="00A2637A" w:rsidP="00A2637A">
            <w:pPr>
              <w:spacing w:after="120"/>
              <w:ind w:firstLine="480"/>
              <w:rPr>
                <w:color w:val="EE0000"/>
                <w:sz w:val="18"/>
                <w:szCs w:val="18"/>
              </w:rPr>
            </w:pPr>
            <w:r w:rsidRPr="00D14A4D">
              <w:rPr>
                <w:color w:val="EE0000"/>
                <w:sz w:val="18"/>
                <w:szCs w:val="18"/>
              </w:rPr>
              <w:t>Water-use assessment</w:t>
            </w:r>
          </w:p>
        </w:tc>
        <w:tc>
          <w:tcPr>
            <w:tcW w:w="0" w:type="auto"/>
            <w:hideMark/>
          </w:tcPr>
          <w:p w14:paraId="5BCB8C4B" w14:textId="77777777" w:rsidR="00A2637A" w:rsidRPr="00D14A4D" w:rsidRDefault="00A2637A" w:rsidP="00A2637A">
            <w:pPr>
              <w:spacing w:after="120"/>
              <w:ind w:firstLine="480"/>
              <w:rPr>
                <w:color w:val="EE0000"/>
                <w:sz w:val="18"/>
                <w:szCs w:val="18"/>
              </w:rPr>
            </w:pPr>
            <w:r w:rsidRPr="00D14A4D">
              <w:rPr>
                <w:color w:val="EE0000"/>
                <w:sz w:val="18"/>
                <w:szCs w:val="18"/>
              </w:rPr>
              <w:t>Facility operation</w:t>
            </w:r>
          </w:p>
        </w:tc>
      </w:tr>
      <w:tr w:rsidR="00A2637A" w:rsidRPr="00D14A4D" w14:paraId="0CC03609" w14:textId="77777777" w:rsidTr="00A2637A">
        <w:tc>
          <w:tcPr>
            <w:tcW w:w="0" w:type="auto"/>
            <w:hideMark/>
          </w:tcPr>
          <w:p w14:paraId="57D3F1B5" w14:textId="77777777" w:rsidR="00A2637A" w:rsidRPr="00D14A4D" w:rsidRDefault="00A2637A" w:rsidP="00A2637A">
            <w:pPr>
              <w:spacing w:after="120"/>
              <w:ind w:firstLine="480"/>
              <w:rPr>
                <w:color w:val="EE0000"/>
                <w:sz w:val="18"/>
                <w:szCs w:val="18"/>
              </w:rPr>
            </w:pPr>
            <w:r w:rsidRPr="00D14A4D">
              <w:rPr>
                <w:color w:val="EE0000"/>
                <w:sz w:val="18"/>
                <w:szCs w:val="18"/>
              </w:rPr>
              <w:t>Operational Carbon Intensity (or CUE)</w:t>
            </w:r>
          </w:p>
        </w:tc>
        <w:tc>
          <w:tcPr>
            <w:tcW w:w="0" w:type="auto"/>
            <w:hideMark/>
          </w:tcPr>
          <w:p w14:paraId="78ECA011" w14:textId="77777777" w:rsidR="00A2637A" w:rsidRPr="00D14A4D" w:rsidRDefault="00A2637A" w:rsidP="00A2637A">
            <w:pPr>
              <w:spacing w:after="120"/>
              <w:ind w:firstLine="480"/>
              <w:rPr>
                <w:color w:val="EE0000"/>
                <w:sz w:val="18"/>
                <w:szCs w:val="18"/>
              </w:rPr>
            </w:pPr>
            <w:r w:rsidRPr="00D14A4D">
              <w:rPr>
                <w:color w:val="EE0000"/>
                <w:sz w:val="18"/>
                <w:szCs w:val="18"/>
              </w:rPr>
              <w:t>Operational greenhouse-gas emissions relative to electricity consumption</w:t>
            </w:r>
          </w:p>
        </w:tc>
        <w:tc>
          <w:tcPr>
            <w:tcW w:w="0" w:type="auto"/>
            <w:hideMark/>
          </w:tcPr>
          <w:p w14:paraId="28C59AEC" w14:textId="77777777" w:rsidR="00A2637A" w:rsidRPr="00D14A4D" w:rsidRDefault="00A2637A" w:rsidP="00A2637A">
            <w:pPr>
              <w:spacing w:after="120"/>
              <w:ind w:firstLine="480"/>
              <w:rPr>
                <w:color w:val="EE0000"/>
                <w:sz w:val="18"/>
                <w:szCs w:val="18"/>
              </w:rPr>
            </w:pPr>
            <w:r w:rsidRPr="00D14A4D">
              <w:rPr>
                <w:color w:val="EE0000"/>
                <w:sz w:val="18"/>
                <w:szCs w:val="18"/>
              </w:rPr>
              <w:t>kg CO₂e/kWh</w:t>
            </w:r>
          </w:p>
        </w:tc>
        <w:tc>
          <w:tcPr>
            <w:tcW w:w="0" w:type="auto"/>
            <w:hideMark/>
          </w:tcPr>
          <w:p w14:paraId="3FD51531" w14:textId="77777777" w:rsidR="00A2637A" w:rsidRPr="00D14A4D" w:rsidRDefault="00A2637A" w:rsidP="00A2637A">
            <w:pPr>
              <w:spacing w:after="120"/>
              <w:ind w:firstLine="480"/>
              <w:rPr>
                <w:color w:val="EE0000"/>
                <w:sz w:val="18"/>
                <w:szCs w:val="18"/>
              </w:rPr>
            </w:pPr>
            <w:r w:rsidRPr="00D14A4D">
              <w:rPr>
                <w:color w:val="EE0000"/>
                <w:sz w:val="18"/>
                <w:szCs w:val="18"/>
              </w:rPr>
              <w:t>Carbon-performance assessment</w:t>
            </w:r>
          </w:p>
        </w:tc>
        <w:tc>
          <w:tcPr>
            <w:tcW w:w="0" w:type="auto"/>
            <w:hideMark/>
          </w:tcPr>
          <w:p w14:paraId="6C9AE140" w14:textId="77777777" w:rsidR="00A2637A" w:rsidRPr="00D14A4D" w:rsidRDefault="00A2637A" w:rsidP="00A2637A">
            <w:pPr>
              <w:spacing w:after="120"/>
              <w:ind w:firstLine="480"/>
              <w:rPr>
                <w:color w:val="EE0000"/>
                <w:sz w:val="18"/>
                <w:szCs w:val="18"/>
              </w:rPr>
            </w:pPr>
            <w:r w:rsidRPr="00D14A4D">
              <w:rPr>
                <w:color w:val="EE0000"/>
                <w:sz w:val="18"/>
                <w:szCs w:val="18"/>
              </w:rPr>
              <w:t>Electricity consumption</w:t>
            </w:r>
          </w:p>
        </w:tc>
      </w:tr>
      <w:tr w:rsidR="00A2637A" w:rsidRPr="00D14A4D" w14:paraId="14FB0BC6" w14:textId="77777777" w:rsidTr="00A2637A">
        <w:tc>
          <w:tcPr>
            <w:tcW w:w="0" w:type="auto"/>
            <w:hideMark/>
          </w:tcPr>
          <w:p w14:paraId="44E5AC65" w14:textId="77777777" w:rsidR="00A2637A" w:rsidRPr="00D14A4D" w:rsidRDefault="00A2637A" w:rsidP="00A2637A">
            <w:pPr>
              <w:spacing w:after="120"/>
              <w:ind w:firstLine="480"/>
              <w:rPr>
                <w:color w:val="EE0000"/>
                <w:sz w:val="18"/>
                <w:szCs w:val="18"/>
              </w:rPr>
            </w:pPr>
            <w:r w:rsidRPr="00D14A4D">
              <w:rPr>
                <w:color w:val="EE0000"/>
                <w:sz w:val="18"/>
                <w:szCs w:val="18"/>
              </w:rPr>
              <w:t>Hourly CFE Score</w:t>
            </w:r>
          </w:p>
        </w:tc>
        <w:tc>
          <w:tcPr>
            <w:tcW w:w="0" w:type="auto"/>
            <w:hideMark/>
          </w:tcPr>
          <w:p w14:paraId="3A137037" w14:textId="77777777" w:rsidR="00A2637A" w:rsidRPr="00D14A4D" w:rsidRDefault="00A2637A" w:rsidP="00A2637A">
            <w:pPr>
              <w:spacing w:after="120"/>
              <w:ind w:firstLine="480"/>
              <w:rPr>
                <w:color w:val="EE0000"/>
                <w:sz w:val="18"/>
                <w:szCs w:val="18"/>
              </w:rPr>
            </w:pPr>
            <w:r w:rsidRPr="00D14A4D">
              <w:rPr>
                <w:color w:val="EE0000"/>
                <w:sz w:val="18"/>
                <w:szCs w:val="18"/>
              </w:rPr>
              <w:t>Fraction of electricity consumption matched hourly by carbon-free energy resources</w:t>
            </w:r>
          </w:p>
        </w:tc>
        <w:tc>
          <w:tcPr>
            <w:tcW w:w="0" w:type="auto"/>
            <w:hideMark/>
          </w:tcPr>
          <w:p w14:paraId="16C4B970" w14:textId="77777777" w:rsidR="00A2637A" w:rsidRPr="00D14A4D" w:rsidRDefault="00A2637A" w:rsidP="00A2637A">
            <w:pPr>
              <w:spacing w:after="120"/>
              <w:ind w:firstLine="480"/>
              <w:rPr>
                <w:color w:val="EE0000"/>
                <w:sz w:val="18"/>
                <w:szCs w:val="18"/>
              </w:rPr>
            </w:pPr>
            <w:r w:rsidRPr="00D14A4D">
              <w:rPr>
                <w:color w:val="EE0000"/>
                <w:sz w:val="18"/>
                <w:szCs w:val="18"/>
              </w:rPr>
              <w:t>%</w:t>
            </w:r>
          </w:p>
        </w:tc>
        <w:tc>
          <w:tcPr>
            <w:tcW w:w="0" w:type="auto"/>
            <w:hideMark/>
          </w:tcPr>
          <w:p w14:paraId="140AADCB" w14:textId="77777777" w:rsidR="00A2637A" w:rsidRPr="00D14A4D" w:rsidRDefault="00A2637A" w:rsidP="00A2637A">
            <w:pPr>
              <w:spacing w:after="120"/>
              <w:ind w:firstLine="480"/>
              <w:rPr>
                <w:color w:val="EE0000"/>
                <w:sz w:val="18"/>
                <w:szCs w:val="18"/>
              </w:rPr>
            </w:pPr>
            <w:r w:rsidRPr="00D14A4D">
              <w:rPr>
                <w:color w:val="EE0000"/>
                <w:sz w:val="18"/>
                <w:szCs w:val="18"/>
              </w:rPr>
              <w:t>Temporal clean-energy matching</w:t>
            </w:r>
          </w:p>
        </w:tc>
        <w:tc>
          <w:tcPr>
            <w:tcW w:w="0" w:type="auto"/>
            <w:hideMark/>
          </w:tcPr>
          <w:p w14:paraId="78BA0FBF" w14:textId="77777777" w:rsidR="00A2637A" w:rsidRPr="00D14A4D" w:rsidRDefault="00A2637A" w:rsidP="00A2637A">
            <w:pPr>
              <w:spacing w:after="120"/>
              <w:ind w:firstLine="480"/>
              <w:rPr>
                <w:color w:val="EE0000"/>
                <w:sz w:val="18"/>
                <w:szCs w:val="18"/>
              </w:rPr>
            </w:pPr>
            <w:r w:rsidRPr="00D14A4D">
              <w:rPr>
                <w:color w:val="EE0000"/>
                <w:sz w:val="18"/>
                <w:szCs w:val="18"/>
              </w:rPr>
              <w:t>Facility or portfolio</w:t>
            </w:r>
          </w:p>
        </w:tc>
      </w:tr>
      <w:tr w:rsidR="00A2637A" w:rsidRPr="00D14A4D" w14:paraId="7A1DDB57" w14:textId="77777777" w:rsidTr="00A2637A">
        <w:tc>
          <w:tcPr>
            <w:tcW w:w="0" w:type="auto"/>
            <w:hideMark/>
          </w:tcPr>
          <w:p w14:paraId="7DFF684B" w14:textId="77777777" w:rsidR="00A2637A" w:rsidRPr="00D14A4D" w:rsidRDefault="00A2637A" w:rsidP="00A2637A">
            <w:pPr>
              <w:spacing w:after="120"/>
              <w:ind w:firstLine="480"/>
              <w:rPr>
                <w:color w:val="EE0000"/>
                <w:sz w:val="18"/>
                <w:szCs w:val="18"/>
              </w:rPr>
            </w:pPr>
            <w:r w:rsidRPr="00D14A4D">
              <w:rPr>
                <w:color w:val="EE0000"/>
                <w:sz w:val="18"/>
                <w:szCs w:val="18"/>
              </w:rPr>
              <w:t>Annual Renewable Matching</w:t>
            </w:r>
          </w:p>
        </w:tc>
        <w:tc>
          <w:tcPr>
            <w:tcW w:w="0" w:type="auto"/>
            <w:hideMark/>
          </w:tcPr>
          <w:p w14:paraId="4A50FC62" w14:textId="77777777" w:rsidR="00A2637A" w:rsidRPr="00D14A4D" w:rsidRDefault="00A2637A" w:rsidP="00A2637A">
            <w:pPr>
              <w:spacing w:after="120"/>
              <w:ind w:firstLine="480"/>
              <w:rPr>
                <w:color w:val="EE0000"/>
                <w:sz w:val="18"/>
                <w:szCs w:val="18"/>
              </w:rPr>
            </w:pPr>
            <w:r w:rsidRPr="00D14A4D">
              <w:rPr>
                <w:color w:val="EE0000"/>
                <w:sz w:val="18"/>
                <w:szCs w:val="18"/>
              </w:rPr>
              <w:t>Annual renewable-energy procurement relative to annual electricity consumption</w:t>
            </w:r>
          </w:p>
        </w:tc>
        <w:tc>
          <w:tcPr>
            <w:tcW w:w="0" w:type="auto"/>
            <w:hideMark/>
          </w:tcPr>
          <w:p w14:paraId="1FEF0E40" w14:textId="77777777" w:rsidR="00A2637A" w:rsidRPr="00D14A4D" w:rsidRDefault="00A2637A" w:rsidP="00A2637A">
            <w:pPr>
              <w:spacing w:after="120"/>
              <w:ind w:firstLine="480"/>
              <w:rPr>
                <w:color w:val="EE0000"/>
                <w:sz w:val="18"/>
                <w:szCs w:val="18"/>
              </w:rPr>
            </w:pPr>
            <w:r w:rsidRPr="00D14A4D">
              <w:rPr>
                <w:color w:val="EE0000"/>
                <w:sz w:val="18"/>
                <w:szCs w:val="18"/>
              </w:rPr>
              <w:t>%</w:t>
            </w:r>
          </w:p>
        </w:tc>
        <w:tc>
          <w:tcPr>
            <w:tcW w:w="0" w:type="auto"/>
            <w:hideMark/>
          </w:tcPr>
          <w:p w14:paraId="31026E24" w14:textId="77777777" w:rsidR="00A2637A" w:rsidRPr="00D14A4D" w:rsidRDefault="00A2637A" w:rsidP="00A2637A">
            <w:pPr>
              <w:spacing w:after="120"/>
              <w:ind w:firstLine="480"/>
              <w:rPr>
                <w:color w:val="EE0000"/>
                <w:sz w:val="18"/>
                <w:szCs w:val="18"/>
              </w:rPr>
            </w:pPr>
            <w:r w:rsidRPr="00D14A4D">
              <w:rPr>
                <w:color w:val="EE0000"/>
                <w:sz w:val="18"/>
                <w:szCs w:val="18"/>
              </w:rPr>
              <w:t>Renewable-procurement assessment</w:t>
            </w:r>
          </w:p>
        </w:tc>
        <w:tc>
          <w:tcPr>
            <w:tcW w:w="0" w:type="auto"/>
            <w:hideMark/>
          </w:tcPr>
          <w:p w14:paraId="45481A18" w14:textId="77777777" w:rsidR="00A2637A" w:rsidRPr="00D14A4D" w:rsidRDefault="00A2637A" w:rsidP="00A2637A">
            <w:pPr>
              <w:spacing w:after="120"/>
              <w:ind w:firstLine="480"/>
              <w:rPr>
                <w:color w:val="EE0000"/>
                <w:sz w:val="18"/>
                <w:szCs w:val="18"/>
              </w:rPr>
            </w:pPr>
            <w:r w:rsidRPr="00D14A4D">
              <w:rPr>
                <w:color w:val="EE0000"/>
                <w:sz w:val="18"/>
                <w:szCs w:val="18"/>
              </w:rPr>
              <w:t>Facility or corporate portfolio</w:t>
            </w:r>
          </w:p>
        </w:tc>
      </w:tr>
      <w:tr w:rsidR="00A2637A" w:rsidRPr="00D14A4D" w14:paraId="78660E94" w14:textId="77777777" w:rsidTr="00A2637A">
        <w:tc>
          <w:tcPr>
            <w:tcW w:w="0" w:type="auto"/>
            <w:hideMark/>
          </w:tcPr>
          <w:p w14:paraId="66748387" w14:textId="77777777" w:rsidR="00A2637A" w:rsidRPr="00D14A4D" w:rsidRDefault="00A2637A" w:rsidP="00A2637A">
            <w:pPr>
              <w:spacing w:after="120"/>
              <w:ind w:firstLine="480"/>
              <w:rPr>
                <w:color w:val="EE0000"/>
                <w:sz w:val="18"/>
                <w:szCs w:val="18"/>
              </w:rPr>
            </w:pPr>
            <w:r w:rsidRPr="00D14A4D">
              <w:rPr>
                <w:color w:val="EE0000"/>
                <w:sz w:val="18"/>
                <w:szCs w:val="18"/>
              </w:rPr>
              <w:t>Embodied Carbon</w:t>
            </w:r>
          </w:p>
        </w:tc>
        <w:tc>
          <w:tcPr>
            <w:tcW w:w="0" w:type="auto"/>
            <w:hideMark/>
          </w:tcPr>
          <w:p w14:paraId="1EE6B3AD" w14:textId="77777777" w:rsidR="00A2637A" w:rsidRPr="00D14A4D" w:rsidRDefault="00A2637A" w:rsidP="00A2637A">
            <w:pPr>
              <w:spacing w:after="120"/>
              <w:ind w:firstLine="480"/>
              <w:rPr>
                <w:color w:val="EE0000"/>
                <w:sz w:val="18"/>
                <w:szCs w:val="18"/>
              </w:rPr>
            </w:pPr>
            <w:r w:rsidRPr="00D14A4D">
              <w:rPr>
                <w:color w:val="EE0000"/>
                <w:sz w:val="18"/>
                <w:szCs w:val="18"/>
              </w:rPr>
              <w:t>Lifecycle greenhouse-gas emissions associated with infrastructure and equipment manufacturing</w:t>
            </w:r>
          </w:p>
        </w:tc>
        <w:tc>
          <w:tcPr>
            <w:tcW w:w="0" w:type="auto"/>
            <w:hideMark/>
          </w:tcPr>
          <w:p w14:paraId="1387C154" w14:textId="77777777" w:rsidR="00A2637A" w:rsidRPr="00D14A4D" w:rsidRDefault="00A2637A" w:rsidP="00A2637A">
            <w:pPr>
              <w:spacing w:after="120"/>
              <w:ind w:firstLine="480"/>
              <w:rPr>
                <w:color w:val="EE0000"/>
                <w:sz w:val="18"/>
                <w:szCs w:val="18"/>
              </w:rPr>
            </w:pPr>
            <w:r w:rsidRPr="00D14A4D">
              <w:rPr>
                <w:color w:val="EE0000"/>
                <w:sz w:val="18"/>
                <w:szCs w:val="18"/>
              </w:rPr>
              <w:t>kg CO₂e</w:t>
            </w:r>
          </w:p>
        </w:tc>
        <w:tc>
          <w:tcPr>
            <w:tcW w:w="0" w:type="auto"/>
            <w:hideMark/>
          </w:tcPr>
          <w:p w14:paraId="5A105FF2" w14:textId="77777777" w:rsidR="00A2637A" w:rsidRPr="00D14A4D" w:rsidRDefault="00A2637A" w:rsidP="00A2637A">
            <w:pPr>
              <w:spacing w:after="120"/>
              <w:ind w:firstLine="480"/>
              <w:rPr>
                <w:color w:val="EE0000"/>
                <w:sz w:val="18"/>
                <w:szCs w:val="18"/>
              </w:rPr>
            </w:pPr>
            <w:r w:rsidRPr="00D14A4D">
              <w:rPr>
                <w:color w:val="EE0000"/>
                <w:sz w:val="18"/>
                <w:szCs w:val="18"/>
              </w:rPr>
              <w:t>Lifecycle assessment</w:t>
            </w:r>
          </w:p>
        </w:tc>
        <w:tc>
          <w:tcPr>
            <w:tcW w:w="0" w:type="auto"/>
            <w:hideMark/>
          </w:tcPr>
          <w:p w14:paraId="413DBC1A" w14:textId="77777777" w:rsidR="00A2637A" w:rsidRPr="00D14A4D" w:rsidRDefault="00A2637A" w:rsidP="00A2637A">
            <w:pPr>
              <w:spacing w:after="120"/>
              <w:ind w:firstLine="480"/>
              <w:rPr>
                <w:color w:val="EE0000"/>
                <w:sz w:val="18"/>
                <w:szCs w:val="18"/>
              </w:rPr>
            </w:pPr>
            <w:r w:rsidRPr="00D14A4D">
              <w:rPr>
                <w:color w:val="EE0000"/>
                <w:sz w:val="18"/>
                <w:szCs w:val="18"/>
              </w:rPr>
              <w:t>Asset lifecycle</w:t>
            </w:r>
          </w:p>
        </w:tc>
      </w:tr>
      <w:tr w:rsidR="00A2637A" w:rsidRPr="00D14A4D" w14:paraId="19BAB44D" w14:textId="77777777" w:rsidTr="00A2637A">
        <w:tc>
          <w:tcPr>
            <w:tcW w:w="0" w:type="auto"/>
            <w:hideMark/>
          </w:tcPr>
          <w:p w14:paraId="7E4A3B7F" w14:textId="77777777" w:rsidR="00A2637A" w:rsidRPr="00D14A4D" w:rsidRDefault="00A2637A" w:rsidP="00A2637A">
            <w:pPr>
              <w:spacing w:after="120"/>
              <w:ind w:firstLine="480"/>
              <w:rPr>
                <w:color w:val="EE0000"/>
                <w:sz w:val="18"/>
                <w:szCs w:val="18"/>
              </w:rPr>
            </w:pPr>
            <w:r w:rsidRPr="00D14A4D">
              <w:rPr>
                <w:color w:val="EE0000"/>
                <w:sz w:val="18"/>
                <w:szCs w:val="18"/>
              </w:rPr>
              <w:t>Circularity / E-Waste Metric</w:t>
            </w:r>
          </w:p>
        </w:tc>
        <w:tc>
          <w:tcPr>
            <w:tcW w:w="0" w:type="auto"/>
            <w:hideMark/>
          </w:tcPr>
          <w:p w14:paraId="00D98189" w14:textId="77777777" w:rsidR="00A2637A" w:rsidRPr="00D14A4D" w:rsidRDefault="00A2637A" w:rsidP="00A2637A">
            <w:pPr>
              <w:spacing w:after="120"/>
              <w:ind w:firstLine="480"/>
              <w:rPr>
                <w:color w:val="EE0000"/>
                <w:sz w:val="18"/>
                <w:szCs w:val="18"/>
              </w:rPr>
            </w:pPr>
            <w:r w:rsidRPr="00D14A4D">
              <w:rPr>
                <w:color w:val="EE0000"/>
                <w:sz w:val="18"/>
                <w:szCs w:val="18"/>
              </w:rPr>
              <w:t>Reuse, recycling, refurbishment, or end-of-life recovery performance</w:t>
            </w:r>
          </w:p>
        </w:tc>
        <w:tc>
          <w:tcPr>
            <w:tcW w:w="0" w:type="auto"/>
            <w:hideMark/>
          </w:tcPr>
          <w:p w14:paraId="334B04C4" w14:textId="77777777" w:rsidR="00A2637A" w:rsidRPr="00D14A4D" w:rsidRDefault="00A2637A" w:rsidP="00A2637A">
            <w:pPr>
              <w:spacing w:after="120"/>
              <w:ind w:firstLine="480"/>
              <w:rPr>
                <w:color w:val="EE0000"/>
                <w:sz w:val="18"/>
                <w:szCs w:val="18"/>
              </w:rPr>
            </w:pPr>
            <w:r w:rsidRPr="00D14A4D">
              <w:rPr>
                <w:color w:val="EE0000"/>
                <w:sz w:val="18"/>
                <w:szCs w:val="18"/>
              </w:rPr>
              <w:t>% or mass/year</w:t>
            </w:r>
          </w:p>
        </w:tc>
        <w:tc>
          <w:tcPr>
            <w:tcW w:w="0" w:type="auto"/>
            <w:hideMark/>
          </w:tcPr>
          <w:p w14:paraId="60029C2F" w14:textId="77777777" w:rsidR="00A2637A" w:rsidRPr="00D14A4D" w:rsidRDefault="00A2637A" w:rsidP="00A2637A">
            <w:pPr>
              <w:spacing w:after="120"/>
              <w:ind w:firstLine="480"/>
              <w:rPr>
                <w:color w:val="EE0000"/>
                <w:sz w:val="18"/>
                <w:szCs w:val="18"/>
              </w:rPr>
            </w:pPr>
            <w:r w:rsidRPr="00D14A4D">
              <w:rPr>
                <w:color w:val="EE0000"/>
                <w:sz w:val="18"/>
                <w:szCs w:val="18"/>
              </w:rPr>
              <w:t>Resource-efficiency assessment</w:t>
            </w:r>
          </w:p>
        </w:tc>
        <w:tc>
          <w:tcPr>
            <w:tcW w:w="0" w:type="auto"/>
            <w:hideMark/>
          </w:tcPr>
          <w:p w14:paraId="5F2E9944" w14:textId="77777777" w:rsidR="00A2637A" w:rsidRPr="00D14A4D" w:rsidRDefault="00A2637A" w:rsidP="00A2637A">
            <w:pPr>
              <w:spacing w:after="120"/>
              <w:ind w:firstLine="480"/>
              <w:rPr>
                <w:color w:val="EE0000"/>
                <w:sz w:val="18"/>
                <w:szCs w:val="18"/>
              </w:rPr>
            </w:pPr>
            <w:r w:rsidRPr="00D14A4D">
              <w:rPr>
                <w:color w:val="EE0000"/>
                <w:sz w:val="18"/>
                <w:szCs w:val="18"/>
              </w:rPr>
              <w:t>Equipment lifecycle</w:t>
            </w:r>
            <w:commentRangeEnd w:id="30"/>
            <w:r w:rsidR="00D14A4D" w:rsidRPr="00D14A4D">
              <w:rPr>
                <w:rStyle w:val="CommentReference"/>
                <w:color w:val="EE0000"/>
                <w:sz w:val="18"/>
                <w:szCs w:val="18"/>
              </w:rPr>
              <w:commentReference w:id="30"/>
            </w:r>
          </w:p>
        </w:tc>
      </w:tr>
    </w:tbl>
    <w:p w14:paraId="4D9A0983" w14:textId="77777777" w:rsidR="00A2637A" w:rsidRDefault="00A2637A" w:rsidP="000B0F03">
      <w:pPr>
        <w:spacing w:after="120"/>
        <w:ind w:firstLine="480"/>
      </w:pPr>
    </w:p>
    <w:p w14:paraId="0828F546" w14:textId="77777777" w:rsidR="00FE013C" w:rsidRDefault="00FE013C" w:rsidP="004C16FF">
      <w:pPr>
        <w:pStyle w:val="Heading20"/>
        <w:jc w:val="both"/>
      </w:pPr>
      <w:r w:rsidRPr="00E75DCC">
        <w:rPr>
          <w:color w:val="auto"/>
        </w:rPr>
        <w:t>1</w:t>
      </w:r>
      <w:r>
        <w:rPr>
          <w:color w:val="auto"/>
        </w:rPr>
        <w:t>2.4</w:t>
      </w:r>
      <w:r w:rsidRPr="00E75DCC">
        <w:rPr>
          <w:color w:val="auto"/>
        </w:rPr>
        <w:t xml:space="preserve"> </w:t>
      </w:r>
      <w:r>
        <w:t>Environmental Impact Assessment</w:t>
      </w:r>
    </w:p>
    <w:p w14:paraId="2A9132E1" w14:textId="339DFEE4" w:rsidR="0059318D" w:rsidRPr="0059318D" w:rsidRDefault="0059318D" w:rsidP="00E842C0">
      <w:pPr>
        <w:spacing w:after="120"/>
        <w:ind w:firstLine="480"/>
      </w:pPr>
      <w:r w:rsidRPr="00454173">
        <w:rPr>
          <w:highlight w:val="yellow"/>
        </w:rPr>
        <w:t>The environmental impacts associated with AI-data-center infrastructure extend beyond electricity consumption and include water use, land use, material demand, and electronic waste generation. Water consumption is particularly important because cooling-system selection often involves a trade-off between energy efficiency and water use. Air-cooled systems typically minimize direct water consumption but may require higher electrical energy for cooling, whereas evaporative and some liquid-cooling configurations can reduce cooling-energy requirements while increasing water demand.</w:t>
      </w:r>
      <w:r w:rsidR="00645FA3" w:rsidRPr="00454173">
        <w:rPr>
          <w:highlight w:val="yellow"/>
        </w:rPr>
        <w:t xml:space="preserve"> </w:t>
      </w:r>
      <w:r w:rsidRPr="00454173">
        <w:rPr>
          <w:highlight w:val="yellow"/>
        </w:rPr>
        <w:t>The environmental significance of water consumption is highly location-dependent. Facilities located in water-stressed regions may face additional sustainability constraints and regulatory scrutiny, even when operating highly efficient cooling systems. Therefore, both energy-related metrics (such as PUE) and water-related metrics (such as WUE) should be considered when evaluating cooling-system alternatives.</w:t>
      </w:r>
      <w:r w:rsidR="00645FA3" w:rsidRPr="00454173">
        <w:rPr>
          <w:highlight w:val="yellow"/>
        </w:rPr>
        <w:t xml:space="preserve"> </w:t>
      </w:r>
      <w:r w:rsidRPr="00454173">
        <w:rPr>
          <w:highlight w:val="yellow"/>
        </w:rPr>
        <w:t xml:space="preserve">Electronic-waste generation and supply-chain impacts are additional sustainability concerns associated with rapid AI-infrastructure deployment. Although several studies have projected significant increases in AI-related material consumption and equipment turnover, the magnitude of future e-waste generation remains uncertain because it depends on hardware </w:t>
      </w:r>
      <w:r w:rsidRPr="00454173">
        <w:rPr>
          <w:highlight w:val="yellow"/>
        </w:rPr>
        <w:lastRenderedPageBreak/>
        <w:t>life expectancy, refurbishment practices, recycling rates, technological progress, and future computing architectures</w:t>
      </w:r>
      <w:r w:rsidR="00110E0F" w:rsidRPr="00454173">
        <w:rPr>
          <w:highlight w:val="yellow"/>
        </w:rPr>
        <w:t xml:space="preserve"> </w:t>
      </w:r>
      <w:r w:rsidR="00CE602A" w:rsidRPr="00454173">
        <w:rPr>
          <w:highlight w:val="yellow"/>
        </w:rPr>
        <w:fldChar w:fldCharType="begin"/>
      </w:r>
      <w:r w:rsidR="00CE602A" w:rsidRPr="00454173">
        <w:rPr>
          <w:highlight w:val="yellow"/>
        </w:rPr>
        <w:instrText xml:space="preserve"> ADDIN ZOTERO_ITEM CSL_CITATION {"citationID":"IDGo5Rau","properties":{"unsorted":false,"formattedCitation":"[2]","plainCitation":"[2]","noteIndex":0},"citationItems":[{"id":1899,"uris":["http://zotero.org/users/9870935/items/DSZ4EYRB"],"itemData":{"id":1899,"type":"report","DOI":"10.2172/1372902","language":"en","number":"LBNL--1005775, 1372902","page":"LBNL--1005775, 1372902","source":"DOI.org (Crossref)","title":"United States Data Center Energy Usage Report","URL":"http://www.osti.gov/servlets/purl/1372902/","author":[{"family":"Shehabi","given":"Arman"},{"family":"Smith","given":"Sarah"},{"family":"Sartor","given":"Dale"},{"family":"Brown","given":"Richard"},{"family":"Herrlin","given":"Magnus"},{"family":"Koomey","given":"Jonathan"},{"family":"Masanet","given":"Eric"},{"family":"Horner","given":"Nathaniel"},{"family":"Azevedo","given":"Inês"},{"family":"Lintner","given":"William"}],"accessed":{"date-parts":[["2026",5,10]]},"issued":{"date-parts":[["2016",6,1]]}}}],"schema":"https://github.com/citation-style-language/schema/raw/master/csl-citation.json"} </w:instrText>
      </w:r>
      <w:r w:rsidR="00CE602A" w:rsidRPr="00454173">
        <w:rPr>
          <w:highlight w:val="yellow"/>
        </w:rPr>
        <w:fldChar w:fldCharType="separate"/>
      </w:r>
      <w:r w:rsidR="00CE602A" w:rsidRPr="00454173">
        <w:rPr>
          <w:highlight w:val="yellow"/>
        </w:rPr>
        <w:t>[2]</w:t>
      </w:r>
      <w:r w:rsidR="00CE602A" w:rsidRPr="00454173">
        <w:rPr>
          <w:highlight w:val="yellow"/>
        </w:rPr>
        <w:fldChar w:fldCharType="end"/>
      </w:r>
      <w:r w:rsidR="00CE602A" w:rsidRPr="00454173">
        <w:rPr>
          <w:highlight w:val="yellow"/>
        </w:rPr>
        <w:t xml:space="preserve">, </w:t>
      </w:r>
      <w:r w:rsidR="00110E0F" w:rsidRPr="00454173">
        <w:rPr>
          <w:highlight w:val="yellow"/>
        </w:rPr>
        <w:fldChar w:fldCharType="begin"/>
      </w:r>
      <w:r w:rsidR="00E842C0">
        <w:rPr>
          <w:highlight w:val="yellow"/>
        </w:rPr>
        <w:instrText xml:space="preserve"> ADDIN ZOTERO_ITEM CSL_CITATION {"citationID":"dmjkCpIF","properties":{"unsorted":false,"formattedCitation":"[170]","plainCitation":"[170]","noteIndex":0},"citationItems":[{"id":2191,"uris":["http://zotero.org/users/9870935/items/PGQT4HIW"],"itemData":{"id":2191,"type":"document","title":"ENVIRONMENTAL COST OF AI'S ENERGY USE","author":[{"family":"UN","given":""}]}}],"schema":"https://github.com/citation-style-language/schema/raw/master/csl-citation.json"} </w:instrText>
      </w:r>
      <w:r w:rsidR="00110E0F" w:rsidRPr="00454173">
        <w:rPr>
          <w:highlight w:val="yellow"/>
        </w:rPr>
        <w:fldChar w:fldCharType="separate"/>
      </w:r>
      <w:r w:rsidR="00E842C0" w:rsidRPr="00E842C0">
        <w:rPr>
          <w:highlight w:val="yellow"/>
        </w:rPr>
        <w:t>[170]</w:t>
      </w:r>
      <w:r w:rsidR="00110E0F" w:rsidRPr="00454173">
        <w:rPr>
          <w:highlight w:val="yellow"/>
        </w:rPr>
        <w:fldChar w:fldCharType="end"/>
      </w:r>
      <w:r w:rsidRPr="00454173">
        <w:rPr>
          <w:highlight w:val="yellow"/>
        </w:rPr>
        <w:t>.</w:t>
      </w:r>
    </w:p>
    <w:p w14:paraId="5138E04F" w14:textId="77777777" w:rsidR="00FE013C" w:rsidRDefault="00FE013C" w:rsidP="004C16FF">
      <w:pPr>
        <w:pStyle w:val="Heading20"/>
        <w:jc w:val="both"/>
      </w:pPr>
      <w:r w:rsidRPr="00E75DCC">
        <w:rPr>
          <w:color w:val="auto"/>
        </w:rPr>
        <w:t>1</w:t>
      </w:r>
      <w:r>
        <w:rPr>
          <w:color w:val="auto"/>
        </w:rPr>
        <w:t>2.5</w:t>
      </w:r>
      <w:r w:rsidRPr="00E75DCC">
        <w:rPr>
          <w:color w:val="auto"/>
        </w:rPr>
        <w:t xml:space="preserve"> </w:t>
      </w:r>
      <w:r>
        <w:t>Regulatory Barriers and Opportunities</w:t>
      </w:r>
    </w:p>
    <w:p w14:paraId="0E021EDA" w14:textId="5A6CC450" w:rsidR="00FE013C" w:rsidRDefault="00FE013C" w:rsidP="00E842C0">
      <w:pPr>
        <w:spacing w:after="120"/>
        <w:ind w:firstLine="480"/>
      </w:pPr>
      <w:r w:rsidRPr="00C57C71">
        <w:t xml:space="preserve">Interconnection queue congestion is a major regulatory barrier for renewable-powered data </w:t>
      </w:r>
      <w:r w:rsidR="00580BAE">
        <w:t>center</w:t>
      </w:r>
      <w:r w:rsidRPr="00C57C71">
        <w:t xml:space="preserve">s today. In the past decade, the number of requests has grown substantially, and 2500 to 3,000 new requests have been submitted for new interconnection capacity of 400-750 GW/year. This has left a significant backlog, which is delaying efforts to integrate clean energy. Other hurdles involving distributed generation include distribution system design barriers (one-way power flow, no bidirectional), permitting barriers (environmental review, building permits/approvals, utility coordination), and opposition from incumbent utilities.  Alternative routes exist, such as community choice aggregation (CCA) and green tariff programs, and interconnection complexity and costs can be mitigated with behind-the-meter exemptions. Policy recommendations based on the framework analysis are (1) streamline interconnection following the FERC Order 2023 format, including practices such as the U.S. Department of Energy's i2X roadmap to automate data collection and </w:t>
      </w:r>
      <w:r w:rsidR="00DB7639" w:rsidRPr="00C57C71">
        <w:t>standardize</w:t>
      </w:r>
      <w:r w:rsidRPr="00C57C71">
        <w:t xml:space="preserve"> cluster study parameters; (2) continue and increase renewable energy tax credits (ITC and PTC) to provide grid investment certainty; (3) clarify and update zoning and building code requirements to support on-site renewable generation and storage; (4) ensure grid data </w:t>
      </w:r>
      <w:r w:rsidR="00580BAE">
        <w:t>center</w:t>
      </w:r>
      <w:r w:rsidRPr="00C57C71">
        <w:t xml:space="preserve">s are viable through an aggressive research program in the area of 24/7 CFE accounting methodology, establishing a transparent, </w:t>
      </w:r>
      <w:r w:rsidR="00DB7639" w:rsidRPr="00C57C71">
        <w:t>standardized</w:t>
      </w:r>
      <w:r w:rsidRPr="00C57C71">
        <w:t xml:space="preserve"> approach to 24/7 CFE accounting for the stability of IBRs operating on weak grids; and (5) support grid </w:t>
      </w:r>
      <w:r w:rsidR="00DB7639" w:rsidRPr="00C57C71">
        <w:t>modernization</w:t>
      </w:r>
      <w:r w:rsidRPr="00C57C71">
        <w:t xml:space="preserve"> research with a focus on the stability of IBRs (Inverter-Based Resources) on weak grids to achieve data </w:t>
      </w:r>
      <w:r w:rsidR="00580BAE">
        <w:t>center</w:t>
      </w:r>
      <w:r w:rsidRPr="00C57C71">
        <w:t xml:space="preserve"> reliability</w:t>
      </w:r>
      <w:r>
        <w:fldChar w:fldCharType="begin"/>
      </w:r>
      <w:r w:rsidR="00E842C0">
        <w:instrText xml:space="preserve"> ADDIN ZOTERO_ITEM CSL_CITATION {"citationID":"3kR8mlfQ","properties":{"unsorted":false,"formattedCitation":"[168], [172]","plainCitation":"[168], [172]","noteIndex":0},"citationItems":[{"id":2175,"uris":["http://zotero.org/users/9870935/items/YE4EN6MK"],"itemData":{"id":2175,"type":"document","title":"2026 Annual Planning Outlook","URL":"https://www.ieso.ca/-/media/Files/IESO/Document-Library/planning-forecasts/apo/2026/2026-APO-Demand-Forecast-Module.pdf","author":[{"family":"IESO","given":""}]}},{"id":2196,"uris":["http://zotero.org/users/9870935/items/RLD3GZD9"],"itemData":{"id":2196,"type":"document","title":"Transmission Interconnection Roadmap","URL":"https://www.energy.gov/sites/default/files/2024-04/i2X%20Transmission%20Interconnection%20Roadmap.pdf","author":[{"literal":"i2X"}]}}],"schema":"https://github.com/citation-style-language/schema/raw/master/csl-citation.json"} </w:instrText>
      </w:r>
      <w:r>
        <w:fldChar w:fldCharType="separate"/>
      </w:r>
      <w:r w:rsidR="00E842C0" w:rsidRPr="00E842C0">
        <w:t>[168], [172]</w:t>
      </w:r>
      <w:r>
        <w:fldChar w:fldCharType="end"/>
      </w:r>
      <w:r w:rsidRPr="00C57C71">
        <w:t xml:space="preserve">.  </w:t>
      </w:r>
    </w:p>
    <w:p w14:paraId="0266571C" w14:textId="77777777" w:rsidR="00FE013C" w:rsidRPr="002108A4" w:rsidRDefault="00FE013C" w:rsidP="004C16FF">
      <w:pPr>
        <w:pStyle w:val="Heading20"/>
        <w:jc w:val="both"/>
      </w:pPr>
      <w:r w:rsidRPr="00E75DCC">
        <w:rPr>
          <w:color w:val="auto"/>
        </w:rPr>
        <w:t>1</w:t>
      </w:r>
      <w:r>
        <w:rPr>
          <w:color w:val="auto"/>
        </w:rPr>
        <w:t>2.6</w:t>
      </w:r>
      <w:r w:rsidRPr="00E75DCC">
        <w:rPr>
          <w:color w:val="auto"/>
        </w:rPr>
        <w:t xml:space="preserve"> </w:t>
      </w:r>
      <w:r>
        <w:t>Sustainability Certifications and Reporting</w:t>
      </w:r>
    </w:p>
    <w:p w14:paraId="2B286C58" w14:textId="651F61C3" w:rsidR="00FE013C" w:rsidRDefault="00FE013C" w:rsidP="00E842C0">
      <w:pPr>
        <w:spacing w:after="120"/>
        <w:ind w:firstLine="480"/>
      </w:pPr>
      <w:r w:rsidRPr="002108A4">
        <w:t xml:space="preserve">Voluntary sustainability certifications are rapidly becoming regulatory compliance frameworks. Approximately 50,000 companies are subject to the European Union's Corporate Sustainability Reporting Directive (CSRD), which has introduced uniform reporting standards for Environmental, Social, and Governance (ESG) metrics. At the same time, the International Sustainability Standards Board (ISSB) has developed a global foundation for sustainability finance disclosures that has changed corporate accountability in S1 and S2 IFRS Sustainability-related financial disclosures.  As a result, multinational data </w:t>
      </w:r>
      <w:r w:rsidR="00580BAE">
        <w:t>center</w:t>
      </w:r>
      <w:r w:rsidRPr="002108A4">
        <w:t xml:space="preserve"> operators now need to gather and cross-validate granular data points across all their operational footprints and supply chains. Concerns regarding the digital industry's increasing environmental footprint have resulted in a comprehensive framework of EU laws and policy that seeks to build climate-neutral and energy-efficient data </w:t>
      </w:r>
      <w:r w:rsidR="00580BAE">
        <w:t>center</w:t>
      </w:r>
      <w:r w:rsidRPr="002108A4">
        <w:t>s by 2030. LEGACY Standards, such as LEED and ISO 50001 and the Uptime Institute's Tier Standard, are still significant benchmarks to use during operation, but are increasingly being incorporated into these higher-level compliance frameworks</w:t>
      </w:r>
      <w:r>
        <w:fldChar w:fldCharType="begin"/>
      </w:r>
      <w:r w:rsidR="00E842C0">
        <w:instrText xml:space="preserve"> ADDIN ZOTERO_ITEM CSL_CITATION {"citationID":"uVwMO1fa","properties":{"unsorted":false,"formattedCitation":"[164], [173]","plainCitation":"[164], [173]","noteIndex":0},"citationItems":[{"id":2256,"uris":["http://zotero.org/users/9870935/items/CYR5QZSI"],"itemData":{"id":2256,"type":"article-journal","container-title":"European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id":2197,"uris":["http://zotero.org/users/9870935/items/53ICUFBJ"],"itemData":{"id":2197,"type":"article-journal","abstract":"Expanding ESG disclosure mandates under the Corporate Sustainability Reporting Directive (CSRD) and the International Sustainability Standards Board (ISSB) have driven rising demand for artificial intelligence (AI) and data analytics capable of supporting sustainability reporting and verification at scale. Nevertheless, the scholarly literature remains dispersed across discrete disciplinary fields—natural language processing, machine learning, auditing, and regulatory compliance—with limited integrative synthesis. To address this gap, the present study conducts a PRISMA 2020-compliant systematic review of 45 peer-reviewed articles indexed in Scopus and published between 2020 and 2025. The methodology combines bibliometric mapping through VOSviewer with qualitative thematic content analysis. Findings document a rapidly expanding field exhibiting a compound annual growth rate of 91.9%. Four principal thematic dimensions emerge: (i) NLP and text mining for ESG disclosure analysis; (ii) machine learning for ESG scoring and corporate performance; (iii) AI-enabled ESG assurance, auditing, and governance; and (iv) regulatory frameworks and the digital transformation of sustainability reporting. The evidence indicates that AI is progressively reshaping ESG disclosure from a largely narrative and self-reported practice into a data-driven, independently verifiable transparency system. These developments carry substantive implications for regulators, corporate practitioners, assurance providers, and investors seeking to strengthen the reliability and comparability of sustainability disclosures.","container-title":"Sustainability","DOI":"10.3390/su18115393","ISSN":"2071-1050","issue":"11","journalAbbreviation":"Sustainability","language":"en","page":"5393","source":"DOI.org (Crossref)","title":"AI and Data Analytics in Sustainable Financial Reporting and ESG Disclosure: A Systematic Literature Review","title-short":"AI and Data Analytics in Sustainable Financial Reporting and ESG Disclosure","volume":"18","author":[{"family":"Vilchez Olivares","given":"Percy Antonio"},{"family":"Astorga De La Cruz","given":"Brandelt Jesús"}],"issued":{"date-parts":[["2026",5,27]]}}}],"schema":"https://github.com/citation-style-language/schema/raw/master/csl-citation.json"} </w:instrText>
      </w:r>
      <w:r>
        <w:fldChar w:fldCharType="separate"/>
      </w:r>
      <w:r w:rsidR="00E842C0" w:rsidRPr="00E842C0">
        <w:t>[164], [173]</w:t>
      </w:r>
      <w:r>
        <w:fldChar w:fldCharType="end"/>
      </w:r>
      <w:r w:rsidRPr="002108A4">
        <w:t>.</w:t>
      </w:r>
    </w:p>
    <w:p w14:paraId="558776F0" w14:textId="7F1A6DDB" w:rsidR="00CA1249" w:rsidRDefault="00CA1249" w:rsidP="00CA1249">
      <w:pPr>
        <w:pStyle w:val="Heading1"/>
        <w:keepNext/>
        <w:jc w:val="both"/>
      </w:pPr>
      <w:r>
        <w:t>13. Limitation</w:t>
      </w:r>
    </w:p>
    <w:p w14:paraId="5E5CBFEF" w14:textId="49992AB8" w:rsidR="005650D4" w:rsidRPr="005650D4" w:rsidRDefault="005650D4" w:rsidP="005650D4">
      <w:pPr>
        <w:pStyle w:val="Heading20"/>
        <w:jc w:val="both"/>
        <w:rPr>
          <w:color w:val="auto"/>
        </w:rPr>
      </w:pPr>
      <w:r w:rsidRPr="005650D4">
        <w:rPr>
          <w:color w:val="auto"/>
        </w:rPr>
        <w:t>13.</w:t>
      </w:r>
      <w:r>
        <w:rPr>
          <w:color w:val="auto"/>
        </w:rPr>
        <w:t>1</w:t>
      </w:r>
      <w:r w:rsidRPr="005650D4">
        <w:rPr>
          <w:color w:val="auto"/>
        </w:rPr>
        <w:t xml:space="preserve"> </w:t>
      </w:r>
      <w:r>
        <w:rPr>
          <w:color w:val="auto"/>
        </w:rPr>
        <w:t>Evidence Base and Geographic Scope</w:t>
      </w:r>
    </w:p>
    <w:p w14:paraId="71803421" w14:textId="77777777" w:rsidR="005650D4" w:rsidRDefault="005650D4" w:rsidP="005650D4">
      <w:pPr>
        <w:spacing w:after="120"/>
        <w:ind w:firstLine="480"/>
        <w:rPr>
          <w:highlight w:val="yellow"/>
        </w:rPr>
      </w:pPr>
    </w:p>
    <w:p w14:paraId="76C2FBD8" w14:textId="77777777" w:rsidR="00807371" w:rsidRPr="0011396C" w:rsidRDefault="00807371" w:rsidP="0011396C">
      <w:pPr>
        <w:spacing w:after="120"/>
        <w:ind w:firstLine="480"/>
        <w:rPr>
          <w:highlight w:val="yellow"/>
        </w:rPr>
      </w:pPr>
      <w:r w:rsidRPr="00807371">
        <w:rPr>
          <w:highlight w:val="yellow"/>
        </w:rPr>
        <w:lastRenderedPageBreak/>
        <w:t>The evidence used for this review is geographically unbalanced. Many of the corporate case studies, market profiles, cost comparisons and regulatory references are from North America, primarily the United States. Electricity-market design, interconnection processes, quality of renewable resources, tax and incentive regimes, equipment, labor, supply-chain constraints, environmental mandates, and data center laws differ significantly from one jurisdiction to another. Therefore, the numbers estimated in this review are to be considered as literature derived benchmarks and not as exact transfer criteria for the project. Specific local renewable-resource data, electricity tariffs and market rules, engineering standards, regulatory constraints, equipment costs, financing assumptions, and interconnection requirements are all required for the application of the proposed framework, and thus must be met on a local level.</w:t>
      </w:r>
    </w:p>
    <w:p w14:paraId="0EB83682" w14:textId="379F566A" w:rsidR="005650D4" w:rsidRPr="005650D4" w:rsidRDefault="005650D4" w:rsidP="00807371">
      <w:pPr>
        <w:pStyle w:val="Heading20"/>
        <w:jc w:val="both"/>
        <w:rPr>
          <w:color w:val="auto"/>
        </w:rPr>
      </w:pPr>
      <w:r w:rsidRPr="005650D4">
        <w:rPr>
          <w:color w:val="auto"/>
        </w:rPr>
        <w:t>13.2 Corporate Reporting and Source Quality</w:t>
      </w:r>
    </w:p>
    <w:p w14:paraId="114D1008" w14:textId="01244C6F" w:rsidR="0011396C" w:rsidRPr="0011396C" w:rsidRDefault="0011396C" w:rsidP="0011396C">
      <w:pPr>
        <w:spacing w:after="120"/>
        <w:ind w:firstLine="480"/>
        <w:rPr>
          <w:highlight w:val="yellow"/>
        </w:rPr>
      </w:pPr>
      <w:r w:rsidRPr="0011396C">
        <w:rPr>
          <w:highlight w:val="yellow"/>
        </w:rPr>
        <w:t xml:space="preserve">Some industry case studies include metrics derived from corporate sustainability reports, technical disclosures, and other documents published by companies, as such data are not always available at the facility level in peer-reviewed literature. The sources are generally self-reported sources, and their boundaries and purposes in an organization, averaging periods, renewable-energy accounting methods, emissions methodologies, and practices of external assurance vary. </w:t>
      </w:r>
      <w:r w:rsidR="00F516F4" w:rsidRPr="0011396C">
        <w:rPr>
          <w:highlight w:val="yellow"/>
        </w:rPr>
        <w:t>Therefore,</w:t>
      </w:r>
      <w:r w:rsidRPr="0011396C">
        <w:rPr>
          <w:highlight w:val="yellow"/>
        </w:rPr>
        <w:t xml:space="preserve"> comparisons of metrics like annual renewable-energy matching, hourly carbon-free-energy matching, power usage effectiveness (PUE), water usage effectiveness (WUE) and greenhouse-gas emissions shouldn't be done until definitions and reporting boundaries are spelled out. This review is made by audit and verification of data presented by the companies.</w:t>
      </w:r>
    </w:p>
    <w:p w14:paraId="42E78203" w14:textId="7A0E4A80" w:rsidR="005650D4" w:rsidRPr="005650D4" w:rsidRDefault="005650D4" w:rsidP="0011396C">
      <w:pPr>
        <w:pStyle w:val="Heading20"/>
        <w:jc w:val="both"/>
        <w:rPr>
          <w:color w:val="auto"/>
        </w:rPr>
      </w:pPr>
      <w:r w:rsidRPr="005650D4">
        <w:rPr>
          <w:color w:val="auto"/>
        </w:rPr>
        <w:t>13.3 Methodological and Screening Limitations</w:t>
      </w:r>
    </w:p>
    <w:p w14:paraId="430E2CCE" w14:textId="77777777" w:rsidR="00F516F4" w:rsidRPr="00F516F4" w:rsidRDefault="00F516F4" w:rsidP="00F516F4">
      <w:pPr>
        <w:spacing w:after="120"/>
        <w:ind w:firstLine="480"/>
        <w:rPr>
          <w:highlight w:val="yellow"/>
        </w:rPr>
      </w:pPr>
      <w:r w:rsidRPr="00F516F4">
        <w:rPr>
          <w:highlight w:val="yellow"/>
        </w:rPr>
        <w:t>The review sources evidence from peer-reviewed journal articles, conference papers, technical standards papers, patent documentation, agency, institutional, corporate disclosure, market analysis, and other grey-literature sources. Some source types are more peer-reviewed, more transparent, have more data available, are more reproducible, and have way broader reporting boundaries than others. The search and screening process informed by the PRISMA statement will enhance transparency and consistency of source selection but will not resolve heterogeneity, selection and reporting bias among sources found in the literature. Some cost and performance estimates are also clustered in a relatively small number of reporting organizations, making independent triangulation of some estimates difficult and confining technology and cost benchmarks to those reporting. The resulting synthesis should therefore be understood as a structured critical evaluation of different, heterogeneous evidence and should not be viewed as a homogeneous dataset suitable for meta-analysis.</w:t>
      </w:r>
    </w:p>
    <w:p w14:paraId="1D7C7B8F" w14:textId="7C2C1AD4" w:rsidR="005650D4" w:rsidRPr="004E72B6" w:rsidRDefault="004E72B6" w:rsidP="00F516F4">
      <w:pPr>
        <w:pStyle w:val="Heading20"/>
        <w:jc w:val="both"/>
        <w:rPr>
          <w:color w:val="auto"/>
        </w:rPr>
      </w:pPr>
      <w:r w:rsidRPr="004E72B6">
        <w:rPr>
          <w:color w:val="auto"/>
        </w:rPr>
        <w:t xml:space="preserve">13.4 </w:t>
      </w:r>
      <w:r w:rsidR="005650D4" w:rsidRPr="004E72B6">
        <w:rPr>
          <w:color w:val="auto"/>
        </w:rPr>
        <w:t>The absence of site-specific validation.</w:t>
      </w:r>
    </w:p>
    <w:p w14:paraId="64BDB55B" w14:textId="77777777" w:rsidR="006810FA" w:rsidRPr="006810FA" w:rsidRDefault="006810FA" w:rsidP="006810FA">
      <w:pPr>
        <w:spacing w:after="120"/>
        <w:ind w:firstLine="480"/>
        <w:rPr>
          <w:highlight w:val="yellow"/>
        </w:rPr>
      </w:pPr>
      <w:r w:rsidRPr="006810FA">
        <w:rPr>
          <w:highlight w:val="yellow"/>
        </w:rPr>
        <w:t xml:space="preserve">The seven components have not been bench marked across any single operating data-center project with all the necessary detailed technical, economic, SFA and environmental inputs and outputs made publicly available. These MCDA weights in Section 7.2 are presented as illustrative screening weights and the technology-cost and electricity-cost benchmarks created as part of this review are literature-based and apply to various geographic, temporal, and system-level boundaries. Likewise, reliability or availability need should not be seen as generic ranges. Chronological site-specific load, renewable-resource, grid-availability, and operational data, preferably spanning multiple </w:t>
      </w:r>
      <w:r w:rsidRPr="006810FA">
        <w:rPr>
          <w:highlight w:val="yellow"/>
        </w:rPr>
        <w:lastRenderedPageBreak/>
        <w:t>representative years where such data are available, should be thus used to determine actual renewable-generation capacity, energy-storage requirements, grid-interconnection capacity, reserve requirements, and the sizing of backup resources. Investment-grade implementation of the framework would also involve detailed electrical system studies, equipment specifications, protection and power quality analysis, reliability and resilience assessments, lifecycle-cost analysis, environmental and permitting analysis, and a project-specific financial analysis.</w:t>
      </w:r>
    </w:p>
    <w:p w14:paraId="0FBED228" w14:textId="7DC76013" w:rsidR="005650D4" w:rsidRPr="00987689" w:rsidRDefault="005650D4" w:rsidP="006810FA">
      <w:pPr>
        <w:pStyle w:val="Heading20"/>
        <w:jc w:val="both"/>
        <w:rPr>
          <w:color w:val="auto"/>
        </w:rPr>
      </w:pPr>
      <w:r w:rsidRPr="00987689">
        <w:rPr>
          <w:color w:val="auto"/>
        </w:rPr>
        <w:t>13.5 Technology, Policy, and Market Uncertainty</w:t>
      </w:r>
    </w:p>
    <w:p w14:paraId="35977D60" w14:textId="77777777" w:rsidR="009F4B46" w:rsidRPr="009F4B46" w:rsidRDefault="009F4B46" w:rsidP="009F4B46">
      <w:pPr>
        <w:spacing w:after="120"/>
        <w:ind w:firstLine="480"/>
        <w:rPr>
          <w:highlight w:val="yellow"/>
        </w:rPr>
      </w:pPr>
      <w:r w:rsidRPr="009F4B46">
        <w:rPr>
          <w:highlight w:val="yellow"/>
        </w:rPr>
        <w:t>The cost of technology, electricity-market rules, interconnection procedures, tax incentives, financing conditions, corporate procurement practices, grid requirements and AI workload characteristics are constantly changing. The cost and performance data cited in this review are therefore applicable to the technology and market conditions represented in the source literature referenced during the conduct of this review and will likely evolve prior to the construction or commercial operation of a proposed data-center project. For project specific applications, the sources and geographic basis, vintage, and system boundary should be documented for each material assumption, as well as repeat sensitivity analyses whenever technology costs, electricity tariff, market, policy, financing, or interconnection needs change significantly. The framework should be updated regularly to incorporate new technical, economic, regulatory, and operational information.</w:t>
      </w:r>
    </w:p>
    <w:p w14:paraId="48D13507" w14:textId="2CA0F303" w:rsidR="00FE013C" w:rsidRDefault="00FE013C" w:rsidP="009F4B46">
      <w:pPr>
        <w:pStyle w:val="Heading1"/>
        <w:keepNext/>
        <w:jc w:val="both"/>
      </w:pPr>
      <w:r>
        <w:t>1</w:t>
      </w:r>
      <w:r w:rsidR="00CA1249">
        <w:t>4</w:t>
      </w:r>
      <w:r>
        <w:t>. Conclusions</w:t>
      </w:r>
    </w:p>
    <w:p w14:paraId="2A07F381" w14:textId="77777777" w:rsidR="00571D88" w:rsidRPr="00571D88" w:rsidRDefault="00FE013C" w:rsidP="00571D88">
      <w:pPr>
        <w:spacing w:after="120"/>
        <w:ind w:firstLine="480"/>
      </w:pPr>
      <w:r w:rsidRPr="00527524">
        <w:t xml:space="preserve">This review presents a seven-component framework for designing, deploying, and operating AI data centers powered by renewable energy. The framework integrates site assessment and resource evaluation, technology mix optimization, electrical architecture design, hierarchical control and dispatch strategies, demand-side workload flexibility, economic viability modeling, and sustainability and resilience compliance into a single unified methodology. This framework connects engineering, operational, financial, and regulatory considerations, whereas prior research primarily addressed either technical performance or economic feasibility in isolation. By placing renewable generation, energy storage, grid connection, and workload scheduling within one analytical structure, </w:t>
      </w:r>
      <w:r w:rsidR="00571D88" w:rsidRPr="00571D88">
        <w:t>This framework provides a structured decision-support approach for evaluating renewable-powered AI data-center developments by integrating technical, operational, economic, and sustainability considerations within a single analytical framework.</w:t>
      </w:r>
    </w:p>
    <w:p w14:paraId="28F50031" w14:textId="0E156C7D" w:rsidR="00FE013C" w:rsidRPr="00571D88" w:rsidRDefault="00FE013C" w:rsidP="00571D88">
      <w:pPr>
        <w:pStyle w:val="Heading20"/>
        <w:jc w:val="both"/>
        <w:rPr>
          <w:color w:val="auto"/>
        </w:rPr>
      </w:pPr>
      <w:r w:rsidRPr="00E75DCC">
        <w:rPr>
          <w:color w:val="auto"/>
        </w:rPr>
        <w:t>1</w:t>
      </w:r>
      <w:r w:rsidR="00CA1249">
        <w:rPr>
          <w:color w:val="auto"/>
        </w:rPr>
        <w:t>4</w:t>
      </w:r>
      <w:r>
        <w:rPr>
          <w:color w:val="auto"/>
        </w:rPr>
        <w:t>.1</w:t>
      </w:r>
      <w:r w:rsidRPr="00E75DCC">
        <w:rPr>
          <w:color w:val="auto"/>
        </w:rPr>
        <w:t xml:space="preserve"> </w:t>
      </w:r>
      <w:r w:rsidRPr="00571D88">
        <w:rPr>
          <w:color w:val="auto"/>
        </w:rPr>
        <w:t>Key Technical Findings</w:t>
      </w:r>
    </w:p>
    <w:p w14:paraId="66DBF886" w14:textId="3DE09E41" w:rsidR="00407699" w:rsidRPr="00407699" w:rsidRDefault="00FE013C" w:rsidP="00407699">
      <w:pPr>
        <w:spacing w:after="120"/>
        <w:ind w:firstLine="480"/>
        <w:rPr>
          <w:highlight w:val="yellow"/>
          <w:lang w:val="en-CA"/>
        </w:rPr>
      </w:pPr>
      <w:r w:rsidRPr="00E46991">
        <w:rPr>
          <w:highlight w:val="yellow"/>
        </w:rPr>
        <w:t xml:space="preserve">The cost trajectories of renewable energy and storage technologies are firmly established. Since 2010, solar PV installed costs have dropped by more than 90%, with current utility-scale prices in the range of $0.70 to $1.20/W depending on project scale and geography. Wind and solar generation profiles exhibit strong seasonal complementarity, improving system reliability while reducing storage requirements. </w:t>
      </w:r>
      <w:r w:rsidR="00F02BE4" w:rsidRPr="00E46991">
        <w:rPr>
          <w:highlight w:val="yellow"/>
          <w:lang w:val="en-CA"/>
        </w:rPr>
        <w:t>Geographic diversification and complementary renewable-resource portfolios can reduce aggregate renewable-generation variability and may decrease storage requirements compared with single-technology deployments. The magnitude of this benefit is location-specific and should be evaluated using chronological resource and load data</w:t>
      </w:r>
      <w:r w:rsidRPr="00E46991">
        <w:rPr>
          <w:highlight w:val="yellow"/>
        </w:rPr>
        <w:t xml:space="preserve">. Lithium iron phosphate (LFP) battery systems remain the dominant short-to-medium duration storage technology for data </w:t>
      </w:r>
      <w:r w:rsidR="00580BAE" w:rsidRPr="00E46991">
        <w:rPr>
          <w:highlight w:val="yellow"/>
        </w:rPr>
        <w:t>center</w:t>
      </w:r>
      <w:r w:rsidRPr="00E46991">
        <w:rPr>
          <w:highlight w:val="yellow"/>
        </w:rPr>
        <w:t xml:space="preserve"> applications. </w:t>
      </w:r>
      <w:r w:rsidR="00407699" w:rsidRPr="00407699">
        <w:rPr>
          <w:highlight w:val="yellow"/>
          <w:lang w:val="en-CA"/>
        </w:rPr>
        <w:t xml:space="preserve">The </w:t>
      </w:r>
      <w:r w:rsidR="00407699" w:rsidRPr="00407699">
        <w:rPr>
          <w:highlight w:val="yellow"/>
          <w:lang w:val="en-CA"/>
        </w:rPr>
        <w:lastRenderedPageBreak/>
        <w:t>volume-weighted average lithium-ion battery-pack price declined to approximately USD 108/kWh in 2025. Continued cost reductions are anticipated as manufacturing scale and technology maturity increase; however, future cost trajectories remain uncertain and depend on technology development, supply-chain conditions, and market dynamics.</w:t>
      </w:r>
    </w:p>
    <w:p w14:paraId="776C5149" w14:textId="1FDA09AB" w:rsidR="00FE013C" w:rsidRPr="00CA1249" w:rsidRDefault="00FE013C" w:rsidP="00571D88">
      <w:pPr>
        <w:pStyle w:val="Heading20"/>
        <w:jc w:val="both"/>
        <w:rPr>
          <w:color w:val="auto"/>
        </w:rPr>
      </w:pPr>
      <w:r w:rsidRPr="00E75DCC">
        <w:rPr>
          <w:color w:val="auto"/>
        </w:rPr>
        <w:t>1</w:t>
      </w:r>
      <w:r w:rsidR="00CA1249">
        <w:rPr>
          <w:color w:val="auto"/>
        </w:rPr>
        <w:t>4</w:t>
      </w:r>
      <w:r>
        <w:rPr>
          <w:color w:val="auto"/>
        </w:rPr>
        <w:t>.2</w:t>
      </w:r>
      <w:r w:rsidRPr="00E75DCC">
        <w:rPr>
          <w:color w:val="auto"/>
        </w:rPr>
        <w:t xml:space="preserve"> </w:t>
      </w:r>
      <w:r w:rsidRPr="00CA1249">
        <w:rPr>
          <w:color w:val="auto"/>
        </w:rPr>
        <w:t>Key Economic Findings</w:t>
      </w:r>
    </w:p>
    <w:p w14:paraId="63F67912" w14:textId="77777777" w:rsidR="006D1D14" w:rsidRPr="006D1D14" w:rsidRDefault="006D1D14" w:rsidP="006D1D14">
      <w:pPr>
        <w:spacing w:after="120"/>
        <w:ind w:firstLine="480"/>
        <w:rPr>
          <w:highlight w:val="yellow"/>
        </w:rPr>
      </w:pPr>
      <w:r w:rsidRPr="006D1D14">
        <w:rPr>
          <w:highlight w:val="yellow"/>
        </w:rPr>
        <w:t>The reviewed evidence suggests that renewable-powered AI data centers may be economically viable under favorable combinations of renewable-resource quality, electricity prices, financing conditions, storage requirements, interconnection costs, and policy incentives. Economic outcomes vary substantially across projects and should therefore be evaluated through project-specific techno-economic analysis rather than generalized using industry-wide benchmarks.</w:t>
      </w:r>
    </w:p>
    <w:p w14:paraId="2A002337" w14:textId="4FB9A0A0" w:rsidR="00FE013C" w:rsidRDefault="00FE013C" w:rsidP="004C16FF">
      <w:pPr>
        <w:pStyle w:val="Heading20"/>
        <w:jc w:val="both"/>
      </w:pPr>
      <w:r w:rsidRPr="00E75DCC">
        <w:rPr>
          <w:color w:val="auto"/>
        </w:rPr>
        <w:t>1</w:t>
      </w:r>
      <w:r w:rsidR="00CA1249">
        <w:rPr>
          <w:color w:val="auto"/>
        </w:rPr>
        <w:t>4</w:t>
      </w:r>
      <w:r>
        <w:rPr>
          <w:color w:val="auto"/>
        </w:rPr>
        <w:t>.3</w:t>
      </w:r>
      <w:r w:rsidRPr="00E75DCC">
        <w:rPr>
          <w:color w:val="auto"/>
        </w:rPr>
        <w:t xml:space="preserve"> </w:t>
      </w:r>
      <w:r w:rsidRPr="00B64FB3">
        <w:t>Implementation Recommendations</w:t>
      </w:r>
    </w:p>
    <w:p w14:paraId="27A58A83" w14:textId="77777777" w:rsidR="00933B0C" w:rsidRDefault="00933B0C" w:rsidP="00815CE7">
      <w:pPr>
        <w:spacing w:after="120"/>
        <w:ind w:firstLine="480"/>
        <w:rPr>
          <w:highlight w:val="yellow"/>
        </w:rPr>
      </w:pPr>
      <w:r w:rsidRPr="00933B0C">
        <w:rPr>
          <w:highlight w:val="yellow"/>
        </w:rPr>
        <w:t>Deterministic, probabilistic, and optimization-based storage-sizing methodologies each serve different planning purposes. Deterministic approaches may be appropriate where conservative reliability margins are required, while probabilistic approaches such as Loss of Load Expectation (LOLE) can provide additional insight into reliability-performance trade-offs when sufficient chronological data are available. The appropriate methodology should therefore be selected according to planning objectives, available data, reliability requirements, and risk tolerance.</w:t>
      </w:r>
    </w:p>
    <w:p w14:paraId="7105F7ED" w14:textId="63670E44" w:rsidR="00495994" w:rsidRPr="00933B0C" w:rsidRDefault="00495994" w:rsidP="00495994">
      <w:pPr>
        <w:spacing w:after="120"/>
        <w:ind w:firstLine="480"/>
        <w:rPr>
          <w:highlight w:val="yellow"/>
        </w:rPr>
      </w:pPr>
      <w:r w:rsidRPr="00495994">
        <w:rPr>
          <w:highlight w:val="yellow"/>
        </w:rPr>
        <w:t>Overall, this study contributes a systematic critical review and a structured seven-component decision framework that synthesizes current evidence across energy infrastructure, renewable integration, storage technologies, grid interaction, operational strategies, and sustainability considerations for AI data centers. Rather than prescribing a universal technology pathway, the framework is intended to support transparent evaluation of project-specific options, assumptions, trade-offs, and uncertainties. Future work should focus on reproducible techno-economic assessment methodologies, independently verifiable sustainability metrics, long-duration storage integration, and the evolving interaction between AI computing demand and modern power systems.</w:t>
      </w:r>
    </w:p>
    <w:p w14:paraId="434F0A2E" w14:textId="753B7FF3" w:rsidR="00FE013C" w:rsidRPr="00F56D3B" w:rsidRDefault="00FE013C" w:rsidP="004C16FF">
      <w:pPr>
        <w:pStyle w:val="Heading1"/>
        <w:keepNext/>
        <w:jc w:val="both"/>
        <w:rPr>
          <w:lang w:val="en-US"/>
        </w:rPr>
      </w:pPr>
      <w:r>
        <w:t>1</w:t>
      </w:r>
      <w:r w:rsidR="00CA1249">
        <w:t>5</w:t>
      </w:r>
      <w:r>
        <w:t>. Future Research Directions and Emerging Technologies</w:t>
      </w:r>
    </w:p>
    <w:p w14:paraId="4A464C65" w14:textId="3A4A9EE6" w:rsidR="00FE013C" w:rsidRDefault="00FE013C" w:rsidP="004C16FF">
      <w:pPr>
        <w:spacing w:after="120"/>
        <w:ind w:firstLine="480"/>
      </w:pPr>
      <w:r>
        <w:t xml:space="preserve">This section identifies unresolved research questions and next-generation technologies that will shape the evolution of renewable-powered data </w:t>
      </w:r>
      <w:r w:rsidR="00580BAE">
        <w:t>center</w:t>
      </w:r>
      <w:r>
        <w:t>s in the coming decade and beyond. The analysis distinguishes between near-term opportunities (1–5 years), medium-term developments (5–10 years), and long-term transformations (10+ years).</w:t>
      </w:r>
    </w:p>
    <w:p w14:paraId="05ED95B0" w14:textId="0793E41D" w:rsidR="00FE013C" w:rsidRPr="00035D77" w:rsidRDefault="00FE013C" w:rsidP="004C16FF">
      <w:pPr>
        <w:pStyle w:val="Heading20"/>
        <w:jc w:val="both"/>
        <w:rPr>
          <w:color w:val="auto"/>
        </w:rPr>
      </w:pPr>
      <w:bookmarkStart w:id="31" w:name="_Toc100090"/>
      <w:r w:rsidRPr="00035D77">
        <w:rPr>
          <w:color w:val="auto"/>
        </w:rPr>
        <w:t>1</w:t>
      </w:r>
      <w:r w:rsidR="00CA1249">
        <w:rPr>
          <w:color w:val="auto"/>
        </w:rPr>
        <w:t>5</w:t>
      </w:r>
      <w:r w:rsidRPr="00035D77">
        <w:rPr>
          <w:color w:val="auto"/>
        </w:rPr>
        <w:t>.1 Next-Generation Computing Paradigms</w:t>
      </w:r>
      <w:bookmarkEnd w:id="31"/>
    </w:p>
    <w:p w14:paraId="06942FFF" w14:textId="4A1593C9" w:rsidR="00FE013C" w:rsidRDefault="00FE013C" w:rsidP="00E842C0">
      <w:pPr>
        <w:spacing w:after="120"/>
        <w:ind w:firstLine="480"/>
      </w:pPr>
      <w:r>
        <w:t xml:space="preserve">Although quantum computing is not necessarily meant to out-compete classical GPUs in the AI training and inference space, it does come with its own set of energy demands. Current quantum processors are cryogenically cooled to near-absolute-zero (10-20 </w:t>
      </w:r>
      <w:r w:rsidR="004C1E8D">
        <w:t>millikelvin</w:t>
      </w:r>
      <w:r>
        <w:t>) and require 1-10 kW of cooling for every 10 qubits</w:t>
      </w:r>
      <w:r>
        <w:fldChar w:fldCharType="begin"/>
      </w:r>
      <w:r w:rsidR="00E842C0">
        <w:instrText xml:space="preserve"> ADDIN ZOTERO_ITEM CSL_CITATION {"citationID":"1crukupb","properties":{"unsorted":false,"formattedCitation":"[164]","plainCitation":"[164]","noteIndex":0},"citationItems":[{"id":2256,"uris":["http://zotero.org/users/9870935/items/CYR5QZSI"],"itemData":{"id":2256,"type":"article-journal","container-title":"European Law Blog","DOI":"10.21428/9885764c.f93298cf","language":"en","source":"DOI.org (Crossref)","title":"Towards Planet-Proof Computing:Ten Key Elements EU Data Centre Sustainability Policy Should Take Onboard","title-short":"Towards Planet-Proof Computing","URL":"https://www.europeanlawblog.eu/pub/1jb3tzus","author":[{"family":"Commins","given":"Jessica"},{"family":"Irion","given":"Kristina"}],"accessed":{"date-parts":[["2026",6,14]]},"issued":{"date-parts":[["2025",3,18]]}}}],"schema":"https://github.com/citation-style-language/schema/raw/master/csl-citation.json"} </w:instrText>
      </w:r>
      <w:r>
        <w:fldChar w:fldCharType="separate"/>
      </w:r>
      <w:r w:rsidR="00E842C0" w:rsidRPr="00E842C0">
        <w:t>[164]</w:t>
      </w:r>
      <w:r>
        <w:fldChar w:fldCharType="end"/>
      </w:r>
      <w:r>
        <w:t xml:space="preserve">. The overall energy impact of the data </w:t>
      </w:r>
      <w:r w:rsidR="00580BAE">
        <w:t>center</w:t>
      </w:r>
      <w:r>
        <w:t xml:space="preserve"> will be small; however, quantum operations require very stable power generation to avoid state decoherence.</w:t>
      </w:r>
    </w:p>
    <w:p w14:paraId="7E01FFCE" w14:textId="6E546EC6" w:rsidR="00FE013C" w:rsidRDefault="00FE013C" w:rsidP="00E842C0">
      <w:pPr>
        <w:spacing w:after="120"/>
        <w:ind w:firstLine="480"/>
      </w:pPr>
      <w:r>
        <w:lastRenderedPageBreak/>
        <w:t>Neuromorphic computing relies on spiking neural networks to replicate biological neural computation and could yield order-of-magnitude energy savings. Implementations of 'neuromorphic' architectures have shown as much as 100 times greater energy efficiency than state-of-the-art GPUs for certain pattern recognition applications that are event driven</w:t>
      </w:r>
      <w:r>
        <w:fldChar w:fldCharType="begin"/>
      </w:r>
      <w:r w:rsidR="00E842C0">
        <w:instrText xml:space="preserve"> ADDIN ZOTERO_ITEM CSL_CITATION {"citationID":"nhFiMoUD","properties":{"unsorted":false,"formattedCitation":"[174]","plainCitation":"[174]","noteIndex":0},"citationItems":[{"id":2203,"uris":["http://zotero.org/users/9870935/items/FURGV6FQ"],"itemData":{"id":2203,"type":"article-journal","container-title":"Nature Computational Science","DOI":"10.1038/s43588-021-00184-y","ISSN":"2662-8457","issue":"1","journalAbbreviation":"Nat Comput Sci","language":"en","page":"10-19","source":"DOI.org (Crossref)","title":"Opportunities for neuromorphic computing algorithms and applications","volume":"2","author":[{"family":"Schuman","given":"Catherine D."},{"family":"Kulkarni","given":"Shruti R."},{"family":"Parsa","given":"Maryam"},{"family":"Mitchell","given":"J. Parker"},{"family":"Date","given":"Prasanna"},{"family":"Kay","given":"Bill"}],"issued":{"date-parts":[["2022",1,31]]}}}],"schema":"https://github.com/citation-style-language/schema/raw/master/csl-citation.json"} </w:instrText>
      </w:r>
      <w:r>
        <w:fldChar w:fldCharType="separate"/>
      </w:r>
      <w:r w:rsidR="00E842C0" w:rsidRPr="00E842C0">
        <w:t>[174]</w:t>
      </w:r>
      <w:r>
        <w:fldChar w:fldCharType="end"/>
      </w:r>
      <w:r>
        <w:t>. Yet, a less-developed software ecosystem and the inability of dominant models based on transformers to support the DGX ecosystem of neuromorphic training approaches have stood as an obstacle to widespread adoption.</w:t>
      </w:r>
    </w:p>
    <w:p w14:paraId="2DBF8E8D" w14:textId="398261A2" w:rsidR="00FE013C" w:rsidRDefault="00FE013C" w:rsidP="00E842C0">
      <w:pPr>
        <w:spacing w:after="120"/>
        <w:ind w:firstLine="480"/>
      </w:pPr>
      <w:r>
        <w:t>Photonic (optical) computing and interconnects represent the most imminent paradigm shift for AI energy reduction. An increasing number of photonic interconnects are available commercially and help to solve the serious power constraint problem of copper wiring for GPU clusters by scaling down the energy per bit needed for data communication by one order of magnitude. In addition, analogue optical computing processors have demonstrated a level of inference that is greater than 160 TOPS/W (trillion operations per second per watt) in laboratories</w:t>
      </w:r>
      <w:r>
        <w:fldChar w:fldCharType="begin"/>
      </w:r>
      <w:r w:rsidR="00E842C0">
        <w:instrText xml:space="preserve"> ADDIN ZOTERO_ITEM CSL_CITATION {"citationID":"ZGhHTglV","properties":{"unsorted":false,"formattedCitation":"[175]","plainCitation":"[175]","noteIndex":0},"citationItems":[{"id":2207,"uris":["http://zotero.org/users/9870935/items/7C2QV3UH"],"itemData":{"id":2207,"type":"article-journal","abstract":"Panel-scale reconfigurable photonic interconnects on a glass substrate up to 500-mm × 500-mm or larger are envisioned by proposing a novel photonic switch fabric that enables all directional panel-edgeto-panel-edge reach without the need for active repeaters while offering high communication bandwidth, planar-direction reconfigurability, low energy consumption, and compelling data bandwidth density for heterogeneous integration of an in-package AI computing system on a single glass-substrate photonic interposer exceeding thousands of centimeters square. The proposed approach focuses on reconfigurable photonic interconnects, which are integration-compatible with commercial processor chiplets and 3D highbandwidth memory (HBM) stacks on a large-area glass substrate, to create a novel panel-scale heterogeneously integrated interposer or package enabling low-energy and high-capacity wavelengthdivision-multiplexing (WDM) optical data links using advanced high-speed optical modulators, broadband photodetectors, novel optical crossbar switches with multi-layer waveguides, and in-package frequency comb sources.","language":"en","source":"Zotero","title":"Panel-Scale Reconfigurable Photonic Interconnects for Scalable AI Computation","author":[{"family":"Hsueh","given":"Tzu-Chien"}]}}],"schema":"https://github.com/citation-style-language/schema/raw/master/csl-citation.json"} </w:instrText>
      </w:r>
      <w:r>
        <w:fldChar w:fldCharType="separate"/>
      </w:r>
      <w:r w:rsidR="00E842C0" w:rsidRPr="00E842C0">
        <w:t>[175]</w:t>
      </w:r>
      <w:r>
        <w:fldChar w:fldCharType="end"/>
      </w:r>
      <w:r>
        <w:t>.</w:t>
      </w:r>
    </w:p>
    <w:p w14:paraId="28CC95DC" w14:textId="34481DFB" w:rsidR="00FE013C" w:rsidRPr="00131821" w:rsidRDefault="00FE013C" w:rsidP="004C16FF">
      <w:pPr>
        <w:pStyle w:val="Heading20"/>
        <w:jc w:val="both"/>
        <w:rPr>
          <w:color w:val="auto"/>
        </w:rPr>
      </w:pPr>
      <w:r w:rsidRPr="00131821">
        <w:rPr>
          <w:color w:val="auto"/>
        </w:rPr>
        <w:t>1</w:t>
      </w:r>
      <w:r w:rsidR="00CA1249">
        <w:rPr>
          <w:color w:val="auto"/>
        </w:rPr>
        <w:t>5</w:t>
      </w:r>
      <w:r w:rsidRPr="00131821">
        <w:rPr>
          <w:color w:val="auto"/>
        </w:rPr>
        <w:t>.2 Advanced Energy Storage Technologies</w:t>
      </w:r>
    </w:p>
    <w:p w14:paraId="4B9DDC35" w14:textId="0586504F" w:rsidR="00FE013C" w:rsidRDefault="00FE013C" w:rsidP="00E842C0">
      <w:pPr>
        <w:spacing w:after="120"/>
        <w:ind w:firstLine="480"/>
      </w:pPr>
      <w:r>
        <w:t xml:space="preserve">A near-term possible improvement for high-density, low-footprint energy storage is solid-state and lithium-metal batteries, which promise 2–3 times the energy density of today's lithium-ion batteries. </w:t>
      </w:r>
      <w:r w:rsidR="004C1E8D">
        <w:t>Commercialization</w:t>
      </w:r>
      <w:r>
        <w:t xml:space="preserve"> for stationary storage applications is now moving rapidly, and stationary pricing is expected to reach parity with LFP chemistries by the end of the decade</w:t>
      </w:r>
      <w:r>
        <w:fldChar w:fldCharType="begin"/>
      </w:r>
      <w:r w:rsidR="00E842C0">
        <w:instrText xml:space="preserve"> ADDIN ZOTERO_ITEM CSL_CITATION {"citationID":"AOjUg4op","properties":{"unsorted":false,"formattedCitation":"[176]","plainCitation":"[176]","noteIndex":0},"citationItems":[{"id":2208,"uris":["http://zotero.org/users/9870935/items/29T75H2K"],"itemData":{"id":2208,"type":"article-journal","container-title":"Electrochemical Energy Reviews","DOI":"10.1007/s41918-018-0022-z","ISSN":"2520-8489, 2520-8136","issue":"1","journalAbbreviation":"Electrochem. Energ. Rev.","language":"en","page":"1-28","source":"DOI.org (Crossref)","title":"Automotive Li-Ion Batteries: Current Status and Future Perspectives","title-short":"Automotive Li-Ion Batteries","volume":"2","author":[{"family":"Ding","given":"Yuanli"},{"family":"Cano","given":"Zachary P."},{"family":"Yu","given":"Aiping"},{"family":"Lu","given":"Jun"},{"family":"Chen","given":"Zhongwei"}],"issued":{"date-parts":[["2019",3]]}}}],"schema":"https://github.com/citation-style-language/schema/raw/master/csl-citation.json"} </w:instrText>
      </w:r>
      <w:r>
        <w:fldChar w:fldCharType="separate"/>
      </w:r>
      <w:r w:rsidR="00E842C0" w:rsidRPr="00E842C0">
        <w:t>[176]</w:t>
      </w:r>
      <w:r>
        <w:fldChar w:fldCharType="end"/>
      </w:r>
      <w:r>
        <w:t>.</w:t>
      </w:r>
    </w:p>
    <w:p w14:paraId="0215BB71" w14:textId="68570EBC" w:rsidR="00FE013C" w:rsidRPr="002108A4" w:rsidRDefault="00FE013C" w:rsidP="00A95675">
      <w:pPr>
        <w:spacing w:after="120"/>
        <w:ind w:firstLine="480"/>
      </w:pPr>
      <w:r>
        <w:t>Form Energy's iron air battery technology moved from pilot projects to gigawatt-scale commercial production in 2026, which is critical for 24/7 carbon-free energy matching. Iron-air deployments are designed for multi-day storage time and a considerably lower cost than lithium-ion batteries, constituting a paradigm shift for</w:t>
      </w:r>
      <w:r w:rsidR="004C1E8D">
        <w:t xml:space="preserve"> data center </w:t>
      </w:r>
      <w:r>
        <w:t>that must span multi-day renewable energy deficits</w:t>
      </w:r>
      <w:r>
        <w:fldChar w:fldCharType="begin"/>
      </w:r>
      <w:r w:rsidR="00A95675">
        <w:instrText xml:space="preserve"> ADDIN ZOTERO_ITEM CSL_CITATION {"citationID":"kXk4XAc1","properties":{"unsorted":false,"formattedCitation":"[119]","plainCitation":"[119]","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A95675" w:rsidRPr="00A95675">
        <w:t>[119]</w:t>
      </w:r>
      <w:r>
        <w:fldChar w:fldCharType="end"/>
      </w:r>
      <w:r>
        <w:t xml:space="preserve">. A low-carbon hydrogen source can provide seasonal storage times. Now, costs need to drop dramatically, from $2/kg to less than $1/kg, for economic viability in data </w:t>
      </w:r>
      <w:r w:rsidR="00580BAE">
        <w:t>center</w:t>
      </w:r>
      <w:r>
        <w:t xml:space="preserve"> backup applications—a long-term target of massive amounts of </w:t>
      </w:r>
      <w:r w:rsidR="004C1E8D">
        <w:t>electrolyze</w:t>
      </w:r>
      <w:r>
        <w:t xml:space="preserve"> scale-up and reductions in renewable electricity cost.</w:t>
      </w:r>
    </w:p>
    <w:p w14:paraId="16C49DE4" w14:textId="66B5DC1E" w:rsidR="00FE013C" w:rsidRDefault="00FE013C" w:rsidP="004C16FF">
      <w:pPr>
        <w:pStyle w:val="Heading20"/>
        <w:jc w:val="both"/>
      </w:pPr>
      <w:r w:rsidRPr="00131821">
        <w:rPr>
          <w:color w:val="auto"/>
        </w:rPr>
        <w:t>1</w:t>
      </w:r>
      <w:r w:rsidR="00CA1249">
        <w:rPr>
          <w:color w:val="auto"/>
        </w:rPr>
        <w:t>5</w:t>
      </w:r>
      <w:r w:rsidRPr="00131821">
        <w:rPr>
          <w:color w:val="auto"/>
        </w:rPr>
        <w:t>.</w:t>
      </w:r>
      <w:r>
        <w:rPr>
          <w:color w:val="auto"/>
        </w:rPr>
        <w:t>3</w:t>
      </w:r>
      <w:r w:rsidRPr="00131821">
        <w:rPr>
          <w:color w:val="auto"/>
        </w:rPr>
        <w:t xml:space="preserve"> </w:t>
      </w:r>
      <w:r>
        <w:t>AI and Machine Learning for Grid Optimization</w:t>
      </w:r>
    </w:p>
    <w:p w14:paraId="0FEA0462" w14:textId="5F36950F" w:rsidR="00FE013C" w:rsidRPr="00593464" w:rsidRDefault="00FE013C" w:rsidP="00E842C0">
      <w:pPr>
        <w:spacing w:after="120"/>
        <w:ind w:firstLine="480"/>
      </w:pPr>
      <w:r w:rsidRPr="00593464">
        <w:t>Machine learning is being applied in many ways across the grid, be it forecasting, real-time dispatch, or predictive maintenance. Technologies such as spatio-temporal networks and transformer-based time-series models have been shown to boost the accuracy of solar and wind forecasts by 20–30% compared to traditional numerical weather prediction models</w:t>
      </w:r>
      <w:r>
        <w:fldChar w:fldCharType="begin"/>
      </w:r>
      <w:r w:rsidR="00A95675">
        <w:instrText xml:space="preserve"> ADDIN ZOTERO_ITEM CSL_CITATION {"citationID":"IpOR4aDm","properties":{"unsorted":false,"formattedCitation":"[119]","plainCitation":"[119]","noteIndex":0},"citationItems":[{"id":2210,"uris":["http://zotero.org/users/9870935/items/B883UNJW"],"itemData":{"id":2210,"type":"article-journal","container-title":"Journal of Energy Storage","DOI":"10.1016/j.est.2026.120679","ISSN":"2352152X","journalAbbreviation":"Journal of Energy Storage","language":"en","page":"120679","source":"DOI.org (Crossref)","title":"A comparison of long duration energy storage technologies based on levelized cost of storage","volume":"153","author":[{"family":"Friedel","given":"Leonhard"},{"family":"Grenz","given":"Jana"},{"family":"Hagist","given":"Christian"}],"issued":{"date-parts":[["2026",4]]}}}],"schema":"https://github.com/citation-style-language/schema/raw/master/csl-citation.json"} </w:instrText>
      </w:r>
      <w:r>
        <w:fldChar w:fldCharType="separate"/>
      </w:r>
      <w:r w:rsidR="00A95675" w:rsidRPr="00A95675">
        <w:t>[119]</w:t>
      </w:r>
      <w:r>
        <w:fldChar w:fldCharType="end"/>
      </w:r>
      <w:r w:rsidRPr="00593464">
        <w:t xml:space="preserve">. Reinforcement learning (RL) agents are known to be highly effective in learning optimal policies for multi-microgrid dispatch, consistently outperforming conventional rule-based or purely deterministic approaches in complex multi-objective </w:t>
      </w:r>
      <w:r w:rsidR="004C1E8D" w:rsidRPr="00593464">
        <w:t>optimization</w:t>
      </w:r>
      <w:r w:rsidRPr="00593464">
        <w:t xml:space="preserve"> problems, while continuously interacting with simulated environments. Additionally, systems for predictive maintenance with applications based on anomaly detection algorithms on the edge can detect trends in insulation and mechanical degradation of equipment in substations at an early stage. This is proactive maintenance (before catastrophic fault) that can be scheduled and </w:t>
      </w:r>
      <w:r w:rsidR="004C1E8D" w:rsidRPr="00593464">
        <w:t>minimize</w:t>
      </w:r>
      <w:r w:rsidRPr="00593464">
        <w:t xml:space="preserve"> unplanned downtime in the facility. Developing autonomous grid control with AI is challenging because of the lack of ability to </w:t>
      </w:r>
      <w:r w:rsidR="004C1E8D" w:rsidRPr="00593464">
        <w:t>generalize</w:t>
      </w:r>
      <w:r w:rsidRPr="00593464">
        <w:t xml:space="preserve"> the models and provide guarantees over the training distribution, especially for high-impact, low-frequency extreme weather events</w:t>
      </w:r>
      <w:r>
        <w:fldChar w:fldCharType="begin"/>
      </w:r>
      <w:r w:rsidR="00E842C0">
        <w:instrText xml:space="preserve"> ADDIN ZOTERO_ITEM CSL_CITATION {"citationID":"rSU4U6il","properties":{"unsorted":false,"formattedCitation":"[177]","plainCitation":"[177]","noteIndex":0},"citationItems":[{"id":2212,"uris":["http://zotero.org/users/9870935/items/VXAENHHC"],"itemData":{"id":2212,"type":"article","abstract":"Safe Reinforcement Learning (SafeRL) is the subﬁeld of reinforcement learning that explicitly deals with safety constraints during the learning and deployment of agents. This survey provides a mathematically rigorous overview of SafeRL formulations based on Constrained Markov Decision Processes (CMDPs) and extensions to Multi-Agent Safe RL (SafeMARL). We review theoretical foundations of CMDPs, covering deﬁnitions, constrained optimization techniques, and fundamental theorems. We then summarize state-of-the-art algorithms in SafeRL for single agents, including policy gradient methods with safety guarantees and safe exploration strategies, as well as recent advances in SafeMARL for cooperative and competitive settings. Additionally, we propose ﬁve open research problems to advance the ﬁeld, with three focusing on SafeMARL. Each problem is described with motivation, key challenges, and related prior work. This survey is intended as a technical guide for researchers interested in SafeRL and SafeMARL, highlighting key concepts, methods, and open future research directions.","DOI":"10.48550/arXiv.2505.17342","language":"en","note":"arXiv:2505.17342 [cs.LG]","number":"arXiv:2505.17342","publisher":"arXiv","source":"arXiv.org","title":"A Survey of Safe Reinforcement Learning and Constrained MDPs: A Technical Survey on Single-Agent and Multi-Agent Safety","title-short":"A Survey of Safe Reinforcement Learning and Constrained MDPs","URL":"http://arxiv.org/abs/2505.17342","author":[{"family":"Kushwaha","given":"Ankita"},{"family":"Ravish","given":"Kiran"},{"family":"Lamba","given":"Preeti"},{"family":"Kumar","given":"Pawan"}],"accessed":{"date-parts":[["2026",6,6]]},"issued":{"date-parts":[["2026",4,29]]}}}],"schema":"https://github.com/citation-style-language/schema/raw/master/csl-citation.json"} </w:instrText>
      </w:r>
      <w:r>
        <w:fldChar w:fldCharType="separate"/>
      </w:r>
      <w:r w:rsidR="00E842C0" w:rsidRPr="00E842C0">
        <w:t>[177]</w:t>
      </w:r>
      <w:r>
        <w:fldChar w:fldCharType="end"/>
      </w:r>
      <w:r w:rsidRPr="00593464">
        <w:t>.</w:t>
      </w:r>
    </w:p>
    <w:p w14:paraId="1FB6D1D6" w14:textId="12CC9507"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.4 Challenges for a 100 percent Renewable Grid</w:t>
      </w:r>
    </w:p>
    <w:p w14:paraId="439CB4FE" w14:textId="4A3220F7" w:rsidR="00FE013C" w:rsidRPr="00180502" w:rsidRDefault="00FE013C" w:rsidP="00E842C0">
      <w:pPr>
        <w:spacing w:after="120"/>
        <w:ind w:firstLine="480"/>
      </w:pPr>
      <w:r w:rsidRPr="00180502">
        <w:lastRenderedPageBreak/>
        <w:t>The structural stability challenges faced by power systems operating with a renewable penetration of more than 80</w:t>
      </w:r>
      <w:r>
        <w:t xml:space="preserve">% </w:t>
      </w:r>
      <w:r w:rsidRPr="00180502">
        <w:t xml:space="preserve">are qualitatively different from those faced by power systems operating in a traditional manner. Conventional thermal generation has been retired, leaving frequency nadir and rate of change of frequency (RoCoF) dynamics as a significant challenge. In this operating environment, fast acting Inverter Based Resources (IBRs) with Grid-Forming Control (GFC) is required to provide synthetic inertia and help stabilize sub-second frequency deviations </w:t>
      </w:r>
      <w:r>
        <w:fldChar w:fldCharType="begin"/>
      </w:r>
      <w:r w:rsidR="00E842C0">
        <w:instrText xml:space="preserve"> ADDIN ZOTERO_ITEM CSL_CITATION {"citationID":"TKwvq3OP","properties":{"unsorted":false,"formattedCitation":"[165]","plainCitation":"[165]","noteIndex":0},"citationItems":[{"id":2214,"uris":["http://zotero.org/users/9870935/items/L3VF7GNN"],"itemData":{"id":2214,"type":"article-journal","abstract":"This study discusses synthetic inertia from the perspective of a transmission system operator and compares it to fast frequency response based on frequency deviation. A clear distinction of the meanings between these concepts is discussed, the basis of which is a description of their characteristics. A contribution and the purpose is the clarification of these concepts in addition to share the perspectives of a transmission system operator. The frequency response of a power system based on the Nordic system is examined for future scenarios with large amounts of wind power. Conclusions are drawn regarding the benefit of synthetic inertia compared with fast frequency response based on frequency deviation.","container-title":"IET Renewable Power Generation","DOI":"10.1049/iet-rpg.2017.0370","ISSN":"1752-1416, 1752-1424","issue":"5","journalAbbreviation":"IET Renewable Power Gen","language":"en","page":"507-514","source":"DOI.org (Crossref)","title":"Synthetic inertia versus fast frequency response: a definition","title-short":"Synthetic inertia versus fast frequency response","volume":"12","author":[{"family":"Eriksson","given":"Robert"},{"family":"Modig","given":"Niklas"},{"family":"Elkington","given":"Katherine"}],"issued":{"date-parts":[["2018",4]]}}}],"schema":"https://github.com/citation-style-language/schema/raw/master/csl-citation.json"} </w:instrText>
      </w:r>
      <w:r>
        <w:fldChar w:fldCharType="separate"/>
      </w:r>
      <w:r w:rsidR="00E842C0" w:rsidRPr="00E842C0">
        <w:t>[165]</w:t>
      </w:r>
      <w:r>
        <w:fldChar w:fldCharType="end"/>
      </w:r>
      <w:r w:rsidRPr="00180502">
        <w:t>.</w:t>
      </w:r>
    </w:p>
    <w:p w14:paraId="6DD83B3A" w14:textId="6086AF8C" w:rsidR="00FE013C" w:rsidRPr="00180502" w:rsidRDefault="00FE013C" w:rsidP="00E842C0">
      <w:pPr>
        <w:spacing w:after="120"/>
        <w:ind w:firstLine="480"/>
      </w:pPr>
      <w:r w:rsidRPr="00180502">
        <w:t>Moreover, weak grid conditions, such as low system strength and low short circuit ratios (SCR), pose serious risks of control interaction and transient voltage instability when operating the equipment. With a growing number of deep generation oversupply and deep generation undersupply events, the system needs to be highly coordinated from the millisecond level of dynamic voltage support to seasonal energy storage dispatch</w:t>
      </w:r>
      <w:r>
        <w:fldChar w:fldCharType="begin"/>
      </w:r>
      <w:r w:rsidR="00E842C0">
        <w:instrText xml:space="preserve"> ADDIN ZOTERO_ITEM CSL_CITATION {"citationID":"g1phXAsO","properties":{"unsorted":false,"formattedCitation":"[167]","plainCitation":"[167]","noteIndex":0},"citationItems":[{"id":2189,"uris":["http://zotero.org/users/9870935/items/U4Y7SALQ"],"itemData":{"id":2189,"type":"article-journal","abstract":"The generator side of inverter-based resources (IBRs) interfaced with back-to-back converters is electrically decoupled from the grid. During electrical faults, grid-following IBRs behave as voltagedependent current sources due to grid code requirements and converter control. This paper presents NewtonRaphson formulations for estimating short-circuit currents from IBRs using novel power ﬂow modeling approaches to address voltage-dependent current sources. The work shows how to represent dq0 current injections, which are typically implemented in control architectures based on phase-locked loops. The power ﬂow formulations are adapted to capture grid codes with diﬀerent characteristics, such as the injection of negative-sequence currents during unbalanced faults. Comparisons against a ﬁeld-validated electromagnetic transients (EMT) model reveal mean absolute errors of less than 0.5% for the proposed approach when estimating steady-state short-circuit currents from type IV wind turbine generators under grid-following control.","container-title":"IEEE Open Access Journal of Power and Energy","DOI":"10.1109/OAJPE.2026.3673646","ISSN":"2687-7910","journalAbbreviation":"IEEE Open J. Power Energy","language":"en","license":"https://creativecommons.org/licenses/by/4.0/legalcode","page":"229-239","source":"DOI.org (Crossref)","title":"Power Flow-Based Estimation of Short-Circuit Currents From Inverter-Based Resources","volume":"13","author":[{"family":"Abritta","given":"Ramon"},{"family":"Guerreiro","given":"Gabriel M. G."},{"family":"Pavlov","given":"Alexey"},{"family":"Tore Børresen","given":"Børre"},{"family":"Tedeschi","given":"Elisabetta"},{"family":"Sharma","given":"Ranjan"},{"family":"Da Silva Junior","given":"Ivo C."}],"issued":{"date-parts":[["2026"]]}}}],"schema":"https://github.com/citation-style-language/schema/raw/master/csl-citation.json"} </w:instrText>
      </w:r>
      <w:r>
        <w:fldChar w:fldCharType="separate"/>
      </w:r>
      <w:r w:rsidR="00E842C0" w:rsidRPr="00E842C0">
        <w:t>[167]</w:t>
      </w:r>
      <w:r>
        <w:fldChar w:fldCharType="end"/>
      </w:r>
      <w:r w:rsidRPr="00180502">
        <w:t>.</w:t>
      </w:r>
    </w:p>
    <w:p w14:paraId="1B6520CD" w14:textId="79DD5D9F" w:rsidR="00FE013C" w:rsidRDefault="00FE013C" w:rsidP="00A95675">
      <w:pPr>
        <w:spacing w:after="120"/>
        <w:ind w:firstLine="480"/>
      </w:pPr>
      <w:r w:rsidRPr="00180502">
        <w:t xml:space="preserve">Unlike conventional loads, data </w:t>
      </w:r>
      <w:r w:rsidR="00580BAE">
        <w:t>center</w:t>
      </w:r>
      <w:r w:rsidRPr="00180502">
        <w:t xml:space="preserve">s can be used to stabilize low-inertia grids. They can run as "anchor loads" and help ensure financial certainty for new clean energy projects. At the same time, data </w:t>
      </w:r>
      <w:r w:rsidR="00580BAE">
        <w:t>center</w:t>
      </w:r>
      <w:r w:rsidRPr="00180502">
        <w:t>s can use their on-site battery energy storage systems (BESS) and flexible computing architectures to provide the balancing authority with much-needed frequency response (FR), primary frequency response (PFR), and automated demand response (ADR) services at speeds that can be as rapid as a few seconds or as instantaneous as a few milliseconds</w:t>
      </w:r>
      <w:r>
        <w:fldChar w:fldCharType="begin"/>
      </w:r>
      <w:r w:rsidR="00A95675">
        <w:instrText xml:space="preserve"> ADDIN ZOTERO_ITEM CSL_CITATION {"citationID":"3pIrnlsx","properties":{"unsorted":false,"formattedCitation":"[114]","plainCitation":"[114]","noteIndex":0},"citationItems":[{"id":2215,"uris":["http://zotero.org/users/9870935/items/6KYBNJ5X"],"itemData":{"id":2215,"type":"article-journal","abstract":"Abstract\n            Recently, various distributed energy resources are significantly integrated into the modern power systems. This introduction of distributed energy resource‐rich systems can cause various power quality issues, due to their uncertainties and capacity variations. Therefore, it is crucial to establish energy balance between generation and demand to improve power system's reliability and stability and to minimize energy costs without sacrificing customers’ comfort or utility. In this regard, power system flexibility concept is highlighted as a robust and cost‐effective energy management system, especially on the demand side, to provide consumers’ demands with an acceptable level of power quality. Accordingly, here, a comprehensive review of recent developments in the power system flexibility and demand‐side management strategies and demand response programs are provided to include mainly classifications, estimation methods, distributed energy resource modelling approaches, infrastructure requirements, and applications. In addition, current research topics for applying power system flexibility solutions and demand‐side management strategies based on modern power system operation are deliberated. Also, prominent challenges, research trends, and future perspectives are discussed. Finally, this review article aims to be an appropriate reference for comprehensive research trends in the power system flexibility concept in general and in demand‐side management strategies and demand response programs, specifically.","container-title":"IET Generation, Transmission &amp; Distribution","DOI":"10.1049/gtd2.13204","ISSN":"1751-8687, 1751-8695","issue":"13","journalAbbreviation":"IET Generation Trans &amp;amp; Dist","language":"en","page":"2259-2300","source":"DOI.org (Crossref)","title":"Recent developments of demand‐side management towards flexible DER‐rich power systems: A systematic review","title-short":"Recent developments of demand‐side management towards flexible DER‐rich power systems","volume":"18","author":[{"family":"Mousa","given":"Hossam H. H."},{"family":"Mahmoud","given":"Karar"},{"family":"Lehtonen","given":"Matti"}],"issued":{"date-parts":[["2024",7]]}}}],"schema":"https://github.com/citation-style-language/schema/raw/master/csl-citation.json"} </w:instrText>
      </w:r>
      <w:r>
        <w:fldChar w:fldCharType="separate"/>
      </w:r>
      <w:r w:rsidR="00A95675" w:rsidRPr="00A95675">
        <w:t>[114]</w:t>
      </w:r>
      <w:r>
        <w:fldChar w:fldCharType="end"/>
      </w:r>
      <w:r w:rsidRPr="00180502">
        <w:t>.</w:t>
      </w:r>
    </w:p>
    <w:p w14:paraId="11A80E59" w14:textId="74FCC2A5"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5</w:t>
      </w:r>
      <w:r w:rsidRPr="00593464">
        <w:rPr>
          <w:color w:val="auto"/>
        </w:rPr>
        <w:t xml:space="preserve"> </w:t>
      </w:r>
      <w:r>
        <w:t>Integration with Grid Modernization</w:t>
      </w:r>
    </w:p>
    <w:p w14:paraId="773B36CF" w14:textId="36A40BC2" w:rsidR="00FE013C" w:rsidRPr="00931E05" w:rsidRDefault="00FE013C" w:rsidP="00E842C0">
      <w:pPr>
        <w:spacing w:after="120"/>
        <w:ind w:firstLine="480"/>
      </w:pPr>
      <w:r w:rsidRPr="00931E05">
        <w:t xml:space="preserve">Smart grid technologies, including advanced distribution automation, </w:t>
      </w:r>
      <w:r w:rsidR="004C1E8D" w:rsidRPr="00931E05">
        <w:t>localized</w:t>
      </w:r>
      <w:r w:rsidRPr="00931E05">
        <w:t xml:space="preserve"> microgrid designs, and power bidirectionality, are creating fertile ground for deep data </w:t>
      </w:r>
      <w:r w:rsidR="00580BAE">
        <w:t>center</w:t>
      </w:r>
      <w:r w:rsidRPr="00931E05">
        <w:t xml:space="preserve"> integration. </w:t>
      </w:r>
      <w:r w:rsidR="004C1E8D" w:rsidRPr="00931E05">
        <w:t>Optimized</w:t>
      </w:r>
      <w:r w:rsidRPr="00931E05">
        <w:t xml:space="preserve"> vehicle-to-grid (V2G) multi-facility aggregation could decrease a data </w:t>
      </w:r>
      <w:r w:rsidR="00580BAE">
        <w:t>center</w:t>
      </w:r>
      <w:r w:rsidRPr="00931E05">
        <w:t xml:space="preserve"> 's stationary battery footprint by 30–50</w:t>
      </w:r>
      <w:r>
        <w:t>%</w:t>
      </w:r>
      <w:r w:rsidRPr="00931E05">
        <w:t xml:space="preserve"> by using co-located vehicle fleet infrastructure facilities as a single energy buffer. Another obvious </w:t>
      </w:r>
      <w:r w:rsidR="004C1E8D" w:rsidRPr="00931E05">
        <w:t>optimization</w:t>
      </w:r>
      <w:r w:rsidRPr="00931E05">
        <w:t xml:space="preserve"> path is thermal </w:t>
      </w:r>
      <w:r w:rsidR="004C1E8D" w:rsidRPr="00931E05">
        <w:t>modernization</w:t>
      </w:r>
      <w:r w:rsidRPr="00931E05">
        <w:t>. Hype</w:t>
      </w:r>
      <w:r>
        <w:t>r</w:t>
      </w:r>
      <w:r w:rsidRPr="00931E05">
        <w:t>scale facilities are quickly moving to liquid cooling loops to support high-density AI clusters and are rejecting high-grade waste heat, often in excess of 60°C. This increased temperature resource enables very effective integration with nearby municipal district heating or district cooling systems and/or adjacent industrial processes, resulting in a significant reduction in the comprehensive power usage effectiveness (PUE) and total resource effectiveness (TRE) of the facility</w:t>
      </w:r>
      <w:r>
        <w:fldChar w:fldCharType="begin"/>
      </w:r>
      <w:r w:rsidR="00E842C0">
        <w:instrText xml:space="preserve"> ADDIN ZOTERO_ITEM CSL_CITATION {"citationID":"Gz8clESV","properties":{"unsorted":false,"formattedCitation":"[178]","plainCitation":"[178]","noteIndex":0},"citationItems":[{"id":2216,"uris":["http://zotero.org/users/9870935/items/ZB9XVSAF"],"itemData":{"id":2216,"type":"article-journal","container-title":"Heliyon","DOI":"10.1016/j.heliyon.2024.e29087","ISSN":"24058440","issue":"7","journalAbbreviation":"Heliyon","language":"en","page":"e29087","source":"DOI.org (Crossref)","title":"Cost and environmental analysis and optimization of a new and green three-level waste heat recovery-based cogeneration cycle: A comparative study","title-short":"Cost and environmental analysis and optimization of a new and green three-level waste heat recovery-based cogeneration cycle","volume":"10","author":[{"family":"Nikafshan Rad","given":"Hima"},{"family":"Ghasemi","given":"Amir"},{"family":"Marefati","given":"Mohammad"}],"issued":{"date-parts":[["2024",4]]}}}],"schema":"https://github.com/citation-style-language/schema/raw/master/csl-citation.json"} </w:instrText>
      </w:r>
      <w:r>
        <w:fldChar w:fldCharType="separate"/>
      </w:r>
      <w:r w:rsidR="00E842C0" w:rsidRPr="00E842C0">
        <w:t>[178]</w:t>
      </w:r>
      <w:r>
        <w:fldChar w:fldCharType="end"/>
      </w:r>
      <w:r w:rsidRPr="00931E05">
        <w:t>.</w:t>
      </w:r>
    </w:p>
    <w:p w14:paraId="35B2922B" w14:textId="429BBD70" w:rsidR="00FE013C" w:rsidRPr="00593464" w:rsidRDefault="00FE013C" w:rsidP="004C16FF">
      <w:pPr>
        <w:pStyle w:val="Heading20"/>
        <w:jc w:val="both"/>
        <w:rPr>
          <w:color w:val="auto"/>
        </w:rPr>
      </w:pPr>
      <w:r w:rsidRPr="00593464">
        <w:rPr>
          <w:color w:val="auto"/>
        </w:rPr>
        <w:t>1</w:t>
      </w:r>
      <w:r w:rsidR="00CA1249">
        <w:rPr>
          <w:color w:val="auto"/>
        </w:rPr>
        <w:t>5</w:t>
      </w:r>
      <w:r w:rsidRPr="00593464">
        <w:rPr>
          <w:color w:val="auto"/>
        </w:rPr>
        <w:t>.</w:t>
      </w:r>
      <w:r>
        <w:rPr>
          <w:color w:val="auto"/>
        </w:rPr>
        <w:t>6</w:t>
      </w:r>
      <w:r w:rsidRPr="00593464">
        <w:rPr>
          <w:color w:val="auto"/>
        </w:rPr>
        <w:t xml:space="preserve"> </w:t>
      </w:r>
      <w:r>
        <w:t>Recommendations for Future Research</w:t>
      </w:r>
    </w:p>
    <w:p w14:paraId="1E9E55E9" w14:textId="09591719" w:rsidR="00FE013C" w:rsidRPr="00CE10B6" w:rsidRDefault="00FE013C" w:rsidP="004C16FF">
      <w:pPr>
        <w:pStyle w:val="ListParagraph"/>
        <w:numPr>
          <w:ilvl w:val="0"/>
          <w:numId w:val="7"/>
        </w:numPr>
        <w:spacing w:after="120"/>
      </w:pPr>
      <w:r>
        <w:rPr>
          <w:b/>
          <w:bCs/>
        </w:rPr>
        <w:t>Near</w:t>
      </w:r>
      <w:r w:rsidRPr="00B42D4C">
        <w:rPr>
          <w:b/>
          <w:bCs/>
        </w:rPr>
        <w:t>-Term Goals (</w:t>
      </w:r>
      <w:r>
        <w:rPr>
          <w:b/>
          <w:bCs/>
        </w:rPr>
        <w:t>1</w:t>
      </w:r>
      <w:r w:rsidRPr="00B42D4C">
        <w:rPr>
          <w:b/>
          <w:bCs/>
        </w:rPr>
        <w:t xml:space="preserve"> to </w:t>
      </w:r>
      <w:r>
        <w:rPr>
          <w:b/>
          <w:bCs/>
        </w:rPr>
        <w:t>5</w:t>
      </w:r>
      <w:r w:rsidRPr="00B42D4C">
        <w:rPr>
          <w:b/>
          <w:bCs/>
        </w:rPr>
        <w:t xml:space="preserve"> Years):</w:t>
      </w:r>
      <w:r w:rsidRPr="00CE10B6">
        <w:t xml:space="preserve"> Implement sub-hour 24/7 CFE tracking protocols in a standard way (using cryptographic granular certificates); </w:t>
      </w:r>
      <w:r w:rsidR="004C1E8D" w:rsidRPr="00CE10B6">
        <w:t>utilize</w:t>
      </w:r>
      <w:r w:rsidRPr="00CE10B6">
        <w:t xml:space="preserve"> the stability of the control loop in the grid-forming inverter (GFI) under low SCR conditions to validate the stability of the control loop within data </w:t>
      </w:r>
      <w:r w:rsidR="00580BAE">
        <w:t>center</w:t>
      </w:r>
      <w:r w:rsidRPr="00CE10B6">
        <w:t xml:space="preserve"> (DC) microgrids; and field-test AI-based workload shifting in correlation with local distribution constraint signals.</w:t>
      </w:r>
    </w:p>
    <w:p w14:paraId="3B52A0C4" w14:textId="5D99B1C0" w:rsidR="00FE013C" w:rsidRPr="00CE10B6" w:rsidRDefault="00FE013C" w:rsidP="004C16FF">
      <w:pPr>
        <w:pStyle w:val="ListParagraph"/>
        <w:numPr>
          <w:ilvl w:val="0"/>
          <w:numId w:val="7"/>
        </w:numPr>
        <w:spacing w:after="120"/>
      </w:pPr>
      <w:r w:rsidRPr="00B42D4C">
        <w:rPr>
          <w:b/>
          <w:bCs/>
        </w:rPr>
        <w:t>Medium-Term Priorities (5 to 10 years):</w:t>
      </w:r>
      <w:r w:rsidRPr="00CE10B6">
        <w:t xml:space="preserve"> Assess the ways in which LDES and LLAES assets can be scaled up for use in a seasonal manner for data </w:t>
      </w:r>
      <w:r w:rsidR="00580BAE">
        <w:t>center</w:t>
      </w:r>
      <w:r w:rsidRPr="00CE10B6">
        <w:t xml:space="preserve"> backup; determine the lifecycle degradation of LDES and LLAES assets when they are scaled up; identify multiple-party co-</w:t>
      </w:r>
      <w:r w:rsidR="004C1E8D" w:rsidRPr="00CE10B6">
        <w:t>optimization</w:t>
      </w:r>
      <w:r w:rsidRPr="00CE10B6">
        <w:t xml:space="preserve"> algorithms for cross-sector thermal coupling between liquid-cooled data </w:t>
      </w:r>
      <w:r w:rsidR="00580BAE">
        <w:t>center</w:t>
      </w:r>
      <w:r w:rsidRPr="00CE10B6">
        <w:t xml:space="preserve">s and district utility networks; and </w:t>
      </w:r>
      <w:r w:rsidR="004C1E8D" w:rsidRPr="00CE10B6">
        <w:t>characterize</w:t>
      </w:r>
      <w:r w:rsidRPr="00CE10B6">
        <w:t xml:space="preserve"> wide-area </w:t>
      </w:r>
      <w:r w:rsidRPr="00CE10B6">
        <w:lastRenderedPageBreak/>
        <w:t xml:space="preserve">coordination challenges of multi-gigawatt data </w:t>
      </w:r>
      <w:r w:rsidR="00580BAE">
        <w:t>center</w:t>
      </w:r>
      <w:r w:rsidRPr="00CE10B6">
        <w:t xml:space="preserve"> clusters operating in 100 percent inverted-dominated grids.</w:t>
      </w:r>
    </w:p>
    <w:p w14:paraId="6BEE3FDD" w14:textId="77777777" w:rsidR="00FE013C" w:rsidRPr="00CE10B6" w:rsidRDefault="00FE013C" w:rsidP="004C16FF">
      <w:pPr>
        <w:pStyle w:val="ListParagraph"/>
        <w:numPr>
          <w:ilvl w:val="0"/>
          <w:numId w:val="7"/>
        </w:numPr>
        <w:spacing w:after="120"/>
      </w:pPr>
      <w:r w:rsidRPr="00B42D4C">
        <w:rPr>
          <w:b/>
          <w:bCs/>
        </w:rPr>
        <w:t>Medium-to long-term priorities (10+ years):</w:t>
      </w:r>
      <w:r w:rsidRPr="00CE10B6">
        <w:t xml:space="preserve"> Demonstrate the operational scalability of analogue optical and neuromorphic computing concepts for handling full production workloads for supporting AI training; validate the economic and logistical feasibility of large-scale green hydrogen ecosystems for providing multi-week, seasonal backup power using zero-emission energy; and develop plug-and-play standards for fully decentralised, self-healing autonomous microgrids operating in island mode.</w:t>
      </w:r>
    </w:p>
    <w:p w14:paraId="2E14F81F" w14:textId="77777777" w:rsidR="00FE013C" w:rsidRDefault="00FE013C" w:rsidP="004C16FF">
      <w:pPr>
        <w:pStyle w:val="Heading10"/>
        <w:jc w:val="both"/>
        <w:rPr>
          <w:color w:val="auto"/>
        </w:rPr>
      </w:pPr>
      <w:r>
        <w:rPr>
          <w:color w:val="auto"/>
        </w:rPr>
        <w:t>References</w:t>
      </w:r>
    </w:p>
    <w:p w14:paraId="2D01E8BB" w14:textId="77777777" w:rsidR="003725EC" w:rsidRDefault="00BB50D5" w:rsidP="003725EC">
      <w:pPr>
        <w:pStyle w:val="Bibliography"/>
      </w:pPr>
      <w:r>
        <w:rPr>
          <w:color w:val="auto"/>
        </w:rPr>
        <w:fldChar w:fldCharType="begin"/>
      </w:r>
      <w:r w:rsidR="009A7507">
        <w:rPr>
          <w:color w:val="auto"/>
        </w:rPr>
        <w:instrText xml:space="preserve"> ADDIN ZOTERO_BIBL {"uncited":[],"omitted":[],"custom":[]} CSL_BIBLIOGRAPHY </w:instrText>
      </w:r>
      <w:r>
        <w:rPr>
          <w:color w:val="auto"/>
        </w:rPr>
        <w:fldChar w:fldCharType="separate"/>
      </w:r>
      <w:r w:rsidR="003725EC">
        <w:t>[1]</w:t>
      </w:r>
      <w:r w:rsidR="003725EC">
        <w:tab/>
        <w:t>IEA, “Data Centres and Data Transmission Networks.” [Online]. Available: https://www.iea.org/energy-system/buildings/data-centres-and-data-transmission-networks</w:t>
      </w:r>
    </w:p>
    <w:p w14:paraId="3D4A2A78" w14:textId="77777777" w:rsidR="003725EC" w:rsidRDefault="003725EC" w:rsidP="003725EC">
      <w:pPr>
        <w:pStyle w:val="Bibliography"/>
      </w:pPr>
      <w:r>
        <w:t>[2]</w:t>
      </w:r>
      <w:r>
        <w:tab/>
        <w:t xml:space="preserve">A. Shehabi </w:t>
      </w:r>
      <w:r>
        <w:rPr>
          <w:i/>
          <w:iCs/>
        </w:rPr>
        <w:t>et al.</w:t>
      </w:r>
      <w:r>
        <w:t>, “United States Data Center Energy Usage Report,” LBNL--1005775, 1372902, Jun. 2016. doi: 10.2172/1372902.</w:t>
      </w:r>
    </w:p>
    <w:p w14:paraId="614C23F2" w14:textId="77777777" w:rsidR="003725EC" w:rsidRDefault="003725EC" w:rsidP="003725EC">
      <w:pPr>
        <w:pStyle w:val="Bibliography"/>
      </w:pPr>
      <w:r>
        <w:t>[3]</w:t>
      </w:r>
      <w:r>
        <w:tab/>
        <w:t>IEA, “Energy and AI.” Accessed: Apr. 10, 2025. [Online]. Available: https://www.iea.org/reports/energy-and-ai</w:t>
      </w:r>
    </w:p>
    <w:p w14:paraId="410BD966" w14:textId="77777777" w:rsidR="003725EC" w:rsidRDefault="003725EC" w:rsidP="003725EC">
      <w:pPr>
        <w:pStyle w:val="Bibliography"/>
      </w:pPr>
      <w:r>
        <w:t>[4]</w:t>
      </w:r>
      <w:r>
        <w:tab/>
        <w:t xml:space="preserve">D. Patterson </w:t>
      </w:r>
      <w:r>
        <w:rPr>
          <w:i/>
          <w:iCs/>
        </w:rPr>
        <w:t>et al.</w:t>
      </w:r>
      <w:r>
        <w:t xml:space="preserve">, “Carbon Emissions and Large Neural Network Training,” 2021, </w:t>
      </w:r>
      <w:r>
        <w:rPr>
          <w:i/>
          <w:iCs/>
        </w:rPr>
        <w:t>arXiv</w:t>
      </w:r>
      <w:r>
        <w:t>. doi: 10.48550/ARXIV.2104.10350.</w:t>
      </w:r>
    </w:p>
    <w:p w14:paraId="7E9FF9C3" w14:textId="77777777" w:rsidR="003725EC" w:rsidRDefault="003725EC" w:rsidP="003725EC">
      <w:pPr>
        <w:pStyle w:val="Bibliography"/>
      </w:pPr>
      <w:r>
        <w:t>[5]</w:t>
      </w:r>
      <w:r>
        <w:tab/>
        <w:t xml:space="preserve">E. Strubell, A. Ganesh, and A. McCallum, “Energy and Policy Considerations for Deep Learning in NLP,” 2019, </w:t>
      </w:r>
      <w:r>
        <w:rPr>
          <w:i/>
          <w:iCs/>
        </w:rPr>
        <w:t>arXiv</w:t>
      </w:r>
      <w:r>
        <w:t>. doi: 10.48550/ARXIV.1906.02243.</w:t>
      </w:r>
    </w:p>
    <w:p w14:paraId="5A3DBAA1" w14:textId="77777777" w:rsidR="003725EC" w:rsidRDefault="003725EC" w:rsidP="003725EC">
      <w:pPr>
        <w:pStyle w:val="Bibliography"/>
      </w:pPr>
      <w:r>
        <w:t>[6]</w:t>
      </w:r>
      <w:r>
        <w:tab/>
        <w:t xml:space="preserve">F. Jeanquartier </w:t>
      </w:r>
      <w:r>
        <w:rPr>
          <w:i/>
          <w:iCs/>
        </w:rPr>
        <w:t>et al.</w:t>
      </w:r>
      <w:r>
        <w:t xml:space="preserve">, “Assessing the carbon footprint of language models: Towards sustainability in AI,” </w:t>
      </w:r>
      <w:r>
        <w:rPr>
          <w:i/>
          <w:iCs/>
        </w:rPr>
        <w:t>Resour. Conserv. Recycl.</w:t>
      </w:r>
      <w:r>
        <w:t>, vol. 226, p. 108670, Feb. 2026, doi: 10.1016/j.resconrec.2025.108670.</w:t>
      </w:r>
    </w:p>
    <w:p w14:paraId="0D2D9805" w14:textId="77777777" w:rsidR="003725EC" w:rsidRDefault="003725EC" w:rsidP="003725EC">
      <w:pPr>
        <w:pStyle w:val="Bibliography"/>
      </w:pPr>
      <w:r>
        <w:t>[7]</w:t>
      </w:r>
      <w:r>
        <w:tab/>
        <w:t xml:space="preserve">J. Shi, Z. Yang, and D. Lo, “Efficient and Green Large Language Models for Software Engineering: Literature Review, Vision, and the Road Ahead,” Dec. 04, 2024, </w:t>
      </w:r>
      <w:r>
        <w:rPr>
          <w:i/>
          <w:iCs/>
        </w:rPr>
        <w:t>arXiv</w:t>
      </w:r>
      <w:r>
        <w:t>: arXiv:2404.04566. doi: 10.48550/arXiv.2404.04566.</w:t>
      </w:r>
    </w:p>
    <w:p w14:paraId="292DB004" w14:textId="77777777" w:rsidR="003725EC" w:rsidRDefault="003725EC" w:rsidP="003725EC">
      <w:pPr>
        <w:pStyle w:val="Bibliography"/>
      </w:pPr>
      <w:r>
        <w:t>[8]</w:t>
      </w:r>
      <w:r>
        <w:tab/>
        <w:t>Goldman Sacho, “Goldman Sachs Research.” [Online]. Available: https://www.goldmansachs.com/insights/articles/ai-to-drive-165-increase-in-data-center-power-demand-by-2030</w:t>
      </w:r>
    </w:p>
    <w:p w14:paraId="58C645C5" w14:textId="77777777" w:rsidR="003725EC" w:rsidRDefault="003725EC" w:rsidP="003725EC">
      <w:pPr>
        <w:pStyle w:val="Bibliography"/>
      </w:pPr>
      <w:r>
        <w:t>[9]</w:t>
      </w:r>
      <w:r>
        <w:tab/>
        <w:t xml:space="preserve">D. Donnellan </w:t>
      </w:r>
      <w:r>
        <w:rPr>
          <w:i/>
          <w:iCs/>
        </w:rPr>
        <w:t>et al.</w:t>
      </w:r>
      <w:r>
        <w:t>, “Uptime Institute Global Data Center Survey 2024,” 2024, [Online]. Available: https://uptimeinstitute.com/resources/research-and-reports/uptime-institute-global-data-center-survey-results-2024</w:t>
      </w:r>
    </w:p>
    <w:p w14:paraId="496F78DF" w14:textId="77777777" w:rsidR="003725EC" w:rsidRDefault="003725EC" w:rsidP="003725EC">
      <w:pPr>
        <w:pStyle w:val="Bibliography"/>
      </w:pPr>
      <w:r>
        <w:t>[10]</w:t>
      </w:r>
      <w:r>
        <w:tab/>
        <w:t xml:space="preserve">M. Andersch </w:t>
      </w:r>
      <w:r>
        <w:rPr>
          <w:i/>
          <w:iCs/>
        </w:rPr>
        <w:t>et al.</w:t>
      </w:r>
      <w:r>
        <w:t>, “NVIDIA Hopper Architecture In-Depth”, [Online]. Available: https://developer.nvidia.com/blog/nvidia-hopper-architecture-in-depth/</w:t>
      </w:r>
    </w:p>
    <w:p w14:paraId="547CE8D7" w14:textId="77777777" w:rsidR="003725EC" w:rsidRDefault="003725EC" w:rsidP="003725EC">
      <w:pPr>
        <w:pStyle w:val="Bibliography"/>
      </w:pPr>
      <w:r>
        <w:t>[11]</w:t>
      </w:r>
      <w:r>
        <w:tab/>
        <w:t xml:space="preserve">K. Calvin </w:t>
      </w:r>
      <w:r>
        <w:rPr>
          <w:i/>
          <w:iCs/>
        </w:rPr>
        <w:t>et al.</w:t>
      </w:r>
      <w:r>
        <w:t>,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Jul. 2023. doi: 10.59327/IPCC/AR6-9789291691647.</w:t>
      </w:r>
    </w:p>
    <w:p w14:paraId="56FD542D" w14:textId="77777777" w:rsidR="003725EC" w:rsidRDefault="003725EC" w:rsidP="003725EC">
      <w:pPr>
        <w:pStyle w:val="Bibliography"/>
      </w:pPr>
      <w:r>
        <w:t>[12]</w:t>
      </w:r>
      <w:r>
        <w:tab/>
        <w:t>“Driving sustainable innovation for society.” [Online]. Available: https://datacenters.google/operating-sustainably/</w:t>
      </w:r>
    </w:p>
    <w:p w14:paraId="4F93148B" w14:textId="77777777" w:rsidR="003725EC" w:rsidRDefault="003725EC" w:rsidP="003725EC">
      <w:pPr>
        <w:pStyle w:val="Bibliography"/>
      </w:pPr>
      <w:r>
        <w:t>[13]</w:t>
      </w:r>
      <w:r>
        <w:tab/>
        <w:t xml:space="preserve">D. Feldman </w:t>
      </w:r>
      <w:r>
        <w:rPr>
          <w:i/>
          <w:iCs/>
        </w:rPr>
        <w:t>et al.</w:t>
      </w:r>
      <w:r>
        <w:t>, “Spring 2024 Solar Industry Update,” NREL/PR--7A40-90042, 2376145, MainId:91820, May 2024. doi: 10.2172/2376145.</w:t>
      </w:r>
    </w:p>
    <w:p w14:paraId="5887FC4D" w14:textId="77777777" w:rsidR="003725EC" w:rsidRDefault="003725EC" w:rsidP="003725EC">
      <w:pPr>
        <w:pStyle w:val="Bibliography"/>
      </w:pPr>
      <w:r>
        <w:lastRenderedPageBreak/>
        <w:t>[14]</w:t>
      </w:r>
      <w:r>
        <w:tab/>
        <w:t>IRENA, “Renewable power generation costs in 2023”, [Online]. Available: https://www.irena.org/-/media/Files/IRENA/Agency/Publication/2024/Sep/IRENA_Renewable_power_generation_costs_in_2023.pdf</w:t>
      </w:r>
    </w:p>
    <w:p w14:paraId="73E6EDB6" w14:textId="77777777" w:rsidR="003725EC" w:rsidRDefault="003725EC" w:rsidP="003725EC">
      <w:pPr>
        <w:pStyle w:val="Bibliography"/>
      </w:pPr>
      <w:r>
        <w:t>[15]</w:t>
      </w:r>
      <w:r>
        <w:tab/>
        <w:t>IEA, “Wind.” Accessed: Feb. 25, 2025. [Online]. Available: https://www.iea.org/energy-system/renewables/wind</w:t>
      </w:r>
    </w:p>
    <w:p w14:paraId="7D3A53DA" w14:textId="77777777" w:rsidR="003725EC" w:rsidRDefault="003725EC" w:rsidP="003725EC">
      <w:pPr>
        <w:pStyle w:val="Bibliography"/>
      </w:pPr>
      <w:r>
        <w:t>[16]</w:t>
      </w:r>
      <w:r>
        <w:tab/>
        <w:t>“Renewable power generation costs in 2024”, [Online]. Available: https://www.rinnovabili.it/wp-content/uploads/2025/07/IRENA-RENEWABLE-POWER-GENERATION-COSTS-IN-2024.pdf</w:t>
      </w:r>
    </w:p>
    <w:p w14:paraId="41AFD266" w14:textId="77777777" w:rsidR="003725EC" w:rsidRDefault="003725EC" w:rsidP="003725EC">
      <w:pPr>
        <w:pStyle w:val="Bibliography"/>
      </w:pPr>
      <w:r>
        <w:t>[17]</w:t>
      </w:r>
      <w:r>
        <w:tab/>
        <w:t>BNEF, “BNEF: Lithium-ion battery pack prices fall to $108/kWh, stationary storage becomes lowest price segment.” Accessed: Dec. 09, 2025. [Online]. Available: https://www.ess-news.com/2025/12/09/bnef-lithium-ion-battery-pack-prices-fall-to-108-kwh-stationary-storage-becomes-lowest-price-segment/</w:t>
      </w:r>
    </w:p>
    <w:p w14:paraId="112764CE" w14:textId="77777777" w:rsidR="003725EC" w:rsidRDefault="003725EC" w:rsidP="003725EC">
      <w:pPr>
        <w:pStyle w:val="Bibliography"/>
      </w:pPr>
      <w:r>
        <w:t>[18]</w:t>
      </w:r>
      <w:r>
        <w:tab/>
        <w:t xml:space="preserve">G. Song, B. Cao, and L. Chang, “Review of Grid-forming Inverters in Support of Power System Operation,” </w:t>
      </w:r>
      <w:r>
        <w:rPr>
          <w:i/>
          <w:iCs/>
        </w:rPr>
        <w:t>Chin. J. Electr. Eng.</w:t>
      </w:r>
      <w:r>
        <w:t>, vol. 8, no. 1, pp. 1–15, Mar. 2022, doi: 10.23919/CJEE.2022.000001.</w:t>
      </w:r>
    </w:p>
    <w:p w14:paraId="2F52ECD5" w14:textId="77777777" w:rsidR="003725EC" w:rsidRDefault="003725EC" w:rsidP="003725EC">
      <w:pPr>
        <w:pStyle w:val="Bibliography"/>
      </w:pPr>
      <w:r>
        <w:t>[19]</w:t>
      </w:r>
      <w:r>
        <w:tab/>
        <w:t xml:space="preserve">G. Rostirolla </w:t>
      </w:r>
      <w:r>
        <w:rPr>
          <w:i/>
          <w:iCs/>
        </w:rPr>
        <w:t>et al.</w:t>
      </w:r>
      <w:r>
        <w:t xml:space="preserve">, “A survey of challenges and solutions for the integration of renewable energy in datacenters,” </w:t>
      </w:r>
      <w:r>
        <w:rPr>
          <w:i/>
          <w:iCs/>
        </w:rPr>
        <w:t>Renew. Sustain. Energy Rev.</w:t>
      </w:r>
      <w:r>
        <w:t>, vol. 155, p. 111787, Mar. 2022, doi: 10.1016/j.rser.2021.111787.</w:t>
      </w:r>
    </w:p>
    <w:p w14:paraId="1B54717C" w14:textId="77777777" w:rsidR="003725EC" w:rsidRDefault="003725EC" w:rsidP="003725EC">
      <w:pPr>
        <w:pStyle w:val="Bibliography"/>
      </w:pPr>
      <w:r>
        <w:t>[20]</w:t>
      </w:r>
      <w:r>
        <w:tab/>
        <w:t xml:space="preserve">D. Harrison-Atlas, C. Murphy, A. Schleifer, and N. Grue, “Temporal complementarity and value of wind-PV hybrid systems across the United States,” </w:t>
      </w:r>
      <w:r>
        <w:rPr>
          <w:i/>
          <w:iCs/>
        </w:rPr>
        <w:t>Renew. Energy</w:t>
      </w:r>
      <w:r>
        <w:t>, vol. 201, pp. 111–123, Dec. 2022, doi: 10.1016/j.renene.2022.10.060.</w:t>
      </w:r>
    </w:p>
    <w:p w14:paraId="11926E2D" w14:textId="77777777" w:rsidR="003725EC" w:rsidRDefault="003725EC" w:rsidP="003725EC">
      <w:pPr>
        <w:pStyle w:val="Bibliography"/>
      </w:pPr>
      <w:r>
        <w:t>[21]</w:t>
      </w:r>
      <w:r>
        <w:tab/>
        <w:t xml:space="preserve">C. Wu, X.-P. Zhang, and M. Sterling, “Solar power generation intermittency and aggregation,” </w:t>
      </w:r>
      <w:r>
        <w:rPr>
          <w:i/>
          <w:iCs/>
        </w:rPr>
        <w:t>Sci. Rep.</w:t>
      </w:r>
      <w:r>
        <w:t>, vol. 12, no. 1, p. 1363, Jan. 2022, doi: 10.1038/s41598-022-05247-2.</w:t>
      </w:r>
    </w:p>
    <w:p w14:paraId="39997CCE" w14:textId="77777777" w:rsidR="003725EC" w:rsidRDefault="003725EC" w:rsidP="003725EC">
      <w:pPr>
        <w:pStyle w:val="Bibliography"/>
      </w:pPr>
      <w:r>
        <w:t>[22]</w:t>
      </w:r>
      <w:r>
        <w:tab/>
      </w:r>
      <w:r>
        <w:rPr>
          <w:i/>
          <w:iCs/>
        </w:rPr>
        <w:t>IEEE Standard for Harmonic Control in Electric Power Systems</w:t>
      </w:r>
      <w:r>
        <w:t>. doi: 10.1109/IEEESTD.2022.9848440.</w:t>
      </w:r>
    </w:p>
    <w:p w14:paraId="5055B71D" w14:textId="77777777" w:rsidR="003725EC" w:rsidRDefault="003725EC" w:rsidP="003725EC">
      <w:pPr>
        <w:pStyle w:val="Bibliography"/>
      </w:pPr>
      <w:r>
        <w:t>[23]</w:t>
      </w:r>
      <w:r>
        <w:tab/>
        <w:t>M. C. Offutt and L. Zhu, “Data Centers and Their Energy Consumption: Frequently Asked Questions”, [Online]. Available: https://www.congress.gov/crs_external_products/R/PDF/R48646/R48646.1.pdf</w:t>
      </w:r>
    </w:p>
    <w:p w14:paraId="035EA9EE" w14:textId="77777777" w:rsidR="003725EC" w:rsidRDefault="003725EC" w:rsidP="003725EC">
      <w:pPr>
        <w:pStyle w:val="Bibliography"/>
      </w:pPr>
      <w:r>
        <w:t>[24]</w:t>
      </w:r>
      <w:r>
        <w:tab/>
        <w:t>“Improvements to Generator Interconnection Procedures and Agreements.” Accessed: Sep. 06, 2023. [Online]. Available: https://www.federalregister.gov/documents/2023/09/06/2023-16628/improvements-to-generator-interconnection-procedures-and-agreements</w:t>
      </w:r>
    </w:p>
    <w:p w14:paraId="61A9D37E" w14:textId="77777777" w:rsidR="003725EC" w:rsidRDefault="003725EC" w:rsidP="003725EC">
      <w:pPr>
        <w:pStyle w:val="Bibliography"/>
      </w:pPr>
      <w:r>
        <w:t>[25]</w:t>
      </w:r>
      <w:r>
        <w:tab/>
        <w:t xml:space="preserve">S. Cai and Z. Gou, “Towards energy-efficient data centers: A comprehensive review of passive and active cooling strategies,” </w:t>
      </w:r>
      <w:r>
        <w:rPr>
          <w:i/>
          <w:iCs/>
        </w:rPr>
        <w:t>Energy Built Environ.</w:t>
      </w:r>
      <w:r>
        <w:t>, vol. 7, no. 1, pp. 206–226, Feb. 2026, doi: 10.1016/j.enbenv.2024.08.009.</w:t>
      </w:r>
    </w:p>
    <w:p w14:paraId="4B238647" w14:textId="77777777" w:rsidR="003725EC" w:rsidRDefault="003725EC" w:rsidP="003725EC">
      <w:pPr>
        <w:pStyle w:val="Bibliography"/>
      </w:pPr>
      <w:r>
        <w:t>[26]</w:t>
      </w:r>
      <w:r>
        <w:tab/>
        <w:t xml:space="preserve">R. Mural </w:t>
      </w:r>
      <w:r>
        <w:rPr>
          <w:i/>
          <w:iCs/>
        </w:rPr>
        <w:t>et al.</w:t>
      </w:r>
      <w:r>
        <w:t>, “AI, Data Centers, and the U.S. Electric Grid: A Watershed Moment”, [Online]. Available: https://www.belfercenter.org/research-analysis/ai-data-centers-us-electric-grid</w:t>
      </w:r>
    </w:p>
    <w:p w14:paraId="2CE33526" w14:textId="77777777" w:rsidR="003725EC" w:rsidRDefault="003725EC" w:rsidP="003725EC">
      <w:pPr>
        <w:pStyle w:val="Bibliography"/>
      </w:pPr>
      <w:r>
        <w:t>[27]</w:t>
      </w:r>
      <w:r>
        <w:tab/>
        <w:t xml:space="preserve">M. J. Page </w:t>
      </w:r>
      <w:r>
        <w:rPr>
          <w:i/>
          <w:iCs/>
        </w:rPr>
        <w:t>et al.</w:t>
      </w:r>
      <w:r>
        <w:t xml:space="preserve">, “The PRISMA 2020 statement: an updated guideline for reporting systematic reviews,” </w:t>
      </w:r>
      <w:r>
        <w:rPr>
          <w:i/>
          <w:iCs/>
        </w:rPr>
        <w:t>BMJ</w:t>
      </w:r>
      <w:r>
        <w:t>, p. n71, Mar. 2021, doi: 10.1136/bmj.n71.</w:t>
      </w:r>
    </w:p>
    <w:p w14:paraId="237AC71A" w14:textId="77777777" w:rsidR="003725EC" w:rsidRDefault="003725EC" w:rsidP="003725EC">
      <w:pPr>
        <w:pStyle w:val="Bibliography"/>
      </w:pPr>
      <w:r>
        <w:t>[28]</w:t>
      </w:r>
      <w:r>
        <w:tab/>
        <w:t xml:space="preserve">M. L. Rethlefsen </w:t>
      </w:r>
      <w:r>
        <w:rPr>
          <w:i/>
          <w:iCs/>
        </w:rPr>
        <w:t>et al.</w:t>
      </w:r>
      <w:r>
        <w:t xml:space="preserve">, “PRISMA-S: an extension to the PRISMA Statement for Reporting Literature Searches in Systematic Reviews,” </w:t>
      </w:r>
      <w:r>
        <w:rPr>
          <w:i/>
          <w:iCs/>
        </w:rPr>
        <w:t>Syst. Rev.</w:t>
      </w:r>
      <w:r>
        <w:t>, vol. 10, no. 1, p. 39, Jan. 2021, doi: 10.1186/s13643-020-01542-z.</w:t>
      </w:r>
    </w:p>
    <w:p w14:paraId="3834F12F" w14:textId="77777777" w:rsidR="003725EC" w:rsidRDefault="003725EC" w:rsidP="003725EC">
      <w:pPr>
        <w:pStyle w:val="Bibliography"/>
      </w:pPr>
      <w:r>
        <w:lastRenderedPageBreak/>
        <w:t>[29]</w:t>
      </w:r>
      <w:r>
        <w:tab/>
        <w:t xml:space="preserve">C. Zhao, W. Gao, F. Nie, and H. Zhou, “A Survey of GPU Multitasking Methods Supported by Hardware Architecture,” </w:t>
      </w:r>
      <w:r>
        <w:rPr>
          <w:i/>
          <w:iCs/>
        </w:rPr>
        <w:t>IEEE Trans. Parallel Distrib. Syst.</w:t>
      </w:r>
      <w:r>
        <w:t>, vol. 33, no. 6, pp. 1451–1463, Jun. 2022, doi: 10.1109/TPDS.2021.3115630.</w:t>
      </w:r>
    </w:p>
    <w:p w14:paraId="62156F84" w14:textId="77777777" w:rsidR="003725EC" w:rsidRDefault="003725EC" w:rsidP="003725EC">
      <w:pPr>
        <w:pStyle w:val="Bibliography"/>
      </w:pPr>
      <w:r>
        <w:t>[30]</w:t>
      </w:r>
      <w:r>
        <w:tab/>
        <w:t>V. Avelar and P. Donovan, “How 6 AI Attributes Change Data Center Design”, [Online]. Available: https://download.schneider-electric.com/files?p_Doc_Ref=SPD_WP110_EN&amp;p_enDocType=White+Paper&amp;p_File_Name=WP110_V3_1_EN.pdf</w:t>
      </w:r>
    </w:p>
    <w:p w14:paraId="6B63F3D1" w14:textId="77777777" w:rsidR="003725EC" w:rsidRDefault="003725EC" w:rsidP="003725EC">
      <w:pPr>
        <w:pStyle w:val="Bibliography"/>
      </w:pPr>
      <w:r>
        <w:t>[31]</w:t>
      </w:r>
      <w:r>
        <w:tab/>
        <w:t>Google, “Growing the internet while reducing energy consumption.” [Online]. Available: https://datacenters.google/efficiency/</w:t>
      </w:r>
    </w:p>
    <w:p w14:paraId="748D8319" w14:textId="77777777" w:rsidR="003725EC" w:rsidRDefault="003725EC" w:rsidP="003725EC">
      <w:pPr>
        <w:pStyle w:val="Bibliography"/>
      </w:pPr>
      <w:r>
        <w:t>[32]</w:t>
      </w:r>
      <w:r>
        <w:tab/>
        <w:t xml:space="preserve">D. Al Kez, A. M. Foley, F. W. B. M. Hasan Wong, A. Dolfi, and G. Srinivasan, “AI-driven cooling technologies for high-performance data centres: state-of-the-art review and future directions,” </w:t>
      </w:r>
      <w:r>
        <w:rPr>
          <w:i/>
          <w:iCs/>
        </w:rPr>
        <w:t>Sustain. Energy Technol. Assess.</w:t>
      </w:r>
      <w:r>
        <w:t>, vol. 82, p. 104511, Oct. 2025, doi: 10.1016/j.seta.2025.104511.</w:t>
      </w:r>
    </w:p>
    <w:p w14:paraId="73EB3EC1" w14:textId="77777777" w:rsidR="003725EC" w:rsidRDefault="003725EC" w:rsidP="003725EC">
      <w:pPr>
        <w:pStyle w:val="Bibliography"/>
      </w:pPr>
      <w:r>
        <w:t>[33]</w:t>
      </w:r>
      <w:r>
        <w:tab/>
        <w:t xml:space="preserve">X. Zhang, T. Lindberg, N. Xiong, V. Vyatkin, and A. Mousavi, “Cooling Energy Consumption Investigation of Data Center IT Room with Vertical Placed Server,” </w:t>
      </w:r>
      <w:r>
        <w:rPr>
          <w:i/>
          <w:iCs/>
        </w:rPr>
        <w:t>Energy Procedia</w:t>
      </w:r>
      <w:r>
        <w:t>, vol. 105, pp. 2047–2052, May 2017, doi: 10.1016/j.egypro.2017.03.581.</w:t>
      </w:r>
    </w:p>
    <w:p w14:paraId="22D368E0" w14:textId="77777777" w:rsidR="003725EC" w:rsidRDefault="003725EC" w:rsidP="003725EC">
      <w:pPr>
        <w:pStyle w:val="Bibliography"/>
      </w:pPr>
      <w:r>
        <w:t>[34]</w:t>
      </w:r>
      <w:r>
        <w:tab/>
        <w:t xml:space="preserve">M. Azarifar, M. Arik, and J.-Y. Chang, “Liquid cooling of data centers: A necessity facing challenges,” </w:t>
      </w:r>
      <w:r>
        <w:rPr>
          <w:i/>
          <w:iCs/>
        </w:rPr>
        <w:t>Appl. Therm. Eng.</w:t>
      </w:r>
      <w:r>
        <w:t>, vol. 247, p. 123112, Jun. 2024, doi: 10.1016/j.applthermaleng.2024.123112.</w:t>
      </w:r>
    </w:p>
    <w:p w14:paraId="236B2F78" w14:textId="77777777" w:rsidR="003725EC" w:rsidRDefault="003725EC" w:rsidP="003725EC">
      <w:pPr>
        <w:pStyle w:val="Bibliography"/>
      </w:pPr>
      <w:r>
        <w:t>[35]</w:t>
      </w:r>
      <w:r>
        <w:tab/>
        <w:t xml:space="preserve">D. Zhou </w:t>
      </w:r>
      <w:r>
        <w:rPr>
          <w:i/>
          <w:iCs/>
        </w:rPr>
        <w:t>et al.</w:t>
      </w:r>
      <w:r>
        <w:t xml:space="preserve">, “Accelerating liquid cooling adoption in data centers: necessity, challenges and solutions,” </w:t>
      </w:r>
      <w:r>
        <w:rPr>
          <w:i/>
          <w:iCs/>
        </w:rPr>
        <w:t>Technol. Rev. Carbon Neutrality</w:t>
      </w:r>
      <w:r>
        <w:t>, p. 9550014, Dec. 2025, doi: 10.26599/TRCN.2025.9550014.</w:t>
      </w:r>
    </w:p>
    <w:p w14:paraId="6208DD1E" w14:textId="77777777" w:rsidR="003725EC" w:rsidRDefault="003725EC" w:rsidP="003725EC">
      <w:pPr>
        <w:pStyle w:val="Bibliography"/>
      </w:pPr>
      <w:r>
        <w:t>[36]</w:t>
      </w:r>
      <w:r>
        <w:tab/>
        <w:t xml:space="preserve">J. Hurni </w:t>
      </w:r>
      <w:r>
        <w:rPr>
          <w:i/>
          <w:iCs/>
        </w:rPr>
        <w:t>et al.</w:t>
      </w:r>
      <w:r>
        <w:t>, “Over 31%-efficient perovskite–TOPCon solar cells enabled by AlO</w:t>
      </w:r>
      <w:r>
        <w:rPr>
          <w:vertAlign w:val="subscript"/>
        </w:rPr>
        <w:t xml:space="preserve"> </w:t>
      </w:r>
      <w:r>
        <w:rPr>
          <w:i/>
          <w:iCs/>
          <w:vertAlign w:val="subscript"/>
        </w:rPr>
        <w:t>x</w:t>
      </w:r>
      <w:r>
        <w:rPr>
          <w:vertAlign w:val="subscript"/>
        </w:rPr>
        <w:t xml:space="preserve"> </w:t>
      </w:r>
      <w:r>
        <w:t xml:space="preserve"> -based hydrogenation and front sub-micron texturing,” </w:t>
      </w:r>
      <w:r>
        <w:rPr>
          <w:i/>
          <w:iCs/>
        </w:rPr>
        <w:t>EES Sol.</w:t>
      </w:r>
      <w:r>
        <w:t>, vol. 1, no. 5, pp. 732–735, 2025, doi: 10.1039/D5EL00105F.</w:t>
      </w:r>
    </w:p>
    <w:p w14:paraId="0917AF87" w14:textId="77777777" w:rsidR="003725EC" w:rsidRDefault="003725EC" w:rsidP="003725EC">
      <w:pPr>
        <w:pStyle w:val="Bibliography"/>
      </w:pPr>
      <w:r>
        <w:t>[37]</w:t>
      </w:r>
      <w:r>
        <w:tab/>
        <w:t xml:space="preserve">G. Galioto, G. Vitale, A. Sferlazza, G. Lullo, and G. C. Giaconia, “Wide and Ultrawide Bandgap Power Semiconductors: A Comprehensive System-Level Review,” </w:t>
      </w:r>
      <w:r>
        <w:rPr>
          <w:i/>
          <w:iCs/>
        </w:rPr>
        <w:t>Electronics</w:t>
      </w:r>
      <w:r>
        <w:t>, vol. 15, no. 4, p. 835, Feb. 2026, doi: 10.3390/electronics15040835.</w:t>
      </w:r>
    </w:p>
    <w:p w14:paraId="6CB58989" w14:textId="77777777" w:rsidR="003725EC" w:rsidRDefault="003725EC" w:rsidP="003725EC">
      <w:pPr>
        <w:pStyle w:val="Bibliography"/>
      </w:pPr>
      <w:r>
        <w:t>[38]</w:t>
      </w:r>
      <w:r>
        <w:tab/>
        <w:t xml:space="preserve">A. McCoy </w:t>
      </w:r>
      <w:r>
        <w:rPr>
          <w:i/>
          <w:iCs/>
        </w:rPr>
        <w:t>et al.</w:t>
      </w:r>
      <w:r>
        <w:t>, “Offshore Wind Market Report: 2024 Edition”, [Online]. Available: https://docs.nlr.gov/docs/fy24osti/90897.pdf</w:t>
      </w:r>
    </w:p>
    <w:p w14:paraId="0B6A2F27" w14:textId="77777777" w:rsidR="003725EC" w:rsidRDefault="003725EC" w:rsidP="003725EC">
      <w:pPr>
        <w:pStyle w:val="Bibliography"/>
      </w:pPr>
      <w:r>
        <w:t>[39]</w:t>
      </w:r>
      <w:r>
        <w:tab/>
        <w:t xml:space="preserve">N. Lukač, G. Štumberger, and B. Žalik, “Wind resource assessment using airborne LiDAR data and smoothed particle hydrodynamics,” </w:t>
      </w:r>
      <w:r>
        <w:rPr>
          <w:i/>
          <w:iCs/>
        </w:rPr>
        <w:t>Environ. Model. Softw.</w:t>
      </w:r>
      <w:r>
        <w:t>, vol. 95, pp. 1–12, Sep. 2017, doi: 10.1016/j.envsoft.2017.05.006.</w:t>
      </w:r>
    </w:p>
    <w:p w14:paraId="039FB1AE" w14:textId="77777777" w:rsidR="003725EC" w:rsidRDefault="003725EC" w:rsidP="003725EC">
      <w:pPr>
        <w:pStyle w:val="Bibliography"/>
      </w:pPr>
      <w:r>
        <w:t>[40]</w:t>
      </w:r>
      <w:r>
        <w:tab/>
        <w:t xml:space="preserve">E. Virguez </w:t>
      </w:r>
      <w:r>
        <w:rPr>
          <w:i/>
          <w:iCs/>
        </w:rPr>
        <w:t>et al.</w:t>
      </w:r>
      <w:r>
        <w:t>, “Renewable energy quality trilemma and coincident wind and solar droughts”, doi: 10.17615/C4JD-4Y42.</w:t>
      </w:r>
    </w:p>
    <w:p w14:paraId="207010C4" w14:textId="77777777" w:rsidR="003725EC" w:rsidRDefault="003725EC" w:rsidP="003725EC">
      <w:pPr>
        <w:pStyle w:val="Bibliography"/>
      </w:pPr>
      <w:r>
        <w:t>[41]</w:t>
      </w:r>
      <w:r>
        <w:tab/>
        <w:t xml:space="preserve">M. Bošnjaković, N. Veljić, J. T. Božič, and S. Muhič, “SWOT-AHP Analysis of the Importance and Adoption of Pumped-Storage Hydropower,” </w:t>
      </w:r>
      <w:r>
        <w:rPr>
          <w:i/>
          <w:iCs/>
        </w:rPr>
        <w:t>Technologies</w:t>
      </w:r>
      <w:r>
        <w:t>, vol. 13, no. 7, p. 305, Jul. 2025, doi: 10.3390/technologies13070305.</w:t>
      </w:r>
    </w:p>
    <w:p w14:paraId="063FFDA8" w14:textId="77777777" w:rsidR="003725EC" w:rsidRDefault="003725EC" w:rsidP="003725EC">
      <w:pPr>
        <w:pStyle w:val="Bibliography"/>
      </w:pPr>
      <w:r>
        <w:t>[42]</w:t>
      </w:r>
      <w:r>
        <w:tab/>
        <w:t xml:space="preserve">M. Catania, F. Parolin, F. Fattori, and P. Colbertaldo, “The role of hydropower in decarbonisation scenarios,” </w:t>
      </w:r>
      <w:r>
        <w:rPr>
          <w:i/>
          <w:iCs/>
        </w:rPr>
        <w:t>Renew. Energy</w:t>
      </w:r>
      <w:r>
        <w:t>, vol. 236, p. 121411, Dec. 2024, doi: 10.1016/j.renene.2024.121411.</w:t>
      </w:r>
    </w:p>
    <w:p w14:paraId="5FF2D053" w14:textId="77777777" w:rsidR="003725EC" w:rsidRDefault="003725EC" w:rsidP="003725EC">
      <w:pPr>
        <w:pStyle w:val="Bibliography"/>
      </w:pPr>
      <w:r>
        <w:t>[43]</w:t>
      </w:r>
      <w:r>
        <w:tab/>
        <w:t xml:space="preserve">S. Evro, A. Ajumobi, D. Mayon, and O. S. Tomomewo, “Navigating battery choices: A comparative study of lithium iron phosphate and nickel manganese cobalt battery technologies,” </w:t>
      </w:r>
      <w:r>
        <w:rPr>
          <w:i/>
          <w:iCs/>
        </w:rPr>
        <w:t>Future Batter.</w:t>
      </w:r>
      <w:r>
        <w:t>, vol. 4, p. 100007, Dec. 2024, doi: 10.1016/j.fub.2024.100007.</w:t>
      </w:r>
    </w:p>
    <w:p w14:paraId="012EE622" w14:textId="77777777" w:rsidR="003725EC" w:rsidRDefault="003725EC" w:rsidP="003725EC">
      <w:pPr>
        <w:pStyle w:val="Bibliography"/>
      </w:pPr>
      <w:r>
        <w:lastRenderedPageBreak/>
        <w:t>[44]</w:t>
      </w:r>
      <w:r>
        <w:tab/>
        <w:t xml:space="preserve">K. Chandra Bhowmik, Md. A. Rahman, Md. M. Billah, and A. Paul, “From Lithium‐Ion to Sodium‐Ion Batteries for Sustainable Energy Storage: A Comprehensive Review on Recent Research Advancements and Perspectives,” </w:t>
      </w:r>
      <w:r>
        <w:rPr>
          <w:i/>
          <w:iCs/>
        </w:rPr>
        <w:t>Chem. Rec.</w:t>
      </w:r>
      <w:r>
        <w:t>, vol. 24, no. 12, p. e202400176, Dec. 2024, doi: 10.1002/tcr.202400176.</w:t>
      </w:r>
    </w:p>
    <w:p w14:paraId="7F3F61FE" w14:textId="77777777" w:rsidR="003725EC" w:rsidRDefault="003725EC" w:rsidP="003725EC">
      <w:pPr>
        <w:pStyle w:val="Bibliography"/>
      </w:pPr>
      <w:r>
        <w:t>[45]</w:t>
      </w:r>
      <w:r>
        <w:tab/>
        <w:t xml:space="preserve">A. Barzigar, E. Ebadati, A. S. Mujumdar, and S. M. Hosseinalipour, “A comprehensive review of vanadium redox flow batteries: Principles, benefits, and applications,” </w:t>
      </w:r>
      <w:r>
        <w:rPr>
          <w:i/>
          <w:iCs/>
        </w:rPr>
        <w:t>Res.</w:t>
      </w:r>
      <w:r>
        <w:t>, vol. 2, no. 4, p. 100767, Dec. 2025, doi: 10.1016/j.nexres.2025.100767.</w:t>
      </w:r>
    </w:p>
    <w:p w14:paraId="3D9F3D98" w14:textId="77777777" w:rsidR="003725EC" w:rsidRDefault="003725EC" w:rsidP="003725EC">
      <w:pPr>
        <w:pStyle w:val="Bibliography"/>
      </w:pPr>
      <w:r>
        <w:t>[46]</w:t>
      </w:r>
      <w:r>
        <w:tab/>
        <w:t xml:space="preserve">M. M. Rana, H. Mo, G. M. Shafiullah, L. Qiao, and D. Dong, “Optimal sizing of battery storage for cost-effective peak shaving in regional distribution networks,” </w:t>
      </w:r>
      <w:r>
        <w:rPr>
          <w:i/>
          <w:iCs/>
        </w:rPr>
        <w:t>J. Energy Storage</w:t>
      </w:r>
      <w:r>
        <w:t>, vol. 141, p. 119502, Jan. 2026, doi: 10.1016/j.est.2025.119502.</w:t>
      </w:r>
    </w:p>
    <w:p w14:paraId="210ABA06" w14:textId="77777777" w:rsidR="003725EC" w:rsidRDefault="003725EC" w:rsidP="003725EC">
      <w:pPr>
        <w:pStyle w:val="Bibliography"/>
      </w:pPr>
      <w:r>
        <w:t>[47]</w:t>
      </w:r>
      <w:r>
        <w:tab/>
        <w:t xml:space="preserve">Z. Ma, “From Grid-Following to Grid-Forming: A Review of Converter Technology Paradigm Shift and Its Applications in Renewable-Rich Power Systems,” </w:t>
      </w:r>
      <w:r>
        <w:rPr>
          <w:i/>
          <w:iCs/>
        </w:rPr>
        <w:t>Adv. Eng. Res. Possibilities Chall.</w:t>
      </w:r>
      <w:r>
        <w:t>, vol. 2, no. 2, p. 37, Aug. 2025, doi: 10.63313/AERpc.9047.</w:t>
      </w:r>
    </w:p>
    <w:p w14:paraId="338F4ECC" w14:textId="77777777" w:rsidR="003725EC" w:rsidRDefault="003725EC" w:rsidP="003725EC">
      <w:pPr>
        <w:pStyle w:val="Bibliography"/>
      </w:pPr>
      <w:r>
        <w:t>[48]</w:t>
      </w:r>
      <w:r>
        <w:tab/>
      </w:r>
      <w:r>
        <w:rPr>
          <w:i/>
          <w:iCs/>
        </w:rPr>
        <w:t>IEEE Standard for Interconnection and Interoperability of Inverter-Based Resources (IBRs) Interconnecting with Associated Transmission Electric Power Systems</w:t>
      </w:r>
      <w:r>
        <w:t>. doi: 10.1109/IEEESTD.2022.9762253.</w:t>
      </w:r>
    </w:p>
    <w:p w14:paraId="1BCEC10D" w14:textId="77777777" w:rsidR="003725EC" w:rsidRDefault="003725EC" w:rsidP="003725EC">
      <w:pPr>
        <w:pStyle w:val="Bibliography"/>
      </w:pPr>
      <w:r>
        <w:t>[49]</w:t>
      </w:r>
      <w:r>
        <w:tab/>
        <w:t xml:space="preserve">S. Shelar, D. Bankar, and S. Bakre, “Review of revisions of IEEE 519 Standard on Power System Harmonics (1981 to 2022),” in </w:t>
      </w:r>
      <w:r>
        <w:rPr>
          <w:i/>
          <w:iCs/>
        </w:rPr>
        <w:t>2024 21st International Conference on Harmonics and Quality of Power (ICHQP)</w:t>
      </w:r>
      <w:r>
        <w:t>, Chengdu, China: IEEE, Oct. 2024, pp. 415–420. doi: 10.1109/ICHQP61174.2024.10768696.</w:t>
      </w:r>
    </w:p>
    <w:p w14:paraId="65D0DA80" w14:textId="77777777" w:rsidR="003725EC" w:rsidRDefault="003725EC" w:rsidP="003725EC">
      <w:pPr>
        <w:pStyle w:val="Bibliography"/>
      </w:pPr>
      <w:r>
        <w:t>[50]</w:t>
      </w:r>
      <w:r>
        <w:tab/>
        <w:t>Google, “Google Environmental Report 2025.” [Online]. Available: https://sustainability.google/reports/google-2025-environmental-report/</w:t>
      </w:r>
    </w:p>
    <w:p w14:paraId="185B44FB" w14:textId="77777777" w:rsidR="003725EC" w:rsidRDefault="003725EC" w:rsidP="003725EC">
      <w:pPr>
        <w:pStyle w:val="Bibliography"/>
      </w:pPr>
      <w:r>
        <w:t>[51]</w:t>
      </w:r>
      <w:r>
        <w:tab/>
        <w:t xml:space="preserve">O. A. Mavisclara </w:t>
      </w:r>
      <w:r>
        <w:rPr>
          <w:i/>
          <w:iCs/>
        </w:rPr>
        <w:t>et al.</w:t>
      </w:r>
      <w:r>
        <w:t xml:space="preserve">, “The AI-Driven Energy Surge: A comprehensive review of sustainable power solutions for data centers,” </w:t>
      </w:r>
      <w:r>
        <w:rPr>
          <w:i/>
          <w:iCs/>
        </w:rPr>
        <w:t>Glob. J. Eng. Technol. Adv.</w:t>
      </w:r>
      <w:r>
        <w:t>, vol. 24, no. 3, pp. 328–344, Sep. 2025, doi: 10.30574/gjeta.2025.24.3.0279.</w:t>
      </w:r>
    </w:p>
    <w:p w14:paraId="00721AEB" w14:textId="77777777" w:rsidR="003725EC" w:rsidRDefault="003725EC" w:rsidP="003725EC">
      <w:pPr>
        <w:pStyle w:val="Bibliography"/>
      </w:pPr>
      <w:r>
        <w:t>[52]</w:t>
      </w:r>
      <w:r>
        <w:tab/>
        <w:t>Meta, “2025 Sustainability Report.” [Online]. Available: https://sustainability.atmeta.com/wp-content/uploads/2025/08/Meta_2025-Sustainability-Report.pdf</w:t>
      </w:r>
    </w:p>
    <w:p w14:paraId="347F52A8" w14:textId="77777777" w:rsidR="003725EC" w:rsidRDefault="003725EC" w:rsidP="003725EC">
      <w:pPr>
        <w:pStyle w:val="Bibliography"/>
      </w:pPr>
      <w:r>
        <w:t>[53]</w:t>
      </w:r>
      <w:r>
        <w:tab/>
        <w:t>BloombergNEF, “Corporate Clean Energy Buying Fell in 2025 After Nearly a Decade of Growth.” [Online]. Available: https://about.bnef.com/insights/clean-energy/corporate-clean-energy-buying-fell-in-2025-after-nearly-a-decade-of-growth/</w:t>
      </w:r>
    </w:p>
    <w:p w14:paraId="1392D419" w14:textId="77777777" w:rsidR="003725EC" w:rsidRDefault="003725EC" w:rsidP="003725EC">
      <w:pPr>
        <w:pStyle w:val="Bibliography"/>
      </w:pPr>
      <w:r>
        <w:t>[54]</w:t>
      </w:r>
      <w:r>
        <w:tab/>
        <w:t>Y. Panchal, S. Dubey, and R. Pathak, “Exploring the Future of Cloud Computing: A Comprehensive Study of Microsoft’s Underwater Data Centers,” vol. 12, no. 3, 2025, [Online]. Available: https://www.taylorfrancis.com/chapters/edit/10.1201/9781003492160-7/exploring-cloud-computing-platforms-metrics-used-compare-cloud-service-providers-parul-dubey-arvind-kumar-tiwari</w:t>
      </w:r>
    </w:p>
    <w:p w14:paraId="02DF72A1" w14:textId="77777777" w:rsidR="003725EC" w:rsidRDefault="003725EC" w:rsidP="003725EC">
      <w:pPr>
        <w:pStyle w:val="Bibliography"/>
      </w:pPr>
      <w:r>
        <w:t>[55]</w:t>
      </w:r>
      <w:r>
        <w:tab/>
        <w:t>K. Simon, “Project Natick — Microsoft’s Self-sufficient Underwater Datacenters”, [Online]. Available: https://www.researchgate.net/publication/328214732_Project_Natick-Microsoft’s_Self-sufficient_Underwater_Datacenters</w:t>
      </w:r>
    </w:p>
    <w:p w14:paraId="513D3469" w14:textId="77777777" w:rsidR="003725EC" w:rsidRDefault="003725EC" w:rsidP="003725EC">
      <w:pPr>
        <w:pStyle w:val="Bibliography"/>
      </w:pPr>
      <w:r>
        <w:t>[56]</w:t>
      </w:r>
      <w:r>
        <w:tab/>
        <w:t xml:space="preserve">G. Gülen, J. Das, and M. H. Young, “Assessing Economic Costs of Two Reliable Generation Mix Scenarios in the ERCOT System,” </w:t>
      </w:r>
      <w:r>
        <w:rPr>
          <w:i/>
          <w:iCs/>
        </w:rPr>
        <w:t>Energies</w:t>
      </w:r>
      <w:r>
        <w:t>, vol. 19, no. 9, p. 2195, May 2026, doi: 10.3390/en19092195.</w:t>
      </w:r>
    </w:p>
    <w:p w14:paraId="34107EE5" w14:textId="77777777" w:rsidR="003725EC" w:rsidRDefault="003725EC" w:rsidP="003725EC">
      <w:pPr>
        <w:pStyle w:val="Bibliography"/>
      </w:pPr>
      <w:r>
        <w:t>[57]</w:t>
      </w:r>
      <w:r>
        <w:tab/>
        <w:t>Equinix, “Sustainability Report 2025.” [Online]. Available: https://delivery-p112322-e1154416.adobeaemcloud.com/adobe/assets/deliver/urn:aaid:aem:116e6fc1-6217-4132-8fcf-1dc7096396df/Equinix-Inc_2025_Sustainability-Report.pdf</w:t>
      </w:r>
    </w:p>
    <w:p w14:paraId="77E0E8B6" w14:textId="77777777" w:rsidR="003725EC" w:rsidRDefault="003725EC" w:rsidP="003725EC">
      <w:pPr>
        <w:pStyle w:val="Bibliography"/>
      </w:pPr>
      <w:r>
        <w:lastRenderedPageBreak/>
        <w:t>[58]</w:t>
      </w:r>
      <w:r>
        <w:tab/>
        <w:t xml:space="preserve">R. D. Zimmerman, C. E. Murillo-Sanchez, and R. J. Thomas, “MATPOWER: Steady-State Operations, Planning, and Analysis Tools for Power Systems Research and Education,” </w:t>
      </w:r>
      <w:r>
        <w:rPr>
          <w:i/>
          <w:iCs/>
        </w:rPr>
        <w:t>IEEE Trans. Power Syst.</w:t>
      </w:r>
      <w:r>
        <w:t>, vol. 26, no. 1, pp. 12–19, Feb. 2011, doi: 10.1109/TPWRS.2010.2051168.</w:t>
      </w:r>
    </w:p>
    <w:p w14:paraId="0A4C7FF0" w14:textId="77777777" w:rsidR="003725EC" w:rsidRDefault="003725EC" w:rsidP="003725EC">
      <w:pPr>
        <w:pStyle w:val="Bibliography"/>
      </w:pPr>
      <w:r>
        <w:t>[59]</w:t>
      </w:r>
      <w:r>
        <w:tab/>
        <w:t xml:space="preserve">J. C. Das, </w:t>
      </w:r>
      <w:r>
        <w:rPr>
          <w:i/>
          <w:iCs/>
        </w:rPr>
        <w:t>Power System Harmonics and Passive Filter Designs</w:t>
      </w:r>
      <w:r>
        <w:t>, 1st ed. Wiley, 2015. doi: 10.1002/9781118887059.</w:t>
      </w:r>
    </w:p>
    <w:p w14:paraId="33D4CA5E" w14:textId="77777777" w:rsidR="003725EC" w:rsidRDefault="003725EC" w:rsidP="003725EC">
      <w:pPr>
        <w:pStyle w:val="Bibliography"/>
      </w:pPr>
      <w:r>
        <w:t>[60]</w:t>
      </w:r>
      <w:r>
        <w:tab/>
        <w:t xml:space="preserve">M. T. Takci, M. Qadrdan, J. Summers, and J. Gustafsson, “Data centres as a source of flexibility for power systems,” </w:t>
      </w:r>
      <w:r>
        <w:rPr>
          <w:i/>
          <w:iCs/>
        </w:rPr>
        <w:t>Energy Rep.</w:t>
      </w:r>
      <w:r>
        <w:t>, vol. 13, pp. 3661–3671, Jun. 2025, doi: 10.1016/j.egyr.2025.03.020.</w:t>
      </w:r>
    </w:p>
    <w:p w14:paraId="05644A20" w14:textId="77777777" w:rsidR="003725EC" w:rsidRDefault="003725EC" w:rsidP="003725EC">
      <w:pPr>
        <w:pStyle w:val="Bibliography"/>
      </w:pPr>
      <w:r>
        <w:t>[61]</w:t>
      </w:r>
      <w:r>
        <w:tab/>
        <w:t>Lazard, “Levelized Cost of Energy.” [Online]. Available: https://www.lazard.com/media/eijnqja3/lazards-lcoeplus-june-2025.pdf</w:t>
      </w:r>
    </w:p>
    <w:p w14:paraId="737C5629" w14:textId="77777777" w:rsidR="003725EC" w:rsidRDefault="003725EC" w:rsidP="003725EC">
      <w:pPr>
        <w:pStyle w:val="Bibliography"/>
      </w:pPr>
      <w:r>
        <w:t>[62]</w:t>
      </w:r>
      <w:r>
        <w:tab/>
        <w:t xml:space="preserve">O. Kay, R. Reaser, and R. Taylor, “Processing Power: The Effect of Data Centers on Wholesale Electricity Markets,” </w:t>
      </w:r>
      <w:r>
        <w:rPr>
          <w:i/>
          <w:iCs/>
        </w:rPr>
        <w:t>Fed. Reserve Bank Dallas Work. Pap.</w:t>
      </w:r>
      <w:r>
        <w:t>, vol. 2026, no. 2606, Mar. 2026, doi: 10.24149/wp2606.</w:t>
      </w:r>
    </w:p>
    <w:p w14:paraId="04024701" w14:textId="77777777" w:rsidR="003725EC" w:rsidRDefault="003725EC" w:rsidP="003725EC">
      <w:pPr>
        <w:pStyle w:val="Bibliography"/>
      </w:pPr>
      <w:r>
        <w:t>[63]</w:t>
      </w:r>
      <w:r>
        <w:tab/>
        <w:t>leveltenenergy, “https://www.leveltenenergy.com/post/levelten-north-american-ppa-price-index-q1-2026.” [Online]. Available: https://www.leveltenenergy.com/post/levelten-north-american-ppa-price-index-q1-2026</w:t>
      </w:r>
    </w:p>
    <w:p w14:paraId="666A9840" w14:textId="77777777" w:rsidR="003725EC" w:rsidRDefault="003725EC" w:rsidP="003725EC">
      <w:pPr>
        <w:pStyle w:val="Bibliography"/>
      </w:pPr>
      <w:r>
        <w:t>[64]</w:t>
      </w:r>
      <w:r>
        <w:tab/>
        <w:t xml:space="preserve">Q. Xu, W. Ricks, A. Manocha, N. Patankar, and J. D. Jenkins, “System-level impacts of voluntary carbon-free electricity procurement strategies,” </w:t>
      </w:r>
      <w:r>
        <w:rPr>
          <w:i/>
          <w:iCs/>
        </w:rPr>
        <w:t>Joule</w:t>
      </w:r>
      <w:r>
        <w:t>, vol. 8, no. 2, pp. 374–400, Feb. 2024, doi: 10.1016/j.joule.2023.12.007.</w:t>
      </w:r>
    </w:p>
    <w:p w14:paraId="225FB382" w14:textId="77777777" w:rsidR="003725EC" w:rsidRDefault="003725EC" w:rsidP="003725EC">
      <w:pPr>
        <w:pStyle w:val="Bibliography"/>
      </w:pPr>
      <w:r>
        <w:t>[65]</w:t>
      </w:r>
      <w:r>
        <w:tab/>
        <w:t>Green House Gas Protocol, “GHG Protocol Scope 2 Guidance.” [Online]. Available: https://ghgprotocol.org/sites/default/files/2023-03/Scope%202%20Guidance.pdf</w:t>
      </w:r>
    </w:p>
    <w:p w14:paraId="4C76370D" w14:textId="77777777" w:rsidR="003725EC" w:rsidRDefault="003725EC" w:rsidP="003725EC">
      <w:pPr>
        <w:pStyle w:val="Bibliography"/>
      </w:pPr>
      <w:r>
        <w:t>[66]</w:t>
      </w:r>
      <w:r>
        <w:tab/>
        <w:t>UN Energy, “24/7 Carbon-free Energy Compact.” [Online]. Available: https://www.un.org/en/energy-compacts/page/compact-247-carbon-free-energy</w:t>
      </w:r>
    </w:p>
    <w:p w14:paraId="6E2AC9BB" w14:textId="77777777" w:rsidR="003725EC" w:rsidRDefault="003725EC" w:rsidP="003725EC">
      <w:pPr>
        <w:pStyle w:val="Bibliography"/>
      </w:pPr>
      <w:r>
        <w:t>[67]</w:t>
      </w:r>
      <w:r>
        <w:tab/>
        <w:t>Apple, “Environmental Progress Report.” [Online]. Available: https://www.apple.com/environment/pdf/Apple_Environmental_Progress_Report_2025.pdf</w:t>
      </w:r>
    </w:p>
    <w:p w14:paraId="7A8A0D3B" w14:textId="77777777" w:rsidR="003725EC" w:rsidRDefault="003725EC" w:rsidP="003725EC">
      <w:pPr>
        <w:pStyle w:val="Bibliography"/>
      </w:pPr>
      <w:r>
        <w:t>[68]</w:t>
      </w:r>
      <w:r>
        <w:tab/>
        <w:t xml:space="preserve">T. Sukprasert, A. Souza, N. Bashir, D. Irwin, and P. Shenoy, “On the Limitations of Carbon-Aware Temporal and Spatial Workload Shifting in the Cloud,” in </w:t>
      </w:r>
      <w:r>
        <w:rPr>
          <w:i/>
          <w:iCs/>
        </w:rPr>
        <w:t>Proceedings of the Nineteenth European Conference on Computer Systems</w:t>
      </w:r>
      <w:r>
        <w:t>, Athens Greece: ACM, Apr. 2024, pp. 924–941. doi: 10.1145/3627703.3650079.</w:t>
      </w:r>
    </w:p>
    <w:p w14:paraId="1D2A8BD8" w14:textId="77777777" w:rsidR="003725EC" w:rsidRDefault="003725EC" w:rsidP="003725EC">
      <w:pPr>
        <w:pStyle w:val="Bibliography"/>
      </w:pPr>
      <w:r>
        <w:t>[69]</w:t>
      </w:r>
      <w:r>
        <w:tab/>
        <w:t xml:space="preserve">Y. Xie </w:t>
      </w:r>
      <w:r>
        <w:rPr>
          <w:i/>
          <w:iCs/>
        </w:rPr>
        <w:t>et al.</w:t>
      </w:r>
      <w:r>
        <w:t xml:space="preserve">, “A high-fidelity online monitoring algorithm for multiple physical fields in battery pack,” </w:t>
      </w:r>
      <w:r>
        <w:rPr>
          <w:i/>
          <w:iCs/>
        </w:rPr>
        <w:t>Appl. Energy</w:t>
      </w:r>
      <w:r>
        <w:t>, vol. 398, p. 126443, Nov. 2025, doi: 10.1016/j.apenergy.2025.126443.</w:t>
      </w:r>
    </w:p>
    <w:p w14:paraId="0443973E" w14:textId="77777777" w:rsidR="003725EC" w:rsidRDefault="003725EC" w:rsidP="003725EC">
      <w:pPr>
        <w:pStyle w:val="Bibliography"/>
      </w:pPr>
      <w:r>
        <w:t>[70]</w:t>
      </w:r>
      <w:r>
        <w:tab/>
        <w:t xml:space="preserve">J. Vaičys, S. Gudžius, A. Jonaitis, R. Račkienė, A. Blinov, and D. Peftitsis, “A case study of optimising energy storage dispatch: Convex optimisation approach with degradation considerations,” </w:t>
      </w:r>
      <w:r>
        <w:rPr>
          <w:i/>
          <w:iCs/>
        </w:rPr>
        <w:t>J. Energy Storage</w:t>
      </w:r>
      <w:r>
        <w:t>, vol. 97, p. 112941, Sep. 2024, doi: 10.1016/j.est.2024.112941.</w:t>
      </w:r>
    </w:p>
    <w:p w14:paraId="300DDAB9" w14:textId="77777777" w:rsidR="003725EC" w:rsidRDefault="003725EC" w:rsidP="003725EC">
      <w:pPr>
        <w:pStyle w:val="Bibliography"/>
      </w:pPr>
      <w:r>
        <w:t>[71]</w:t>
      </w:r>
      <w:r>
        <w:tab/>
        <w:t xml:space="preserve">T. Jaradat and T. Khatib, “A review of battery energy storage system for renewable energy penetration in electrical power system: Environmental impact, sizing methods, market features, and policy frameworks,” </w:t>
      </w:r>
      <w:r>
        <w:rPr>
          <w:i/>
          <w:iCs/>
        </w:rPr>
        <w:t>Future Batter.</w:t>
      </w:r>
      <w:r>
        <w:t>, vol. 7, p. 100106, Sep. 2025, doi: 10.1016/j.fub.2025.100106.</w:t>
      </w:r>
    </w:p>
    <w:p w14:paraId="1E8CC3B3" w14:textId="77777777" w:rsidR="003725EC" w:rsidRDefault="003725EC" w:rsidP="003725EC">
      <w:pPr>
        <w:pStyle w:val="Bibliography"/>
      </w:pPr>
      <w:r>
        <w:t>[72]</w:t>
      </w:r>
      <w:r>
        <w:tab/>
      </w:r>
      <w:r>
        <w:rPr>
          <w:i/>
          <w:iCs/>
        </w:rPr>
        <w:t>IEEE Recommended Practice for the Design of Reliable Industrial and Commercial Power Systems (Gold Book)</w:t>
      </w:r>
      <w:r>
        <w:t>. doi: 10.1109/IEEESTD.1998.89291.</w:t>
      </w:r>
    </w:p>
    <w:p w14:paraId="193C715D" w14:textId="77777777" w:rsidR="003725EC" w:rsidRDefault="003725EC" w:rsidP="003725EC">
      <w:pPr>
        <w:pStyle w:val="Bibliography"/>
      </w:pPr>
      <w:r>
        <w:t>[73]</w:t>
      </w:r>
      <w:r>
        <w:tab/>
        <w:t xml:space="preserve">I. Keskin and G. Soykan, “Reliability, availability, and life-cycle cost (LCC) analysis of combined cooling, heating and power (CCHP) integration to data centers considering electricity </w:t>
      </w:r>
      <w:r>
        <w:lastRenderedPageBreak/>
        <w:t xml:space="preserve">and cooling supplies,” </w:t>
      </w:r>
      <w:r>
        <w:rPr>
          <w:i/>
          <w:iCs/>
        </w:rPr>
        <w:t>Energy Convers. Manag.</w:t>
      </w:r>
      <w:r>
        <w:t>, vol. 291, p. 117254, Sep. 2023, doi: 10.1016/j.enconman.2023.117254.</w:t>
      </w:r>
    </w:p>
    <w:p w14:paraId="3ED5AD44" w14:textId="77777777" w:rsidR="003725EC" w:rsidRDefault="003725EC" w:rsidP="003725EC">
      <w:pPr>
        <w:pStyle w:val="Bibliography"/>
      </w:pPr>
      <w:r>
        <w:t>[74]</w:t>
      </w:r>
      <w:r>
        <w:tab/>
        <w:t>Nguyen Anh Huy and X. T. Nguyen, “Data center energy assessment process and energy efficiency metrics,” 2025, doi: 10.13140/RG.2.2.27710.75845.</w:t>
      </w:r>
    </w:p>
    <w:p w14:paraId="2664D130" w14:textId="77777777" w:rsidR="003725EC" w:rsidRDefault="003725EC" w:rsidP="003725EC">
      <w:pPr>
        <w:pStyle w:val="Bibliography"/>
      </w:pPr>
      <w:r>
        <w:t>[75]</w:t>
      </w:r>
      <w:r>
        <w:tab/>
        <w:t xml:space="preserve">J. Gavrila Mailuhu, M. A.F. Haurissa, and M. Jamlaay, “Design And Construction Of Automatic Transfer Switch (ATS) System With Backup Control System In Hybrid Power Plant (PLN - PLTS - GENSET),” </w:t>
      </w:r>
      <w:r>
        <w:rPr>
          <w:i/>
          <w:iCs/>
        </w:rPr>
        <w:t>Int. J. Sci. Technol. Manag.</w:t>
      </w:r>
      <w:r>
        <w:t>, vol. 6, no. 3, pp. 520–527, Jun. 2025, doi: 10.46729/ijstm.v6i3.1316.</w:t>
      </w:r>
    </w:p>
    <w:p w14:paraId="04B9DCDB" w14:textId="77777777" w:rsidR="003725EC" w:rsidRDefault="003725EC" w:rsidP="003725EC">
      <w:pPr>
        <w:pStyle w:val="Bibliography"/>
      </w:pPr>
      <w:r>
        <w:t>[76]</w:t>
      </w:r>
      <w:r>
        <w:tab/>
        <w:t xml:space="preserve">S. Narayanaswamy, P. D. Patel, I. Karlin, A. Gupta, S. Saripalli, and J. Guo, “Datacenter Energy Optimized Power Profiles,” 2025, </w:t>
      </w:r>
      <w:r>
        <w:rPr>
          <w:i/>
          <w:iCs/>
        </w:rPr>
        <w:t>arXiv</w:t>
      </w:r>
      <w:r>
        <w:t>. doi: 10.48550/ARXIV.2510.03872.</w:t>
      </w:r>
    </w:p>
    <w:p w14:paraId="695A7CCC" w14:textId="77777777" w:rsidR="003725EC" w:rsidRDefault="003725EC" w:rsidP="003725EC">
      <w:pPr>
        <w:pStyle w:val="Bibliography"/>
      </w:pPr>
      <w:r>
        <w:t>[77]</w:t>
      </w:r>
      <w:r>
        <w:tab/>
        <w:t xml:space="preserve">V. Singhania, S. Aga, and M. A. Ibrahim, “FinGraV: Methodology for Fine-Grain GPU Power Visibility and Insights,” Mar. 28, 2025, </w:t>
      </w:r>
      <w:r>
        <w:rPr>
          <w:i/>
          <w:iCs/>
        </w:rPr>
        <w:t>arXiv</w:t>
      </w:r>
      <w:r>
        <w:t>: arXiv:2412.12426. doi: 10.48550/arXiv.2412.12426.</w:t>
      </w:r>
    </w:p>
    <w:p w14:paraId="4F7283A3" w14:textId="77777777" w:rsidR="003725EC" w:rsidRDefault="003725EC" w:rsidP="003725EC">
      <w:pPr>
        <w:pStyle w:val="Bibliography"/>
      </w:pPr>
      <w:r>
        <w:t>[78]</w:t>
      </w:r>
      <w:r>
        <w:tab/>
        <w:t xml:space="preserve">S. Mohammadi </w:t>
      </w:r>
      <w:r>
        <w:rPr>
          <w:i/>
          <w:iCs/>
        </w:rPr>
        <w:t>et al.</w:t>
      </w:r>
      <w:r>
        <w:t xml:space="preserve">, “Grid Integration of AI Data Centers: A Critical Review of Energy Storage Solutions,” May 05, 2026, </w:t>
      </w:r>
      <w:r>
        <w:rPr>
          <w:i/>
          <w:iCs/>
        </w:rPr>
        <w:t>arXiv</w:t>
      </w:r>
      <w:r>
        <w:t>: arXiv:2603.00415. doi: 10.48550/arXiv.2603.00415.</w:t>
      </w:r>
    </w:p>
    <w:p w14:paraId="7730E2C5" w14:textId="77777777" w:rsidR="003725EC" w:rsidRDefault="003725EC" w:rsidP="003725EC">
      <w:pPr>
        <w:pStyle w:val="Bibliography"/>
      </w:pPr>
      <w:r>
        <w:t>[79]</w:t>
      </w:r>
      <w:r>
        <w:tab/>
        <w:t xml:space="preserve">Niranchana Radhakrishnan, “Optimizing Data Centre Energy Efficiency with Dynamic Resource Allocation and Intelligent Cooling Management through Machine Learning,” </w:t>
      </w:r>
      <w:r>
        <w:rPr>
          <w:i/>
          <w:iCs/>
        </w:rPr>
        <w:t>J. Electr. Syst.</w:t>
      </w:r>
      <w:r>
        <w:t>, vol. 20, no. 3s, pp. 286–293, Apr. 2024, doi: 10.52783/jes.1287.</w:t>
      </w:r>
    </w:p>
    <w:p w14:paraId="2978A89D" w14:textId="77777777" w:rsidR="003725EC" w:rsidRDefault="003725EC" w:rsidP="003725EC">
      <w:pPr>
        <w:pStyle w:val="Bibliography"/>
      </w:pPr>
      <w:r>
        <w:t>[80]</w:t>
      </w:r>
      <w:r>
        <w:tab/>
        <w:t xml:space="preserve">T. W. A. Putra, N. D. Setiawan, and R. Rusito, “The Use of Machine Learning for Efficient Energy Management in Big Data-Based Computing Systems,” </w:t>
      </w:r>
      <w:r>
        <w:rPr>
          <w:i/>
          <w:iCs/>
        </w:rPr>
        <w:t>J. Technol. Inform. Eng.</w:t>
      </w:r>
      <w:r>
        <w:t>, vol. 3, no. 3, pp. 324–336, Dec. 2024, doi: 10.51903/jtie.v3i3.202.</w:t>
      </w:r>
    </w:p>
    <w:p w14:paraId="14E94B0E" w14:textId="77777777" w:rsidR="003725EC" w:rsidRDefault="003725EC" w:rsidP="003725EC">
      <w:pPr>
        <w:pStyle w:val="Bibliography"/>
      </w:pPr>
      <w:r>
        <w:t>[81]</w:t>
      </w:r>
      <w:r>
        <w:tab/>
        <w:t>IEC, “Electrical Energy Storage.” [Online]. Available: https://iec.ch/system/files/2019-09/content/media/files/iec_wp-electrical_energy_storage-en.pdf</w:t>
      </w:r>
    </w:p>
    <w:p w14:paraId="54F11E85" w14:textId="77777777" w:rsidR="003725EC" w:rsidRDefault="003725EC" w:rsidP="003725EC">
      <w:pPr>
        <w:pStyle w:val="Bibliography"/>
      </w:pPr>
      <w:r>
        <w:t>[82]</w:t>
      </w:r>
      <w:r>
        <w:tab/>
        <w:t xml:space="preserve">Y. Sheng </w:t>
      </w:r>
      <w:r>
        <w:rPr>
          <w:i/>
          <w:iCs/>
        </w:rPr>
        <w:t>et al.</w:t>
      </w:r>
      <w:r>
        <w:t xml:space="preserve">, “Power for AI Data Centers: Energy Demand, Grid Impacts, Challenges and Perspectives,” </w:t>
      </w:r>
      <w:r>
        <w:rPr>
          <w:i/>
          <w:iCs/>
        </w:rPr>
        <w:t>Energies</w:t>
      </w:r>
      <w:r>
        <w:t>, vol. 19, no. 3, p. 722, Jan. 2026, doi: 10.3390/en19030722.</w:t>
      </w:r>
    </w:p>
    <w:p w14:paraId="412CA444" w14:textId="77777777" w:rsidR="003725EC" w:rsidRDefault="003725EC" w:rsidP="003725EC">
      <w:pPr>
        <w:pStyle w:val="Bibliography"/>
      </w:pPr>
      <w:r>
        <w:t>[83]</w:t>
      </w:r>
      <w:r>
        <w:tab/>
        <w:t xml:space="preserve">E. Eslami, “Air Quality and Greenhouse Gas Emissions Assessment of Data Centers in Texas: Quantifying Impacts and Environmental Tradeoffs,” 2025, </w:t>
      </w:r>
      <w:r>
        <w:rPr>
          <w:i/>
          <w:iCs/>
        </w:rPr>
        <w:t>arXiv</w:t>
      </w:r>
      <w:r>
        <w:t>. doi: 10.48550/ARXIV.2509.21312.</w:t>
      </w:r>
    </w:p>
    <w:p w14:paraId="68A69746" w14:textId="77777777" w:rsidR="003725EC" w:rsidRDefault="003725EC" w:rsidP="003725EC">
      <w:pPr>
        <w:pStyle w:val="Bibliography"/>
      </w:pPr>
      <w:r>
        <w:t>[84]</w:t>
      </w:r>
      <w:r>
        <w:tab/>
        <w:t xml:space="preserve">Y. Tang, X. Bai, C. Jin, Y. Fu, W. Mao, and X. Xu, “Experimental and numerical study on the thermal environment of a data center,” </w:t>
      </w:r>
      <w:r>
        <w:rPr>
          <w:i/>
          <w:iCs/>
        </w:rPr>
        <w:t>Build. Environ.</w:t>
      </w:r>
      <w:r>
        <w:t>, vol. 212, p. 108741, Mar. 2022, doi: 10.1016/j.buildenv.2021.108741.</w:t>
      </w:r>
    </w:p>
    <w:p w14:paraId="5A0638B6" w14:textId="77777777" w:rsidR="003725EC" w:rsidRDefault="003725EC" w:rsidP="003725EC">
      <w:pPr>
        <w:pStyle w:val="Bibliography"/>
      </w:pPr>
      <w:r>
        <w:t>[85]</w:t>
      </w:r>
      <w:r>
        <w:tab/>
        <w:t xml:space="preserve">C. S. D. and S. Abimannan, “Energy Efficient Free Cooling System for Data Centers,” in </w:t>
      </w:r>
      <w:r>
        <w:rPr>
          <w:i/>
          <w:iCs/>
        </w:rPr>
        <w:t>2011 IEEE Third International Conference on Cloud Computing Technology and Science</w:t>
      </w:r>
      <w:r>
        <w:t>, Athens, Greece: IEEE, Nov. 2011, pp. 646–651. doi: 10.1109/CloudCom.2011.100.</w:t>
      </w:r>
    </w:p>
    <w:p w14:paraId="3BBA879E" w14:textId="77777777" w:rsidR="003725EC" w:rsidRDefault="003725EC" w:rsidP="003725EC">
      <w:pPr>
        <w:pStyle w:val="Bibliography"/>
      </w:pPr>
      <w:r>
        <w:t>[86]</w:t>
      </w:r>
      <w:r>
        <w:tab/>
        <w:t xml:space="preserve">J. Yuan, Y. Yan, X. Zhang, X. Kong, and T. Zhang, “Coupling of flexible phase change materials and servers for improving the security of data centers in emergency situations,” </w:t>
      </w:r>
      <w:r>
        <w:rPr>
          <w:i/>
          <w:iCs/>
        </w:rPr>
        <w:t>Appl. Therm. Eng.</w:t>
      </w:r>
      <w:r>
        <w:t>, vol. 242, p. 122439, Apr. 2024, doi: 10.1016/j.applthermaleng.2024.122439.</w:t>
      </w:r>
    </w:p>
    <w:p w14:paraId="7DF188A5" w14:textId="77777777" w:rsidR="003725EC" w:rsidRDefault="003725EC" w:rsidP="003725EC">
      <w:pPr>
        <w:pStyle w:val="Bibliography"/>
      </w:pPr>
      <w:r>
        <w:t>[87]</w:t>
      </w:r>
      <w:r>
        <w:tab/>
      </w:r>
      <w:r>
        <w:rPr>
          <w:i/>
          <w:iCs/>
        </w:rPr>
        <w:t>IEEE Recommended Practice for Powering and Grounding Electronic Equipment</w:t>
      </w:r>
      <w:r>
        <w:t>. doi: 10.1109/IEEESTD.1999.90559.</w:t>
      </w:r>
    </w:p>
    <w:p w14:paraId="36141063" w14:textId="77777777" w:rsidR="003725EC" w:rsidRDefault="003725EC" w:rsidP="003725EC">
      <w:pPr>
        <w:pStyle w:val="Bibliography"/>
      </w:pPr>
      <w:r>
        <w:t>[88]</w:t>
      </w:r>
      <w:r>
        <w:tab/>
        <w:t>R. Siddique, “Active Power Filters for Harmonic Mitigation in Power Systems”.</w:t>
      </w:r>
    </w:p>
    <w:p w14:paraId="3AC575EA" w14:textId="77777777" w:rsidR="003725EC" w:rsidRDefault="003725EC" w:rsidP="003725EC">
      <w:pPr>
        <w:pStyle w:val="Bibliography"/>
      </w:pPr>
      <w:r>
        <w:t>[89]</w:t>
      </w:r>
      <w:r>
        <w:tab/>
        <w:t xml:space="preserve">A. Santos, G. Duggan, S. Frank, D. Gerber, and D. Zimmerle, “Endpoint Use Efficiency Comparison for AC and DC Power Distribution in Commercial Buildings,” </w:t>
      </w:r>
      <w:r>
        <w:rPr>
          <w:i/>
          <w:iCs/>
        </w:rPr>
        <w:t>Energies</w:t>
      </w:r>
      <w:r>
        <w:t>, vol. 14, no. 18, p. 5863, Sep. 2021, doi: 10.3390/en14185863.</w:t>
      </w:r>
    </w:p>
    <w:p w14:paraId="44496494" w14:textId="77777777" w:rsidR="003725EC" w:rsidRDefault="003725EC" w:rsidP="003725EC">
      <w:pPr>
        <w:pStyle w:val="Bibliography"/>
      </w:pPr>
      <w:r>
        <w:lastRenderedPageBreak/>
        <w:t>[90]</w:t>
      </w:r>
      <w:r>
        <w:tab/>
        <w:t xml:space="preserve">A. F. Snyder and M. T. G. Stuber, “The ANSI C12 protocol suite - updated and now with network capabilities,” in </w:t>
      </w:r>
      <w:r>
        <w:rPr>
          <w:i/>
          <w:iCs/>
        </w:rPr>
        <w:t>2007 Power Systems Conference: Advanced Metering, Protection, Control, Communication, and Distributed Resources</w:t>
      </w:r>
      <w:r>
        <w:t>, Clemson, SC, USA: IEEE, Mar. 2007, pp. 117–122. doi: 10.1109/PSAMP.2007.4740906.</w:t>
      </w:r>
    </w:p>
    <w:p w14:paraId="4EA4620C" w14:textId="77777777" w:rsidR="003725EC" w:rsidRDefault="003725EC" w:rsidP="003725EC">
      <w:pPr>
        <w:pStyle w:val="Bibliography"/>
      </w:pPr>
      <w:r>
        <w:t>[91]</w:t>
      </w:r>
      <w:r>
        <w:tab/>
        <w:t xml:space="preserve">J. Li, C. Wang, and Y. Liu, “AI Driven Virtual Power Plants: A Comprehensive Review,” Jan. 22, 2026, </w:t>
      </w:r>
      <w:r>
        <w:rPr>
          <w:i/>
          <w:iCs/>
        </w:rPr>
        <w:t>Engineering</w:t>
      </w:r>
      <w:r>
        <w:t>. doi: 10.20944/preprints202601.1691.v1.</w:t>
      </w:r>
    </w:p>
    <w:p w14:paraId="13524FDD" w14:textId="77777777" w:rsidR="003725EC" w:rsidRDefault="003725EC" w:rsidP="003725EC">
      <w:pPr>
        <w:pStyle w:val="Bibliography"/>
      </w:pPr>
      <w:r>
        <w:t>[92]</w:t>
      </w:r>
      <w:r>
        <w:tab/>
        <w:t xml:space="preserve">S. Jadhav and Z. Liu, “Digital Twin-Based Cooling System Optimization for Data Center,” 2026, </w:t>
      </w:r>
      <w:r>
        <w:rPr>
          <w:i/>
          <w:iCs/>
        </w:rPr>
        <w:t>arXiv</w:t>
      </w:r>
      <w:r>
        <w:t>. doi: 10.48550/ARXIV.2603.01198.</w:t>
      </w:r>
    </w:p>
    <w:p w14:paraId="57CE7B2B" w14:textId="77777777" w:rsidR="003725EC" w:rsidRDefault="003725EC" w:rsidP="003725EC">
      <w:pPr>
        <w:pStyle w:val="Bibliography"/>
      </w:pPr>
      <w:r>
        <w:t>[93]</w:t>
      </w:r>
      <w:r>
        <w:tab/>
      </w:r>
      <w:r>
        <w:rPr>
          <w:i/>
          <w:iCs/>
        </w:rPr>
        <w:t>24/7 renewables: the economics of firm solar and wind</w:t>
      </w:r>
      <w:r>
        <w:t>. Abu Dhabi: International Renewable Energy Agency, 2026.</w:t>
      </w:r>
    </w:p>
    <w:p w14:paraId="27580F11" w14:textId="77777777" w:rsidR="003725EC" w:rsidRDefault="003725EC" w:rsidP="003725EC">
      <w:pPr>
        <w:pStyle w:val="Bibliography"/>
      </w:pPr>
      <w:r>
        <w:t>[94]</w:t>
      </w:r>
      <w:r>
        <w:tab/>
        <w:t>NREL, “National Renewable Energy Laboratory (NREL).” [Online]. Available: https://atb.nrel.gov/</w:t>
      </w:r>
    </w:p>
    <w:p w14:paraId="7846CEF9" w14:textId="77777777" w:rsidR="003725EC" w:rsidRDefault="003725EC" w:rsidP="003725EC">
      <w:pPr>
        <w:pStyle w:val="Bibliography"/>
      </w:pPr>
      <w:r>
        <w:t>[95]</w:t>
      </w:r>
      <w:r>
        <w:tab/>
        <w:t xml:space="preserve">E. Förstner </w:t>
      </w:r>
      <w:r>
        <w:rPr>
          <w:i/>
          <w:iCs/>
        </w:rPr>
        <w:t>et al.</w:t>
      </w:r>
      <w:r>
        <w:t>, “Photovoltaic system reduces grid voltage waveform distortions in the frequency range from 700 Hz to 1250 Hz,” 2026, doi: 10.5445/IR/1000191363.</w:t>
      </w:r>
    </w:p>
    <w:p w14:paraId="4F7F1174" w14:textId="77777777" w:rsidR="003725EC" w:rsidRDefault="003725EC" w:rsidP="003725EC">
      <w:pPr>
        <w:pStyle w:val="Bibliography"/>
      </w:pPr>
      <w:r>
        <w:t>[96]</w:t>
      </w:r>
      <w:r>
        <w:tab/>
        <w:t xml:space="preserve">L. Liu, H. Matayoshi, M. E. Lotfy, M. Datta, and T. Senjyu, “Load Frequency Control Using Demand Response and Storage Battery by Considering Renewable Energy Sources,” </w:t>
      </w:r>
      <w:r>
        <w:rPr>
          <w:i/>
          <w:iCs/>
        </w:rPr>
        <w:t>Energies</w:t>
      </w:r>
      <w:r>
        <w:t>, vol. 11, no. 12, p. 3412, Dec. 2018, doi: 10.3390/en11123412.</w:t>
      </w:r>
    </w:p>
    <w:p w14:paraId="58CD77AA" w14:textId="77777777" w:rsidR="003725EC" w:rsidRDefault="003725EC" w:rsidP="003725EC">
      <w:pPr>
        <w:pStyle w:val="Bibliography"/>
      </w:pPr>
      <w:r>
        <w:t>[97]</w:t>
      </w:r>
      <w:r>
        <w:tab/>
        <w:t xml:space="preserve">O. Ndindayino, A. Puel, and J. Meyers, “Effect of blockage on wind turbine power and wake development,” Feb. 12, 2025, </w:t>
      </w:r>
      <w:r>
        <w:rPr>
          <w:i/>
          <w:iCs/>
        </w:rPr>
        <w:t>Fluid mechanics/Wakes and wind farm aerodynamics</w:t>
      </w:r>
      <w:r>
        <w:t>. doi: 10.5194/wes-2025-6.</w:t>
      </w:r>
    </w:p>
    <w:p w14:paraId="5D749D82" w14:textId="77777777" w:rsidR="003725EC" w:rsidRDefault="003725EC" w:rsidP="003725EC">
      <w:pPr>
        <w:pStyle w:val="Bibliography"/>
      </w:pPr>
      <w:r>
        <w:t>[98]</w:t>
      </w:r>
      <w:r>
        <w:tab/>
        <w:t xml:space="preserve">P. Toufani, E. C. Karakoyun, E. Nadar, O. B. Fosso, and A. S. Kocaman, “Optimization of pumped hydro energy storage systems under uncertainty: A review,” </w:t>
      </w:r>
      <w:r>
        <w:rPr>
          <w:i/>
          <w:iCs/>
        </w:rPr>
        <w:t>J. Energy Storage</w:t>
      </w:r>
      <w:r>
        <w:t>, vol. 73, p. 109306, Dec. 2023, doi: 10.1016/j.est.2023.109306.</w:t>
      </w:r>
    </w:p>
    <w:p w14:paraId="5DCB5B84" w14:textId="77777777" w:rsidR="003725EC" w:rsidRDefault="003725EC" w:rsidP="003725EC">
      <w:pPr>
        <w:pStyle w:val="Bibliography"/>
      </w:pPr>
      <w:r>
        <w:t>[99]</w:t>
      </w:r>
      <w:r>
        <w:tab/>
        <w:t xml:space="preserve">J. F. S. De Paula, J. L. De Souza Silva, M. V. De Paula, G. Fraidenraich, and T. A. Dos Santos Barros, “A Two-Stage Methodology for Accurate PV Energy Yield Estimation Using Satellite Weather Data and PV Modeling Python Library,” in </w:t>
      </w:r>
      <w:r>
        <w:rPr>
          <w:i/>
          <w:iCs/>
        </w:rPr>
        <w:t>2025 Brazilian Power Electronics Conference (COBEP)</w:t>
      </w:r>
      <w:r>
        <w:t>, Vitoria, Brazil: IEEE, Oct. 2025, pp. 1–6. doi: 10.1109/COBEP66423.2025.11231587.</w:t>
      </w:r>
    </w:p>
    <w:p w14:paraId="5D82C83E" w14:textId="77777777" w:rsidR="003725EC" w:rsidRDefault="003725EC" w:rsidP="003725EC">
      <w:pPr>
        <w:pStyle w:val="Bibliography"/>
      </w:pPr>
      <w:r>
        <w:t>[100]</w:t>
      </w:r>
      <w:r>
        <w:tab/>
        <w:t xml:space="preserve">M. Ernst and J. Gooday, “Methodology for generating high time resolution typical meteorological year data for accurate photovoltaic energy yield modelling,” </w:t>
      </w:r>
      <w:r>
        <w:rPr>
          <w:i/>
          <w:iCs/>
        </w:rPr>
        <w:t>Sol. Energy</w:t>
      </w:r>
      <w:r>
        <w:t>, vol. 189, pp. 299–306, Sep. 2019, doi: 10.1016/j.solener.2019.07.069.</w:t>
      </w:r>
    </w:p>
    <w:p w14:paraId="7D48E4EF" w14:textId="77777777" w:rsidR="003725EC" w:rsidRDefault="003725EC" w:rsidP="003725EC">
      <w:pPr>
        <w:pStyle w:val="Bibliography"/>
      </w:pPr>
      <w:r>
        <w:t>[101]</w:t>
      </w:r>
      <w:r>
        <w:tab/>
        <w:t xml:space="preserve">A. K. Nassar </w:t>
      </w:r>
      <w:r>
        <w:rPr>
          <w:i/>
          <w:iCs/>
        </w:rPr>
        <w:t>et al.</w:t>
      </w:r>
      <w:r>
        <w:t xml:space="preserve">, “Multi-criteria GIS-based approach for optimal site selection of solar and wind energy,” </w:t>
      </w:r>
      <w:r>
        <w:rPr>
          <w:i/>
          <w:iCs/>
        </w:rPr>
        <w:t>Unconv. Resour.</w:t>
      </w:r>
      <w:r>
        <w:t>, vol. 7, p. 100192, Jul. 2025, doi: 10.1016/j.uncres.2025.100192.</w:t>
      </w:r>
    </w:p>
    <w:p w14:paraId="7083B309" w14:textId="77777777" w:rsidR="003725EC" w:rsidRDefault="003725EC" w:rsidP="003725EC">
      <w:pPr>
        <w:pStyle w:val="Bibliography"/>
      </w:pPr>
      <w:r>
        <w:t>[102]</w:t>
      </w:r>
      <w:r>
        <w:tab/>
        <w:t xml:space="preserve">T. Anderson, “An improved typical meteorological year for solar energy simulations in Rarotonga, Cook Islands,” </w:t>
      </w:r>
      <w:r>
        <w:rPr>
          <w:i/>
          <w:iCs/>
        </w:rPr>
        <w:t>J. R. Soc. N. Z.</w:t>
      </w:r>
      <w:r>
        <w:t>, vol. 52, no. 5, pp. 606–613, Oct. 2022, doi: 10.1080/03036758.2021.2013262.</w:t>
      </w:r>
    </w:p>
    <w:p w14:paraId="0778572F" w14:textId="77777777" w:rsidR="003725EC" w:rsidRDefault="003725EC" w:rsidP="003725EC">
      <w:pPr>
        <w:pStyle w:val="Bibliography"/>
      </w:pPr>
      <w:r>
        <w:t>[103]</w:t>
      </w:r>
      <w:r>
        <w:tab/>
        <w:t xml:space="preserve">C. Jung and D. Schindler, “Projections of energy yield- and complementarity-driven wind energy expansion scenarios in the European Union,” </w:t>
      </w:r>
      <w:r>
        <w:rPr>
          <w:i/>
          <w:iCs/>
        </w:rPr>
        <w:t>Energy Convers. Manag.</w:t>
      </w:r>
      <w:r>
        <w:t>, vol. 269, p. 116160, Oct. 2022, doi: 10.1016/j.enconman.2022.116160.</w:t>
      </w:r>
    </w:p>
    <w:p w14:paraId="2EB563BE" w14:textId="77777777" w:rsidR="003725EC" w:rsidRDefault="003725EC" w:rsidP="003725EC">
      <w:pPr>
        <w:pStyle w:val="Bibliography"/>
      </w:pPr>
      <w:r>
        <w:t>[104]</w:t>
      </w:r>
      <w:r>
        <w:tab/>
        <w:t xml:space="preserve">M. Li </w:t>
      </w:r>
      <w:r>
        <w:rPr>
          <w:i/>
          <w:iCs/>
        </w:rPr>
        <w:t>et al.</w:t>
      </w:r>
      <w:r>
        <w:t xml:space="preserve">, “Renewable energy quality trilemma and coincident wind and solar droughts,” </w:t>
      </w:r>
      <w:r>
        <w:rPr>
          <w:i/>
          <w:iCs/>
        </w:rPr>
        <w:t>Commun. Earth Environ.</w:t>
      </w:r>
      <w:r>
        <w:t>, vol. 5, no. 1, p. 661, Nov. 2024, doi: 10.1038/s43247-024-01850-5.</w:t>
      </w:r>
    </w:p>
    <w:p w14:paraId="7FC0364D" w14:textId="77777777" w:rsidR="003725EC" w:rsidRDefault="003725EC" w:rsidP="003725EC">
      <w:pPr>
        <w:pStyle w:val="Bibliography"/>
      </w:pPr>
      <w:r>
        <w:t>[105]</w:t>
      </w:r>
      <w:r>
        <w:tab/>
        <w:t xml:space="preserve">S. Jerez, I. Tobin, M. Turco, P. Jiménez-Guerrero, R. Vautard, and J. P. Montávez, “Future changes, or lack thereof, in the temporal variability of the combined wind-plus-solar power </w:t>
      </w:r>
      <w:r>
        <w:lastRenderedPageBreak/>
        <w:t xml:space="preserve">production in Europe,” </w:t>
      </w:r>
      <w:r>
        <w:rPr>
          <w:i/>
          <w:iCs/>
        </w:rPr>
        <w:t>Renew. Energy</w:t>
      </w:r>
      <w:r>
        <w:t>, vol. 139, pp. 251–260, Aug. 2019, doi: 10.1016/j.renene.2019.02.060.</w:t>
      </w:r>
    </w:p>
    <w:p w14:paraId="0BF036B7" w14:textId="77777777" w:rsidR="003725EC" w:rsidRDefault="003725EC" w:rsidP="003725EC">
      <w:pPr>
        <w:pStyle w:val="Bibliography"/>
      </w:pPr>
      <w:r>
        <w:t>[106]</w:t>
      </w:r>
      <w:r>
        <w:tab/>
        <w:t xml:space="preserve">W. Cole, V. Ramasamy, and M. Turan, “Cost Projections for Utility-Scale Battery Storage: 2025 Update,” </w:t>
      </w:r>
      <w:r>
        <w:rPr>
          <w:i/>
          <w:iCs/>
        </w:rPr>
        <w:t>Renew. Energy</w:t>
      </w:r>
      <w:r>
        <w:t>, 2025, [Online]. Available: https://docs.nrel.gov/docs/fy25osti/93281.pdf</w:t>
      </w:r>
    </w:p>
    <w:p w14:paraId="196FBF02" w14:textId="77777777" w:rsidR="003725EC" w:rsidRDefault="003725EC" w:rsidP="003725EC">
      <w:pPr>
        <w:pStyle w:val="Bibliography"/>
      </w:pPr>
      <w:r>
        <w:t>[107]</w:t>
      </w:r>
      <w:r>
        <w:tab/>
        <w:t>Our World in Data, “Battery costs have declined by 99% in the last three decades, making electrified transport a reality.” [Online]. Available: https://ourworldindata.org/battery-price-decline</w:t>
      </w:r>
    </w:p>
    <w:p w14:paraId="6EFF6FDD" w14:textId="77777777" w:rsidR="003725EC" w:rsidRDefault="003725EC" w:rsidP="003725EC">
      <w:pPr>
        <w:pStyle w:val="Bibliography"/>
      </w:pPr>
      <w:r>
        <w:t>[108]</w:t>
      </w:r>
      <w:r>
        <w:tab/>
        <w:t xml:space="preserve">European Commission. Joint Research Centre </w:t>
      </w:r>
      <w:r>
        <w:rPr>
          <w:i/>
          <w:iCs/>
        </w:rPr>
        <w:t>et al.</w:t>
      </w:r>
      <w:r>
        <w:t xml:space="preserve">, </w:t>
      </w:r>
      <w:r>
        <w:rPr>
          <w:i/>
          <w:iCs/>
        </w:rPr>
        <w:t>Clean Energy Technology Observatory</w:t>
      </w:r>
      <w:r>
        <w:t>. in EUR. LU: Publications Office of the European Union, 2026. doi: 10.2760/2686206.</w:t>
      </w:r>
    </w:p>
    <w:p w14:paraId="58735DB5" w14:textId="77777777" w:rsidR="003725EC" w:rsidRDefault="003725EC" w:rsidP="003725EC">
      <w:pPr>
        <w:pStyle w:val="Bibliography"/>
      </w:pPr>
      <w:r>
        <w:t>[109]</w:t>
      </w:r>
      <w:r>
        <w:tab/>
        <w:t>D. Reber, S. Jarvis, and M. Marshak, “The role of energy density for grid-scale batteries,” Nov. 17, 2022. doi: 10.26434/chemrxiv-2022-5ddhs.</w:t>
      </w:r>
    </w:p>
    <w:p w14:paraId="5CDEBC4C" w14:textId="77777777" w:rsidR="003725EC" w:rsidRDefault="003725EC" w:rsidP="003725EC">
      <w:pPr>
        <w:pStyle w:val="Bibliography"/>
      </w:pPr>
      <w:r>
        <w:t>[110]</w:t>
      </w:r>
      <w:r>
        <w:tab/>
        <w:t xml:space="preserve">S. Rahman and T. A. Khan, “Energy Storage Systems for AI Data Centers: A Review of Technologies, Characteristics, and Applicability,” </w:t>
      </w:r>
      <w:r>
        <w:rPr>
          <w:i/>
          <w:iCs/>
        </w:rPr>
        <w:t>Energies</w:t>
      </w:r>
      <w:r>
        <w:t>, vol. 19, no. 3, p. 634, Jan. 2026, doi: 10.3390/en19030634.</w:t>
      </w:r>
    </w:p>
    <w:p w14:paraId="67EA9DC0" w14:textId="77777777" w:rsidR="003725EC" w:rsidRDefault="003725EC" w:rsidP="003725EC">
      <w:pPr>
        <w:pStyle w:val="Bibliography"/>
      </w:pPr>
      <w:r>
        <w:t>[111]</w:t>
      </w:r>
      <w:r>
        <w:tab/>
        <w:t>U. Remme, “Global Hydrogen Review 2025,” 2025, [Online]. Available: https://iea.blob.core.windows.net/assets/12d92ecc-e960-40f3-aff5-b2de6690ab6b/GlobalHydrogenReview2025.pdf</w:t>
      </w:r>
    </w:p>
    <w:p w14:paraId="2EB2CF67" w14:textId="77777777" w:rsidR="003725EC" w:rsidRDefault="003725EC" w:rsidP="003725EC">
      <w:pPr>
        <w:pStyle w:val="Bibliography"/>
      </w:pPr>
      <w:r>
        <w:t>[112]</w:t>
      </w:r>
      <w:r>
        <w:tab/>
        <w:t xml:space="preserve">F. Yang, Z. Wang, and X. Tian, “Estimating future costs of hydrogen as long-duration energy storage based on a learning rate approach,” </w:t>
      </w:r>
      <w:r>
        <w:rPr>
          <w:i/>
          <w:iCs/>
        </w:rPr>
        <w:t>Clean Energy</w:t>
      </w:r>
      <w:r>
        <w:t>, vol. 10, no. 2, pp. 146–155, Mar. 2026, doi: 10.1093/ce/zkaf075.</w:t>
      </w:r>
    </w:p>
    <w:p w14:paraId="1CCB778A" w14:textId="77777777" w:rsidR="003725EC" w:rsidRDefault="003725EC" w:rsidP="003725EC">
      <w:pPr>
        <w:pStyle w:val="Bibliography"/>
      </w:pPr>
      <w:r>
        <w:t>[113]</w:t>
      </w:r>
      <w:r>
        <w:tab/>
        <w:t xml:space="preserve">X. Dong, Z. Yang, Q. Zhu, J. Li, B. Zhou, and J. Zhu, “Research on Reliability Evaluation Method of Distribution Network Considering the Temporal Characteristics of Distributed Power Sources,” </w:t>
      </w:r>
      <w:r>
        <w:rPr>
          <w:i/>
          <w:iCs/>
        </w:rPr>
        <w:t>Processes</w:t>
      </w:r>
      <w:r>
        <w:t>, vol. 14, no. 8, p. 1296, Apr. 2026, doi: 10.3390/pr14081296.</w:t>
      </w:r>
    </w:p>
    <w:p w14:paraId="44B5A9CC" w14:textId="77777777" w:rsidR="003725EC" w:rsidRDefault="003725EC" w:rsidP="003725EC">
      <w:pPr>
        <w:pStyle w:val="Bibliography"/>
      </w:pPr>
      <w:r>
        <w:t>[114]</w:t>
      </w:r>
      <w:r>
        <w:tab/>
        <w:t xml:space="preserve">H. H. H. Mousa, K. Mahmoud, and M. Lehtonen, “Recent developments of demand‐side management towards flexible DER‐rich power systems: A systematic review,” </w:t>
      </w:r>
      <w:r>
        <w:rPr>
          <w:i/>
          <w:iCs/>
        </w:rPr>
        <w:t>IET Gener. Transm. Distrib.</w:t>
      </w:r>
      <w:r>
        <w:t>, vol. 18, no. 13, pp. 2259–2300, Jul. 2024, doi: 10.1049/gtd2.13204.</w:t>
      </w:r>
    </w:p>
    <w:p w14:paraId="083FC796" w14:textId="77777777" w:rsidR="003725EC" w:rsidRDefault="003725EC" w:rsidP="003725EC">
      <w:pPr>
        <w:pStyle w:val="Bibliography"/>
      </w:pPr>
      <w:r>
        <w:t>[115]</w:t>
      </w:r>
      <w:r>
        <w:tab/>
        <w:t>EIA, “Electric Power Annual 2024.” [Online]. Available: https://www.eia.gov/electricity/annual/pdf/epa.pdf</w:t>
      </w:r>
    </w:p>
    <w:p w14:paraId="11D87C1E" w14:textId="77777777" w:rsidR="003725EC" w:rsidRDefault="003725EC" w:rsidP="003725EC">
      <w:pPr>
        <w:pStyle w:val="Bibliography"/>
      </w:pPr>
      <w:r>
        <w:t>[116]</w:t>
      </w:r>
      <w:r>
        <w:tab/>
        <w:t>NREL, “Annual Technoogy Baseline.” [Online]. Available: https://atb-archive.nlr.gov/</w:t>
      </w:r>
    </w:p>
    <w:p w14:paraId="391E4E56" w14:textId="77777777" w:rsidR="003725EC" w:rsidRDefault="003725EC" w:rsidP="003725EC">
      <w:pPr>
        <w:pStyle w:val="Bibliography"/>
      </w:pPr>
      <w:r>
        <w:t>[117]</w:t>
      </w:r>
      <w:r>
        <w:tab/>
        <w:t xml:space="preserve">Y. A. Sultan, S. S. Kaddah, and M. A. Elhosseini, “Enhancing smart grid transient performance using storage device‐based MPC controller,” </w:t>
      </w:r>
      <w:r>
        <w:rPr>
          <w:i/>
          <w:iCs/>
        </w:rPr>
        <w:t>IET Renew. Power Gener.</w:t>
      </w:r>
      <w:r>
        <w:t>, vol. 11, no. 10, pp. 1316–1324, Aug. 2017, doi: 10.1049/iet-rpg.2016.0892.</w:t>
      </w:r>
    </w:p>
    <w:p w14:paraId="5AAFFF00" w14:textId="77777777" w:rsidR="003725EC" w:rsidRDefault="003725EC" w:rsidP="003725EC">
      <w:pPr>
        <w:pStyle w:val="Bibliography"/>
      </w:pPr>
      <w:r>
        <w:t>[118]</w:t>
      </w:r>
      <w:r>
        <w:tab/>
        <w:t xml:space="preserve">Y. Hu, Z. Li, and J. Cui, “An economic model predictive control strategy for EV-integrated microgrids considering battery degradation,” </w:t>
      </w:r>
      <w:r>
        <w:rPr>
          <w:i/>
          <w:iCs/>
        </w:rPr>
        <w:t>Energy</w:t>
      </w:r>
      <w:r>
        <w:t>, vol. 335, p. 138205, Oct. 2025, doi: 10.1016/j.energy.2025.138205.</w:t>
      </w:r>
    </w:p>
    <w:p w14:paraId="2CD680F6" w14:textId="77777777" w:rsidR="003725EC" w:rsidRDefault="003725EC" w:rsidP="003725EC">
      <w:pPr>
        <w:pStyle w:val="Bibliography"/>
      </w:pPr>
      <w:r>
        <w:t>[119]</w:t>
      </w:r>
      <w:r>
        <w:tab/>
        <w:t xml:space="preserve">L. Friedel, J. Grenz, and C. Hagist, “A comparison of long duration energy storage technologies based on levelized cost of storage,” </w:t>
      </w:r>
      <w:r>
        <w:rPr>
          <w:i/>
          <w:iCs/>
        </w:rPr>
        <w:t>J. Energy Storage</w:t>
      </w:r>
      <w:r>
        <w:t>, vol. 153, p. 120679, Apr. 2026, doi: 10.1016/j.est.2026.120679.</w:t>
      </w:r>
    </w:p>
    <w:p w14:paraId="3C1E2EAA" w14:textId="77777777" w:rsidR="003725EC" w:rsidRDefault="003725EC" w:rsidP="003725EC">
      <w:pPr>
        <w:pStyle w:val="Bibliography"/>
      </w:pPr>
      <w:r>
        <w:t>[120]</w:t>
      </w:r>
      <w:r>
        <w:tab/>
        <w:t xml:space="preserve">X.-R. Zhu, J.-H. Tian, and Y. Wang, “The impact of climate change on wind and solar photovoltaic power potential and distribution in China,” </w:t>
      </w:r>
      <w:r>
        <w:rPr>
          <w:i/>
          <w:iCs/>
        </w:rPr>
        <w:t>Adv. Clim. Change Res.</w:t>
      </w:r>
      <w:r>
        <w:t>, vol. 16, no. 4, pp. 730–746, Aug. 2025, doi: 10.1016/j.accre.2025.04.015.</w:t>
      </w:r>
    </w:p>
    <w:p w14:paraId="6CF10CAB" w14:textId="77777777" w:rsidR="003725EC" w:rsidRDefault="003725EC" w:rsidP="003725EC">
      <w:pPr>
        <w:pStyle w:val="Bibliography"/>
      </w:pPr>
      <w:r>
        <w:t>[121]</w:t>
      </w:r>
      <w:r>
        <w:tab/>
        <w:t xml:space="preserve">J. M. Morales, A. J. Conejo, H. Madsen, P. Pinson, and M. Zugno, </w:t>
      </w:r>
      <w:r>
        <w:rPr>
          <w:i/>
          <w:iCs/>
        </w:rPr>
        <w:t>Integrating Renewables in Electricity Markets: Operational Problems</w:t>
      </w:r>
      <w:r>
        <w:t xml:space="preserve">, 1st ed. 2014. in International Series in Operations </w:t>
      </w:r>
      <w:r>
        <w:lastRenderedPageBreak/>
        <w:t>Research &amp; Management Science, no. 205. New York, NY: Springer US : Imprint: Springer, 2014. doi: 10.1007/978-1-4614-9411-9.</w:t>
      </w:r>
    </w:p>
    <w:p w14:paraId="767FDEF3" w14:textId="77777777" w:rsidR="003725EC" w:rsidRDefault="003725EC" w:rsidP="003725EC">
      <w:pPr>
        <w:pStyle w:val="Bibliography"/>
      </w:pPr>
      <w:r>
        <w:t>[122]</w:t>
      </w:r>
      <w:r>
        <w:tab/>
        <w:t xml:space="preserve">J. Kim </w:t>
      </w:r>
      <w:r>
        <w:rPr>
          <w:i/>
          <w:iCs/>
        </w:rPr>
        <w:t>et al.</w:t>
      </w:r>
      <w:r>
        <w:t xml:space="preserve">, “Reviewing the socio-technical dynamics of AI, data centers and digitalization on energy and the environment,” </w:t>
      </w:r>
      <w:r>
        <w:rPr>
          <w:i/>
          <w:iCs/>
        </w:rPr>
        <w:t>Renew. Sustain. Energy Rev.</w:t>
      </w:r>
      <w:r>
        <w:t>, vol. 234, p. 116861, Jul. 2026, doi: 10.1016/j.rser.2026.116861.</w:t>
      </w:r>
    </w:p>
    <w:p w14:paraId="22990099" w14:textId="77777777" w:rsidR="003725EC" w:rsidRDefault="003725EC" w:rsidP="003725EC">
      <w:pPr>
        <w:pStyle w:val="Bibliography"/>
      </w:pPr>
      <w:r>
        <w:t>[123]</w:t>
      </w:r>
      <w:r>
        <w:tab/>
        <w:t>Idaho National Lab, “Powering Data Centers with Clean Energy.” [Online]. Available: https://gain.inl.gov/content/uploads/4/2024/11/INL-RPT-24-79307-Powering-Data-Cneters-with-Clean-Energy.pdf</w:t>
      </w:r>
    </w:p>
    <w:p w14:paraId="62B8ABD8" w14:textId="77777777" w:rsidR="003725EC" w:rsidRDefault="003725EC" w:rsidP="003725EC">
      <w:pPr>
        <w:pStyle w:val="Bibliography"/>
      </w:pPr>
      <w:r>
        <w:t>[124]</w:t>
      </w:r>
      <w:r>
        <w:tab/>
        <w:t xml:space="preserve">S. Babamohammadi, A. R. Birss, H. Pouran, J. Pandhal, and T. N. Borhani, “Emission control and carbon capture from diesel generators and engines: A decade-long perspective,” </w:t>
      </w:r>
      <w:r>
        <w:rPr>
          <w:i/>
          <w:iCs/>
        </w:rPr>
        <w:t>Carbon Capture Sci. Technol.</w:t>
      </w:r>
      <w:r>
        <w:t>, vol. 14, p. 100379, Mar. 2025, doi: 10.1016/j.ccst.2025.100379.</w:t>
      </w:r>
    </w:p>
    <w:p w14:paraId="61A57B7F" w14:textId="77777777" w:rsidR="003725EC" w:rsidRDefault="003725EC" w:rsidP="003725EC">
      <w:pPr>
        <w:pStyle w:val="Bibliography"/>
      </w:pPr>
      <w:r>
        <w:t>[125]</w:t>
      </w:r>
      <w:r>
        <w:tab/>
        <w:t xml:space="preserve">S. Ghosh and J. Damodara, “Scalable data centers – Power generation and delivery challenges and solutions,” </w:t>
      </w:r>
      <w:r>
        <w:rPr>
          <w:i/>
          <w:iCs/>
        </w:rPr>
        <w:t>Energy Rep.</w:t>
      </w:r>
      <w:r>
        <w:t>, vol. 15, p. 109178, Jun. 2026, doi: 10.1016/j.egyr.2026.109178.</w:t>
      </w:r>
    </w:p>
    <w:p w14:paraId="247FA4E9" w14:textId="77777777" w:rsidR="003725EC" w:rsidRDefault="003725EC" w:rsidP="003725EC">
      <w:pPr>
        <w:pStyle w:val="Bibliography"/>
      </w:pPr>
      <w:r>
        <w:t>[126]</w:t>
      </w:r>
      <w:r>
        <w:tab/>
        <w:t>EPRI, “Powering Data Centers in the AI Era.” [Online]. Available: https://energie.hec.ca/wp-content/uploads/2025/10/PPT_EPRI.pdf</w:t>
      </w:r>
    </w:p>
    <w:p w14:paraId="4FE63617" w14:textId="77777777" w:rsidR="003725EC" w:rsidRDefault="003725EC" w:rsidP="003725EC">
      <w:pPr>
        <w:pStyle w:val="Bibliography"/>
      </w:pPr>
      <w:r>
        <w:t>[127]</w:t>
      </w:r>
      <w:r>
        <w:tab/>
      </w:r>
      <w:r>
        <w:rPr>
          <w:i/>
          <w:iCs/>
        </w:rPr>
        <w:t>IEEE Standard for the Specification of Microgrid Controllers</w:t>
      </w:r>
      <w:r>
        <w:t>. doi: 10.1109/IEEESTD.2018.8340204.</w:t>
      </w:r>
    </w:p>
    <w:p w14:paraId="4DB5FA14" w14:textId="77777777" w:rsidR="003725EC" w:rsidRDefault="003725EC" w:rsidP="003725EC">
      <w:pPr>
        <w:pStyle w:val="Bibliography"/>
      </w:pPr>
      <w:r>
        <w:t>[128]</w:t>
      </w:r>
      <w:r>
        <w:tab/>
        <w:t xml:space="preserve">A. N. Rosli, S. H. Yusoff, H. Mansor, S. N. M. Sapihie, and M. A. M. M. Fahmi, “Using Model Predictive Control in Renewable Energy Sources,” in </w:t>
      </w:r>
      <w:r>
        <w:rPr>
          <w:i/>
          <w:iCs/>
        </w:rPr>
        <w:t>2023 IEEE 9th International Conference on Smart Instrumentation, Measurement and Applications (ICSIMA)</w:t>
      </w:r>
      <w:r>
        <w:t>, Kuala Lumpur, Malaysia: IEEE, Oct. 2023, pp. 263–268. doi: 10.1109/ICSIMA59853.2023.10373520.</w:t>
      </w:r>
    </w:p>
    <w:p w14:paraId="5947B66B" w14:textId="77777777" w:rsidR="003725EC" w:rsidRDefault="003725EC" w:rsidP="003725EC">
      <w:pPr>
        <w:pStyle w:val="Bibliography"/>
      </w:pPr>
      <w:r>
        <w:t>[129]</w:t>
      </w:r>
      <w:r>
        <w:tab/>
        <w:t>M. G. Todeschini, G. Dondossola, and R. Terruggia, “IMPACT EVALUATION OF IEC 62351 CYBER SECURITY ON IEC 61850 COMMUNICATIONS PERFORMANCE,” 2019.</w:t>
      </w:r>
    </w:p>
    <w:p w14:paraId="2F2E08F4" w14:textId="77777777" w:rsidR="003725EC" w:rsidRDefault="003725EC" w:rsidP="003725EC">
      <w:pPr>
        <w:pStyle w:val="Bibliography"/>
      </w:pPr>
      <w:r>
        <w:t>[130]</w:t>
      </w:r>
      <w:r>
        <w:tab/>
        <w:t xml:space="preserve">A. J. Monticelli, A. Garcia, and O. R. Saavedra, “Fast decoupled load flow: hypothesis, derivations, and testing,” </w:t>
      </w:r>
      <w:r>
        <w:rPr>
          <w:i/>
          <w:iCs/>
        </w:rPr>
        <w:t>IEEE Trans. Power Syst.</w:t>
      </w:r>
      <w:r>
        <w:t>, vol. 5, no. 4, pp. 1425–1431, Nov. 1990, doi: 10.1109/59.99396.</w:t>
      </w:r>
    </w:p>
    <w:p w14:paraId="141A4991" w14:textId="77777777" w:rsidR="003725EC" w:rsidRDefault="003725EC" w:rsidP="003725EC">
      <w:pPr>
        <w:pStyle w:val="Bibliography"/>
      </w:pPr>
      <w:r>
        <w:t>[131]</w:t>
      </w:r>
      <w:r>
        <w:tab/>
        <w:t xml:space="preserve">M. Huneault and F. D. Galiana, “A survey of the optimal power flow literature,” </w:t>
      </w:r>
      <w:r>
        <w:rPr>
          <w:i/>
          <w:iCs/>
        </w:rPr>
        <w:t>IEEE Trans. Power Syst.</w:t>
      </w:r>
      <w:r>
        <w:t>, vol. 6, no. 2, pp. 762–770, May 1991, doi: 10.1109/59.76723.</w:t>
      </w:r>
    </w:p>
    <w:p w14:paraId="4F84F9BF" w14:textId="77777777" w:rsidR="003725EC" w:rsidRDefault="003725EC" w:rsidP="003725EC">
      <w:pPr>
        <w:pStyle w:val="Bibliography"/>
      </w:pPr>
      <w:r>
        <w:t>[132]</w:t>
      </w:r>
      <w:r>
        <w:tab/>
        <w:t xml:space="preserve">Xiaokang Xu, M. F. Kandlawala, and Ming Wu, “NERC TPL-001-4 transient voltage performance compliance study - criteria development, study methodology and case studies,” in </w:t>
      </w:r>
      <w:r>
        <w:rPr>
          <w:i/>
          <w:iCs/>
        </w:rPr>
        <w:t>2016 IEEE Power and Energy Society General Meeting (PESGM)</w:t>
      </w:r>
      <w:r>
        <w:t>, Boston, MA, USA: IEEE, Jul. 2016, pp. 1–5. doi: 10.1109/PESGM.2016.7741072.</w:t>
      </w:r>
    </w:p>
    <w:p w14:paraId="3B6DE576" w14:textId="77777777" w:rsidR="003725EC" w:rsidRDefault="003725EC" w:rsidP="003725EC">
      <w:pPr>
        <w:pStyle w:val="Bibliography"/>
      </w:pPr>
      <w:r>
        <w:t>[133]</w:t>
      </w:r>
      <w:r>
        <w:tab/>
        <w:t xml:space="preserve">A. Fernandez-Guillamon, A. Molina-Garcia, K. Das, and M. Altin, “Comparison of different tools for power flow analysis with high wind power integration,” in </w:t>
      </w:r>
      <w:r>
        <w:rPr>
          <w:i/>
          <w:iCs/>
        </w:rPr>
        <w:t>2019 International Conference on Clean Electrical Power (ICCEP)</w:t>
      </w:r>
      <w:r>
        <w:t>, Otranto, Italy: IEEE, Jul. 2019, pp. 82–86. doi: 10.1109/ICCEP.2019.8890163.</w:t>
      </w:r>
    </w:p>
    <w:p w14:paraId="0208A7E1" w14:textId="77777777" w:rsidR="003725EC" w:rsidRDefault="003725EC" w:rsidP="003725EC">
      <w:pPr>
        <w:pStyle w:val="Bibliography"/>
      </w:pPr>
      <w:r>
        <w:t>[134]</w:t>
      </w:r>
      <w:r>
        <w:tab/>
        <w:t xml:space="preserve">V. Geekiyanage and J. Seppänen, “Power System Stability Improvements Through Grid Forming Inverters for Systems with High Penetration of Grid Following Inverters,” in </w:t>
      </w:r>
      <w:r>
        <w:rPr>
          <w:i/>
          <w:iCs/>
        </w:rPr>
        <w:t>2024 IEEE PES Innovative Smart Grid Technologies Europe (ISGT EUROPE)</w:t>
      </w:r>
      <w:r>
        <w:t>, Dubrovnik, Croatia: IEEE, Oct. 2024, pp. 1–5. doi: 10.1109/ISGTEUROPE62998.2024.10863434.</w:t>
      </w:r>
    </w:p>
    <w:p w14:paraId="211D0535" w14:textId="77777777" w:rsidR="003725EC" w:rsidRDefault="003725EC" w:rsidP="003725EC">
      <w:pPr>
        <w:pStyle w:val="Bibliography"/>
      </w:pPr>
      <w:r>
        <w:t>[135]</w:t>
      </w:r>
      <w:r>
        <w:tab/>
        <w:t xml:space="preserve">J. S. Ali, Y. Qiblawey, A. Alassi, A. M. Massoud, S. M. Muyeen, and H. Abu-Rub, “Power System Stability With High Penetration of Renewable Energy Sources: Challenges, Assessment, and Mitigation Strategies,” </w:t>
      </w:r>
      <w:r>
        <w:rPr>
          <w:i/>
          <w:iCs/>
        </w:rPr>
        <w:t>IEEE Access</w:t>
      </w:r>
      <w:r>
        <w:t>, vol. 13, pp. 39912–39934, 2025, doi: 10.1109/ACCESS.2025.3546491.</w:t>
      </w:r>
    </w:p>
    <w:p w14:paraId="715D8B02" w14:textId="77777777" w:rsidR="003725EC" w:rsidRDefault="003725EC" w:rsidP="003725EC">
      <w:pPr>
        <w:pStyle w:val="Bibliography"/>
      </w:pPr>
      <w:r>
        <w:lastRenderedPageBreak/>
        <w:t>[136]</w:t>
      </w:r>
      <w:r>
        <w:tab/>
        <w:t>NERC, “Inverter-Based Resource Performance Issues.” [Online]. Available: https://www.nerc.com/globalassets/programs/bpsa/alerts/2023/nerc-alert-r-2023-03-14-01-level-2---inverter-based-resource-performance-issues.pdf</w:t>
      </w:r>
    </w:p>
    <w:p w14:paraId="2CAACAE2" w14:textId="77777777" w:rsidR="003725EC" w:rsidRDefault="003725EC" w:rsidP="003725EC">
      <w:pPr>
        <w:pStyle w:val="Bibliography"/>
      </w:pPr>
      <w:r>
        <w:t>[137]</w:t>
      </w:r>
      <w:r>
        <w:tab/>
        <w:t xml:space="preserve">M. S. Anindya, F. Zaro, and M. Popescu, “Power Quality Improvement Using Active Power Filters in Industrial Systems,” </w:t>
      </w:r>
      <w:r>
        <w:rPr>
          <w:i/>
          <w:iCs/>
        </w:rPr>
        <w:t>RESWARA J. Ris. Ilmu Tek.</w:t>
      </w:r>
      <w:r>
        <w:t>, vol. 3, no. 2, pp. 44–50, Apr. 2025, doi: 10.70716/reswara.v3i2.404.</w:t>
      </w:r>
    </w:p>
    <w:p w14:paraId="2F35FD05" w14:textId="77777777" w:rsidR="003725EC" w:rsidRDefault="003725EC" w:rsidP="003725EC">
      <w:pPr>
        <w:pStyle w:val="Bibliography"/>
      </w:pPr>
      <w:r>
        <w:t>[138]</w:t>
      </w:r>
      <w:r>
        <w:tab/>
        <w:t>HOMER, “Microgrid and Hybrid Power Modeling.” [Online]. Available: https://homerenergy.com/</w:t>
      </w:r>
    </w:p>
    <w:p w14:paraId="45387624" w14:textId="77777777" w:rsidR="003725EC" w:rsidRDefault="003725EC" w:rsidP="003725EC">
      <w:pPr>
        <w:pStyle w:val="Bibliography"/>
      </w:pPr>
      <w:r>
        <w:t>[139]</w:t>
      </w:r>
      <w:r>
        <w:tab/>
        <w:t xml:space="preserve">R. Rogersten, L. Vanfretti, and W. Li, “Towards consistent model exchange and simulation of VSC-HVdc controls for EMT studies,” in </w:t>
      </w:r>
      <w:r>
        <w:rPr>
          <w:i/>
          <w:iCs/>
        </w:rPr>
        <w:t>2015 IEEE Power &amp; Energy Society General Meeting</w:t>
      </w:r>
      <w:r>
        <w:t>, Denver, CO, USA: IEEE, Jul. 2015, pp. 1–5. doi: 10.1109/PESGM.2015.7285986.</w:t>
      </w:r>
    </w:p>
    <w:p w14:paraId="22192E4D" w14:textId="77777777" w:rsidR="003725EC" w:rsidRDefault="003725EC" w:rsidP="003725EC">
      <w:pPr>
        <w:pStyle w:val="Bibliography"/>
      </w:pPr>
      <w:r>
        <w:t>[140]</w:t>
      </w:r>
      <w:r>
        <w:tab/>
        <w:t xml:space="preserve">R. H. Inman, H. T. C. Pedro, and C. F. M. Coimbra, “Solar forecasting methods for renewable energy integration,” </w:t>
      </w:r>
      <w:r>
        <w:rPr>
          <w:i/>
          <w:iCs/>
        </w:rPr>
        <w:t>Prog. Energy Combust. Sci.</w:t>
      </w:r>
      <w:r>
        <w:t>, vol. 39, no. 6, pp. 535–576, Dec. 2013, doi: 10.1016/j.pecs.2013.06.002.</w:t>
      </w:r>
    </w:p>
    <w:p w14:paraId="3B12170A" w14:textId="77777777" w:rsidR="003725EC" w:rsidRDefault="003725EC" w:rsidP="003725EC">
      <w:pPr>
        <w:pStyle w:val="Bibliography"/>
      </w:pPr>
      <w:r>
        <w:t>[141]</w:t>
      </w:r>
      <w:r>
        <w:tab/>
        <w:t xml:space="preserve">U. Cali </w:t>
      </w:r>
      <w:r>
        <w:rPr>
          <w:i/>
          <w:iCs/>
        </w:rPr>
        <w:t>et al.</w:t>
      </w:r>
      <w:r>
        <w:t xml:space="preserve">, “Generative AI and LLM applications in renewable energy and smart grids: a systematic review for the sustainable energy transition,” </w:t>
      </w:r>
      <w:r>
        <w:rPr>
          <w:i/>
          <w:iCs/>
        </w:rPr>
        <w:t>Artif. Intell. Rev.</w:t>
      </w:r>
      <w:r>
        <w:t>, Apr. 2026, doi: 10.1007/s10462-026-11545-2.</w:t>
      </w:r>
    </w:p>
    <w:p w14:paraId="400AB705" w14:textId="77777777" w:rsidR="003725EC" w:rsidRDefault="003725EC" w:rsidP="003725EC">
      <w:pPr>
        <w:pStyle w:val="Bibliography"/>
      </w:pPr>
      <w:r>
        <w:t>[142]</w:t>
      </w:r>
      <w:r>
        <w:tab/>
        <w:t xml:space="preserve">N. Subramanian and A. A. Stonier, “Digital twin applications and case studies in modern power grid management,” </w:t>
      </w:r>
      <w:r>
        <w:rPr>
          <w:i/>
          <w:iCs/>
        </w:rPr>
        <w:t>Energy Rep.</w:t>
      </w:r>
      <w:r>
        <w:t>, vol. 15, p. 109218, Jun. 2026, doi: 10.1016/j.egyr.2026.109218.</w:t>
      </w:r>
    </w:p>
    <w:p w14:paraId="761C133B" w14:textId="77777777" w:rsidR="003725EC" w:rsidRDefault="003725EC" w:rsidP="003725EC">
      <w:pPr>
        <w:pStyle w:val="Bibliography"/>
      </w:pPr>
      <w:r>
        <w:t>[143]</w:t>
      </w:r>
      <w:r>
        <w:tab/>
        <w:t xml:space="preserve">H. Chen, X. Feng, Q. Chen, and R. Han, “The Application of Machine Learning in Power Grid,” in </w:t>
      </w:r>
      <w:r>
        <w:rPr>
          <w:i/>
          <w:iCs/>
        </w:rPr>
        <w:t>2024 Boao New Power System International Forum - Power System and New Energy Technology Innovation Forum (NPSIF)</w:t>
      </w:r>
      <w:r>
        <w:t>, Qionghai, China: IEEE, Dec. 2024, pp. 568–576. doi: 10.1109/NPSIF64134.2024.10883453.</w:t>
      </w:r>
    </w:p>
    <w:p w14:paraId="2E1AA529" w14:textId="77777777" w:rsidR="003725EC" w:rsidRDefault="003725EC" w:rsidP="003725EC">
      <w:pPr>
        <w:pStyle w:val="Bibliography"/>
      </w:pPr>
      <w:r>
        <w:t>[144]</w:t>
      </w:r>
      <w:r>
        <w:tab/>
        <w:t xml:space="preserve">S. Sarkar </w:t>
      </w:r>
      <w:r>
        <w:rPr>
          <w:i/>
          <w:iCs/>
        </w:rPr>
        <w:t>et al.</w:t>
      </w:r>
      <w:r>
        <w:t xml:space="preserve">, “Carbon Footprint Reduction for Sustainable Data Centers in Real-Time,” 2024, </w:t>
      </w:r>
      <w:r>
        <w:rPr>
          <w:i/>
          <w:iCs/>
        </w:rPr>
        <w:t>arXiv</w:t>
      </w:r>
      <w:r>
        <w:t>. doi: 10.48550/ARXIV.2403.14092.</w:t>
      </w:r>
    </w:p>
    <w:p w14:paraId="4F3EF0EF" w14:textId="77777777" w:rsidR="003725EC" w:rsidRDefault="003725EC" w:rsidP="003725EC">
      <w:pPr>
        <w:pStyle w:val="Bibliography"/>
      </w:pPr>
      <w:r>
        <w:t>[145]</w:t>
      </w:r>
      <w:r>
        <w:tab/>
        <w:t>EPA, “Summary of Inflation Reduction Act provisions related to renewable energy.” [Online]. Available: https://www.epa.gov/green-power-markets/summary-inflation-reduction-act-provisions-related-renewable-energy</w:t>
      </w:r>
    </w:p>
    <w:p w14:paraId="3CADCEE6" w14:textId="77777777" w:rsidR="003725EC" w:rsidRDefault="003725EC" w:rsidP="003725EC">
      <w:pPr>
        <w:pStyle w:val="Bibliography"/>
      </w:pPr>
      <w:r>
        <w:t>[146]</w:t>
      </w:r>
      <w:r>
        <w:tab/>
        <w:t xml:space="preserve">M. S. Hoosain, B. S. Paul, S. Kass, and S. Ramakrishna, “Tools Towards the Sustainability and Circularity of Data Centers,” </w:t>
      </w:r>
      <w:r>
        <w:rPr>
          <w:i/>
          <w:iCs/>
        </w:rPr>
        <w:t>Circ. Econ. Sustain.</w:t>
      </w:r>
      <w:r>
        <w:t>, vol. 3, no. 1, pp. 173–197, Mar. 2023, doi: 10.1007/s43615-022-00191-9.</w:t>
      </w:r>
    </w:p>
    <w:p w14:paraId="72E731BB" w14:textId="77777777" w:rsidR="003725EC" w:rsidRDefault="003725EC" w:rsidP="003725EC">
      <w:pPr>
        <w:pStyle w:val="Bibliography"/>
      </w:pPr>
      <w:r>
        <w:t>[147]</w:t>
      </w:r>
      <w:r>
        <w:tab/>
        <w:t xml:space="preserve">R. Kasperzak, M. Kureljusic, L. Reisch, and S. Thies, “Accounting for Carbon Emissions—Current State of Sustainability Reporting Practice under the GHG Protocol,” </w:t>
      </w:r>
      <w:r>
        <w:rPr>
          <w:i/>
          <w:iCs/>
        </w:rPr>
        <w:t>Sustainability</w:t>
      </w:r>
      <w:r>
        <w:t>, vol. 15, no. 2, p. 994, Jan. 2023, doi: 10.3390/su15020994.</w:t>
      </w:r>
    </w:p>
    <w:p w14:paraId="2A6BCD85" w14:textId="77777777" w:rsidR="003725EC" w:rsidRDefault="003725EC" w:rsidP="003725EC">
      <w:pPr>
        <w:pStyle w:val="Bibliography"/>
      </w:pPr>
      <w:r>
        <w:t>[148]</w:t>
      </w:r>
      <w:r>
        <w:tab/>
        <w:t>Arthur D. Little, “U N L O C K I N G FUSION ENERGY.” [Online]. Available: https://www.adlittle.com/sites/default/files/reports/ADL_Unlocking_fusion_energy_2025%20%281%29.pdf</w:t>
      </w:r>
    </w:p>
    <w:p w14:paraId="04B82117" w14:textId="77777777" w:rsidR="003725EC" w:rsidRDefault="003725EC" w:rsidP="003725EC">
      <w:pPr>
        <w:pStyle w:val="Bibliography"/>
      </w:pPr>
      <w:r>
        <w:t>[149]</w:t>
      </w:r>
      <w:r>
        <w:tab/>
        <w:t xml:space="preserve">F. M. A. Hadi, H. H. Aly, and T. Little, “Harmonics Forecasting of Wind and Solar Hybrid Model Based on Deep Machine Learning,” </w:t>
      </w:r>
      <w:r>
        <w:rPr>
          <w:i/>
          <w:iCs/>
        </w:rPr>
        <w:t>IEEE Access</w:t>
      </w:r>
      <w:r>
        <w:t>, vol. 11, pp. 100438–100457, 2023, doi: 10.1109/ACCESS.2023.3314742.</w:t>
      </w:r>
    </w:p>
    <w:p w14:paraId="26DA248E" w14:textId="77777777" w:rsidR="003725EC" w:rsidRDefault="003725EC" w:rsidP="003725EC">
      <w:pPr>
        <w:pStyle w:val="Bibliography"/>
      </w:pPr>
      <w:r>
        <w:t>[150]</w:t>
      </w:r>
      <w:r>
        <w:tab/>
        <w:t xml:space="preserve">G. Soyturk and O. Kizilkan, “Modeling and analysis of solid oxide fuel cell-based multigeneration system with supercritical and transcritical carbon dioxide power cycles, </w:t>
      </w:r>
      <w:r>
        <w:lastRenderedPageBreak/>
        <w:t xml:space="preserve">humidification-dehumidification system and hydrogen generation,” </w:t>
      </w:r>
      <w:r>
        <w:rPr>
          <w:i/>
          <w:iCs/>
        </w:rPr>
        <w:t>Energy Convers. Manag.</w:t>
      </w:r>
      <w:r>
        <w:t>, vol. 332, p. 119762, May 2025, doi: 10.1016/j.enconman.2025.119762.</w:t>
      </w:r>
    </w:p>
    <w:p w14:paraId="19B93414" w14:textId="77777777" w:rsidR="003725EC" w:rsidRDefault="003725EC" w:rsidP="003725EC">
      <w:pPr>
        <w:pStyle w:val="Bibliography"/>
      </w:pPr>
      <w:r>
        <w:t>[151]</w:t>
      </w:r>
      <w:r>
        <w:tab/>
        <w:t xml:space="preserve">M. I. Saleem, S. Saha, U. Izhar, and L. Ang, “Stability assessment of inverter‐based renewable energy sources integrated to weak grids,” </w:t>
      </w:r>
      <w:r>
        <w:rPr>
          <w:i/>
          <w:iCs/>
        </w:rPr>
        <w:t>IET Energy Syst. Integr.</w:t>
      </w:r>
      <w:r>
        <w:t>, vol. 6, no. 4, pp. 525–544, Dec. 2024, doi: 10.1049/esi2.12151.</w:t>
      </w:r>
    </w:p>
    <w:p w14:paraId="710FAA98" w14:textId="77777777" w:rsidR="003725EC" w:rsidRDefault="003725EC" w:rsidP="003725EC">
      <w:pPr>
        <w:pStyle w:val="Bibliography"/>
      </w:pPr>
      <w:r>
        <w:t>[152]</w:t>
      </w:r>
      <w:r>
        <w:tab/>
        <w:t>N. Institute, “Beyond FERC Order 2023: Considerations on Deep Interconnection Reform”, [Online]. Available: https://www.researchgate.net/publication/382074664_Beyond_FERC_Order_2023_Considerations_on_Deep_Interconnection_Reform</w:t>
      </w:r>
    </w:p>
    <w:p w14:paraId="0110866E" w14:textId="77777777" w:rsidR="003725EC" w:rsidRDefault="003725EC" w:rsidP="003725EC">
      <w:pPr>
        <w:pStyle w:val="Bibliography"/>
      </w:pPr>
      <w:r>
        <w:t>[153]</w:t>
      </w:r>
      <w:r>
        <w:tab/>
        <w:t xml:space="preserve">M. D. E. Gouaouri, M. Bagaa, S. Ouahouah, M. A. Ouameur, and A. Ksentini, “Enabling Power-Awareness for Kubernetes Scheduling Through Multi-Criteria Optimization,” in </w:t>
      </w:r>
      <w:r>
        <w:rPr>
          <w:i/>
          <w:iCs/>
        </w:rPr>
        <w:t>ICC 2025 - IEEE International Conference on Communications</w:t>
      </w:r>
      <w:r>
        <w:t>, Montreal, QC, Canada: IEEE, Jun. 2025, pp. 1500–1505. doi: 10.1109/ICC52391.2025.11160865.</w:t>
      </w:r>
    </w:p>
    <w:p w14:paraId="7201CB27" w14:textId="77777777" w:rsidR="003725EC" w:rsidRDefault="003725EC" w:rsidP="003725EC">
      <w:pPr>
        <w:pStyle w:val="Bibliography"/>
      </w:pPr>
      <w:r>
        <w:t>[154]</w:t>
      </w:r>
      <w:r>
        <w:tab/>
        <w:t xml:space="preserve">S. Talebi and H. H. Aly, “Optimized Renewable Energy Integration: Advanced Modeling, Control, and Design of a Standalone Microgrid Using Hybrid FA-PSO,” </w:t>
      </w:r>
      <w:r>
        <w:rPr>
          <w:i/>
          <w:iCs/>
        </w:rPr>
        <w:t>IEEE Access</w:t>
      </w:r>
      <w:r>
        <w:t>, vol. 13, pp. 63486–63503, 2025, doi: 10.1109/ACCESS.2025.3559725.</w:t>
      </w:r>
    </w:p>
    <w:p w14:paraId="49DB82EA" w14:textId="77777777" w:rsidR="003725EC" w:rsidRDefault="003725EC" w:rsidP="003725EC">
      <w:pPr>
        <w:pStyle w:val="Bibliography"/>
      </w:pPr>
      <w:r>
        <w:t>[155]</w:t>
      </w:r>
      <w:r>
        <w:tab/>
        <w:t xml:space="preserve">J. Lu, R. Xiong, J. Tian, C. Wang, and F. Sun, “Deep learning to estimate lithium-ion battery state of health without additional degradation experiments,” </w:t>
      </w:r>
      <w:r>
        <w:rPr>
          <w:i/>
          <w:iCs/>
        </w:rPr>
        <w:t>Nat. Commun.</w:t>
      </w:r>
      <w:r>
        <w:t>, vol. 14, no. 1, p. 2760, May 2023, doi: 10.1038/s41467-023-38458-w.</w:t>
      </w:r>
    </w:p>
    <w:p w14:paraId="053A3808" w14:textId="77777777" w:rsidR="003725EC" w:rsidRDefault="003725EC" w:rsidP="003725EC">
      <w:pPr>
        <w:pStyle w:val="Bibliography"/>
      </w:pPr>
      <w:r>
        <w:t>[156]</w:t>
      </w:r>
      <w:r>
        <w:tab/>
        <w:t>S. Chatterjee, “Mitigating Supply Chain Malware Risks in Operational Technology: Challenges and Solutions for the Oil and Gas Industry”.</w:t>
      </w:r>
    </w:p>
    <w:p w14:paraId="25844966" w14:textId="77777777" w:rsidR="003725EC" w:rsidRDefault="003725EC" w:rsidP="003725EC">
      <w:pPr>
        <w:pStyle w:val="Bibliography"/>
      </w:pPr>
      <w:r>
        <w:t>[157]</w:t>
      </w:r>
      <w:r>
        <w:tab/>
        <w:t xml:space="preserve">A. Dimakopoulou and K. Rantos, “Comprehensive Analysis of Maritime Cybersecurity Landscape Based on the NIST CSF v2.0,” </w:t>
      </w:r>
      <w:r>
        <w:rPr>
          <w:i/>
          <w:iCs/>
        </w:rPr>
        <w:t>J. Mar. Sci. Eng.</w:t>
      </w:r>
      <w:r>
        <w:t>, vol. 12, no. 6, p. 919, May 2024, doi: 10.3390/jmse12060919.</w:t>
      </w:r>
    </w:p>
    <w:p w14:paraId="5F009443" w14:textId="77777777" w:rsidR="003725EC" w:rsidRDefault="003725EC" w:rsidP="003725EC">
      <w:pPr>
        <w:pStyle w:val="Bibliography"/>
      </w:pPr>
      <w:r>
        <w:t>[158]</w:t>
      </w:r>
      <w:r>
        <w:tab/>
        <w:t>LAZARD, “Lazard’s Levelized Cost of Energy.” [Online]. Available: https://www.lazard.com/research-insights/levelized-cost-of-energyplus-lcoeplus/</w:t>
      </w:r>
    </w:p>
    <w:p w14:paraId="3444AFBF" w14:textId="77777777" w:rsidR="003725EC" w:rsidRDefault="003725EC" w:rsidP="003725EC">
      <w:pPr>
        <w:pStyle w:val="Bibliography"/>
      </w:pPr>
      <w:r>
        <w:t>[159]</w:t>
      </w:r>
      <w:r>
        <w:tab/>
        <w:t>Markets, “PJM Markets Support Efficiency and Resource Adequacy.” [Online]. Available: https://services.pjm.com/annualreport2025/markets/</w:t>
      </w:r>
    </w:p>
    <w:p w14:paraId="4A171152" w14:textId="77777777" w:rsidR="003725EC" w:rsidRDefault="003725EC" w:rsidP="003725EC">
      <w:pPr>
        <w:pStyle w:val="Bibliography"/>
      </w:pPr>
      <w:r>
        <w:t>[160]</w:t>
      </w:r>
      <w:r>
        <w:tab/>
        <w:t>PJM, “Markets Report.” [Online]. Available: https://www.pjm.com/-/media/DotCom/committees-groups/committees/mc/2025/20251120/20251120-item-04a---1-pjm-market-operations-report---presentation.pdf</w:t>
      </w:r>
    </w:p>
    <w:p w14:paraId="720055F2" w14:textId="77777777" w:rsidR="003725EC" w:rsidRDefault="003725EC" w:rsidP="003725EC">
      <w:pPr>
        <w:pStyle w:val="Bibliography"/>
      </w:pPr>
      <w:r>
        <w:t>[161]</w:t>
      </w:r>
      <w:r>
        <w:tab/>
        <w:t>KPMG, “What’s News in Tax Analysis that matters from Washington National Tax.” [Online]. Available: https://kpmg.com/kpmg-us/content/dam/kpmg/taxnewsflash/pdf/2026/01/tnf-wnit-energy-credits-jan-12-2026.pdf</w:t>
      </w:r>
    </w:p>
    <w:p w14:paraId="11EE18FB" w14:textId="77777777" w:rsidR="003725EC" w:rsidRDefault="003725EC" w:rsidP="003725EC">
      <w:pPr>
        <w:pStyle w:val="Bibliography"/>
      </w:pPr>
      <w:r>
        <w:t>[162]</w:t>
      </w:r>
      <w:r>
        <w:tab/>
        <w:t xml:space="preserve">G. Duppati, “Carbon pricing and revenue growth valuation risk exposure,” </w:t>
      </w:r>
      <w:r>
        <w:rPr>
          <w:i/>
          <w:iCs/>
        </w:rPr>
        <w:t>Int. Rev. Econ. Finance</w:t>
      </w:r>
      <w:r>
        <w:t>, vol. 103, p. 104442, Oct. 2025, doi: 10.1016/j.iref.2025.104442.</w:t>
      </w:r>
    </w:p>
    <w:p w14:paraId="76411698" w14:textId="77777777" w:rsidR="003725EC" w:rsidRDefault="003725EC" w:rsidP="003725EC">
      <w:pPr>
        <w:pStyle w:val="Bibliography"/>
      </w:pPr>
      <w:r>
        <w:t>[163]</w:t>
      </w:r>
      <w:r>
        <w:tab/>
        <w:t>Oxford, “Risk Structure and Financial Hedging in Nodal Electricity Markets.” [Online]. Available: https://www.oxfordenergy.org/wpcms/wp-content/uploads/2026/01/EL-61-Risk-Structure-and-Financial-Hedging.pdf</w:t>
      </w:r>
    </w:p>
    <w:p w14:paraId="3A0CB503" w14:textId="77777777" w:rsidR="003725EC" w:rsidRDefault="003725EC" w:rsidP="003725EC">
      <w:pPr>
        <w:pStyle w:val="Bibliography"/>
      </w:pPr>
      <w:r>
        <w:t>[164]</w:t>
      </w:r>
      <w:r>
        <w:tab/>
        <w:t xml:space="preserve">J. Commins and K. Irion, “Towards Planet-Proof Computing:Ten Key Elements EU Data Centre Sustainability Policy Should Take Onboard,” </w:t>
      </w:r>
      <w:r>
        <w:rPr>
          <w:i/>
          <w:iCs/>
        </w:rPr>
        <w:t>Eur. Law Blog</w:t>
      </w:r>
      <w:r>
        <w:t>, Mar. 2025, doi: 10.21428/9885764c.f93298cf.</w:t>
      </w:r>
    </w:p>
    <w:p w14:paraId="14890E3B" w14:textId="77777777" w:rsidR="003725EC" w:rsidRDefault="003725EC" w:rsidP="003725EC">
      <w:pPr>
        <w:pStyle w:val="Bibliography"/>
      </w:pPr>
      <w:r>
        <w:lastRenderedPageBreak/>
        <w:t>[165]</w:t>
      </w:r>
      <w:r>
        <w:tab/>
        <w:t xml:space="preserve">R. Eriksson, N. Modig, and K. Elkington, “Synthetic inertia versus fast frequency response: a definition,” </w:t>
      </w:r>
      <w:r>
        <w:rPr>
          <w:i/>
          <w:iCs/>
        </w:rPr>
        <w:t>IET Renew. Power Gener.</w:t>
      </w:r>
      <w:r>
        <w:t>, vol. 12, no. 5, pp. 507–514, Apr. 2018, doi: 10.1049/iet-rpg.2017.0370.</w:t>
      </w:r>
    </w:p>
    <w:p w14:paraId="68F3B49D" w14:textId="77777777" w:rsidR="003725EC" w:rsidRDefault="003725EC" w:rsidP="003725EC">
      <w:pPr>
        <w:pStyle w:val="Bibliography"/>
      </w:pPr>
      <w:r>
        <w:t>[166]</w:t>
      </w:r>
      <w:r>
        <w:tab/>
        <w:t xml:space="preserve">X. Li, Z. Zhao, X. Jiang, Y. Chen, and R. He, “A Review on AI-Driven Optimization of Data Center Energy Efficiency and Thermal Management,” </w:t>
      </w:r>
      <w:r>
        <w:rPr>
          <w:i/>
          <w:iCs/>
        </w:rPr>
        <w:t>Int. J. Appl. Sci.</w:t>
      </w:r>
      <w:r>
        <w:t>, vol. 8, no. 3, p. p108, Sep. 2025, doi: 10.30560/ijas.v8n3p108.</w:t>
      </w:r>
    </w:p>
    <w:p w14:paraId="6864DA4D" w14:textId="77777777" w:rsidR="003725EC" w:rsidRDefault="003725EC" w:rsidP="003725EC">
      <w:pPr>
        <w:pStyle w:val="Bibliography"/>
      </w:pPr>
      <w:r>
        <w:t>[167]</w:t>
      </w:r>
      <w:r>
        <w:tab/>
        <w:t xml:space="preserve">R. Abritta </w:t>
      </w:r>
      <w:r>
        <w:rPr>
          <w:i/>
          <w:iCs/>
        </w:rPr>
        <w:t>et al.</w:t>
      </w:r>
      <w:r>
        <w:t xml:space="preserve">, “Power Flow-Based Estimation of Short-Circuit Currents From Inverter-Based Resources,” </w:t>
      </w:r>
      <w:r>
        <w:rPr>
          <w:i/>
          <w:iCs/>
        </w:rPr>
        <w:t>IEEE Open Access J. Power Energy</w:t>
      </w:r>
      <w:r>
        <w:t>, vol. 13, pp. 229–239, 2026, doi: 10.1109/OAJPE.2026.3673646.</w:t>
      </w:r>
    </w:p>
    <w:p w14:paraId="0017B210" w14:textId="77777777" w:rsidR="003725EC" w:rsidRDefault="003725EC" w:rsidP="003725EC">
      <w:pPr>
        <w:pStyle w:val="Bibliography"/>
      </w:pPr>
      <w:r>
        <w:t>[168]</w:t>
      </w:r>
      <w:r>
        <w:tab/>
        <w:t>i2X, “Transmission Interconnection Roadmap.” [Online]. Available: https://www.energy.gov/sites/default/files/2024-04/i2X%20Transmission%20Interconnection%20Roadmap.pdf</w:t>
      </w:r>
    </w:p>
    <w:p w14:paraId="2816CD7B" w14:textId="77777777" w:rsidR="003725EC" w:rsidRDefault="003725EC" w:rsidP="003725EC">
      <w:pPr>
        <w:pStyle w:val="Bibliography"/>
      </w:pPr>
      <w:r>
        <w:t>[169]</w:t>
      </w:r>
      <w:r>
        <w:tab/>
        <w:t xml:space="preserve">J. Rand </w:t>
      </w:r>
      <w:r>
        <w:rPr>
          <w:i/>
          <w:iCs/>
        </w:rPr>
        <w:t>et al.</w:t>
      </w:r>
      <w:r>
        <w:t>, “Up: 2025 Edition, Characteristics of Power Plants Seeking Transmission Interconnection As of the End of 2024,” 2025, doi: 10.13140/RG.2.2.12274.67520.</w:t>
      </w:r>
    </w:p>
    <w:p w14:paraId="0DD5ADF9" w14:textId="77777777" w:rsidR="003725EC" w:rsidRDefault="003725EC" w:rsidP="003725EC">
      <w:pPr>
        <w:pStyle w:val="Bibliography"/>
      </w:pPr>
      <w:r>
        <w:t>[170]</w:t>
      </w:r>
      <w:r>
        <w:tab/>
        <w:t xml:space="preserve">UN, “ENVIRONMENTAL COST OF AI’S ENERGY USE.” </w:t>
      </w:r>
    </w:p>
    <w:p w14:paraId="597FD2BE" w14:textId="77777777" w:rsidR="003725EC" w:rsidRDefault="003725EC" w:rsidP="003725EC">
      <w:pPr>
        <w:pStyle w:val="Bibliography"/>
      </w:pPr>
      <w:r>
        <w:t>[171]</w:t>
      </w:r>
      <w:r>
        <w:tab/>
        <w:t>Alexander Heiss, Zacharias Sautner, and Zacharias Sautner, “Powering AI: How Do Data Centers Affect Renewable Energy Investment?” [Online]. Available: https://papers.ssrn.com/sol3/papers.cfm?abstract_id=6426079</w:t>
      </w:r>
    </w:p>
    <w:p w14:paraId="17C4A016" w14:textId="77777777" w:rsidR="003725EC" w:rsidRDefault="003725EC" w:rsidP="003725EC">
      <w:pPr>
        <w:pStyle w:val="Bibliography"/>
      </w:pPr>
      <w:r>
        <w:t>[172]</w:t>
      </w:r>
      <w:r>
        <w:tab/>
        <w:t>IESO, “2026 Annual Planning Outlook.” [Online]. Available: https://www.ieso.ca/-/media/Files/IESO/Document-Library/planning-forecasts/apo/2026/2026-APO-Demand-Forecast-Module.pdf</w:t>
      </w:r>
    </w:p>
    <w:p w14:paraId="6D3E3665" w14:textId="77777777" w:rsidR="003725EC" w:rsidRDefault="003725EC" w:rsidP="003725EC">
      <w:pPr>
        <w:pStyle w:val="Bibliography"/>
      </w:pPr>
      <w:r>
        <w:t>[173]</w:t>
      </w:r>
      <w:r>
        <w:tab/>
        <w:t xml:space="preserve">P. A. Vilchez Olivares and B. J. Astorga De La Cruz, “AI and Data Analytics in Sustainable Financial Reporting and ESG Disclosure: A Systematic Literature Review,” </w:t>
      </w:r>
      <w:r>
        <w:rPr>
          <w:i/>
          <w:iCs/>
        </w:rPr>
        <w:t>Sustainability</w:t>
      </w:r>
      <w:r>
        <w:t>, vol. 18, no. 11, p. 5393, May 2026, doi: 10.3390/su18115393.</w:t>
      </w:r>
    </w:p>
    <w:p w14:paraId="06B9A8B2" w14:textId="77777777" w:rsidR="003725EC" w:rsidRDefault="003725EC" w:rsidP="003725EC">
      <w:pPr>
        <w:pStyle w:val="Bibliography"/>
      </w:pPr>
      <w:r>
        <w:t>[174]</w:t>
      </w:r>
      <w:r>
        <w:tab/>
        <w:t xml:space="preserve">C. D. Schuman, S. R. Kulkarni, M. Parsa, J. P. Mitchell, P. Date, and B. Kay, “Opportunities for neuromorphic computing algorithms and applications,” </w:t>
      </w:r>
      <w:r>
        <w:rPr>
          <w:i/>
          <w:iCs/>
        </w:rPr>
        <w:t>Nat. Comput. Sci.</w:t>
      </w:r>
      <w:r>
        <w:t>, vol. 2, no. 1, pp. 10–19, Jan. 2022, doi: 10.1038/s43588-021-00184-y.</w:t>
      </w:r>
    </w:p>
    <w:p w14:paraId="1B896CA3" w14:textId="77777777" w:rsidR="003725EC" w:rsidRDefault="003725EC" w:rsidP="003725EC">
      <w:pPr>
        <w:pStyle w:val="Bibliography"/>
      </w:pPr>
      <w:r>
        <w:t>[175]</w:t>
      </w:r>
      <w:r>
        <w:tab/>
        <w:t>T.-C. Hsueh, “Panel-Scale Reconfigurable Photonic Interconnects for Scalable AI Computation”.</w:t>
      </w:r>
    </w:p>
    <w:p w14:paraId="021976FF" w14:textId="77777777" w:rsidR="003725EC" w:rsidRDefault="003725EC" w:rsidP="003725EC">
      <w:pPr>
        <w:pStyle w:val="Bibliography"/>
      </w:pPr>
      <w:r>
        <w:t>[176]</w:t>
      </w:r>
      <w:r>
        <w:tab/>
        <w:t xml:space="preserve">Y. Ding, Z. P. Cano, A. Yu, J. Lu, and Z. Chen, “Automotive Li-Ion Batteries: Current Status and Future Perspectives,” </w:t>
      </w:r>
      <w:r>
        <w:rPr>
          <w:i/>
          <w:iCs/>
        </w:rPr>
        <w:t>Electrochem. Energy Rev.</w:t>
      </w:r>
      <w:r>
        <w:t>, vol. 2, no. 1, pp. 1–28, Mar. 2019, doi: 10.1007/s41918-018-0022-z.</w:t>
      </w:r>
    </w:p>
    <w:p w14:paraId="25F6B695" w14:textId="77777777" w:rsidR="003725EC" w:rsidRDefault="003725EC" w:rsidP="003725EC">
      <w:pPr>
        <w:pStyle w:val="Bibliography"/>
      </w:pPr>
      <w:r>
        <w:t>[177]</w:t>
      </w:r>
      <w:r>
        <w:tab/>
        <w:t xml:space="preserve">A. Kushwaha, K. Ravish, P. Lamba, and P. Kumar, “A Survey of Safe Reinforcement Learning and Constrained MDPs: A Technical Survey on Single-Agent and Multi-Agent Safety,” Apr. 29, 2026, </w:t>
      </w:r>
      <w:r>
        <w:rPr>
          <w:i/>
          <w:iCs/>
        </w:rPr>
        <w:t>arXiv</w:t>
      </w:r>
      <w:r>
        <w:t>: arXiv:2505.17342. doi: 10.48550/arXiv.2505.17342.</w:t>
      </w:r>
    </w:p>
    <w:p w14:paraId="04C7307A" w14:textId="77777777" w:rsidR="003725EC" w:rsidRDefault="003725EC" w:rsidP="003725EC">
      <w:pPr>
        <w:pStyle w:val="Bibliography"/>
      </w:pPr>
      <w:r>
        <w:t>[178]</w:t>
      </w:r>
      <w:r>
        <w:tab/>
        <w:t xml:space="preserve">H. Nikafshan Rad, A. Ghasemi, and M. Marefati, “Cost and environmental analysis and optimization of a new and green three-level waste heat recovery-based cogeneration cycle: A comparative study,” </w:t>
      </w:r>
      <w:r>
        <w:rPr>
          <w:i/>
          <w:iCs/>
        </w:rPr>
        <w:t>Heliyon</w:t>
      </w:r>
      <w:r>
        <w:t>, vol. 10, no. 7, p. e29087, Apr. 2024, doi: 10.1016/j.heliyon.2024.e29087.</w:t>
      </w:r>
    </w:p>
    <w:p w14:paraId="2B2213DA" w14:textId="62DD7976" w:rsidR="00FE013C" w:rsidRDefault="00BB50D5" w:rsidP="004C16FF">
      <w:pPr>
        <w:pStyle w:val="Bibliography"/>
        <w:rPr>
          <w:color w:val="auto"/>
        </w:rPr>
      </w:pPr>
      <w:r>
        <w:rPr>
          <w:color w:val="auto"/>
        </w:rPr>
        <w:fldChar w:fldCharType="end"/>
      </w:r>
    </w:p>
    <w:sectPr w:rsidR="00FE013C" w:rsidSect="005F08CE">
      <w:headerReference w:type="even" r:id="rId26"/>
      <w:headerReference w:type="default" r:id="rId27"/>
      <w:footerReference w:type="default" r:id="rId28"/>
      <w:pgSz w:w="11906" w:h="16838" w:code="9"/>
      <w:pgMar w:top="737" w:right="1077" w:bottom="1077" w:left="1077" w:header="1021" w:footer="851" w:gutter="0"/>
      <w:pgNumType w:start="1"/>
      <w:cols w:space="425"/>
      <w:titlePg/>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Mahmoud Kiasari" w:date="2026-09-02T14:46:00Z" w:initials="MK">
    <w:p w14:paraId="7AC6AF20" w14:textId="77777777" w:rsidR="003B1F8C" w:rsidRDefault="003B1F8C" w:rsidP="003B1F8C">
      <w:pPr>
        <w:pStyle w:val="CommentText"/>
      </w:pPr>
      <w:r>
        <w:rPr>
          <w:rStyle w:val="CommentReference"/>
        </w:rPr>
        <w:annotationRef/>
      </w:r>
      <w:r>
        <w:t xml:space="preserve">Fix this </w:t>
      </w:r>
    </w:p>
  </w:comment>
  <w:comment w:id="21" w:author="Mahmoud Kiasari" w:date="2026-09-02T10:20:00Z" w:initials="MK">
    <w:p w14:paraId="2A44FF1E" w14:textId="77777777" w:rsidR="003F4BBF" w:rsidRDefault="003F4BBF" w:rsidP="00ED6944">
      <w:pPr>
        <w:pStyle w:val="CommentText"/>
      </w:pPr>
      <w:r>
        <w:rPr>
          <w:rStyle w:val="CommentReference"/>
        </w:rPr>
        <w:annotationRef/>
      </w:r>
      <w:r>
        <w:t>Fix the sourcing</w:t>
      </w:r>
    </w:p>
  </w:comment>
  <w:comment w:id="26" w:author="Mahmoud Kiasari" w:date="2026-09-02T10:25:00Z" w:initials="MK">
    <w:p w14:paraId="05A82F19" w14:textId="77777777" w:rsidR="002651BD" w:rsidRDefault="002651BD" w:rsidP="002651BD">
      <w:pPr>
        <w:pStyle w:val="CommentText"/>
      </w:pPr>
      <w:r>
        <w:rPr>
          <w:rStyle w:val="CommentReference"/>
        </w:rPr>
        <w:annotationRef/>
      </w:r>
      <w:r>
        <w:t>Work on sourcing</w:t>
      </w:r>
    </w:p>
  </w:comment>
  <w:comment w:id="30" w:author="Mahmoud Kiasari" w:date="2026-09-02T15:11:00Z" w:initials="MK">
    <w:p w14:paraId="3881FB2B" w14:textId="77777777" w:rsidR="00D14A4D" w:rsidRDefault="00D14A4D" w:rsidP="00D14A4D">
      <w:pPr>
        <w:pStyle w:val="CommentText"/>
      </w:pPr>
      <w:r>
        <w:rPr>
          <w:rStyle w:val="CommentReference"/>
        </w:rPr>
        <w:annotationRef/>
      </w:r>
      <w:r>
        <w:t xml:space="preserve">Fix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C6AF20" w15:done="0"/>
  <w15:commentEx w15:paraId="2A44FF1E" w15:done="0"/>
  <w15:commentEx w15:paraId="05A82F19" w15:done="0"/>
  <w15:commentEx w15:paraId="3881FB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359CD9" w16cex:dateUtc="2026-09-02T17:46:00Z"/>
  <w16cex:commentExtensible w16cex:durableId="26904B41" w16cex:dateUtc="2026-09-02T13:20:00Z"/>
  <w16cex:commentExtensible w16cex:durableId="6E008B95" w16cex:dateUtc="2026-09-02T13:25:00Z"/>
  <w16cex:commentExtensible w16cex:durableId="6081AFEF" w16cex:dateUtc="2026-09-02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C6AF20" w16cid:durableId="54359CD9"/>
  <w16cid:commentId w16cid:paraId="2A44FF1E" w16cid:durableId="26904B41"/>
  <w16cid:commentId w16cid:paraId="05A82F19" w16cid:durableId="6E008B95"/>
  <w16cid:commentId w16cid:paraId="3881FB2B" w16cid:durableId="6081AF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B23B" w14:textId="77777777" w:rsidR="004260E8" w:rsidRDefault="004260E8">
      <w:r>
        <w:separator/>
      </w:r>
    </w:p>
  </w:endnote>
  <w:endnote w:type="continuationSeparator" w:id="0">
    <w:p w14:paraId="3E8A2524" w14:textId="77777777" w:rsidR="004260E8" w:rsidRDefault="00426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899F" w14:textId="77777777" w:rsidR="0062701F" w:rsidRDefault="0062701F">
    <w:pPr>
      <w:pStyle w:val="Footer"/>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D9709" w14:textId="77777777" w:rsidR="004260E8" w:rsidRDefault="004260E8">
      <w:r>
        <w:separator/>
      </w:r>
    </w:p>
  </w:footnote>
  <w:footnote w:type="continuationSeparator" w:id="0">
    <w:p w14:paraId="341AD8BD" w14:textId="77777777" w:rsidR="004260E8" w:rsidRDefault="00426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28D4" w14:textId="77777777" w:rsidR="0062701F" w:rsidRDefault="0062701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B8C13" w14:textId="5F97BB5F" w:rsidR="0062701F" w:rsidRDefault="009F7E9F" w:rsidP="009F7E9F">
    <w:pPr>
      <w:tabs>
        <w:tab w:val="left" w:pos="1618"/>
      </w:tabs>
      <w:adjustRightInd w:val="0"/>
      <w:snapToGrid w:val="0"/>
      <w:rPr>
        <w:rFonts w:ascii="Palatino Linotype" w:hAnsi="Palatino Linotype"/>
        <w:sz w:val="16"/>
      </w:rPr>
    </w:pPr>
    <w:r>
      <w:rPr>
        <w:rFonts w:ascii="Palatino Linotype" w:hAnsi="Palatino Linotype"/>
        <w:sz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480D34"/>
    <w:lvl w:ilvl="0" w:tplc="CDCEE7DA">
      <w:start w:val="1"/>
      <w:numFmt w:val="decimal"/>
      <w:pStyle w:val="SSPWT37itemize"/>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 w15:restartNumberingAfterBreak="0">
    <w:nsid w:val="00000002"/>
    <w:multiLevelType w:val="hybridMultilevel"/>
    <w:tmpl w:val="534CEB7C"/>
    <w:lvl w:ilvl="0" w:tplc="7B0628CE">
      <w:start w:val="1"/>
      <w:numFmt w:val="bullet"/>
      <w:pStyle w:val="SSPWT38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 w15:restartNumberingAfterBreak="0">
    <w:nsid w:val="02AB1C17"/>
    <w:multiLevelType w:val="multilevel"/>
    <w:tmpl w:val="9FB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F2BF0"/>
    <w:multiLevelType w:val="hybridMultilevel"/>
    <w:tmpl w:val="8B9E921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4" w15:restartNumberingAfterBreak="0">
    <w:nsid w:val="081C3FA3"/>
    <w:multiLevelType w:val="multilevel"/>
    <w:tmpl w:val="254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F4AF9"/>
    <w:multiLevelType w:val="multilevel"/>
    <w:tmpl w:val="D0B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116A1"/>
    <w:multiLevelType w:val="hybridMultilevel"/>
    <w:tmpl w:val="CB783520"/>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7" w15:restartNumberingAfterBreak="0">
    <w:nsid w:val="0F061AD4"/>
    <w:multiLevelType w:val="multilevel"/>
    <w:tmpl w:val="D7BE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12D7"/>
    <w:multiLevelType w:val="hybridMultilevel"/>
    <w:tmpl w:val="B87ABE04"/>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9" w15:restartNumberingAfterBreak="0">
    <w:nsid w:val="1A335F44"/>
    <w:multiLevelType w:val="hybridMultilevel"/>
    <w:tmpl w:val="EF9498B4"/>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0" w15:restartNumberingAfterBreak="0">
    <w:nsid w:val="1E0A2360"/>
    <w:multiLevelType w:val="hybridMultilevel"/>
    <w:tmpl w:val="855481C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11" w15:restartNumberingAfterBreak="0">
    <w:nsid w:val="2024308A"/>
    <w:multiLevelType w:val="hybridMultilevel"/>
    <w:tmpl w:val="99B89C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41B691C"/>
    <w:multiLevelType w:val="multilevel"/>
    <w:tmpl w:val="452C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14F39"/>
    <w:multiLevelType w:val="multilevel"/>
    <w:tmpl w:val="E2B49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35B6B"/>
    <w:multiLevelType w:val="hybridMultilevel"/>
    <w:tmpl w:val="67848F10"/>
    <w:lvl w:ilvl="0" w:tplc="0409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5" w15:restartNumberingAfterBreak="0">
    <w:nsid w:val="2AA6681E"/>
    <w:multiLevelType w:val="hybridMultilevel"/>
    <w:tmpl w:val="4844E8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4C23A63"/>
    <w:multiLevelType w:val="hybridMultilevel"/>
    <w:tmpl w:val="436C04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0A7E18"/>
    <w:multiLevelType w:val="multilevel"/>
    <w:tmpl w:val="7D32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B66C4"/>
    <w:multiLevelType w:val="multilevel"/>
    <w:tmpl w:val="6326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C6439"/>
    <w:multiLevelType w:val="multilevel"/>
    <w:tmpl w:val="68B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06F8F"/>
    <w:multiLevelType w:val="hybridMultilevel"/>
    <w:tmpl w:val="0E3680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D2A7972"/>
    <w:multiLevelType w:val="hybridMultilevel"/>
    <w:tmpl w:val="D53E4CE0"/>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2" w15:restartNumberingAfterBreak="0">
    <w:nsid w:val="4EA00B82"/>
    <w:multiLevelType w:val="multilevel"/>
    <w:tmpl w:val="F784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1D3049"/>
    <w:multiLevelType w:val="multilevel"/>
    <w:tmpl w:val="2662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EC5ECC"/>
    <w:multiLevelType w:val="hybridMultilevel"/>
    <w:tmpl w:val="288CD0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5" w15:restartNumberingAfterBreak="0">
    <w:nsid w:val="5C6C750E"/>
    <w:multiLevelType w:val="multilevel"/>
    <w:tmpl w:val="E5FE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E0C1D"/>
    <w:multiLevelType w:val="hybridMultilevel"/>
    <w:tmpl w:val="822688DE"/>
    <w:lvl w:ilvl="0" w:tplc="BE822BE0">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7" w15:restartNumberingAfterBreak="0">
    <w:nsid w:val="65623064"/>
    <w:multiLevelType w:val="hybridMultilevel"/>
    <w:tmpl w:val="45449C28"/>
    <w:lvl w:ilvl="0" w:tplc="10090001">
      <w:start w:val="1"/>
      <w:numFmt w:val="bullet"/>
      <w:lvlText w:val=""/>
      <w:lvlJc w:val="left"/>
      <w:pPr>
        <w:ind w:left="1200" w:hanging="360"/>
      </w:pPr>
      <w:rPr>
        <w:rFonts w:ascii="Symbol" w:hAnsi="Symbol" w:hint="default"/>
      </w:rPr>
    </w:lvl>
    <w:lvl w:ilvl="1" w:tplc="10090003" w:tentative="1">
      <w:start w:val="1"/>
      <w:numFmt w:val="bullet"/>
      <w:lvlText w:val="o"/>
      <w:lvlJc w:val="left"/>
      <w:pPr>
        <w:ind w:left="1920" w:hanging="360"/>
      </w:pPr>
      <w:rPr>
        <w:rFonts w:ascii="Courier New" w:hAnsi="Courier New" w:cs="Courier New" w:hint="default"/>
      </w:rPr>
    </w:lvl>
    <w:lvl w:ilvl="2" w:tplc="10090005" w:tentative="1">
      <w:start w:val="1"/>
      <w:numFmt w:val="bullet"/>
      <w:lvlText w:val=""/>
      <w:lvlJc w:val="left"/>
      <w:pPr>
        <w:ind w:left="2640" w:hanging="360"/>
      </w:pPr>
      <w:rPr>
        <w:rFonts w:ascii="Wingdings" w:hAnsi="Wingdings" w:hint="default"/>
      </w:rPr>
    </w:lvl>
    <w:lvl w:ilvl="3" w:tplc="10090001" w:tentative="1">
      <w:start w:val="1"/>
      <w:numFmt w:val="bullet"/>
      <w:lvlText w:val=""/>
      <w:lvlJc w:val="left"/>
      <w:pPr>
        <w:ind w:left="3360" w:hanging="360"/>
      </w:pPr>
      <w:rPr>
        <w:rFonts w:ascii="Symbol" w:hAnsi="Symbol" w:hint="default"/>
      </w:rPr>
    </w:lvl>
    <w:lvl w:ilvl="4" w:tplc="10090003" w:tentative="1">
      <w:start w:val="1"/>
      <w:numFmt w:val="bullet"/>
      <w:lvlText w:val="o"/>
      <w:lvlJc w:val="left"/>
      <w:pPr>
        <w:ind w:left="4080" w:hanging="360"/>
      </w:pPr>
      <w:rPr>
        <w:rFonts w:ascii="Courier New" w:hAnsi="Courier New" w:cs="Courier New" w:hint="default"/>
      </w:rPr>
    </w:lvl>
    <w:lvl w:ilvl="5" w:tplc="10090005" w:tentative="1">
      <w:start w:val="1"/>
      <w:numFmt w:val="bullet"/>
      <w:lvlText w:val=""/>
      <w:lvlJc w:val="left"/>
      <w:pPr>
        <w:ind w:left="4800" w:hanging="360"/>
      </w:pPr>
      <w:rPr>
        <w:rFonts w:ascii="Wingdings" w:hAnsi="Wingdings" w:hint="default"/>
      </w:rPr>
    </w:lvl>
    <w:lvl w:ilvl="6" w:tplc="10090001" w:tentative="1">
      <w:start w:val="1"/>
      <w:numFmt w:val="bullet"/>
      <w:lvlText w:val=""/>
      <w:lvlJc w:val="left"/>
      <w:pPr>
        <w:ind w:left="5520" w:hanging="360"/>
      </w:pPr>
      <w:rPr>
        <w:rFonts w:ascii="Symbol" w:hAnsi="Symbol" w:hint="default"/>
      </w:rPr>
    </w:lvl>
    <w:lvl w:ilvl="7" w:tplc="10090003" w:tentative="1">
      <w:start w:val="1"/>
      <w:numFmt w:val="bullet"/>
      <w:lvlText w:val="o"/>
      <w:lvlJc w:val="left"/>
      <w:pPr>
        <w:ind w:left="6240" w:hanging="360"/>
      </w:pPr>
      <w:rPr>
        <w:rFonts w:ascii="Courier New" w:hAnsi="Courier New" w:cs="Courier New" w:hint="default"/>
      </w:rPr>
    </w:lvl>
    <w:lvl w:ilvl="8" w:tplc="10090005" w:tentative="1">
      <w:start w:val="1"/>
      <w:numFmt w:val="bullet"/>
      <w:lvlText w:val=""/>
      <w:lvlJc w:val="left"/>
      <w:pPr>
        <w:ind w:left="6960" w:hanging="360"/>
      </w:pPr>
      <w:rPr>
        <w:rFonts w:ascii="Wingdings" w:hAnsi="Wingdings" w:hint="default"/>
      </w:rPr>
    </w:lvl>
  </w:abstractNum>
  <w:abstractNum w:abstractNumId="28" w15:restartNumberingAfterBreak="0">
    <w:nsid w:val="68BE1E6A"/>
    <w:multiLevelType w:val="multilevel"/>
    <w:tmpl w:val="F63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665A2"/>
    <w:multiLevelType w:val="hybridMultilevel"/>
    <w:tmpl w:val="702CB71E"/>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30" w15:restartNumberingAfterBreak="0">
    <w:nsid w:val="762E1342"/>
    <w:multiLevelType w:val="hybridMultilevel"/>
    <w:tmpl w:val="04B0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97AE3"/>
    <w:multiLevelType w:val="hybridMultilevel"/>
    <w:tmpl w:val="458C8F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AE74939"/>
    <w:multiLevelType w:val="hybridMultilevel"/>
    <w:tmpl w:val="C3402338"/>
    <w:lvl w:ilvl="0" w:tplc="71D0B74A">
      <w:start w:val="1"/>
      <w:numFmt w:val="decimal"/>
      <w:pStyle w:val="References"/>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BA4130E"/>
    <w:multiLevelType w:val="hybridMultilevel"/>
    <w:tmpl w:val="877C33F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34" w15:restartNumberingAfterBreak="0">
    <w:nsid w:val="7D1A301E"/>
    <w:multiLevelType w:val="multilevel"/>
    <w:tmpl w:val="3452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8929D2"/>
    <w:multiLevelType w:val="hybridMultilevel"/>
    <w:tmpl w:val="212868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6089424">
    <w:abstractNumId w:val="0"/>
  </w:num>
  <w:num w:numId="2" w16cid:durableId="1612470030">
    <w:abstractNumId w:val="1"/>
  </w:num>
  <w:num w:numId="3" w16cid:durableId="241839649">
    <w:abstractNumId w:val="32"/>
  </w:num>
  <w:num w:numId="4" w16cid:durableId="1280408060">
    <w:abstractNumId w:val="34"/>
  </w:num>
  <w:num w:numId="5" w16cid:durableId="451441336">
    <w:abstractNumId w:val="20"/>
  </w:num>
  <w:num w:numId="6" w16cid:durableId="2038002810">
    <w:abstractNumId w:val="15"/>
  </w:num>
  <w:num w:numId="7" w16cid:durableId="618532243">
    <w:abstractNumId w:val="3"/>
  </w:num>
  <w:num w:numId="8" w16cid:durableId="45876077">
    <w:abstractNumId w:val="19"/>
  </w:num>
  <w:num w:numId="9" w16cid:durableId="1102922736">
    <w:abstractNumId w:val="13"/>
  </w:num>
  <w:num w:numId="10" w16cid:durableId="473761911">
    <w:abstractNumId w:val="31"/>
  </w:num>
  <w:num w:numId="11" w16cid:durableId="661275805">
    <w:abstractNumId w:val="35"/>
  </w:num>
  <w:num w:numId="12" w16cid:durableId="1540119753">
    <w:abstractNumId w:val="17"/>
  </w:num>
  <w:num w:numId="13" w16cid:durableId="881593489">
    <w:abstractNumId w:val="5"/>
  </w:num>
  <w:num w:numId="14" w16cid:durableId="204802956">
    <w:abstractNumId w:val="11"/>
  </w:num>
  <w:num w:numId="15" w16cid:durableId="2062554760">
    <w:abstractNumId w:val="25"/>
  </w:num>
  <w:num w:numId="16" w16cid:durableId="1269310907">
    <w:abstractNumId w:val="7"/>
  </w:num>
  <w:num w:numId="17" w16cid:durableId="357046737">
    <w:abstractNumId w:val="18"/>
  </w:num>
  <w:num w:numId="18" w16cid:durableId="565454282">
    <w:abstractNumId w:val="12"/>
  </w:num>
  <w:num w:numId="19" w16cid:durableId="1621452831">
    <w:abstractNumId w:val="28"/>
  </w:num>
  <w:num w:numId="20" w16cid:durableId="1132864569">
    <w:abstractNumId w:val="24"/>
  </w:num>
  <w:num w:numId="21" w16cid:durableId="1252196837">
    <w:abstractNumId w:val="29"/>
  </w:num>
  <w:num w:numId="22" w16cid:durableId="1693648589">
    <w:abstractNumId w:val="9"/>
  </w:num>
  <w:num w:numId="23" w16cid:durableId="1266109321">
    <w:abstractNumId w:val="10"/>
  </w:num>
  <w:num w:numId="24" w16cid:durableId="595477789">
    <w:abstractNumId w:val="16"/>
  </w:num>
  <w:num w:numId="25" w16cid:durableId="1410956718">
    <w:abstractNumId w:val="23"/>
  </w:num>
  <w:num w:numId="26" w16cid:durableId="219481690">
    <w:abstractNumId w:val="21"/>
  </w:num>
  <w:num w:numId="27" w16cid:durableId="1250508567">
    <w:abstractNumId w:val="4"/>
  </w:num>
  <w:num w:numId="28" w16cid:durableId="542522718">
    <w:abstractNumId w:val="2"/>
  </w:num>
  <w:num w:numId="29" w16cid:durableId="1024863523">
    <w:abstractNumId w:val="22"/>
  </w:num>
  <w:num w:numId="30" w16cid:durableId="1975063929">
    <w:abstractNumId w:val="33"/>
  </w:num>
  <w:num w:numId="31" w16cid:durableId="1574699440">
    <w:abstractNumId w:val="30"/>
  </w:num>
  <w:num w:numId="32" w16cid:durableId="622614270">
    <w:abstractNumId w:val="8"/>
  </w:num>
  <w:num w:numId="33" w16cid:durableId="4670812">
    <w:abstractNumId w:val="6"/>
  </w:num>
  <w:num w:numId="34" w16cid:durableId="313948003">
    <w:abstractNumId w:val="26"/>
  </w:num>
  <w:num w:numId="35" w16cid:durableId="1625500555">
    <w:abstractNumId w:val="14"/>
  </w:num>
  <w:num w:numId="36" w16cid:durableId="349842013">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moud Kiasari">
    <w15:presenceInfo w15:providerId="AD" w15:userId="S::mahmoud.kiasari@ieso-ns.ca::db4cb4bc-9b9c-4269-8a87-4d9048f5b8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1F"/>
    <w:rsid w:val="00000154"/>
    <w:rsid w:val="00000CC0"/>
    <w:rsid w:val="000028D9"/>
    <w:rsid w:val="00004098"/>
    <w:rsid w:val="00004DA8"/>
    <w:rsid w:val="0000519F"/>
    <w:rsid w:val="000124EB"/>
    <w:rsid w:val="00013085"/>
    <w:rsid w:val="00017769"/>
    <w:rsid w:val="00021807"/>
    <w:rsid w:val="00021D4C"/>
    <w:rsid w:val="00022D60"/>
    <w:rsid w:val="00022E66"/>
    <w:rsid w:val="0002304C"/>
    <w:rsid w:val="00023B78"/>
    <w:rsid w:val="000256A6"/>
    <w:rsid w:val="00030122"/>
    <w:rsid w:val="000321B5"/>
    <w:rsid w:val="0003524E"/>
    <w:rsid w:val="00035D77"/>
    <w:rsid w:val="00037346"/>
    <w:rsid w:val="00040480"/>
    <w:rsid w:val="000408F5"/>
    <w:rsid w:val="00044955"/>
    <w:rsid w:val="00044C5D"/>
    <w:rsid w:val="00044E2C"/>
    <w:rsid w:val="00045CF2"/>
    <w:rsid w:val="000465AA"/>
    <w:rsid w:val="00050446"/>
    <w:rsid w:val="0005469C"/>
    <w:rsid w:val="00057870"/>
    <w:rsid w:val="000604AD"/>
    <w:rsid w:val="000642A3"/>
    <w:rsid w:val="00064826"/>
    <w:rsid w:val="000658F5"/>
    <w:rsid w:val="000665E7"/>
    <w:rsid w:val="00070841"/>
    <w:rsid w:val="000717F7"/>
    <w:rsid w:val="000720CF"/>
    <w:rsid w:val="00072A8F"/>
    <w:rsid w:val="00073208"/>
    <w:rsid w:val="00074D1F"/>
    <w:rsid w:val="0007532D"/>
    <w:rsid w:val="00075A12"/>
    <w:rsid w:val="00080FE2"/>
    <w:rsid w:val="000812E0"/>
    <w:rsid w:val="000817F5"/>
    <w:rsid w:val="00081E76"/>
    <w:rsid w:val="00083E64"/>
    <w:rsid w:val="0008622D"/>
    <w:rsid w:val="0008678B"/>
    <w:rsid w:val="00091FCA"/>
    <w:rsid w:val="000954D9"/>
    <w:rsid w:val="00095528"/>
    <w:rsid w:val="00095712"/>
    <w:rsid w:val="00095C48"/>
    <w:rsid w:val="00095E8E"/>
    <w:rsid w:val="00095F7E"/>
    <w:rsid w:val="000973F7"/>
    <w:rsid w:val="000A408E"/>
    <w:rsid w:val="000A5126"/>
    <w:rsid w:val="000B0F03"/>
    <w:rsid w:val="000B39AB"/>
    <w:rsid w:val="000B7B56"/>
    <w:rsid w:val="000B7BFE"/>
    <w:rsid w:val="000C0242"/>
    <w:rsid w:val="000C0A5A"/>
    <w:rsid w:val="000C1B14"/>
    <w:rsid w:val="000C26DB"/>
    <w:rsid w:val="000C2F0C"/>
    <w:rsid w:val="000C3F0F"/>
    <w:rsid w:val="000C716D"/>
    <w:rsid w:val="000D010A"/>
    <w:rsid w:val="000D0D3F"/>
    <w:rsid w:val="000D42C3"/>
    <w:rsid w:val="000D6850"/>
    <w:rsid w:val="000E0127"/>
    <w:rsid w:val="000E3C80"/>
    <w:rsid w:val="000E4885"/>
    <w:rsid w:val="000E64DD"/>
    <w:rsid w:val="000E671A"/>
    <w:rsid w:val="000E77FA"/>
    <w:rsid w:val="000E7A56"/>
    <w:rsid w:val="000F03FB"/>
    <w:rsid w:val="000F2608"/>
    <w:rsid w:val="000F2A4A"/>
    <w:rsid w:val="000F592A"/>
    <w:rsid w:val="000F6695"/>
    <w:rsid w:val="00100329"/>
    <w:rsid w:val="001020EF"/>
    <w:rsid w:val="0010384E"/>
    <w:rsid w:val="00103F18"/>
    <w:rsid w:val="00104D7D"/>
    <w:rsid w:val="00106427"/>
    <w:rsid w:val="001109A6"/>
    <w:rsid w:val="00110E0F"/>
    <w:rsid w:val="0011396C"/>
    <w:rsid w:val="00114F15"/>
    <w:rsid w:val="001161F2"/>
    <w:rsid w:val="00116D36"/>
    <w:rsid w:val="001170F1"/>
    <w:rsid w:val="00120D26"/>
    <w:rsid w:val="00120E08"/>
    <w:rsid w:val="00131821"/>
    <w:rsid w:val="001329E8"/>
    <w:rsid w:val="00132B05"/>
    <w:rsid w:val="00134CA9"/>
    <w:rsid w:val="00137E95"/>
    <w:rsid w:val="0014185D"/>
    <w:rsid w:val="00141971"/>
    <w:rsid w:val="00142460"/>
    <w:rsid w:val="0014319A"/>
    <w:rsid w:val="00145C6F"/>
    <w:rsid w:val="0014625D"/>
    <w:rsid w:val="00147ED5"/>
    <w:rsid w:val="001530DD"/>
    <w:rsid w:val="00157584"/>
    <w:rsid w:val="0016087D"/>
    <w:rsid w:val="001617BE"/>
    <w:rsid w:val="00161993"/>
    <w:rsid w:val="001623F2"/>
    <w:rsid w:val="00163578"/>
    <w:rsid w:val="00166084"/>
    <w:rsid w:val="00166ED5"/>
    <w:rsid w:val="0017147F"/>
    <w:rsid w:val="001718D7"/>
    <w:rsid w:val="00171B72"/>
    <w:rsid w:val="00172115"/>
    <w:rsid w:val="0017345A"/>
    <w:rsid w:val="00173D97"/>
    <w:rsid w:val="0017518F"/>
    <w:rsid w:val="001751D4"/>
    <w:rsid w:val="001752D4"/>
    <w:rsid w:val="0017635A"/>
    <w:rsid w:val="0017669A"/>
    <w:rsid w:val="001772C5"/>
    <w:rsid w:val="00177B3A"/>
    <w:rsid w:val="00180502"/>
    <w:rsid w:val="00180833"/>
    <w:rsid w:val="0018348D"/>
    <w:rsid w:val="001850C1"/>
    <w:rsid w:val="00185466"/>
    <w:rsid w:val="00187143"/>
    <w:rsid w:val="0019198D"/>
    <w:rsid w:val="00191A56"/>
    <w:rsid w:val="00194936"/>
    <w:rsid w:val="0019592A"/>
    <w:rsid w:val="00195B91"/>
    <w:rsid w:val="00196D1B"/>
    <w:rsid w:val="001A3F06"/>
    <w:rsid w:val="001A427F"/>
    <w:rsid w:val="001A5343"/>
    <w:rsid w:val="001A6DB0"/>
    <w:rsid w:val="001A7127"/>
    <w:rsid w:val="001B2995"/>
    <w:rsid w:val="001B2A37"/>
    <w:rsid w:val="001B3304"/>
    <w:rsid w:val="001B3BFE"/>
    <w:rsid w:val="001B5CFD"/>
    <w:rsid w:val="001B70F9"/>
    <w:rsid w:val="001B74A6"/>
    <w:rsid w:val="001B7512"/>
    <w:rsid w:val="001B7822"/>
    <w:rsid w:val="001C0F6D"/>
    <w:rsid w:val="001C11F5"/>
    <w:rsid w:val="001C1DB8"/>
    <w:rsid w:val="001C2BF8"/>
    <w:rsid w:val="001C37FA"/>
    <w:rsid w:val="001C3837"/>
    <w:rsid w:val="001D0BAC"/>
    <w:rsid w:val="001D1223"/>
    <w:rsid w:val="001D13F4"/>
    <w:rsid w:val="001D1403"/>
    <w:rsid w:val="001D5471"/>
    <w:rsid w:val="001E0758"/>
    <w:rsid w:val="001E09C3"/>
    <w:rsid w:val="001E0AAE"/>
    <w:rsid w:val="001E162E"/>
    <w:rsid w:val="001E2527"/>
    <w:rsid w:val="001E32DD"/>
    <w:rsid w:val="001F01F2"/>
    <w:rsid w:val="001F0361"/>
    <w:rsid w:val="001F3982"/>
    <w:rsid w:val="001F4430"/>
    <w:rsid w:val="002032C0"/>
    <w:rsid w:val="00203B6C"/>
    <w:rsid w:val="002053AC"/>
    <w:rsid w:val="002054B5"/>
    <w:rsid w:val="002068F4"/>
    <w:rsid w:val="0020794C"/>
    <w:rsid w:val="00210251"/>
    <w:rsid w:val="002108A4"/>
    <w:rsid w:val="002117F0"/>
    <w:rsid w:val="0021192F"/>
    <w:rsid w:val="0021274D"/>
    <w:rsid w:val="00215994"/>
    <w:rsid w:val="00217AE8"/>
    <w:rsid w:val="00217ECC"/>
    <w:rsid w:val="00220493"/>
    <w:rsid w:val="00220F0E"/>
    <w:rsid w:val="00225E6D"/>
    <w:rsid w:val="002261A6"/>
    <w:rsid w:val="002266D7"/>
    <w:rsid w:val="00227113"/>
    <w:rsid w:val="002272B2"/>
    <w:rsid w:val="002306B5"/>
    <w:rsid w:val="0023297E"/>
    <w:rsid w:val="00232C57"/>
    <w:rsid w:val="00232D2E"/>
    <w:rsid w:val="00234316"/>
    <w:rsid w:val="00236625"/>
    <w:rsid w:val="0023740C"/>
    <w:rsid w:val="00240FF9"/>
    <w:rsid w:val="002415E7"/>
    <w:rsid w:val="002445F9"/>
    <w:rsid w:val="002458A7"/>
    <w:rsid w:val="002462C2"/>
    <w:rsid w:val="00246B4C"/>
    <w:rsid w:val="002473F3"/>
    <w:rsid w:val="00251236"/>
    <w:rsid w:val="00253CAD"/>
    <w:rsid w:val="002641B9"/>
    <w:rsid w:val="002645AA"/>
    <w:rsid w:val="002651BD"/>
    <w:rsid w:val="00265205"/>
    <w:rsid w:val="00266077"/>
    <w:rsid w:val="00266ECA"/>
    <w:rsid w:val="0026701A"/>
    <w:rsid w:val="00267BAF"/>
    <w:rsid w:val="00272BD0"/>
    <w:rsid w:val="0027718E"/>
    <w:rsid w:val="002777A1"/>
    <w:rsid w:val="0028021C"/>
    <w:rsid w:val="002814C1"/>
    <w:rsid w:val="00282103"/>
    <w:rsid w:val="0028220C"/>
    <w:rsid w:val="00285B13"/>
    <w:rsid w:val="00286292"/>
    <w:rsid w:val="00286D4E"/>
    <w:rsid w:val="00287616"/>
    <w:rsid w:val="00291195"/>
    <w:rsid w:val="00291800"/>
    <w:rsid w:val="00294363"/>
    <w:rsid w:val="00294D5E"/>
    <w:rsid w:val="002951E4"/>
    <w:rsid w:val="0029629A"/>
    <w:rsid w:val="00297AD0"/>
    <w:rsid w:val="002A05B5"/>
    <w:rsid w:val="002A0616"/>
    <w:rsid w:val="002A0D24"/>
    <w:rsid w:val="002A1323"/>
    <w:rsid w:val="002A1396"/>
    <w:rsid w:val="002A4526"/>
    <w:rsid w:val="002A6586"/>
    <w:rsid w:val="002A74E3"/>
    <w:rsid w:val="002B35CB"/>
    <w:rsid w:val="002B39C3"/>
    <w:rsid w:val="002B3E4F"/>
    <w:rsid w:val="002B6DF6"/>
    <w:rsid w:val="002B7ACC"/>
    <w:rsid w:val="002C01F2"/>
    <w:rsid w:val="002C06D9"/>
    <w:rsid w:val="002C0878"/>
    <w:rsid w:val="002C0C00"/>
    <w:rsid w:val="002C0CDD"/>
    <w:rsid w:val="002C1117"/>
    <w:rsid w:val="002C20E4"/>
    <w:rsid w:val="002C323F"/>
    <w:rsid w:val="002C35E0"/>
    <w:rsid w:val="002C38FF"/>
    <w:rsid w:val="002C3CD7"/>
    <w:rsid w:val="002C43F2"/>
    <w:rsid w:val="002C45A5"/>
    <w:rsid w:val="002C4691"/>
    <w:rsid w:val="002C5687"/>
    <w:rsid w:val="002C5CB3"/>
    <w:rsid w:val="002D05E1"/>
    <w:rsid w:val="002D56E0"/>
    <w:rsid w:val="002E0101"/>
    <w:rsid w:val="002E0505"/>
    <w:rsid w:val="002E22F4"/>
    <w:rsid w:val="002E2886"/>
    <w:rsid w:val="002E442C"/>
    <w:rsid w:val="002E5A5D"/>
    <w:rsid w:val="002E772B"/>
    <w:rsid w:val="002F1748"/>
    <w:rsid w:val="002F313A"/>
    <w:rsid w:val="002F33B1"/>
    <w:rsid w:val="002F47FC"/>
    <w:rsid w:val="002F4FBC"/>
    <w:rsid w:val="002F6018"/>
    <w:rsid w:val="00300D14"/>
    <w:rsid w:val="0030179F"/>
    <w:rsid w:val="00301AC3"/>
    <w:rsid w:val="00302B88"/>
    <w:rsid w:val="00303C61"/>
    <w:rsid w:val="00305DE9"/>
    <w:rsid w:val="003104FC"/>
    <w:rsid w:val="00310653"/>
    <w:rsid w:val="003110B3"/>
    <w:rsid w:val="003114C1"/>
    <w:rsid w:val="003130C9"/>
    <w:rsid w:val="00313E38"/>
    <w:rsid w:val="00314B47"/>
    <w:rsid w:val="00316C84"/>
    <w:rsid w:val="003201D0"/>
    <w:rsid w:val="003218A2"/>
    <w:rsid w:val="00322C79"/>
    <w:rsid w:val="00323D3C"/>
    <w:rsid w:val="00323DD0"/>
    <w:rsid w:val="003257A5"/>
    <w:rsid w:val="003265AE"/>
    <w:rsid w:val="00330029"/>
    <w:rsid w:val="00332576"/>
    <w:rsid w:val="00332F17"/>
    <w:rsid w:val="003336B9"/>
    <w:rsid w:val="00333CD8"/>
    <w:rsid w:val="003340E7"/>
    <w:rsid w:val="003342AC"/>
    <w:rsid w:val="00336475"/>
    <w:rsid w:val="00337DE9"/>
    <w:rsid w:val="00341A95"/>
    <w:rsid w:val="00341E54"/>
    <w:rsid w:val="003425B9"/>
    <w:rsid w:val="00342674"/>
    <w:rsid w:val="00342ED7"/>
    <w:rsid w:val="003442B1"/>
    <w:rsid w:val="003469C6"/>
    <w:rsid w:val="00347DF2"/>
    <w:rsid w:val="0035074E"/>
    <w:rsid w:val="00350D1E"/>
    <w:rsid w:val="003511DA"/>
    <w:rsid w:val="00352CE2"/>
    <w:rsid w:val="003546AC"/>
    <w:rsid w:val="00354B1B"/>
    <w:rsid w:val="0035502B"/>
    <w:rsid w:val="00355C72"/>
    <w:rsid w:val="00356E13"/>
    <w:rsid w:val="00357DE5"/>
    <w:rsid w:val="00361F8B"/>
    <w:rsid w:val="003625E3"/>
    <w:rsid w:val="00363763"/>
    <w:rsid w:val="00363AE3"/>
    <w:rsid w:val="00365172"/>
    <w:rsid w:val="00365B2C"/>
    <w:rsid w:val="00366C40"/>
    <w:rsid w:val="00367469"/>
    <w:rsid w:val="00367A03"/>
    <w:rsid w:val="00367B33"/>
    <w:rsid w:val="003725EC"/>
    <w:rsid w:val="003728B2"/>
    <w:rsid w:val="0037359C"/>
    <w:rsid w:val="00373AC1"/>
    <w:rsid w:val="00373B58"/>
    <w:rsid w:val="0037509E"/>
    <w:rsid w:val="003756CB"/>
    <w:rsid w:val="00375D05"/>
    <w:rsid w:val="003769FC"/>
    <w:rsid w:val="00380693"/>
    <w:rsid w:val="00380ED5"/>
    <w:rsid w:val="00381260"/>
    <w:rsid w:val="00381E72"/>
    <w:rsid w:val="00383E7D"/>
    <w:rsid w:val="00384D46"/>
    <w:rsid w:val="0038749B"/>
    <w:rsid w:val="00392289"/>
    <w:rsid w:val="00392B15"/>
    <w:rsid w:val="00392C53"/>
    <w:rsid w:val="00392EA5"/>
    <w:rsid w:val="0039462A"/>
    <w:rsid w:val="00394AF8"/>
    <w:rsid w:val="00394BC1"/>
    <w:rsid w:val="00394F06"/>
    <w:rsid w:val="003A11C8"/>
    <w:rsid w:val="003A221C"/>
    <w:rsid w:val="003A3C82"/>
    <w:rsid w:val="003A45CA"/>
    <w:rsid w:val="003A4B5D"/>
    <w:rsid w:val="003A534C"/>
    <w:rsid w:val="003A6352"/>
    <w:rsid w:val="003A6977"/>
    <w:rsid w:val="003B1317"/>
    <w:rsid w:val="003B1D88"/>
    <w:rsid w:val="003B1F8C"/>
    <w:rsid w:val="003B30CC"/>
    <w:rsid w:val="003B33E0"/>
    <w:rsid w:val="003B36C2"/>
    <w:rsid w:val="003B44B7"/>
    <w:rsid w:val="003B53B0"/>
    <w:rsid w:val="003B6288"/>
    <w:rsid w:val="003B7EEF"/>
    <w:rsid w:val="003B7F03"/>
    <w:rsid w:val="003C05F8"/>
    <w:rsid w:val="003C4670"/>
    <w:rsid w:val="003C5CA7"/>
    <w:rsid w:val="003C6158"/>
    <w:rsid w:val="003D0802"/>
    <w:rsid w:val="003D3067"/>
    <w:rsid w:val="003D3FE4"/>
    <w:rsid w:val="003D7C63"/>
    <w:rsid w:val="003E1B02"/>
    <w:rsid w:val="003E394F"/>
    <w:rsid w:val="003E3E28"/>
    <w:rsid w:val="003E44F5"/>
    <w:rsid w:val="003F2173"/>
    <w:rsid w:val="003F24D0"/>
    <w:rsid w:val="003F4876"/>
    <w:rsid w:val="003F4BBF"/>
    <w:rsid w:val="003F5F56"/>
    <w:rsid w:val="003F6317"/>
    <w:rsid w:val="003F666C"/>
    <w:rsid w:val="003F7B2E"/>
    <w:rsid w:val="00404B18"/>
    <w:rsid w:val="00405D55"/>
    <w:rsid w:val="00405F8F"/>
    <w:rsid w:val="0040687D"/>
    <w:rsid w:val="00407699"/>
    <w:rsid w:val="00407B1F"/>
    <w:rsid w:val="00412819"/>
    <w:rsid w:val="00413A52"/>
    <w:rsid w:val="0041565E"/>
    <w:rsid w:val="00416183"/>
    <w:rsid w:val="00416BEB"/>
    <w:rsid w:val="00416F11"/>
    <w:rsid w:val="004172B4"/>
    <w:rsid w:val="00417AAE"/>
    <w:rsid w:val="004211F1"/>
    <w:rsid w:val="00423213"/>
    <w:rsid w:val="00424065"/>
    <w:rsid w:val="00424328"/>
    <w:rsid w:val="004246FC"/>
    <w:rsid w:val="0042470B"/>
    <w:rsid w:val="004260E8"/>
    <w:rsid w:val="0042671C"/>
    <w:rsid w:val="00426773"/>
    <w:rsid w:val="00426A09"/>
    <w:rsid w:val="0043037D"/>
    <w:rsid w:val="00430A84"/>
    <w:rsid w:val="00432446"/>
    <w:rsid w:val="0043558A"/>
    <w:rsid w:val="00436A2E"/>
    <w:rsid w:val="00436DD1"/>
    <w:rsid w:val="0043771C"/>
    <w:rsid w:val="004426C6"/>
    <w:rsid w:val="00444FE2"/>
    <w:rsid w:val="004450CF"/>
    <w:rsid w:val="00447CC4"/>
    <w:rsid w:val="00450642"/>
    <w:rsid w:val="00452A11"/>
    <w:rsid w:val="00453135"/>
    <w:rsid w:val="00453FDB"/>
    <w:rsid w:val="00454173"/>
    <w:rsid w:val="00462752"/>
    <w:rsid w:val="00462E20"/>
    <w:rsid w:val="004644BD"/>
    <w:rsid w:val="00465E05"/>
    <w:rsid w:val="00466451"/>
    <w:rsid w:val="00472E8E"/>
    <w:rsid w:val="004775FE"/>
    <w:rsid w:val="00482AE3"/>
    <w:rsid w:val="00483956"/>
    <w:rsid w:val="00484A3A"/>
    <w:rsid w:val="004864DB"/>
    <w:rsid w:val="004867FE"/>
    <w:rsid w:val="00486BDC"/>
    <w:rsid w:val="00490AAB"/>
    <w:rsid w:val="00491658"/>
    <w:rsid w:val="00491686"/>
    <w:rsid w:val="00492874"/>
    <w:rsid w:val="0049309D"/>
    <w:rsid w:val="00493D72"/>
    <w:rsid w:val="00494A61"/>
    <w:rsid w:val="00495994"/>
    <w:rsid w:val="00495A80"/>
    <w:rsid w:val="00496175"/>
    <w:rsid w:val="004A0F17"/>
    <w:rsid w:val="004A13AF"/>
    <w:rsid w:val="004A38EB"/>
    <w:rsid w:val="004A4722"/>
    <w:rsid w:val="004A6040"/>
    <w:rsid w:val="004A620F"/>
    <w:rsid w:val="004B1D9D"/>
    <w:rsid w:val="004B221A"/>
    <w:rsid w:val="004B2C96"/>
    <w:rsid w:val="004B2DB1"/>
    <w:rsid w:val="004C16FF"/>
    <w:rsid w:val="004C1E8D"/>
    <w:rsid w:val="004C2D51"/>
    <w:rsid w:val="004C48CC"/>
    <w:rsid w:val="004C5D3A"/>
    <w:rsid w:val="004C74D2"/>
    <w:rsid w:val="004D02F2"/>
    <w:rsid w:val="004D1065"/>
    <w:rsid w:val="004D1970"/>
    <w:rsid w:val="004D4343"/>
    <w:rsid w:val="004D516A"/>
    <w:rsid w:val="004D6D73"/>
    <w:rsid w:val="004E0509"/>
    <w:rsid w:val="004E2572"/>
    <w:rsid w:val="004E5D29"/>
    <w:rsid w:val="004E72B6"/>
    <w:rsid w:val="004E7936"/>
    <w:rsid w:val="004E7A62"/>
    <w:rsid w:val="004F02EF"/>
    <w:rsid w:val="004F2081"/>
    <w:rsid w:val="004F362B"/>
    <w:rsid w:val="004F3F4A"/>
    <w:rsid w:val="004F5508"/>
    <w:rsid w:val="004F551C"/>
    <w:rsid w:val="004F6FE0"/>
    <w:rsid w:val="004F700D"/>
    <w:rsid w:val="004F7EB4"/>
    <w:rsid w:val="00500091"/>
    <w:rsid w:val="005022CC"/>
    <w:rsid w:val="0050327C"/>
    <w:rsid w:val="00503D6B"/>
    <w:rsid w:val="00510160"/>
    <w:rsid w:val="005108FD"/>
    <w:rsid w:val="00510910"/>
    <w:rsid w:val="005117D6"/>
    <w:rsid w:val="00514F59"/>
    <w:rsid w:val="005150B5"/>
    <w:rsid w:val="00515495"/>
    <w:rsid w:val="00516167"/>
    <w:rsid w:val="00516CD8"/>
    <w:rsid w:val="005175CC"/>
    <w:rsid w:val="005236B6"/>
    <w:rsid w:val="005256BA"/>
    <w:rsid w:val="00525D68"/>
    <w:rsid w:val="005269FF"/>
    <w:rsid w:val="00527524"/>
    <w:rsid w:val="00527876"/>
    <w:rsid w:val="00530654"/>
    <w:rsid w:val="00530F71"/>
    <w:rsid w:val="00531B55"/>
    <w:rsid w:val="005321C4"/>
    <w:rsid w:val="005324E9"/>
    <w:rsid w:val="00532C4C"/>
    <w:rsid w:val="00533059"/>
    <w:rsid w:val="00540990"/>
    <w:rsid w:val="00540B71"/>
    <w:rsid w:val="00541971"/>
    <w:rsid w:val="00544775"/>
    <w:rsid w:val="00545ED6"/>
    <w:rsid w:val="005536A1"/>
    <w:rsid w:val="00555CCB"/>
    <w:rsid w:val="0055676D"/>
    <w:rsid w:val="00556DEC"/>
    <w:rsid w:val="00556DF7"/>
    <w:rsid w:val="00560922"/>
    <w:rsid w:val="00560B9F"/>
    <w:rsid w:val="00561461"/>
    <w:rsid w:val="00561FEA"/>
    <w:rsid w:val="005650D4"/>
    <w:rsid w:val="00566296"/>
    <w:rsid w:val="005676C1"/>
    <w:rsid w:val="005701FE"/>
    <w:rsid w:val="005704B6"/>
    <w:rsid w:val="005705A5"/>
    <w:rsid w:val="00571D88"/>
    <w:rsid w:val="00571D9E"/>
    <w:rsid w:val="00572140"/>
    <w:rsid w:val="0057330A"/>
    <w:rsid w:val="0057418E"/>
    <w:rsid w:val="00580A13"/>
    <w:rsid w:val="00580BAE"/>
    <w:rsid w:val="005810CB"/>
    <w:rsid w:val="005810F9"/>
    <w:rsid w:val="00581E8E"/>
    <w:rsid w:val="00582570"/>
    <w:rsid w:val="0058473E"/>
    <w:rsid w:val="00584BC7"/>
    <w:rsid w:val="00586E14"/>
    <w:rsid w:val="00592215"/>
    <w:rsid w:val="0059318D"/>
    <w:rsid w:val="00593464"/>
    <w:rsid w:val="00593A3C"/>
    <w:rsid w:val="005957BD"/>
    <w:rsid w:val="005962B4"/>
    <w:rsid w:val="00596679"/>
    <w:rsid w:val="00597C0E"/>
    <w:rsid w:val="005A2E15"/>
    <w:rsid w:val="005A4C37"/>
    <w:rsid w:val="005B0229"/>
    <w:rsid w:val="005B1FF5"/>
    <w:rsid w:val="005B20EC"/>
    <w:rsid w:val="005B3228"/>
    <w:rsid w:val="005B3B34"/>
    <w:rsid w:val="005B5BA4"/>
    <w:rsid w:val="005B6395"/>
    <w:rsid w:val="005B66D3"/>
    <w:rsid w:val="005C1A2E"/>
    <w:rsid w:val="005C385F"/>
    <w:rsid w:val="005C44F5"/>
    <w:rsid w:val="005C58DC"/>
    <w:rsid w:val="005C62C3"/>
    <w:rsid w:val="005C62D0"/>
    <w:rsid w:val="005D0804"/>
    <w:rsid w:val="005D13FC"/>
    <w:rsid w:val="005D213B"/>
    <w:rsid w:val="005D3F4C"/>
    <w:rsid w:val="005D447E"/>
    <w:rsid w:val="005D66E7"/>
    <w:rsid w:val="005D72C0"/>
    <w:rsid w:val="005D792C"/>
    <w:rsid w:val="005E1042"/>
    <w:rsid w:val="005E2BBB"/>
    <w:rsid w:val="005E43E6"/>
    <w:rsid w:val="005E77E4"/>
    <w:rsid w:val="005F08CE"/>
    <w:rsid w:val="005F1307"/>
    <w:rsid w:val="005F31AA"/>
    <w:rsid w:val="005F338F"/>
    <w:rsid w:val="005F4264"/>
    <w:rsid w:val="005F4387"/>
    <w:rsid w:val="005F5410"/>
    <w:rsid w:val="006010FC"/>
    <w:rsid w:val="00604139"/>
    <w:rsid w:val="00604B63"/>
    <w:rsid w:val="0060590B"/>
    <w:rsid w:val="00607AA0"/>
    <w:rsid w:val="00612AA0"/>
    <w:rsid w:val="00613288"/>
    <w:rsid w:val="00614050"/>
    <w:rsid w:val="00614114"/>
    <w:rsid w:val="006155BF"/>
    <w:rsid w:val="0061637B"/>
    <w:rsid w:val="00617F36"/>
    <w:rsid w:val="00617F77"/>
    <w:rsid w:val="0062025B"/>
    <w:rsid w:val="006216B7"/>
    <w:rsid w:val="00621DDC"/>
    <w:rsid w:val="006236BD"/>
    <w:rsid w:val="00624913"/>
    <w:rsid w:val="0062701F"/>
    <w:rsid w:val="00634212"/>
    <w:rsid w:val="00637A97"/>
    <w:rsid w:val="00637E25"/>
    <w:rsid w:val="00640B1F"/>
    <w:rsid w:val="00642719"/>
    <w:rsid w:val="00642763"/>
    <w:rsid w:val="00645165"/>
    <w:rsid w:val="006456FF"/>
    <w:rsid w:val="00645FA3"/>
    <w:rsid w:val="00646205"/>
    <w:rsid w:val="006469A4"/>
    <w:rsid w:val="00646C76"/>
    <w:rsid w:val="00647293"/>
    <w:rsid w:val="006473A8"/>
    <w:rsid w:val="00647BBB"/>
    <w:rsid w:val="00650A30"/>
    <w:rsid w:val="006512AA"/>
    <w:rsid w:val="00651340"/>
    <w:rsid w:val="00653055"/>
    <w:rsid w:val="006538B7"/>
    <w:rsid w:val="00653A57"/>
    <w:rsid w:val="006541C1"/>
    <w:rsid w:val="00654C5B"/>
    <w:rsid w:val="00655A07"/>
    <w:rsid w:val="0065715D"/>
    <w:rsid w:val="00657402"/>
    <w:rsid w:val="00657990"/>
    <w:rsid w:val="00661EF0"/>
    <w:rsid w:val="00665B2E"/>
    <w:rsid w:val="00665F0B"/>
    <w:rsid w:val="00666832"/>
    <w:rsid w:val="00666BB6"/>
    <w:rsid w:val="0066721E"/>
    <w:rsid w:val="006701FD"/>
    <w:rsid w:val="00670E8A"/>
    <w:rsid w:val="00674A3B"/>
    <w:rsid w:val="0067511B"/>
    <w:rsid w:val="006751FE"/>
    <w:rsid w:val="00677033"/>
    <w:rsid w:val="00677594"/>
    <w:rsid w:val="00680F50"/>
    <w:rsid w:val="006810FA"/>
    <w:rsid w:val="00682951"/>
    <w:rsid w:val="006843AB"/>
    <w:rsid w:val="00684620"/>
    <w:rsid w:val="0068505A"/>
    <w:rsid w:val="00685D20"/>
    <w:rsid w:val="006953CF"/>
    <w:rsid w:val="0069673B"/>
    <w:rsid w:val="006A0C2E"/>
    <w:rsid w:val="006A3C33"/>
    <w:rsid w:val="006A4FAE"/>
    <w:rsid w:val="006A50E6"/>
    <w:rsid w:val="006A5666"/>
    <w:rsid w:val="006A6177"/>
    <w:rsid w:val="006A6861"/>
    <w:rsid w:val="006B0924"/>
    <w:rsid w:val="006B3F86"/>
    <w:rsid w:val="006B6F7A"/>
    <w:rsid w:val="006B708C"/>
    <w:rsid w:val="006C04AA"/>
    <w:rsid w:val="006C168C"/>
    <w:rsid w:val="006C2AEA"/>
    <w:rsid w:val="006C5166"/>
    <w:rsid w:val="006C5722"/>
    <w:rsid w:val="006C5E08"/>
    <w:rsid w:val="006D0E83"/>
    <w:rsid w:val="006D1510"/>
    <w:rsid w:val="006D1D14"/>
    <w:rsid w:val="006D435C"/>
    <w:rsid w:val="006D572A"/>
    <w:rsid w:val="006E1A39"/>
    <w:rsid w:val="006E21DA"/>
    <w:rsid w:val="006E3CEE"/>
    <w:rsid w:val="006E41AA"/>
    <w:rsid w:val="006E439E"/>
    <w:rsid w:val="006E614B"/>
    <w:rsid w:val="006E6341"/>
    <w:rsid w:val="006E6D9E"/>
    <w:rsid w:val="006F0E97"/>
    <w:rsid w:val="006F30FD"/>
    <w:rsid w:val="006F51CB"/>
    <w:rsid w:val="006F5703"/>
    <w:rsid w:val="0070515F"/>
    <w:rsid w:val="0070582C"/>
    <w:rsid w:val="00711AA9"/>
    <w:rsid w:val="00712131"/>
    <w:rsid w:val="0071235E"/>
    <w:rsid w:val="00713A76"/>
    <w:rsid w:val="00721E74"/>
    <w:rsid w:val="00722717"/>
    <w:rsid w:val="0072287A"/>
    <w:rsid w:val="00725F05"/>
    <w:rsid w:val="0072648C"/>
    <w:rsid w:val="007275B1"/>
    <w:rsid w:val="00727E3B"/>
    <w:rsid w:val="0073022C"/>
    <w:rsid w:val="00730D0A"/>
    <w:rsid w:val="00733AAF"/>
    <w:rsid w:val="0073470D"/>
    <w:rsid w:val="0073662B"/>
    <w:rsid w:val="0073713D"/>
    <w:rsid w:val="00737A13"/>
    <w:rsid w:val="00742B49"/>
    <w:rsid w:val="007446EE"/>
    <w:rsid w:val="007447D4"/>
    <w:rsid w:val="007502B3"/>
    <w:rsid w:val="007504E5"/>
    <w:rsid w:val="007515FF"/>
    <w:rsid w:val="00751BCD"/>
    <w:rsid w:val="007524E4"/>
    <w:rsid w:val="007528D6"/>
    <w:rsid w:val="00753C0C"/>
    <w:rsid w:val="00757408"/>
    <w:rsid w:val="00760EDA"/>
    <w:rsid w:val="007612D4"/>
    <w:rsid w:val="00762428"/>
    <w:rsid w:val="00762DCD"/>
    <w:rsid w:val="00763100"/>
    <w:rsid w:val="00770843"/>
    <w:rsid w:val="00770EE9"/>
    <w:rsid w:val="007711F0"/>
    <w:rsid w:val="007715C4"/>
    <w:rsid w:val="00771877"/>
    <w:rsid w:val="00772C6B"/>
    <w:rsid w:val="007732EC"/>
    <w:rsid w:val="00775467"/>
    <w:rsid w:val="007803A3"/>
    <w:rsid w:val="00783999"/>
    <w:rsid w:val="00784DD3"/>
    <w:rsid w:val="00786534"/>
    <w:rsid w:val="00787DBF"/>
    <w:rsid w:val="0079480E"/>
    <w:rsid w:val="00797947"/>
    <w:rsid w:val="007A48E6"/>
    <w:rsid w:val="007A7079"/>
    <w:rsid w:val="007A7F13"/>
    <w:rsid w:val="007B470D"/>
    <w:rsid w:val="007B5EF9"/>
    <w:rsid w:val="007B720C"/>
    <w:rsid w:val="007B7606"/>
    <w:rsid w:val="007B76FF"/>
    <w:rsid w:val="007B7F82"/>
    <w:rsid w:val="007C1DA5"/>
    <w:rsid w:val="007C4483"/>
    <w:rsid w:val="007C4CD9"/>
    <w:rsid w:val="007D006A"/>
    <w:rsid w:val="007D00B9"/>
    <w:rsid w:val="007D0685"/>
    <w:rsid w:val="007D08C1"/>
    <w:rsid w:val="007D08DE"/>
    <w:rsid w:val="007D0E74"/>
    <w:rsid w:val="007D29E8"/>
    <w:rsid w:val="007D315D"/>
    <w:rsid w:val="007D4972"/>
    <w:rsid w:val="007D5C38"/>
    <w:rsid w:val="007D632C"/>
    <w:rsid w:val="007D6A70"/>
    <w:rsid w:val="007D7825"/>
    <w:rsid w:val="007E0119"/>
    <w:rsid w:val="007E1BC7"/>
    <w:rsid w:val="007E2AA2"/>
    <w:rsid w:val="007E3FC3"/>
    <w:rsid w:val="007E5970"/>
    <w:rsid w:val="007F0967"/>
    <w:rsid w:val="007F14EA"/>
    <w:rsid w:val="007F2B99"/>
    <w:rsid w:val="007F38FB"/>
    <w:rsid w:val="007F3A9E"/>
    <w:rsid w:val="007F408C"/>
    <w:rsid w:val="007F4093"/>
    <w:rsid w:val="007F7AF6"/>
    <w:rsid w:val="007F7CDC"/>
    <w:rsid w:val="0080266D"/>
    <w:rsid w:val="00803B94"/>
    <w:rsid w:val="008051DD"/>
    <w:rsid w:val="00805509"/>
    <w:rsid w:val="00806528"/>
    <w:rsid w:val="00807110"/>
    <w:rsid w:val="00807371"/>
    <w:rsid w:val="008124C4"/>
    <w:rsid w:val="008130CA"/>
    <w:rsid w:val="008145E6"/>
    <w:rsid w:val="00815A16"/>
    <w:rsid w:val="00815CE7"/>
    <w:rsid w:val="00817CAF"/>
    <w:rsid w:val="00820347"/>
    <w:rsid w:val="00820A59"/>
    <w:rsid w:val="00822298"/>
    <w:rsid w:val="00824393"/>
    <w:rsid w:val="008254C7"/>
    <w:rsid w:val="008257C1"/>
    <w:rsid w:val="00827A89"/>
    <w:rsid w:val="00831A6A"/>
    <w:rsid w:val="00831EE0"/>
    <w:rsid w:val="00832063"/>
    <w:rsid w:val="0083233D"/>
    <w:rsid w:val="00832BD4"/>
    <w:rsid w:val="00833AA9"/>
    <w:rsid w:val="00833F3E"/>
    <w:rsid w:val="008344F0"/>
    <w:rsid w:val="00836B83"/>
    <w:rsid w:val="00837B84"/>
    <w:rsid w:val="00837E50"/>
    <w:rsid w:val="0084108D"/>
    <w:rsid w:val="00843609"/>
    <w:rsid w:val="008447E1"/>
    <w:rsid w:val="00846FA8"/>
    <w:rsid w:val="00847F9F"/>
    <w:rsid w:val="0085025B"/>
    <w:rsid w:val="00850EA8"/>
    <w:rsid w:val="008513ED"/>
    <w:rsid w:val="00855D73"/>
    <w:rsid w:val="008561B9"/>
    <w:rsid w:val="00866BB5"/>
    <w:rsid w:val="0087193F"/>
    <w:rsid w:val="008729A6"/>
    <w:rsid w:val="00874C62"/>
    <w:rsid w:val="00875489"/>
    <w:rsid w:val="00877478"/>
    <w:rsid w:val="00880E70"/>
    <w:rsid w:val="0088199A"/>
    <w:rsid w:val="0088346E"/>
    <w:rsid w:val="00884991"/>
    <w:rsid w:val="008935DE"/>
    <w:rsid w:val="0089411A"/>
    <w:rsid w:val="00894838"/>
    <w:rsid w:val="0089615F"/>
    <w:rsid w:val="008A0073"/>
    <w:rsid w:val="008A1C61"/>
    <w:rsid w:val="008A22E4"/>
    <w:rsid w:val="008A2A37"/>
    <w:rsid w:val="008A2F4C"/>
    <w:rsid w:val="008A765B"/>
    <w:rsid w:val="008B1FE8"/>
    <w:rsid w:val="008B333D"/>
    <w:rsid w:val="008B3B48"/>
    <w:rsid w:val="008B5AA3"/>
    <w:rsid w:val="008B7997"/>
    <w:rsid w:val="008C1D8C"/>
    <w:rsid w:val="008C253E"/>
    <w:rsid w:val="008D1B07"/>
    <w:rsid w:val="008D2B0F"/>
    <w:rsid w:val="008D577B"/>
    <w:rsid w:val="008D67D3"/>
    <w:rsid w:val="008D6A66"/>
    <w:rsid w:val="008D6D76"/>
    <w:rsid w:val="008E07DE"/>
    <w:rsid w:val="008E212E"/>
    <w:rsid w:val="008E350C"/>
    <w:rsid w:val="008E5B92"/>
    <w:rsid w:val="008E5F30"/>
    <w:rsid w:val="008E624B"/>
    <w:rsid w:val="008E68EC"/>
    <w:rsid w:val="008E6980"/>
    <w:rsid w:val="008E6F28"/>
    <w:rsid w:val="008E7870"/>
    <w:rsid w:val="008F2267"/>
    <w:rsid w:val="008F308F"/>
    <w:rsid w:val="008F410C"/>
    <w:rsid w:val="008F5078"/>
    <w:rsid w:val="008F5C4B"/>
    <w:rsid w:val="00901B02"/>
    <w:rsid w:val="00901B3D"/>
    <w:rsid w:val="009035F8"/>
    <w:rsid w:val="00903822"/>
    <w:rsid w:val="009055C9"/>
    <w:rsid w:val="00905AA2"/>
    <w:rsid w:val="00905B51"/>
    <w:rsid w:val="009068CF"/>
    <w:rsid w:val="00915220"/>
    <w:rsid w:val="009153F7"/>
    <w:rsid w:val="009213EE"/>
    <w:rsid w:val="009216D3"/>
    <w:rsid w:val="009219B6"/>
    <w:rsid w:val="009238A0"/>
    <w:rsid w:val="00925EC6"/>
    <w:rsid w:val="00925F1B"/>
    <w:rsid w:val="00926B18"/>
    <w:rsid w:val="00931E05"/>
    <w:rsid w:val="0093262F"/>
    <w:rsid w:val="00933B0C"/>
    <w:rsid w:val="009357C6"/>
    <w:rsid w:val="009370A7"/>
    <w:rsid w:val="00941682"/>
    <w:rsid w:val="009429B7"/>
    <w:rsid w:val="009449FB"/>
    <w:rsid w:val="00946210"/>
    <w:rsid w:val="009473CB"/>
    <w:rsid w:val="009514C3"/>
    <w:rsid w:val="0095647B"/>
    <w:rsid w:val="00957900"/>
    <w:rsid w:val="00957A14"/>
    <w:rsid w:val="00957B20"/>
    <w:rsid w:val="00961B9D"/>
    <w:rsid w:val="00962957"/>
    <w:rsid w:val="00962BDF"/>
    <w:rsid w:val="00963C91"/>
    <w:rsid w:val="00963ECF"/>
    <w:rsid w:val="00965B5C"/>
    <w:rsid w:val="009669E1"/>
    <w:rsid w:val="00966EE7"/>
    <w:rsid w:val="00966FBB"/>
    <w:rsid w:val="00967457"/>
    <w:rsid w:val="00970159"/>
    <w:rsid w:val="009711B5"/>
    <w:rsid w:val="0097515A"/>
    <w:rsid w:val="009775DC"/>
    <w:rsid w:val="00977FE8"/>
    <w:rsid w:val="0098004E"/>
    <w:rsid w:val="00980B6E"/>
    <w:rsid w:val="00984C4F"/>
    <w:rsid w:val="00984CA9"/>
    <w:rsid w:val="0098546F"/>
    <w:rsid w:val="00987689"/>
    <w:rsid w:val="00991B18"/>
    <w:rsid w:val="00994384"/>
    <w:rsid w:val="0099465F"/>
    <w:rsid w:val="009948A0"/>
    <w:rsid w:val="00994C5A"/>
    <w:rsid w:val="00994E42"/>
    <w:rsid w:val="00996B6A"/>
    <w:rsid w:val="0099741A"/>
    <w:rsid w:val="00997AA6"/>
    <w:rsid w:val="009A2F97"/>
    <w:rsid w:val="009A3002"/>
    <w:rsid w:val="009A3F4E"/>
    <w:rsid w:val="009A54F9"/>
    <w:rsid w:val="009A5758"/>
    <w:rsid w:val="009A7346"/>
    <w:rsid w:val="009A7507"/>
    <w:rsid w:val="009A7CA8"/>
    <w:rsid w:val="009B3274"/>
    <w:rsid w:val="009B372B"/>
    <w:rsid w:val="009B39BA"/>
    <w:rsid w:val="009B3EC2"/>
    <w:rsid w:val="009C0925"/>
    <w:rsid w:val="009C1130"/>
    <w:rsid w:val="009C113A"/>
    <w:rsid w:val="009C1F99"/>
    <w:rsid w:val="009C3032"/>
    <w:rsid w:val="009C3C8B"/>
    <w:rsid w:val="009C5A33"/>
    <w:rsid w:val="009C775C"/>
    <w:rsid w:val="009D0C8A"/>
    <w:rsid w:val="009D1777"/>
    <w:rsid w:val="009D6452"/>
    <w:rsid w:val="009D69B5"/>
    <w:rsid w:val="009E07E2"/>
    <w:rsid w:val="009E0A0D"/>
    <w:rsid w:val="009E0D53"/>
    <w:rsid w:val="009E3649"/>
    <w:rsid w:val="009E64DF"/>
    <w:rsid w:val="009F4B46"/>
    <w:rsid w:val="009F52EC"/>
    <w:rsid w:val="009F5B51"/>
    <w:rsid w:val="009F5D08"/>
    <w:rsid w:val="009F5E9B"/>
    <w:rsid w:val="009F7E9F"/>
    <w:rsid w:val="00A01245"/>
    <w:rsid w:val="00A01798"/>
    <w:rsid w:val="00A01CCD"/>
    <w:rsid w:val="00A02978"/>
    <w:rsid w:val="00A0306E"/>
    <w:rsid w:val="00A033FB"/>
    <w:rsid w:val="00A0372B"/>
    <w:rsid w:val="00A0692C"/>
    <w:rsid w:val="00A07C45"/>
    <w:rsid w:val="00A1253B"/>
    <w:rsid w:val="00A13CFF"/>
    <w:rsid w:val="00A155CD"/>
    <w:rsid w:val="00A15B71"/>
    <w:rsid w:val="00A16B49"/>
    <w:rsid w:val="00A20371"/>
    <w:rsid w:val="00A2273B"/>
    <w:rsid w:val="00A23247"/>
    <w:rsid w:val="00A232F6"/>
    <w:rsid w:val="00A24736"/>
    <w:rsid w:val="00A24EAF"/>
    <w:rsid w:val="00A25E8B"/>
    <w:rsid w:val="00A2637A"/>
    <w:rsid w:val="00A3022C"/>
    <w:rsid w:val="00A32DE7"/>
    <w:rsid w:val="00A32F7F"/>
    <w:rsid w:val="00A347FC"/>
    <w:rsid w:val="00A34E8F"/>
    <w:rsid w:val="00A35B41"/>
    <w:rsid w:val="00A377FE"/>
    <w:rsid w:val="00A42C11"/>
    <w:rsid w:val="00A42F34"/>
    <w:rsid w:val="00A44D61"/>
    <w:rsid w:val="00A4549A"/>
    <w:rsid w:val="00A45922"/>
    <w:rsid w:val="00A47543"/>
    <w:rsid w:val="00A50C22"/>
    <w:rsid w:val="00A51060"/>
    <w:rsid w:val="00A52AC2"/>
    <w:rsid w:val="00A5344E"/>
    <w:rsid w:val="00A63ABE"/>
    <w:rsid w:val="00A6495D"/>
    <w:rsid w:val="00A66FA1"/>
    <w:rsid w:val="00A675D8"/>
    <w:rsid w:val="00A7052F"/>
    <w:rsid w:val="00A71ADA"/>
    <w:rsid w:val="00A721DF"/>
    <w:rsid w:val="00A72334"/>
    <w:rsid w:val="00A7261B"/>
    <w:rsid w:val="00A746D9"/>
    <w:rsid w:val="00A75D7F"/>
    <w:rsid w:val="00A75EF8"/>
    <w:rsid w:val="00A8352A"/>
    <w:rsid w:val="00A84736"/>
    <w:rsid w:val="00A85A64"/>
    <w:rsid w:val="00A85F9E"/>
    <w:rsid w:val="00A8646E"/>
    <w:rsid w:val="00A91417"/>
    <w:rsid w:val="00A91FD2"/>
    <w:rsid w:val="00A9262B"/>
    <w:rsid w:val="00A9395C"/>
    <w:rsid w:val="00A95675"/>
    <w:rsid w:val="00A95E3D"/>
    <w:rsid w:val="00A96961"/>
    <w:rsid w:val="00A97101"/>
    <w:rsid w:val="00AA35E2"/>
    <w:rsid w:val="00AA4A79"/>
    <w:rsid w:val="00AA4B8F"/>
    <w:rsid w:val="00AA4E78"/>
    <w:rsid w:val="00AA52FF"/>
    <w:rsid w:val="00AA74AB"/>
    <w:rsid w:val="00AA7BA7"/>
    <w:rsid w:val="00AB00A3"/>
    <w:rsid w:val="00AB2163"/>
    <w:rsid w:val="00AB2F5A"/>
    <w:rsid w:val="00AB34BE"/>
    <w:rsid w:val="00AB503F"/>
    <w:rsid w:val="00AB5408"/>
    <w:rsid w:val="00AB544C"/>
    <w:rsid w:val="00AB6923"/>
    <w:rsid w:val="00AC2F22"/>
    <w:rsid w:val="00AC40BA"/>
    <w:rsid w:val="00AC4E47"/>
    <w:rsid w:val="00AC4F38"/>
    <w:rsid w:val="00AC5FC4"/>
    <w:rsid w:val="00AD1F07"/>
    <w:rsid w:val="00AD430B"/>
    <w:rsid w:val="00AD4713"/>
    <w:rsid w:val="00AD7656"/>
    <w:rsid w:val="00AD7884"/>
    <w:rsid w:val="00AD7BFD"/>
    <w:rsid w:val="00AE0C9B"/>
    <w:rsid w:val="00AE143F"/>
    <w:rsid w:val="00AE3245"/>
    <w:rsid w:val="00AE36CD"/>
    <w:rsid w:val="00AE55E1"/>
    <w:rsid w:val="00AE6A99"/>
    <w:rsid w:val="00AE74B4"/>
    <w:rsid w:val="00AF0CB4"/>
    <w:rsid w:val="00AF1505"/>
    <w:rsid w:val="00AF1560"/>
    <w:rsid w:val="00AF3016"/>
    <w:rsid w:val="00AF3830"/>
    <w:rsid w:val="00AF40CE"/>
    <w:rsid w:val="00AF4131"/>
    <w:rsid w:val="00AF443A"/>
    <w:rsid w:val="00AF6E46"/>
    <w:rsid w:val="00AF78BE"/>
    <w:rsid w:val="00AF7D9A"/>
    <w:rsid w:val="00B0261C"/>
    <w:rsid w:val="00B05FA0"/>
    <w:rsid w:val="00B062FB"/>
    <w:rsid w:val="00B076D9"/>
    <w:rsid w:val="00B07900"/>
    <w:rsid w:val="00B07A7D"/>
    <w:rsid w:val="00B11F1D"/>
    <w:rsid w:val="00B138D4"/>
    <w:rsid w:val="00B17287"/>
    <w:rsid w:val="00B177C4"/>
    <w:rsid w:val="00B204E7"/>
    <w:rsid w:val="00B2096E"/>
    <w:rsid w:val="00B21029"/>
    <w:rsid w:val="00B23B6D"/>
    <w:rsid w:val="00B2441A"/>
    <w:rsid w:val="00B25505"/>
    <w:rsid w:val="00B25B1E"/>
    <w:rsid w:val="00B27568"/>
    <w:rsid w:val="00B27D63"/>
    <w:rsid w:val="00B30EEE"/>
    <w:rsid w:val="00B34AEE"/>
    <w:rsid w:val="00B34E65"/>
    <w:rsid w:val="00B36D6A"/>
    <w:rsid w:val="00B37D51"/>
    <w:rsid w:val="00B40CF9"/>
    <w:rsid w:val="00B42475"/>
    <w:rsid w:val="00B42A22"/>
    <w:rsid w:val="00B42D4C"/>
    <w:rsid w:val="00B4497F"/>
    <w:rsid w:val="00B44A5B"/>
    <w:rsid w:val="00B50B4A"/>
    <w:rsid w:val="00B50FCB"/>
    <w:rsid w:val="00B54B37"/>
    <w:rsid w:val="00B55492"/>
    <w:rsid w:val="00B55BC9"/>
    <w:rsid w:val="00B56231"/>
    <w:rsid w:val="00B56A24"/>
    <w:rsid w:val="00B64FB3"/>
    <w:rsid w:val="00B653B1"/>
    <w:rsid w:val="00B71BA8"/>
    <w:rsid w:val="00B72506"/>
    <w:rsid w:val="00B73641"/>
    <w:rsid w:val="00B73E41"/>
    <w:rsid w:val="00B74A74"/>
    <w:rsid w:val="00B765D6"/>
    <w:rsid w:val="00B768DA"/>
    <w:rsid w:val="00B8030A"/>
    <w:rsid w:val="00B80448"/>
    <w:rsid w:val="00B83856"/>
    <w:rsid w:val="00B854B4"/>
    <w:rsid w:val="00B856CD"/>
    <w:rsid w:val="00B85EB2"/>
    <w:rsid w:val="00B92CC3"/>
    <w:rsid w:val="00B9300E"/>
    <w:rsid w:val="00B93B28"/>
    <w:rsid w:val="00B96668"/>
    <w:rsid w:val="00B97835"/>
    <w:rsid w:val="00B9789E"/>
    <w:rsid w:val="00BA07F6"/>
    <w:rsid w:val="00BA1E86"/>
    <w:rsid w:val="00BA2BA6"/>
    <w:rsid w:val="00BA3D74"/>
    <w:rsid w:val="00BB0095"/>
    <w:rsid w:val="00BB1439"/>
    <w:rsid w:val="00BB2420"/>
    <w:rsid w:val="00BB4243"/>
    <w:rsid w:val="00BB50D5"/>
    <w:rsid w:val="00BB69C9"/>
    <w:rsid w:val="00BC0335"/>
    <w:rsid w:val="00BC04A7"/>
    <w:rsid w:val="00BC0E93"/>
    <w:rsid w:val="00BC16C4"/>
    <w:rsid w:val="00BC4945"/>
    <w:rsid w:val="00BC546B"/>
    <w:rsid w:val="00BC59F2"/>
    <w:rsid w:val="00BC5EE1"/>
    <w:rsid w:val="00BD018A"/>
    <w:rsid w:val="00BD2299"/>
    <w:rsid w:val="00BD2BF1"/>
    <w:rsid w:val="00BD4B33"/>
    <w:rsid w:val="00BD5E10"/>
    <w:rsid w:val="00BE03AE"/>
    <w:rsid w:val="00BE0A60"/>
    <w:rsid w:val="00BE113B"/>
    <w:rsid w:val="00BE3B0C"/>
    <w:rsid w:val="00BE4166"/>
    <w:rsid w:val="00BE4FC7"/>
    <w:rsid w:val="00BE55EA"/>
    <w:rsid w:val="00BE68C7"/>
    <w:rsid w:val="00BE6E41"/>
    <w:rsid w:val="00BE7CB0"/>
    <w:rsid w:val="00BF1056"/>
    <w:rsid w:val="00BF4946"/>
    <w:rsid w:val="00BF5C15"/>
    <w:rsid w:val="00BF65C5"/>
    <w:rsid w:val="00C00C59"/>
    <w:rsid w:val="00C01144"/>
    <w:rsid w:val="00C04593"/>
    <w:rsid w:val="00C055D1"/>
    <w:rsid w:val="00C071A1"/>
    <w:rsid w:val="00C127D3"/>
    <w:rsid w:val="00C161EC"/>
    <w:rsid w:val="00C16C1F"/>
    <w:rsid w:val="00C16D07"/>
    <w:rsid w:val="00C2010E"/>
    <w:rsid w:val="00C20CFF"/>
    <w:rsid w:val="00C218A6"/>
    <w:rsid w:val="00C24F3F"/>
    <w:rsid w:val="00C27947"/>
    <w:rsid w:val="00C31A10"/>
    <w:rsid w:val="00C33AC1"/>
    <w:rsid w:val="00C3415F"/>
    <w:rsid w:val="00C3424F"/>
    <w:rsid w:val="00C3472F"/>
    <w:rsid w:val="00C34C89"/>
    <w:rsid w:val="00C355CA"/>
    <w:rsid w:val="00C3721E"/>
    <w:rsid w:val="00C44206"/>
    <w:rsid w:val="00C44659"/>
    <w:rsid w:val="00C45362"/>
    <w:rsid w:val="00C45569"/>
    <w:rsid w:val="00C45F8A"/>
    <w:rsid w:val="00C469F6"/>
    <w:rsid w:val="00C46C72"/>
    <w:rsid w:val="00C52C71"/>
    <w:rsid w:val="00C53C94"/>
    <w:rsid w:val="00C54998"/>
    <w:rsid w:val="00C55716"/>
    <w:rsid w:val="00C57541"/>
    <w:rsid w:val="00C57C71"/>
    <w:rsid w:val="00C57FAE"/>
    <w:rsid w:val="00C60EFF"/>
    <w:rsid w:val="00C6437B"/>
    <w:rsid w:val="00C6766B"/>
    <w:rsid w:val="00C70768"/>
    <w:rsid w:val="00C71CA7"/>
    <w:rsid w:val="00C72DDD"/>
    <w:rsid w:val="00C74BA1"/>
    <w:rsid w:val="00C751CB"/>
    <w:rsid w:val="00C80B29"/>
    <w:rsid w:val="00C82C94"/>
    <w:rsid w:val="00C8356E"/>
    <w:rsid w:val="00C849F6"/>
    <w:rsid w:val="00C84E30"/>
    <w:rsid w:val="00C86F0B"/>
    <w:rsid w:val="00C901E2"/>
    <w:rsid w:val="00C90ABC"/>
    <w:rsid w:val="00C915EC"/>
    <w:rsid w:val="00C92131"/>
    <w:rsid w:val="00C96AEE"/>
    <w:rsid w:val="00C9792E"/>
    <w:rsid w:val="00CA1249"/>
    <w:rsid w:val="00CA3F3A"/>
    <w:rsid w:val="00CA49D7"/>
    <w:rsid w:val="00CA4C67"/>
    <w:rsid w:val="00CA73EB"/>
    <w:rsid w:val="00CA7AD5"/>
    <w:rsid w:val="00CB0ADE"/>
    <w:rsid w:val="00CB0BDB"/>
    <w:rsid w:val="00CB4F09"/>
    <w:rsid w:val="00CB75CF"/>
    <w:rsid w:val="00CC3CCC"/>
    <w:rsid w:val="00CC570B"/>
    <w:rsid w:val="00CC5EED"/>
    <w:rsid w:val="00CC60C6"/>
    <w:rsid w:val="00CC7EAF"/>
    <w:rsid w:val="00CD0542"/>
    <w:rsid w:val="00CD098A"/>
    <w:rsid w:val="00CD1F98"/>
    <w:rsid w:val="00CD4BCB"/>
    <w:rsid w:val="00CD5477"/>
    <w:rsid w:val="00CD6F8E"/>
    <w:rsid w:val="00CD7233"/>
    <w:rsid w:val="00CE0EA3"/>
    <w:rsid w:val="00CE10B6"/>
    <w:rsid w:val="00CE1B1C"/>
    <w:rsid w:val="00CE402A"/>
    <w:rsid w:val="00CE59F0"/>
    <w:rsid w:val="00CE5CEE"/>
    <w:rsid w:val="00CE602A"/>
    <w:rsid w:val="00CE69C6"/>
    <w:rsid w:val="00CF09BC"/>
    <w:rsid w:val="00CF3F57"/>
    <w:rsid w:val="00CF40DD"/>
    <w:rsid w:val="00CF499A"/>
    <w:rsid w:val="00CF6F72"/>
    <w:rsid w:val="00D0205A"/>
    <w:rsid w:val="00D02C10"/>
    <w:rsid w:val="00D04786"/>
    <w:rsid w:val="00D04B6A"/>
    <w:rsid w:val="00D06DCD"/>
    <w:rsid w:val="00D079A2"/>
    <w:rsid w:val="00D1053A"/>
    <w:rsid w:val="00D13309"/>
    <w:rsid w:val="00D143A6"/>
    <w:rsid w:val="00D14A4D"/>
    <w:rsid w:val="00D17DBD"/>
    <w:rsid w:val="00D200B1"/>
    <w:rsid w:val="00D21173"/>
    <w:rsid w:val="00D221DC"/>
    <w:rsid w:val="00D22FD4"/>
    <w:rsid w:val="00D233EF"/>
    <w:rsid w:val="00D238CE"/>
    <w:rsid w:val="00D26ECD"/>
    <w:rsid w:val="00D27B11"/>
    <w:rsid w:val="00D31E21"/>
    <w:rsid w:val="00D34D14"/>
    <w:rsid w:val="00D40A09"/>
    <w:rsid w:val="00D41ABC"/>
    <w:rsid w:val="00D43001"/>
    <w:rsid w:val="00D478C8"/>
    <w:rsid w:val="00D47CF5"/>
    <w:rsid w:val="00D5023F"/>
    <w:rsid w:val="00D518D6"/>
    <w:rsid w:val="00D51B19"/>
    <w:rsid w:val="00D524ED"/>
    <w:rsid w:val="00D52CC4"/>
    <w:rsid w:val="00D546F1"/>
    <w:rsid w:val="00D56DCB"/>
    <w:rsid w:val="00D572C0"/>
    <w:rsid w:val="00D57603"/>
    <w:rsid w:val="00D600DA"/>
    <w:rsid w:val="00D6082B"/>
    <w:rsid w:val="00D61687"/>
    <w:rsid w:val="00D62888"/>
    <w:rsid w:val="00D6323E"/>
    <w:rsid w:val="00D642FE"/>
    <w:rsid w:val="00D64775"/>
    <w:rsid w:val="00D6518A"/>
    <w:rsid w:val="00D65E78"/>
    <w:rsid w:val="00D65F06"/>
    <w:rsid w:val="00D67F5B"/>
    <w:rsid w:val="00D707A7"/>
    <w:rsid w:val="00D70EF1"/>
    <w:rsid w:val="00D71FCA"/>
    <w:rsid w:val="00D72981"/>
    <w:rsid w:val="00D73303"/>
    <w:rsid w:val="00D734F8"/>
    <w:rsid w:val="00D73A93"/>
    <w:rsid w:val="00D746B6"/>
    <w:rsid w:val="00D75763"/>
    <w:rsid w:val="00D81182"/>
    <w:rsid w:val="00D81A5B"/>
    <w:rsid w:val="00D81E2E"/>
    <w:rsid w:val="00D82F45"/>
    <w:rsid w:val="00D85E14"/>
    <w:rsid w:val="00D8717C"/>
    <w:rsid w:val="00D874DC"/>
    <w:rsid w:val="00D87945"/>
    <w:rsid w:val="00D904C4"/>
    <w:rsid w:val="00D910DC"/>
    <w:rsid w:val="00D931CE"/>
    <w:rsid w:val="00D9450C"/>
    <w:rsid w:val="00D968E8"/>
    <w:rsid w:val="00D979DB"/>
    <w:rsid w:val="00DA4899"/>
    <w:rsid w:val="00DA4C8D"/>
    <w:rsid w:val="00DB0179"/>
    <w:rsid w:val="00DB02E1"/>
    <w:rsid w:val="00DB0B99"/>
    <w:rsid w:val="00DB0C37"/>
    <w:rsid w:val="00DB1FD5"/>
    <w:rsid w:val="00DB24DF"/>
    <w:rsid w:val="00DB6901"/>
    <w:rsid w:val="00DB7639"/>
    <w:rsid w:val="00DC09E9"/>
    <w:rsid w:val="00DC1A35"/>
    <w:rsid w:val="00DC3063"/>
    <w:rsid w:val="00DC4621"/>
    <w:rsid w:val="00DC4828"/>
    <w:rsid w:val="00DC6319"/>
    <w:rsid w:val="00DC72B4"/>
    <w:rsid w:val="00DD6FC7"/>
    <w:rsid w:val="00DE27F0"/>
    <w:rsid w:val="00DE2AF5"/>
    <w:rsid w:val="00DE3070"/>
    <w:rsid w:val="00DE6321"/>
    <w:rsid w:val="00DE6A2A"/>
    <w:rsid w:val="00DE7C2F"/>
    <w:rsid w:val="00DF0C2F"/>
    <w:rsid w:val="00DF1199"/>
    <w:rsid w:val="00DF2596"/>
    <w:rsid w:val="00DF4B39"/>
    <w:rsid w:val="00DF551E"/>
    <w:rsid w:val="00DF58DF"/>
    <w:rsid w:val="00DF6659"/>
    <w:rsid w:val="00DF6FAE"/>
    <w:rsid w:val="00DF7526"/>
    <w:rsid w:val="00E01813"/>
    <w:rsid w:val="00E028BC"/>
    <w:rsid w:val="00E02F2D"/>
    <w:rsid w:val="00E07028"/>
    <w:rsid w:val="00E07E1A"/>
    <w:rsid w:val="00E07F2C"/>
    <w:rsid w:val="00E11FE4"/>
    <w:rsid w:val="00E14DE0"/>
    <w:rsid w:val="00E1627B"/>
    <w:rsid w:val="00E16731"/>
    <w:rsid w:val="00E17344"/>
    <w:rsid w:val="00E17E75"/>
    <w:rsid w:val="00E20CA4"/>
    <w:rsid w:val="00E2283A"/>
    <w:rsid w:val="00E2506A"/>
    <w:rsid w:val="00E26484"/>
    <w:rsid w:val="00E2702F"/>
    <w:rsid w:val="00E27421"/>
    <w:rsid w:val="00E30EE0"/>
    <w:rsid w:val="00E3235C"/>
    <w:rsid w:val="00E342F7"/>
    <w:rsid w:val="00E34A9C"/>
    <w:rsid w:val="00E41B2F"/>
    <w:rsid w:val="00E46991"/>
    <w:rsid w:val="00E47D1C"/>
    <w:rsid w:val="00E560E2"/>
    <w:rsid w:val="00E56DF3"/>
    <w:rsid w:val="00E57EAD"/>
    <w:rsid w:val="00E613FB"/>
    <w:rsid w:val="00E61DA3"/>
    <w:rsid w:val="00E61F85"/>
    <w:rsid w:val="00E621BF"/>
    <w:rsid w:val="00E66E1D"/>
    <w:rsid w:val="00E72673"/>
    <w:rsid w:val="00E74A80"/>
    <w:rsid w:val="00E75DCC"/>
    <w:rsid w:val="00E75DEE"/>
    <w:rsid w:val="00E842C0"/>
    <w:rsid w:val="00E86696"/>
    <w:rsid w:val="00E87A9C"/>
    <w:rsid w:val="00E912B6"/>
    <w:rsid w:val="00E92130"/>
    <w:rsid w:val="00E95F3C"/>
    <w:rsid w:val="00EA0A9E"/>
    <w:rsid w:val="00EA0CA0"/>
    <w:rsid w:val="00EA1707"/>
    <w:rsid w:val="00EA2F7B"/>
    <w:rsid w:val="00EA2FA4"/>
    <w:rsid w:val="00EA3B7C"/>
    <w:rsid w:val="00EA6137"/>
    <w:rsid w:val="00EA67DF"/>
    <w:rsid w:val="00EA776E"/>
    <w:rsid w:val="00EB03E4"/>
    <w:rsid w:val="00EB1FF0"/>
    <w:rsid w:val="00EB2057"/>
    <w:rsid w:val="00EB3CAD"/>
    <w:rsid w:val="00EB4F97"/>
    <w:rsid w:val="00EB5E56"/>
    <w:rsid w:val="00EB7271"/>
    <w:rsid w:val="00EB77FB"/>
    <w:rsid w:val="00EB7AE1"/>
    <w:rsid w:val="00EB7BC6"/>
    <w:rsid w:val="00EC024C"/>
    <w:rsid w:val="00EC0439"/>
    <w:rsid w:val="00EC0EF8"/>
    <w:rsid w:val="00EC11D5"/>
    <w:rsid w:val="00EC4C43"/>
    <w:rsid w:val="00EC74AE"/>
    <w:rsid w:val="00ED0153"/>
    <w:rsid w:val="00ED11B4"/>
    <w:rsid w:val="00ED214C"/>
    <w:rsid w:val="00ED2C1B"/>
    <w:rsid w:val="00ED2CB2"/>
    <w:rsid w:val="00ED54A3"/>
    <w:rsid w:val="00ED5900"/>
    <w:rsid w:val="00ED66F7"/>
    <w:rsid w:val="00ED6944"/>
    <w:rsid w:val="00EE0471"/>
    <w:rsid w:val="00EE1463"/>
    <w:rsid w:val="00EE168C"/>
    <w:rsid w:val="00EE49A4"/>
    <w:rsid w:val="00EE5514"/>
    <w:rsid w:val="00EE6C9C"/>
    <w:rsid w:val="00EF0A8C"/>
    <w:rsid w:val="00EF17CB"/>
    <w:rsid w:val="00EF1B88"/>
    <w:rsid w:val="00EF54E4"/>
    <w:rsid w:val="00F02BE4"/>
    <w:rsid w:val="00F0303A"/>
    <w:rsid w:val="00F03B21"/>
    <w:rsid w:val="00F0450C"/>
    <w:rsid w:val="00F04882"/>
    <w:rsid w:val="00F04B91"/>
    <w:rsid w:val="00F04E69"/>
    <w:rsid w:val="00F07242"/>
    <w:rsid w:val="00F07E08"/>
    <w:rsid w:val="00F07E5A"/>
    <w:rsid w:val="00F1013B"/>
    <w:rsid w:val="00F11272"/>
    <w:rsid w:val="00F12435"/>
    <w:rsid w:val="00F12DCF"/>
    <w:rsid w:val="00F14637"/>
    <w:rsid w:val="00F149F2"/>
    <w:rsid w:val="00F14A82"/>
    <w:rsid w:val="00F14BD8"/>
    <w:rsid w:val="00F14FD4"/>
    <w:rsid w:val="00F166F8"/>
    <w:rsid w:val="00F179C7"/>
    <w:rsid w:val="00F17FC4"/>
    <w:rsid w:val="00F20B6D"/>
    <w:rsid w:val="00F20C3E"/>
    <w:rsid w:val="00F20E8C"/>
    <w:rsid w:val="00F23251"/>
    <w:rsid w:val="00F2517D"/>
    <w:rsid w:val="00F30983"/>
    <w:rsid w:val="00F30DD8"/>
    <w:rsid w:val="00F31A23"/>
    <w:rsid w:val="00F33804"/>
    <w:rsid w:val="00F3432F"/>
    <w:rsid w:val="00F357B2"/>
    <w:rsid w:val="00F36463"/>
    <w:rsid w:val="00F37B6C"/>
    <w:rsid w:val="00F37FE2"/>
    <w:rsid w:val="00F416AE"/>
    <w:rsid w:val="00F417EF"/>
    <w:rsid w:val="00F432AD"/>
    <w:rsid w:val="00F44B4B"/>
    <w:rsid w:val="00F50509"/>
    <w:rsid w:val="00F516F4"/>
    <w:rsid w:val="00F51CFF"/>
    <w:rsid w:val="00F52BDA"/>
    <w:rsid w:val="00F5465D"/>
    <w:rsid w:val="00F56B71"/>
    <w:rsid w:val="00F56D3B"/>
    <w:rsid w:val="00F57AF4"/>
    <w:rsid w:val="00F61006"/>
    <w:rsid w:val="00F628EC"/>
    <w:rsid w:val="00F65405"/>
    <w:rsid w:val="00F65F01"/>
    <w:rsid w:val="00F66394"/>
    <w:rsid w:val="00F66AD3"/>
    <w:rsid w:val="00F66B81"/>
    <w:rsid w:val="00F67283"/>
    <w:rsid w:val="00F70DBD"/>
    <w:rsid w:val="00F71164"/>
    <w:rsid w:val="00F7126E"/>
    <w:rsid w:val="00F722B9"/>
    <w:rsid w:val="00F722BB"/>
    <w:rsid w:val="00F72348"/>
    <w:rsid w:val="00F72FC8"/>
    <w:rsid w:val="00F732F9"/>
    <w:rsid w:val="00F73394"/>
    <w:rsid w:val="00F73CD6"/>
    <w:rsid w:val="00F74580"/>
    <w:rsid w:val="00F7616C"/>
    <w:rsid w:val="00F76513"/>
    <w:rsid w:val="00F7716E"/>
    <w:rsid w:val="00F77E8E"/>
    <w:rsid w:val="00F81B79"/>
    <w:rsid w:val="00F85C33"/>
    <w:rsid w:val="00F9103B"/>
    <w:rsid w:val="00F914E9"/>
    <w:rsid w:val="00F91991"/>
    <w:rsid w:val="00F9303E"/>
    <w:rsid w:val="00F9340C"/>
    <w:rsid w:val="00F93504"/>
    <w:rsid w:val="00F93C13"/>
    <w:rsid w:val="00F97477"/>
    <w:rsid w:val="00FA09B8"/>
    <w:rsid w:val="00FA22E6"/>
    <w:rsid w:val="00FA3946"/>
    <w:rsid w:val="00FA40BC"/>
    <w:rsid w:val="00FA4329"/>
    <w:rsid w:val="00FA4627"/>
    <w:rsid w:val="00FA4A1B"/>
    <w:rsid w:val="00FA53F1"/>
    <w:rsid w:val="00FA5849"/>
    <w:rsid w:val="00FA7850"/>
    <w:rsid w:val="00FA7E58"/>
    <w:rsid w:val="00FB1BE5"/>
    <w:rsid w:val="00FB2184"/>
    <w:rsid w:val="00FB44CF"/>
    <w:rsid w:val="00FB48A0"/>
    <w:rsid w:val="00FB48E7"/>
    <w:rsid w:val="00FB62CE"/>
    <w:rsid w:val="00FB732E"/>
    <w:rsid w:val="00FC0D30"/>
    <w:rsid w:val="00FC26B6"/>
    <w:rsid w:val="00FC3188"/>
    <w:rsid w:val="00FC4265"/>
    <w:rsid w:val="00FC528D"/>
    <w:rsid w:val="00FC5E40"/>
    <w:rsid w:val="00FC638D"/>
    <w:rsid w:val="00FD154D"/>
    <w:rsid w:val="00FD5AD2"/>
    <w:rsid w:val="00FD5E90"/>
    <w:rsid w:val="00FD64CA"/>
    <w:rsid w:val="00FD76F5"/>
    <w:rsid w:val="00FE013C"/>
    <w:rsid w:val="00FE141F"/>
    <w:rsid w:val="00FE2248"/>
    <w:rsid w:val="00FE61B7"/>
    <w:rsid w:val="00FE6ADF"/>
    <w:rsid w:val="00FE7720"/>
    <w:rsid w:val="00FE7955"/>
    <w:rsid w:val="00FE7DCC"/>
    <w:rsid w:val="00FF0674"/>
    <w:rsid w:val="00FF0DBE"/>
    <w:rsid w:val="00FF26BE"/>
    <w:rsid w:val="00FF34AA"/>
    <w:rsid w:val="00FF5DCC"/>
    <w:rsid w:val="00FF620A"/>
    <w:rsid w:val="00FF659B"/>
    <w:rsid w:val="00FF669C"/>
    <w:rsid w:val="00FF79A5"/>
    <w:rsid w:val="00FF7DB3"/>
    <w:rsid w:val="2F2ED697"/>
    <w:rsid w:val="5A4BC1A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254BD"/>
  <w15:docId w15:val="{337563FD-9F88-4F92-B0CE-5881FB963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674"/>
    <w:pPr>
      <w:jc w:val="both"/>
    </w:pPr>
    <w:rPr>
      <w:rFonts w:ascii="Times New Roman" w:eastAsia="Times New Roman" w:hAnsi="Times New Roman"/>
      <w:color w:val="000000"/>
      <w:sz w:val="24"/>
      <w:lang w:eastAsia="de-DE"/>
    </w:rPr>
  </w:style>
  <w:style w:type="paragraph" w:styleId="Heading1">
    <w:name w:val="heading 1"/>
    <w:link w:val="Heading1Char"/>
    <w:uiPriority w:val="9"/>
    <w:qFormat/>
    <w:rsid w:val="00F17FC4"/>
    <w:pPr>
      <w:spacing w:before="360" w:after="200" w:line="312" w:lineRule="auto"/>
      <w:outlineLvl w:val="0"/>
    </w:pPr>
    <w:rPr>
      <w:rFonts w:ascii="Times New Roman" w:eastAsia="Times New Roman" w:hAnsi="Times New Roman"/>
      <w:b/>
      <w:bCs/>
      <w:color w:val="000000"/>
      <w:sz w:val="32"/>
      <w:szCs w:val="32"/>
      <w:lang w:val="en-CA" w:eastAsia="en-CA"/>
    </w:rPr>
  </w:style>
  <w:style w:type="paragraph" w:styleId="Heading2">
    <w:name w:val="heading 2"/>
    <w:basedOn w:val="Normal"/>
    <w:next w:val="Normal"/>
    <w:link w:val="Heading2Char"/>
    <w:uiPriority w:val="9"/>
    <w:semiHidden/>
    <w:unhideWhenUsed/>
    <w:qFormat/>
    <w:rsid w:val="00EB1FF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F362B"/>
    <w:pPr>
      <w:keepNext/>
      <w:keepLines/>
      <w:spacing w:before="4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4F362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PWT11articletype">
    <w:name w:val="SSPWT1.1_article_type"/>
    <w:basedOn w:val="SSPWT31text"/>
    <w:next w:val="SSPWT12title"/>
    <w:link w:val="SSPWT11articletype0"/>
    <w:qFormat/>
    <w:pPr>
      <w:spacing w:before="240" w:line="240" w:lineRule="auto"/>
      <w:ind w:firstLine="0"/>
      <w:jc w:val="left"/>
    </w:pPr>
    <w:rPr>
      <w:i/>
    </w:rPr>
  </w:style>
  <w:style w:type="paragraph" w:customStyle="1" w:styleId="SSPWT12title">
    <w:name w:val="SSPWT1.2_title"/>
    <w:next w:val="SSPWT13authornames"/>
    <w:link w:val="SSPWT12title0"/>
    <w:qFormat/>
    <w:pPr>
      <w:adjustRightInd w:val="0"/>
      <w:snapToGrid w:val="0"/>
      <w:spacing w:after="240" w:line="400" w:lineRule="exact"/>
    </w:pPr>
    <w:rPr>
      <w:rFonts w:ascii="Palatino Linotype" w:eastAsia="Times New Roman" w:hAnsi="Palatino Linotype"/>
      <w:b/>
      <w:snapToGrid w:val="0"/>
      <w:color w:val="000000"/>
      <w:sz w:val="36"/>
      <w:lang w:eastAsia="de-DE" w:bidi="en-US"/>
    </w:rPr>
  </w:style>
  <w:style w:type="paragraph" w:customStyle="1" w:styleId="SSPWT13authornames">
    <w:name w:val="SSPWT_1.3_authornames"/>
    <w:basedOn w:val="SSPWT31text"/>
    <w:next w:val="SSPWT14history"/>
    <w:link w:val="SSPWT13authornames0"/>
    <w:pPr>
      <w:spacing w:after="120"/>
      <w:ind w:firstLine="0"/>
      <w:jc w:val="left"/>
    </w:pPr>
    <w:rPr>
      <w:b/>
      <w:snapToGrid/>
    </w:rPr>
  </w:style>
  <w:style w:type="paragraph" w:customStyle="1" w:styleId="SSPWT14history">
    <w:name w:val="SSPWT_1.4_history"/>
    <w:basedOn w:val="Acknowledgments"/>
    <w:next w:val="Normal"/>
    <w:link w:val="SSPWT14history0"/>
    <w:pPr>
      <w:ind w:left="113"/>
      <w:jc w:val="left"/>
    </w:pPr>
    <w:rPr>
      <w:snapToGrid/>
    </w:rPr>
  </w:style>
  <w:style w:type="paragraph" w:customStyle="1" w:styleId="SSPWT16affiliation">
    <w:name w:val="SSPWT_1.6_affiliation"/>
    <w:basedOn w:val="Acknowledgments"/>
    <w:link w:val="SSPWT16affiliation0"/>
    <w:pPr>
      <w:spacing w:before="0"/>
      <w:ind w:left="311" w:hanging="198"/>
      <w:jc w:val="left"/>
    </w:pPr>
    <w:rPr>
      <w:snapToGrid/>
      <w:szCs w:val="18"/>
    </w:rPr>
  </w:style>
  <w:style w:type="paragraph" w:customStyle="1" w:styleId="SSPWT17abstract">
    <w:name w:val="SSPWT_1.7_abstract"/>
    <w:basedOn w:val="SSPWT31text"/>
    <w:next w:val="SSPWT18keywords"/>
    <w:link w:val="SSPWT17abstract0"/>
    <w:qFormat/>
    <w:pPr>
      <w:spacing w:before="240"/>
      <w:ind w:left="113" w:firstLine="0"/>
    </w:pPr>
    <w:rPr>
      <w:snapToGrid/>
    </w:rPr>
  </w:style>
  <w:style w:type="paragraph" w:customStyle="1" w:styleId="SSPWT18keywords">
    <w:name w:val="SSPWT_1.8_keywords"/>
    <w:basedOn w:val="SSPWT31text"/>
    <w:next w:val="Normal"/>
    <w:qFormat/>
    <w:pPr>
      <w:spacing w:before="240"/>
      <w:ind w:left="113" w:firstLine="0"/>
    </w:pPr>
  </w:style>
  <w:style w:type="paragraph" w:customStyle="1" w:styleId="SSPWT19line">
    <w:name w:val="SSPWT_1.9_line"/>
    <w:basedOn w:val="SSPWT31text"/>
    <w:link w:val="SSPWT19line0"/>
    <w:qFormat/>
    <w:pPr>
      <w:pBdr>
        <w:bottom w:val="single" w:sz="6" w:space="1" w:color="auto"/>
      </w:pBdr>
      <w:ind w:firstLine="0"/>
    </w:pPr>
    <w:rPr>
      <w:snapToGrid/>
      <w:szCs w:val="24"/>
    </w:rPr>
  </w:style>
  <w:style w:type="table" w:customStyle="1" w:styleId="Mdeck5tablebodythreelines">
    <w:name w:val="M_deck_5_table_body_three_lines"/>
    <w:basedOn w:val="TableNormal"/>
    <w:uiPriority w:val="9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Autospacing="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pPr>
      <w:tabs>
        <w:tab w:val="center" w:pos="4153"/>
        <w:tab w:val="right" w:pos="8306"/>
      </w:tabs>
      <w:snapToGrid w:val="0"/>
      <w:spacing w:line="240" w:lineRule="atLeast"/>
    </w:pPr>
    <w:rPr>
      <w:sz w:val="18"/>
      <w:szCs w:val="18"/>
    </w:rPr>
  </w:style>
  <w:style w:type="character" w:customStyle="1" w:styleId="FooterChar">
    <w:name w:val="Footer Char"/>
    <w:link w:val="Footer"/>
    <w:uiPriority w:val="99"/>
    <w:rPr>
      <w:rFonts w:ascii="Times New Roman" w:eastAsia="Times New Roman" w:hAnsi="Times New Roman" w:cs="Times New Roman"/>
      <w:color w:val="000000"/>
      <w:kern w:val="0"/>
      <w:sz w:val="18"/>
      <w:szCs w:val="18"/>
      <w:lang w:eastAsia="de-DE"/>
    </w:rPr>
  </w:style>
  <w:style w:type="paragraph" w:styleId="Header">
    <w:name w:val="header"/>
    <w:basedOn w:val="Normal"/>
    <w:link w:val="HeaderChar"/>
    <w:uiPriority w:val="99"/>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uiPriority w:val="99"/>
    <w:rPr>
      <w:rFonts w:ascii="Times New Roman" w:eastAsia="Times New Roman" w:hAnsi="Times New Roman" w:cs="Times New Roman"/>
      <w:color w:val="000000"/>
      <w:kern w:val="0"/>
      <w:sz w:val="18"/>
      <w:szCs w:val="18"/>
      <w:lang w:eastAsia="de-DE"/>
    </w:rPr>
  </w:style>
  <w:style w:type="paragraph" w:customStyle="1" w:styleId="SSPWTheaderjournallogo">
    <w:name w:val="SSPWT_header_journal_logo"/>
    <w:qFormat/>
    <w:pPr>
      <w:adjustRightInd w:val="0"/>
      <w:snapToGrid w:val="0"/>
    </w:pPr>
    <w:rPr>
      <w:rFonts w:ascii="Palatino Linotype" w:eastAsia="Times New Roman" w:hAnsi="Palatino Linotype"/>
      <w:i/>
      <w:color w:val="000000"/>
      <w:sz w:val="24"/>
      <w:szCs w:val="22"/>
      <w:lang w:eastAsia="de-CH"/>
    </w:rPr>
  </w:style>
  <w:style w:type="paragraph" w:customStyle="1" w:styleId="SSPWT32textnoindent">
    <w:name w:val="SSPWT_3.2_text_no_indent"/>
    <w:basedOn w:val="SSPWT31text"/>
    <w:qFormat/>
    <w:pPr>
      <w:ind w:firstLine="0"/>
    </w:pPr>
  </w:style>
  <w:style w:type="paragraph" w:customStyle="1" w:styleId="SSPWT33textspaceafter">
    <w:name w:val="SSPWT_3.3_text_space_after"/>
    <w:basedOn w:val="SSPWT31text"/>
    <w:qFormat/>
    <w:pPr>
      <w:spacing w:after="240"/>
    </w:pPr>
  </w:style>
  <w:style w:type="paragraph" w:customStyle="1" w:styleId="SSPWT35textbeforelist">
    <w:name w:val="SSPWT_3.5_text_before_list"/>
    <w:basedOn w:val="SSPWT31text"/>
    <w:qFormat/>
    <w:pPr>
      <w:spacing w:after="120"/>
    </w:pPr>
  </w:style>
  <w:style w:type="paragraph" w:customStyle="1" w:styleId="SSPWT36textafterlist">
    <w:name w:val="SSPWT_3.6_text_after_list"/>
    <w:basedOn w:val="SSPWT31text"/>
    <w:qFormat/>
    <w:pPr>
      <w:spacing w:before="120"/>
    </w:pPr>
  </w:style>
  <w:style w:type="paragraph" w:customStyle="1" w:styleId="SSPWT37itemize">
    <w:name w:val="SSPWT_3.7_itemize"/>
    <w:basedOn w:val="SSPWT31text"/>
    <w:qFormat/>
    <w:pPr>
      <w:numPr>
        <w:numId w:val="1"/>
      </w:numPr>
      <w:ind w:left="425" w:hanging="425"/>
    </w:pPr>
  </w:style>
  <w:style w:type="paragraph" w:customStyle="1" w:styleId="SSPWT38bullet">
    <w:name w:val="SSPWT_3.8_bullet"/>
    <w:basedOn w:val="SSPWT31text"/>
    <w:link w:val="SSPWT38bullet0"/>
    <w:qFormat/>
    <w:pPr>
      <w:numPr>
        <w:numId w:val="2"/>
      </w:numPr>
      <w:ind w:left="425" w:hanging="425"/>
    </w:pPr>
  </w:style>
  <w:style w:type="paragraph" w:customStyle="1" w:styleId="Equation">
    <w:name w:val="Equation"/>
    <w:basedOn w:val="Text"/>
    <w:qFormat/>
    <w:pPr>
      <w:spacing w:before="120" w:after="120"/>
      <w:ind w:left="709" w:firstLine="0"/>
      <w:jc w:val="center"/>
    </w:pPr>
  </w:style>
  <w:style w:type="paragraph" w:customStyle="1" w:styleId="EquationNumber">
    <w:name w:val="Equation Number"/>
    <w:basedOn w:val="Text"/>
    <w:qFormat/>
    <w:pPr>
      <w:spacing w:before="120" w:after="120" w:line="260" w:lineRule="atLeast"/>
      <w:ind w:firstLine="0"/>
      <w:jc w:val="right"/>
    </w:pPr>
  </w:style>
  <w:style w:type="paragraph" w:customStyle="1" w:styleId="Acknowledgments">
    <w:name w:val="Acknowledgments"/>
    <w:link w:val="Acknowledgments0"/>
    <w:qFormat/>
    <w:pPr>
      <w:adjustRightInd w:val="0"/>
      <w:snapToGrid w:val="0"/>
      <w:spacing w:before="360" w:after="240" w:line="300" w:lineRule="auto"/>
      <w:jc w:val="both"/>
    </w:pPr>
    <w:rPr>
      <w:rFonts w:ascii="Times New Roman" w:eastAsia="Times New Roman" w:hAnsi="Times New Roman"/>
      <w:snapToGrid w:val="0"/>
      <w:color w:val="000000"/>
      <w:sz w:val="22"/>
      <w:szCs w:val="22"/>
      <w:lang w:eastAsia="de-DE" w:bidi="en-US"/>
    </w:rPr>
  </w:style>
  <w:style w:type="paragraph" w:customStyle="1" w:styleId="SSPWT41tablecaption">
    <w:name w:val="SSPWT_4.1_table_caption"/>
    <w:basedOn w:val="Acknowledgments"/>
    <w:link w:val="SSPWT41tablecaption0"/>
    <w:qFormat/>
    <w:pPr>
      <w:spacing w:before="240" w:after="120" w:line="260" w:lineRule="atLeast"/>
      <w:ind w:left="425" w:right="425"/>
    </w:pPr>
    <w:rPr>
      <w:snapToGrid/>
    </w:rPr>
  </w:style>
  <w:style w:type="paragraph" w:customStyle="1" w:styleId="TableBody">
    <w:name w:val="Table Body"/>
    <w:qFormat/>
    <w:pPr>
      <w:adjustRightInd w:val="0"/>
      <w:snapToGrid w:val="0"/>
      <w:jc w:val="center"/>
    </w:pPr>
    <w:rPr>
      <w:rFonts w:ascii="Times New Roman" w:eastAsia="Times New Roman" w:hAnsi="Times New Roman"/>
      <w:snapToGrid w:val="0"/>
      <w:color w:val="000000"/>
      <w:sz w:val="22"/>
      <w:lang w:eastAsia="de-DE" w:bidi="en-US"/>
    </w:rPr>
  </w:style>
  <w:style w:type="paragraph" w:customStyle="1" w:styleId="TableFooter">
    <w:name w:val="Table_Footer"/>
    <w:next w:val="Text"/>
    <w:qFormat/>
    <w:pPr>
      <w:spacing w:after="240"/>
      <w:jc w:val="center"/>
    </w:pPr>
    <w:rPr>
      <w:rFonts w:ascii="Times New Roman" w:eastAsia="Times New Roman" w:hAnsi="Times New Roman"/>
      <w:color w:val="000000"/>
      <w:szCs w:val="22"/>
      <w:lang w:eastAsia="de-DE" w:bidi="en-US"/>
    </w:rPr>
  </w:style>
  <w:style w:type="paragraph" w:customStyle="1" w:styleId="SSPWT51figurecaption">
    <w:name w:val="SSPWT_5.1_figure_caption"/>
    <w:basedOn w:val="Acknowledgments"/>
    <w:link w:val="SSPWT51figurecaption0"/>
    <w:qFormat/>
    <w:pPr>
      <w:spacing w:line="260" w:lineRule="atLeast"/>
      <w:ind w:left="425" w:right="425"/>
    </w:pPr>
    <w:rPr>
      <w:snapToGrid/>
    </w:rPr>
  </w:style>
  <w:style w:type="paragraph" w:customStyle="1" w:styleId="SSPWT52figure">
    <w:name w:val="SSPWT_5.2_figure"/>
    <w:link w:val="SSPWT52figure0"/>
    <w:qFormat/>
    <w:pPr>
      <w:jc w:val="center"/>
    </w:pPr>
    <w:rPr>
      <w:rFonts w:ascii="Palatino Linotype" w:eastAsia="Times New Roman" w:hAnsi="Palatino Linotype"/>
      <w:snapToGrid w:val="0"/>
      <w:color w:val="000000"/>
      <w:sz w:val="24"/>
      <w:lang w:eastAsia="de-DE" w:bidi="en-US"/>
    </w:rPr>
  </w:style>
  <w:style w:type="paragraph" w:customStyle="1" w:styleId="SSPWT61Supplementary">
    <w:name w:val="SSPWT_6.1_Supplementary"/>
    <w:basedOn w:val="Acknowledgments"/>
    <w:qFormat/>
    <w:pPr>
      <w:spacing w:before="240"/>
    </w:pPr>
    <w:rPr>
      <w:lang w:eastAsia="en-US"/>
    </w:rPr>
  </w:style>
  <w:style w:type="paragraph" w:customStyle="1" w:styleId="SSPWT63AuthorContributions">
    <w:name w:val="SSPWT_6.3_AuthorContributions"/>
    <w:basedOn w:val="Acknowledgments"/>
    <w:qFormat/>
    <w:rPr>
      <w:rFonts w:eastAsia="SimSun"/>
      <w:color w:val="auto"/>
      <w:lang w:eastAsia="en-US"/>
    </w:rPr>
  </w:style>
  <w:style w:type="paragraph" w:customStyle="1" w:styleId="SSPWT64CoI">
    <w:name w:val="SSPWT_6.4_CoI"/>
    <w:basedOn w:val="Acknowledgments"/>
    <w:qFormat/>
  </w:style>
  <w:style w:type="paragraph" w:customStyle="1" w:styleId="SSPWT31text">
    <w:name w:val="SSPWT_3.1_text"/>
    <w:link w:val="SSPWT31text0"/>
    <w:qFormat/>
    <w:pPr>
      <w:adjustRightInd w:val="0"/>
      <w:snapToGrid w:val="0"/>
      <w:spacing w:line="260" w:lineRule="atLeast"/>
      <w:ind w:firstLine="425"/>
      <w:jc w:val="both"/>
    </w:pPr>
    <w:rPr>
      <w:rFonts w:ascii="Palatino Linotype" w:eastAsia="Times New Roman" w:hAnsi="Palatino Linotype"/>
      <w:snapToGrid w:val="0"/>
      <w:color w:val="000000"/>
      <w:szCs w:val="22"/>
      <w:lang w:eastAsia="de-DE" w:bidi="en-US"/>
    </w:rPr>
  </w:style>
  <w:style w:type="paragraph" w:customStyle="1" w:styleId="SSPWT23heading3">
    <w:name w:val="SSPWT_2.3_heading3"/>
    <w:basedOn w:val="SSPWT31text"/>
    <w:link w:val="SSPWT23heading30"/>
    <w:qFormat/>
    <w:pPr>
      <w:spacing w:before="240" w:after="120"/>
      <w:ind w:firstLine="0"/>
      <w:jc w:val="left"/>
      <w:outlineLvl w:val="2"/>
    </w:pPr>
  </w:style>
  <w:style w:type="paragraph" w:customStyle="1" w:styleId="SSPWT21heading1">
    <w:name w:val="SSPWT_2.1_heading1"/>
    <w:basedOn w:val="SSPWT23heading3"/>
    <w:link w:val="SSPWT21heading10"/>
    <w:qFormat/>
    <w:pPr>
      <w:outlineLvl w:val="0"/>
    </w:pPr>
    <w:rPr>
      <w:b/>
    </w:rPr>
  </w:style>
  <w:style w:type="paragraph" w:customStyle="1" w:styleId="SSPWT22heading2">
    <w:name w:val="SSPWT_2.2_heading2"/>
    <w:basedOn w:val="Normal"/>
    <w:qFormat/>
    <w:pPr>
      <w:kinsoku w:val="0"/>
      <w:overflowPunct w:val="0"/>
      <w:autoSpaceDE w:val="0"/>
      <w:autoSpaceDN w:val="0"/>
      <w:adjustRightInd w:val="0"/>
      <w:snapToGrid w:val="0"/>
      <w:spacing w:before="240" w:after="120" w:line="260" w:lineRule="atLeast"/>
      <w:jc w:val="left"/>
      <w:outlineLvl w:val="1"/>
    </w:pPr>
    <w:rPr>
      <w:rFonts w:ascii="Palatino Linotype" w:hAnsi="Palatino Linotype"/>
      <w:i/>
      <w:noProof/>
      <w:snapToGrid w:val="0"/>
      <w:sz w:val="20"/>
      <w:szCs w:val="22"/>
      <w:lang w:bidi="en-US"/>
    </w:rPr>
  </w:style>
  <w:style w:type="paragraph" w:customStyle="1" w:styleId="References">
    <w:name w:val="References"/>
    <w:basedOn w:val="Acknowledgments"/>
    <w:qFormat/>
    <w:pPr>
      <w:numPr>
        <w:numId w:val="3"/>
      </w:numPr>
      <w:spacing w:before="0" w:after="120" w:line="260" w:lineRule="atLeast"/>
      <w:ind w:left="357" w:hanging="357"/>
    </w:pPr>
  </w:style>
  <w:style w:type="paragraph" w:styleId="BalloonText">
    <w:name w:val="Balloon Text"/>
    <w:basedOn w:val="Normal"/>
    <w:link w:val="BalloonTextChar"/>
    <w:uiPriority w:val="99"/>
    <w:rPr>
      <w:sz w:val="18"/>
      <w:szCs w:val="18"/>
    </w:rPr>
  </w:style>
  <w:style w:type="character" w:customStyle="1" w:styleId="BalloonTextChar">
    <w:name w:val="Balloon Text Char"/>
    <w:link w:val="BalloonText"/>
    <w:uiPriority w:val="9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tyle>
  <w:style w:type="table" w:customStyle="1" w:styleId="MDPI41threelinetable">
    <w:name w:val="MDPI_4.1_three_line_table"/>
    <w:basedOn w:val="TableNormal"/>
    <w:uiPriority w:val="99"/>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Segoe UI Light" w:hAnsi="Segoe UI Light"/>
        <w:b/>
        <w:i w:val="0"/>
        <w:sz w:val="20"/>
      </w:rPr>
      <w:tblPr/>
      <w:tcPr>
        <w:tcBorders>
          <w:bottom w:val="single" w:sz="4" w:space="0" w:color="auto"/>
        </w:tcBorders>
      </w:tcPr>
    </w:tblStylePr>
  </w:style>
  <w:style w:type="character" w:styleId="Hyperlink">
    <w:name w:val="Hyperlink"/>
    <w:uiPriority w:val="99"/>
    <w:rPr>
      <w:color w:val="0563C1"/>
      <w:u w:val="single"/>
    </w:rPr>
  </w:style>
  <w:style w:type="character" w:customStyle="1" w:styleId="1">
    <w:name w:val="未处理的提及1"/>
    <w:uiPriority w:val="99"/>
    <w:rPr>
      <w:color w:val="605E5C"/>
      <w:shd w:val="clear" w:color="auto" w:fill="E1DFDD"/>
    </w:rPr>
  </w:style>
  <w:style w:type="table" w:customStyle="1" w:styleId="41">
    <w:name w:val="无格式表格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CommentReference">
    <w:name w:val="annotation reference"/>
    <w:basedOn w:val="DefaultParagraphFont"/>
    <w:uiPriority w:val="99"/>
    <w:rPr>
      <w:sz w:val="21"/>
      <w:szCs w:val="21"/>
    </w:rPr>
  </w:style>
  <w:style w:type="paragraph" w:styleId="CommentText">
    <w:name w:val="annotation text"/>
    <w:basedOn w:val="Normal"/>
    <w:link w:val="CommentTextChar"/>
    <w:uiPriority w:val="99"/>
    <w:pPr>
      <w:jc w:val="left"/>
    </w:pPr>
  </w:style>
  <w:style w:type="character" w:customStyle="1" w:styleId="CommentTextChar">
    <w:name w:val="Comment Text Char"/>
    <w:basedOn w:val="DefaultParagraphFont"/>
    <w:link w:val="CommentText"/>
    <w:uiPriority w:val="99"/>
    <w:rPr>
      <w:rFonts w:ascii="Times New Roman" w:eastAsia="Times New Roman" w:hAnsi="Times New Roman"/>
      <w:color w:val="000000"/>
      <w:sz w:val="24"/>
      <w:lang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eastAsia="Times New Roman" w:hAnsi="Times New Roman"/>
      <w:b/>
      <w:bCs/>
      <w:color w:val="000000"/>
      <w:sz w:val="24"/>
      <w:lang w:eastAsia="de-DE"/>
    </w:rPr>
  </w:style>
  <w:style w:type="paragraph" w:customStyle="1" w:styleId="SSPWTAbstract">
    <w:name w:val="SSPWT_Abstract"/>
    <w:basedOn w:val="Normal"/>
    <w:next w:val="Normal"/>
    <w:pPr>
      <w:spacing w:before="360" w:after="360" w:line="480" w:lineRule="auto"/>
    </w:pPr>
    <w:rPr>
      <w:rFonts w:ascii="Times" w:eastAsia="SimSun" w:hAnsi="Times"/>
      <w:color w:val="auto"/>
      <w:lang w:eastAsia="en-US"/>
    </w:rPr>
  </w:style>
  <w:style w:type="paragraph" w:styleId="Revision">
    <w:name w:val="Revision"/>
    <w:uiPriority w:val="99"/>
    <w:rPr>
      <w:rFonts w:ascii="Times New Roman" w:eastAsia="Times New Roman" w:hAnsi="Times New Roman"/>
      <w:color w:val="000000"/>
      <w:sz w:val="24"/>
      <w:lang w:eastAsia="de-DE"/>
    </w:rPr>
  </w:style>
  <w:style w:type="paragraph" w:customStyle="1" w:styleId="PaperType">
    <w:name w:val="Paper Type"/>
    <w:basedOn w:val="SSPWT11articletype"/>
    <w:link w:val="PaperType0"/>
    <w:qFormat/>
    <w:rPr>
      <w:rFonts w:ascii="Times New Roman" w:hAnsi="Times New Roman"/>
    </w:rPr>
  </w:style>
  <w:style w:type="paragraph" w:customStyle="1" w:styleId="10">
    <w:name w:val="标题1"/>
    <w:link w:val="Title"/>
    <w:qFormat/>
    <w:pPr>
      <w:tabs>
        <w:tab w:val="left" w:pos="2687"/>
      </w:tabs>
      <w:spacing w:line="240" w:lineRule="atLeast"/>
      <w:jc w:val="center"/>
    </w:pPr>
    <w:rPr>
      <w:rFonts w:ascii="Times New Roman" w:eastAsia="Times New Roman" w:hAnsi="Times New Roman"/>
      <w:b/>
      <w:snapToGrid w:val="0"/>
      <w:color w:val="000000"/>
      <w:sz w:val="36"/>
      <w:lang w:eastAsia="de-DE" w:bidi="en-US"/>
    </w:rPr>
  </w:style>
  <w:style w:type="character" w:customStyle="1" w:styleId="SSPWT31text0">
    <w:name w:val="SSPWT_3.1_text 字符"/>
    <w:basedOn w:val="DefaultParagraphFont"/>
    <w:link w:val="SSPWT31text"/>
    <w:rPr>
      <w:rFonts w:ascii="Palatino Linotype" w:eastAsia="Times New Roman" w:hAnsi="Palatino Linotype"/>
      <w:snapToGrid w:val="0"/>
      <w:color w:val="000000"/>
      <w:szCs w:val="22"/>
      <w:lang w:eastAsia="de-DE" w:bidi="en-US"/>
    </w:rPr>
  </w:style>
  <w:style w:type="character" w:customStyle="1" w:styleId="SSPWT11articletype0">
    <w:name w:val="SSPWT1.1_article_type 字符"/>
    <w:basedOn w:val="SSPWT31text0"/>
    <w:link w:val="SSPWT11articletype"/>
    <w:rPr>
      <w:rFonts w:ascii="Palatino Linotype" w:eastAsia="Times New Roman" w:hAnsi="Palatino Linotype"/>
      <w:i/>
      <w:snapToGrid w:val="0"/>
      <w:color w:val="000000"/>
      <w:szCs w:val="22"/>
      <w:lang w:eastAsia="de-DE" w:bidi="en-US"/>
    </w:rPr>
  </w:style>
  <w:style w:type="character" w:customStyle="1" w:styleId="PaperType0">
    <w:name w:val="Paper Type 字符"/>
    <w:basedOn w:val="SSPWT11articletype0"/>
    <w:link w:val="PaperType"/>
    <w:rPr>
      <w:rFonts w:ascii="Times New Roman" w:eastAsia="Times New Roman" w:hAnsi="Times New Roman"/>
      <w:i/>
      <w:snapToGrid w:val="0"/>
      <w:color w:val="000000"/>
      <w:szCs w:val="22"/>
      <w:lang w:eastAsia="de-DE" w:bidi="en-US"/>
    </w:rPr>
  </w:style>
  <w:style w:type="paragraph" w:customStyle="1" w:styleId="AuthorNames">
    <w:name w:val="AuthorNames"/>
    <w:link w:val="AuthorNames0"/>
    <w:qFormat/>
    <w:pPr>
      <w:jc w:val="center"/>
    </w:pPr>
    <w:rPr>
      <w:rFonts w:ascii="Times New Roman" w:eastAsia="Times New Roman" w:hAnsi="Times New Roman"/>
      <w:b/>
      <w:color w:val="000000"/>
      <w:sz w:val="22"/>
      <w:szCs w:val="22"/>
      <w:lang w:eastAsia="de-DE" w:bidi="en-US"/>
    </w:rPr>
  </w:style>
  <w:style w:type="character" w:customStyle="1" w:styleId="SSPWT12title0">
    <w:name w:val="SSPWT1.2_title 字符"/>
    <w:basedOn w:val="DefaultParagraphFont"/>
    <w:link w:val="SSPWT12title"/>
    <w:rPr>
      <w:rFonts w:ascii="Palatino Linotype" w:eastAsia="Times New Roman" w:hAnsi="Palatino Linotype"/>
      <w:b/>
      <w:snapToGrid w:val="0"/>
      <w:color w:val="000000"/>
      <w:sz w:val="36"/>
      <w:lang w:eastAsia="de-DE" w:bidi="en-US"/>
    </w:rPr>
  </w:style>
  <w:style w:type="character" w:customStyle="1" w:styleId="Title">
    <w:name w:val="Title 字符"/>
    <w:basedOn w:val="SSPWT12title0"/>
    <w:link w:val="10"/>
    <w:rPr>
      <w:rFonts w:ascii="Times New Roman" w:eastAsia="Times New Roman" w:hAnsi="Times New Roman"/>
      <w:b/>
      <w:snapToGrid w:val="0"/>
      <w:color w:val="000000"/>
      <w:sz w:val="36"/>
      <w:lang w:eastAsia="de-DE" w:bidi="en-US"/>
    </w:rPr>
  </w:style>
  <w:style w:type="paragraph" w:customStyle="1" w:styleId="Affiliations">
    <w:name w:val="Affiliations"/>
    <w:link w:val="Affiliations0"/>
    <w:qFormat/>
    <w:pPr>
      <w:snapToGrid w:val="0"/>
      <w:spacing w:before="120" w:after="120"/>
      <w:jc w:val="center"/>
    </w:pPr>
    <w:rPr>
      <w:rFonts w:ascii="Times New Roman" w:eastAsia="Times New Roman" w:hAnsi="Times New Roman"/>
      <w:color w:val="000000"/>
      <w:sz w:val="22"/>
      <w:szCs w:val="18"/>
      <w:lang w:eastAsia="de-DE" w:bidi="en-US"/>
    </w:rPr>
  </w:style>
  <w:style w:type="character" w:customStyle="1" w:styleId="SSPWT13authornames0">
    <w:name w:val="SSPWT_1.3_authornames 字符"/>
    <w:basedOn w:val="SSPWT31text0"/>
    <w:link w:val="SSPWT13authornames"/>
    <w:rPr>
      <w:rFonts w:ascii="Palatino Linotype" w:eastAsia="Times New Roman" w:hAnsi="Palatino Linotype"/>
      <w:b/>
      <w:snapToGrid/>
      <w:color w:val="000000"/>
      <w:szCs w:val="22"/>
      <w:lang w:eastAsia="de-DE" w:bidi="en-US"/>
    </w:rPr>
  </w:style>
  <w:style w:type="character" w:customStyle="1" w:styleId="AuthorNames0">
    <w:name w:val="AuthorNames 字符"/>
    <w:basedOn w:val="SSPWT13authornames0"/>
    <w:link w:val="AuthorNames"/>
    <w:rPr>
      <w:rFonts w:ascii="Times New Roman" w:eastAsia="Times New Roman" w:hAnsi="Times New Roman"/>
      <w:b/>
      <w:snapToGrid/>
      <w:color w:val="000000"/>
      <w:sz w:val="22"/>
      <w:szCs w:val="22"/>
      <w:lang w:eastAsia="de-DE" w:bidi="en-US"/>
    </w:rPr>
  </w:style>
  <w:style w:type="paragraph" w:customStyle="1" w:styleId="Correspondence">
    <w:name w:val="Correspondence"/>
    <w:basedOn w:val="SSPWT14history"/>
    <w:link w:val="Correspondence0"/>
    <w:qFormat/>
    <w:pPr>
      <w:spacing w:before="120" w:after="120" w:line="240" w:lineRule="auto"/>
      <w:ind w:left="0"/>
      <w:jc w:val="center"/>
    </w:pPr>
  </w:style>
  <w:style w:type="character" w:customStyle="1" w:styleId="Acknowledgments0">
    <w:name w:val="Acknowledgments 字符"/>
    <w:basedOn w:val="DefaultParagraphFont"/>
    <w:link w:val="Acknowledgments"/>
    <w:rPr>
      <w:rFonts w:ascii="Times New Roman" w:eastAsia="Times New Roman" w:hAnsi="Times New Roman"/>
      <w:snapToGrid w:val="0"/>
      <w:color w:val="000000"/>
      <w:sz w:val="22"/>
      <w:szCs w:val="22"/>
      <w:lang w:eastAsia="de-DE" w:bidi="en-US"/>
    </w:rPr>
  </w:style>
  <w:style w:type="character" w:customStyle="1" w:styleId="SSPWT16affiliation0">
    <w:name w:val="SSPWT_1.6_affiliation 字符"/>
    <w:basedOn w:val="Acknowledgments0"/>
    <w:link w:val="SSPWT16affiliation"/>
    <w:rPr>
      <w:rFonts w:ascii="Times New Roman" w:eastAsia="Times New Roman" w:hAnsi="Times New Roman"/>
      <w:snapToGrid/>
      <w:color w:val="000000"/>
      <w:sz w:val="22"/>
      <w:szCs w:val="18"/>
      <w:lang w:eastAsia="de-DE" w:bidi="en-US"/>
    </w:rPr>
  </w:style>
  <w:style w:type="character" w:customStyle="1" w:styleId="Affiliations0">
    <w:name w:val="Affiliations 字符"/>
    <w:basedOn w:val="SSPWT16affiliation0"/>
    <w:link w:val="Affiliations"/>
    <w:rPr>
      <w:rFonts w:ascii="Times New Roman" w:eastAsia="Times New Roman" w:hAnsi="Times New Roman"/>
      <w:snapToGrid/>
      <w:color w:val="000000"/>
      <w:sz w:val="22"/>
      <w:szCs w:val="18"/>
      <w:lang w:eastAsia="de-DE" w:bidi="en-US"/>
    </w:rPr>
  </w:style>
  <w:style w:type="paragraph" w:customStyle="1" w:styleId="Abstract">
    <w:name w:val="Abstract"/>
    <w:link w:val="Abstract0"/>
    <w:qFormat/>
    <w:pPr>
      <w:spacing w:before="220" w:line="300" w:lineRule="auto"/>
      <w:jc w:val="both"/>
    </w:pPr>
    <w:rPr>
      <w:rFonts w:ascii="Times New Roman" w:eastAsia="Times New Roman" w:hAnsi="Times New Roman"/>
      <w:sz w:val="24"/>
      <w:szCs w:val="22"/>
      <w:lang w:eastAsia="de-DE" w:bidi="en-US"/>
    </w:rPr>
  </w:style>
  <w:style w:type="character" w:customStyle="1" w:styleId="SSPWT14history0">
    <w:name w:val="SSPWT_1.4_history 字符"/>
    <w:basedOn w:val="Acknowledgments0"/>
    <w:link w:val="SSPWT14history"/>
    <w:rPr>
      <w:rFonts w:ascii="Times New Roman" w:eastAsia="Times New Roman" w:hAnsi="Times New Roman"/>
      <w:snapToGrid/>
      <w:color w:val="000000"/>
      <w:sz w:val="22"/>
      <w:szCs w:val="22"/>
      <w:lang w:eastAsia="de-DE" w:bidi="en-US"/>
    </w:rPr>
  </w:style>
  <w:style w:type="character" w:customStyle="1" w:styleId="Correspondence0">
    <w:name w:val="Correspondence 字符"/>
    <w:basedOn w:val="SSPWT14history0"/>
    <w:link w:val="Correspondence"/>
    <w:rPr>
      <w:rFonts w:ascii="Times New Roman" w:eastAsia="Times New Roman" w:hAnsi="Times New Roman"/>
      <w:snapToGrid/>
      <w:color w:val="000000"/>
      <w:sz w:val="22"/>
      <w:szCs w:val="22"/>
      <w:lang w:eastAsia="de-DE" w:bidi="en-US"/>
    </w:rPr>
  </w:style>
  <w:style w:type="paragraph" w:customStyle="1" w:styleId="SeparationLine">
    <w:name w:val="Separation Line"/>
    <w:link w:val="SeparationLine0"/>
    <w:qFormat/>
    <w:pPr>
      <w:pBdr>
        <w:bottom w:val="single" w:sz="6" w:space="1" w:color="auto"/>
      </w:pBdr>
      <w:adjustRightInd w:val="0"/>
      <w:snapToGrid w:val="0"/>
      <w:spacing w:line="260" w:lineRule="atLeast"/>
      <w:jc w:val="both"/>
    </w:pPr>
    <w:rPr>
      <w:rFonts w:ascii="Times New Roman" w:eastAsia="Times New Roman" w:hAnsi="Times New Roman"/>
      <w:color w:val="000000"/>
      <w:szCs w:val="24"/>
      <w:lang w:eastAsia="de-DE" w:bidi="en-US"/>
    </w:rPr>
  </w:style>
  <w:style w:type="character" w:customStyle="1" w:styleId="SSPWT17abstract0">
    <w:name w:val="SSPWT_1.7_abstract 字符"/>
    <w:basedOn w:val="SSPWT31text0"/>
    <w:link w:val="SSPWT17abstract"/>
    <w:rPr>
      <w:rFonts w:ascii="Palatino Linotype" w:eastAsia="Times New Roman" w:hAnsi="Palatino Linotype"/>
      <w:snapToGrid/>
      <w:color w:val="000000"/>
      <w:szCs w:val="22"/>
      <w:lang w:eastAsia="de-DE" w:bidi="en-US"/>
    </w:rPr>
  </w:style>
  <w:style w:type="character" w:customStyle="1" w:styleId="Abstract0">
    <w:name w:val="Abstract 字符"/>
    <w:basedOn w:val="SSPWT17abstract0"/>
    <w:link w:val="Abstract"/>
    <w:rPr>
      <w:rFonts w:ascii="Times New Roman" w:eastAsia="Times New Roman" w:hAnsi="Times New Roman"/>
      <w:snapToGrid/>
      <w:color w:val="000000"/>
      <w:sz w:val="24"/>
      <w:szCs w:val="22"/>
      <w:lang w:eastAsia="de-DE" w:bidi="en-US"/>
    </w:rPr>
  </w:style>
  <w:style w:type="paragraph" w:customStyle="1" w:styleId="Heading10">
    <w:name w:val="Heading1"/>
    <w:link w:val="Heading11"/>
    <w:qFormat/>
    <w:pPr>
      <w:adjustRightInd w:val="0"/>
      <w:snapToGrid w:val="0"/>
      <w:spacing w:before="360" w:after="240"/>
      <w:outlineLvl w:val="0"/>
    </w:pPr>
    <w:rPr>
      <w:rFonts w:ascii="Times New Roman" w:eastAsia="Times New Roman" w:hAnsi="Times New Roman"/>
      <w:b/>
      <w:snapToGrid w:val="0"/>
      <w:color w:val="000000"/>
      <w:sz w:val="24"/>
      <w:szCs w:val="22"/>
      <w:lang w:eastAsia="de-DE" w:bidi="en-US"/>
    </w:rPr>
  </w:style>
  <w:style w:type="character" w:customStyle="1" w:styleId="SSPWT19line0">
    <w:name w:val="SSPWT_1.9_line 字符"/>
    <w:basedOn w:val="SSPWT31text0"/>
    <w:link w:val="SSPWT19line"/>
    <w:rPr>
      <w:rFonts w:ascii="Palatino Linotype" w:eastAsia="Times New Roman" w:hAnsi="Palatino Linotype"/>
      <w:snapToGrid/>
      <w:color w:val="000000"/>
      <w:szCs w:val="24"/>
      <w:lang w:eastAsia="de-DE" w:bidi="en-US"/>
    </w:rPr>
  </w:style>
  <w:style w:type="character" w:customStyle="1" w:styleId="SeparationLine0">
    <w:name w:val="Separation Line 字符"/>
    <w:basedOn w:val="SSPWT19line0"/>
    <w:link w:val="SeparationLine"/>
    <w:rPr>
      <w:rFonts w:ascii="Times New Roman" w:eastAsia="Times New Roman" w:hAnsi="Times New Roman"/>
      <w:snapToGrid/>
      <w:color w:val="000000"/>
      <w:szCs w:val="24"/>
      <w:lang w:eastAsia="de-DE" w:bidi="en-US"/>
    </w:rPr>
  </w:style>
  <w:style w:type="paragraph" w:customStyle="1" w:styleId="Text">
    <w:name w:val="Text"/>
    <w:link w:val="Text0"/>
    <w:qFormat/>
    <w:pPr>
      <w:snapToGrid w:val="0"/>
      <w:spacing w:line="300" w:lineRule="auto"/>
      <w:ind w:firstLine="425"/>
      <w:jc w:val="both"/>
    </w:pPr>
    <w:rPr>
      <w:rFonts w:ascii="Times New Roman" w:eastAsia="Times New Roman" w:hAnsi="Times New Roman"/>
      <w:snapToGrid w:val="0"/>
      <w:color w:val="000000"/>
      <w:sz w:val="24"/>
      <w:szCs w:val="22"/>
      <w:lang w:eastAsia="de-DE" w:bidi="en-US"/>
    </w:rPr>
  </w:style>
  <w:style w:type="character" w:customStyle="1" w:styleId="SSPWT23heading30">
    <w:name w:val="SSPWT_2.3_heading3 字符"/>
    <w:basedOn w:val="SSPWT31text0"/>
    <w:link w:val="SSPWT23heading3"/>
    <w:rPr>
      <w:rFonts w:ascii="Palatino Linotype" w:eastAsia="Times New Roman" w:hAnsi="Palatino Linotype"/>
      <w:snapToGrid w:val="0"/>
      <w:color w:val="000000"/>
      <w:szCs w:val="22"/>
      <w:lang w:eastAsia="de-DE" w:bidi="en-US"/>
    </w:rPr>
  </w:style>
  <w:style w:type="character" w:customStyle="1" w:styleId="SSPWT21heading10">
    <w:name w:val="SSPWT_2.1_heading1 字符"/>
    <w:basedOn w:val="SSPWT23heading30"/>
    <w:link w:val="SSPWT21heading1"/>
    <w:rPr>
      <w:rFonts w:ascii="Palatino Linotype" w:eastAsia="Times New Roman" w:hAnsi="Palatino Linotype"/>
      <w:b/>
      <w:snapToGrid w:val="0"/>
      <w:color w:val="000000"/>
      <w:szCs w:val="22"/>
      <w:lang w:eastAsia="de-DE" w:bidi="en-US"/>
    </w:rPr>
  </w:style>
  <w:style w:type="character" w:customStyle="1" w:styleId="Heading11">
    <w:name w:val="Heading1 字符"/>
    <w:basedOn w:val="SSPWT21heading10"/>
    <w:link w:val="Heading10"/>
    <w:rPr>
      <w:rFonts w:ascii="Times New Roman" w:eastAsia="Times New Roman" w:hAnsi="Times New Roman"/>
      <w:b/>
      <w:snapToGrid w:val="0"/>
      <w:color w:val="000000"/>
      <w:sz w:val="24"/>
      <w:szCs w:val="22"/>
      <w:lang w:eastAsia="de-DE" w:bidi="en-US"/>
    </w:rPr>
  </w:style>
  <w:style w:type="paragraph" w:customStyle="1" w:styleId="Heading20">
    <w:name w:val="Heading2"/>
    <w:link w:val="Heading21"/>
    <w:qFormat/>
    <w:pPr>
      <w:spacing w:before="240" w:after="240"/>
    </w:pPr>
    <w:rPr>
      <w:rFonts w:ascii="Times New Roman" w:eastAsia="Times New Roman" w:hAnsi="Times New Roman"/>
      <w:i/>
      <w:noProof/>
      <w:snapToGrid w:val="0"/>
      <w:color w:val="000000"/>
      <w:sz w:val="24"/>
      <w:szCs w:val="22"/>
      <w:lang w:eastAsia="de-DE" w:bidi="en-US"/>
    </w:rPr>
  </w:style>
  <w:style w:type="character" w:customStyle="1" w:styleId="Text0">
    <w:name w:val="Text 字符"/>
    <w:basedOn w:val="SSPWT31text0"/>
    <w:link w:val="Text"/>
    <w:rPr>
      <w:rFonts w:ascii="Times New Roman" w:eastAsia="Times New Roman" w:hAnsi="Times New Roman"/>
      <w:snapToGrid w:val="0"/>
      <w:color w:val="000000"/>
      <w:sz w:val="24"/>
      <w:szCs w:val="22"/>
      <w:lang w:eastAsia="de-DE" w:bidi="en-US"/>
    </w:rPr>
  </w:style>
  <w:style w:type="paragraph" w:customStyle="1" w:styleId="Heading30">
    <w:name w:val="Heading3"/>
    <w:link w:val="Heading31"/>
    <w:qFormat/>
    <w:pPr>
      <w:spacing w:before="120" w:after="120"/>
    </w:pPr>
    <w:rPr>
      <w:rFonts w:ascii="Times New Roman" w:eastAsia="Times New Roman" w:hAnsi="Times New Roman"/>
      <w:snapToGrid w:val="0"/>
      <w:color w:val="000000"/>
      <w:sz w:val="24"/>
      <w:szCs w:val="22"/>
      <w:lang w:eastAsia="de-DE" w:bidi="en-US"/>
    </w:rPr>
  </w:style>
  <w:style w:type="character" w:customStyle="1" w:styleId="Heading21">
    <w:name w:val="Heading2 字符"/>
    <w:basedOn w:val="DefaultParagraphFont"/>
    <w:link w:val="Heading20"/>
    <w:rPr>
      <w:rFonts w:ascii="Times New Roman" w:eastAsia="Times New Roman" w:hAnsi="Times New Roman"/>
      <w:i/>
      <w:noProof/>
      <w:snapToGrid w:val="0"/>
      <w:color w:val="000000"/>
      <w:sz w:val="24"/>
      <w:szCs w:val="22"/>
      <w:lang w:eastAsia="de-DE" w:bidi="en-US"/>
    </w:rPr>
  </w:style>
  <w:style w:type="paragraph" w:customStyle="1" w:styleId="Bullet">
    <w:name w:val="Bullet"/>
    <w:link w:val="Bullet0"/>
    <w:rPr>
      <w:rFonts w:ascii="Times New Roman" w:eastAsia="Times New Roman" w:hAnsi="Times New Roman"/>
      <w:snapToGrid w:val="0"/>
      <w:color w:val="000000"/>
      <w:sz w:val="24"/>
      <w:szCs w:val="22"/>
      <w:lang w:eastAsia="de-DE" w:bidi="en-US"/>
    </w:rPr>
  </w:style>
  <w:style w:type="character" w:customStyle="1" w:styleId="Heading31">
    <w:name w:val="Heading3 字符"/>
    <w:basedOn w:val="DefaultParagraphFont"/>
    <w:link w:val="Heading30"/>
    <w:rPr>
      <w:rFonts w:ascii="Times New Roman" w:eastAsia="Times New Roman" w:hAnsi="Times New Roman"/>
      <w:snapToGrid w:val="0"/>
      <w:color w:val="000000"/>
      <w:sz w:val="24"/>
      <w:szCs w:val="22"/>
      <w:lang w:eastAsia="de-DE" w:bidi="en-US"/>
    </w:rPr>
  </w:style>
  <w:style w:type="paragraph" w:customStyle="1" w:styleId="Tes">
    <w:name w:val="Tes"/>
    <w:basedOn w:val="SSPWT33textspaceafter"/>
    <w:qFormat/>
    <w:rPr>
      <w:rFonts w:ascii="Times New Roman" w:hAnsi="Times New Roman"/>
    </w:rPr>
  </w:style>
  <w:style w:type="character" w:customStyle="1" w:styleId="SSPWT38bullet0">
    <w:name w:val="SSPWT_3.8_bullet 字符"/>
    <w:basedOn w:val="SSPWT31text0"/>
    <w:link w:val="SSPWT38bullet"/>
    <w:rPr>
      <w:rFonts w:ascii="Palatino Linotype" w:eastAsia="Times New Roman" w:hAnsi="Palatino Linotype"/>
      <w:snapToGrid w:val="0"/>
      <w:color w:val="000000"/>
      <w:szCs w:val="22"/>
      <w:lang w:eastAsia="de-DE" w:bidi="en-US"/>
    </w:rPr>
  </w:style>
  <w:style w:type="character" w:customStyle="1" w:styleId="Bullet0">
    <w:name w:val="Bullet 字符"/>
    <w:basedOn w:val="SSPWT38bullet0"/>
    <w:link w:val="Bullet"/>
    <w:rPr>
      <w:rFonts w:ascii="Times New Roman" w:eastAsia="Times New Roman" w:hAnsi="Times New Roman"/>
      <w:snapToGrid w:val="0"/>
      <w:color w:val="000000"/>
      <w:sz w:val="24"/>
      <w:szCs w:val="22"/>
      <w:lang w:eastAsia="de-DE" w:bidi="en-US"/>
    </w:rPr>
  </w:style>
  <w:style w:type="paragraph" w:customStyle="1" w:styleId="FigureCaption">
    <w:name w:val="Figure Caption"/>
    <w:link w:val="FigureCaption0"/>
    <w:qFormat/>
    <w:pPr>
      <w:ind w:left="425" w:right="340"/>
      <w:jc w:val="both"/>
    </w:pPr>
    <w:rPr>
      <w:rFonts w:ascii="Times New Roman" w:eastAsia="Times New Roman" w:hAnsi="Times New Roman"/>
      <w:color w:val="000000"/>
      <w:sz w:val="22"/>
      <w:lang w:eastAsia="de-DE" w:bidi="en-US"/>
    </w:rPr>
  </w:style>
  <w:style w:type="paragraph" w:customStyle="1" w:styleId="Figure">
    <w:name w:val="Figure"/>
    <w:link w:val="Figure0"/>
    <w:qFormat/>
    <w:pPr>
      <w:adjustRightInd w:val="0"/>
      <w:snapToGrid w:val="0"/>
      <w:jc w:val="center"/>
    </w:pPr>
    <w:rPr>
      <w:rFonts w:ascii="Times New Roman" w:eastAsia="Times New Roman" w:hAnsi="Times New Roman"/>
      <w:snapToGrid w:val="0"/>
      <w:color w:val="000000"/>
      <w:sz w:val="22"/>
      <w:lang w:eastAsia="de-DE" w:bidi="en-US"/>
    </w:rPr>
  </w:style>
  <w:style w:type="character" w:customStyle="1" w:styleId="SSPWT51figurecaption0">
    <w:name w:val="SSPWT_5.1_figure_caption 字符"/>
    <w:basedOn w:val="Acknowledgments0"/>
    <w:link w:val="SSPWT51figurecaption"/>
    <w:rPr>
      <w:rFonts w:ascii="Times New Roman" w:eastAsia="Times New Roman" w:hAnsi="Times New Roman"/>
      <w:snapToGrid/>
      <w:color w:val="000000"/>
      <w:sz w:val="22"/>
      <w:szCs w:val="22"/>
      <w:lang w:eastAsia="de-DE" w:bidi="en-US"/>
    </w:rPr>
  </w:style>
  <w:style w:type="character" w:customStyle="1" w:styleId="FigureCaption0">
    <w:name w:val="Figure Caption 字符"/>
    <w:basedOn w:val="SSPWT51figurecaption0"/>
    <w:link w:val="FigureCaption"/>
    <w:rPr>
      <w:rFonts w:ascii="Times New Roman" w:eastAsia="Times New Roman" w:hAnsi="Times New Roman"/>
      <w:snapToGrid/>
      <w:color w:val="000000"/>
      <w:sz w:val="22"/>
      <w:szCs w:val="22"/>
      <w:lang w:eastAsia="de-DE" w:bidi="en-US"/>
    </w:rPr>
  </w:style>
  <w:style w:type="paragraph" w:customStyle="1" w:styleId="TableCaption">
    <w:name w:val="Table Caption"/>
    <w:link w:val="TableCaption0"/>
    <w:qFormat/>
    <w:pPr>
      <w:spacing w:before="240" w:after="120"/>
      <w:ind w:left="284" w:right="197"/>
      <w:jc w:val="center"/>
    </w:pPr>
    <w:rPr>
      <w:rFonts w:ascii="Times New Roman" w:eastAsia="Times New Roman" w:hAnsi="Times New Roman"/>
      <w:color w:val="000000"/>
      <w:sz w:val="22"/>
      <w:szCs w:val="22"/>
      <w:lang w:eastAsia="de-DE" w:bidi="en-US"/>
    </w:rPr>
  </w:style>
  <w:style w:type="character" w:customStyle="1" w:styleId="SSPWT52figure0">
    <w:name w:val="SSPWT_5.2_figure 字符"/>
    <w:basedOn w:val="DefaultParagraphFont"/>
    <w:link w:val="SSPWT52figure"/>
    <w:rPr>
      <w:rFonts w:ascii="Palatino Linotype" w:eastAsia="Times New Roman" w:hAnsi="Palatino Linotype"/>
      <w:snapToGrid w:val="0"/>
      <w:color w:val="000000"/>
      <w:sz w:val="24"/>
      <w:lang w:eastAsia="de-DE" w:bidi="en-US"/>
    </w:rPr>
  </w:style>
  <w:style w:type="character" w:customStyle="1" w:styleId="Figure0">
    <w:name w:val="Figure 字符"/>
    <w:basedOn w:val="SSPWT52figure0"/>
    <w:link w:val="Figure"/>
    <w:rPr>
      <w:rFonts w:ascii="Times New Roman" w:eastAsia="Times New Roman" w:hAnsi="Times New Roman"/>
      <w:snapToGrid w:val="0"/>
      <w:color w:val="000000"/>
      <w:sz w:val="22"/>
      <w:lang w:eastAsia="de-DE" w:bidi="en-US"/>
    </w:rPr>
  </w:style>
  <w:style w:type="character" w:customStyle="1" w:styleId="SSPWT41tablecaption0">
    <w:name w:val="SSPWT_4.1_table_caption 字符"/>
    <w:basedOn w:val="Acknowledgments0"/>
    <w:link w:val="SSPWT41tablecaption"/>
    <w:rPr>
      <w:rFonts w:ascii="Times New Roman" w:eastAsia="Times New Roman" w:hAnsi="Times New Roman"/>
      <w:snapToGrid/>
      <w:color w:val="000000"/>
      <w:sz w:val="22"/>
      <w:szCs w:val="22"/>
      <w:lang w:eastAsia="de-DE" w:bidi="en-US"/>
    </w:rPr>
  </w:style>
  <w:style w:type="character" w:customStyle="1" w:styleId="TableCaption0">
    <w:name w:val="Table Caption 字符"/>
    <w:basedOn w:val="SSPWT41tablecaption0"/>
    <w:link w:val="TableCaption"/>
    <w:rPr>
      <w:rFonts w:ascii="Times New Roman" w:eastAsia="Times New Roman" w:hAnsi="Times New Roman"/>
      <w:snapToGrid/>
      <w:color w:val="000000"/>
      <w:sz w:val="22"/>
      <w:szCs w:val="22"/>
      <w:lang w:eastAsia="de-DE" w:bidi="en-US"/>
    </w:rPr>
  </w:style>
  <w:style w:type="paragraph" w:styleId="Caption">
    <w:name w:val="caption"/>
    <w:basedOn w:val="Normal"/>
    <w:next w:val="Normal"/>
    <w:uiPriority w:val="35"/>
    <w:unhideWhenUsed/>
    <w:qFormat/>
    <w:rsid w:val="004B2DB1"/>
    <w:pPr>
      <w:spacing w:after="200"/>
    </w:pPr>
    <w:rPr>
      <w:i/>
      <w:iCs/>
      <w:color w:val="1F497D" w:themeColor="text2"/>
      <w:sz w:val="18"/>
      <w:szCs w:val="18"/>
    </w:rPr>
  </w:style>
  <w:style w:type="paragraph" w:styleId="Bibliography">
    <w:name w:val="Bibliography"/>
    <w:basedOn w:val="Normal"/>
    <w:next w:val="Normal"/>
    <w:uiPriority w:val="37"/>
    <w:unhideWhenUsed/>
    <w:rsid w:val="000F2608"/>
    <w:pPr>
      <w:tabs>
        <w:tab w:val="left" w:pos="504"/>
      </w:tabs>
      <w:ind w:left="504" w:hanging="504"/>
    </w:pPr>
  </w:style>
  <w:style w:type="character" w:customStyle="1" w:styleId="Heading1Char">
    <w:name w:val="Heading 1 Char"/>
    <w:basedOn w:val="DefaultParagraphFont"/>
    <w:link w:val="Heading1"/>
    <w:uiPriority w:val="9"/>
    <w:rsid w:val="00F17FC4"/>
    <w:rPr>
      <w:rFonts w:ascii="Times New Roman" w:eastAsia="Times New Roman" w:hAnsi="Times New Roman"/>
      <w:b/>
      <w:bCs/>
      <w:color w:val="000000"/>
      <w:sz w:val="32"/>
      <w:szCs w:val="32"/>
      <w:lang w:val="en-CA" w:eastAsia="en-CA"/>
    </w:rPr>
  </w:style>
  <w:style w:type="character" w:customStyle="1" w:styleId="Heading2Char">
    <w:name w:val="Heading 2 Char"/>
    <w:basedOn w:val="DefaultParagraphFont"/>
    <w:link w:val="Heading2"/>
    <w:uiPriority w:val="9"/>
    <w:semiHidden/>
    <w:rsid w:val="00EB1FF0"/>
    <w:rPr>
      <w:rFonts w:asciiTheme="majorHAnsi" w:eastAsiaTheme="majorEastAsia" w:hAnsiTheme="majorHAnsi" w:cstheme="majorBidi"/>
      <w:color w:val="365F91" w:themeColor="accent1" w:themeShade="BF"/>
      <w:sz w:val="26"/>
      <w:szCs w:val="26"/>
      <w:lang w:eastAsia="de-DE"/>
    </w:rPr>
  </w:style>
  <w:style w:type="paragraph" w:styleId="ListParagraph">
    <w:name w:val="List Paragraph"/>
    <w:basedOn w:val="Normal"/>
    <w:uiPriority w:val="34"/>
    <w:qFormat/>
    <w:rsid w:val="00CE10B6"/>
    <w:pPr>
      <w:ind w:left="720"/>
      <w:contextualSpacing/>
    </w:pPr>
  </w:style>
  <w:style w:type="character" w:customStyle="1" w:styleId="Heading3Char">
    <w:name w:val="Heading 3 Char"/>
    <w:basedOn w:val="DefaultParagraphFont"/>
    <w:link w:val="Heading3"/>
    <w:uiPriority w:val="9"/>
    <w:semiHidden/>
    <w:rsid w:val="004F362B"/>
    <w:rPr>
      <w:rFonts w:asciiTheme="majorHAnsi" w:eastAsiaTheme="majorEastAsia" w:hAnsiTheme="majorHAnsi" w:cstheme="majorBidi"/>
      <w:color w:val="243F60" w:themeColor="accent1" w:themeShade="7F"/>
      <w:sz w:val="24"/>
      <w:szCs w:val="24"/>
      <w:lang w:eastAsia="de-DE"/>
    </w:rPr>
  </w:style>
  <w:style w:type="character" w:customStyle="1" w:styleId="Heading4Char">
    <w:name w:val="Heading 4 Char"/>
    <w:basedOn w:val="DefaultParagraphFont"/>
    <w:link w:val="Heading4"/>
    <w:uiPriority w:val="9"/>
    <w:semiHidden/>
    <w:rsid w:val="004F362B"/>
    <w:rPr>
      <w:rFonts w:asciiTheme="majorHAnsi" w:eastAsiaTheme="majorEastAsia" w:hAnsiTheme="majorHAnsi" w:cstheme="majorBidi"/>
      <w:i/>
      <w:iCs/>
      <w:color w:val="365F91" w:themeColor="accent1" w:themeShade="BF"/>
      <w:sz w:val="24"/>
      <w:lang w:eastAsia="de-DE"/>
    </w:rPr>
  </w:style>
  <w:style w:type="character" w:styleId="PlaceholderText">
    <w:name w:val="Placeholder Text"/>
    <w:basedOn w:val="DefaultParagraphFont"/>
    <w:uiPriority w:val="99"/>
    <w:semiHidden/>
    <w:rsid w:val="002C4691"/>
    <w:rPr>
      <w:color w:val="666666"/>
    </w:rPr>
  </w:style>
  <w:style w:type="character" w:styleId="UnresolvedMention">
    <w:name w:val="Unresolved Mention"/>
    <w:basedOn w:val="DefaultParagraphFont"/>
    <w:uiPriority w:val="99"/>
    <w:semiHidden/>
    <w:unhideWhenUsed/>
    <w:rsid w:val="009216D3"/>
    <w:rPr>
      <w:color w:val="605E5C"/>
      <w:shd w:val="clear" w:color="auto" w:fill="E1DFDD"/>
    </w:rPr>
  </w:style>
  <w:style w:type="character" w:customStyle="1" w:styleId="xxxjie0">
    <w:name w:val="___xxxjie0"/>
    <w:basedOn w:val="DefaultParagraphFont"/>
    <w:rsid w:val="00CE0EA3"/>
  </w:style>
  <w:style w:type="character" w:styleId="Strong">
    <w:name w:val="Strong"/>
    <w:basedOn w:val="DefaultParagraphFont"/>
    <w:uiPriority w:val="22"/>
    <w:qFormat/>
    <w:rsid w:val="00CE0EA3"/>
    <w:rPr>
      <w:b/>
      <w:bCs/>
    </w:rPr>
  </w:style>
  <w:style w:type="paragraph" w:styleId="NormalWeb">
    <w:name w:val="Normal (Web)"/>
    <w:basedOn w:val="Normal"/>
    <w:uiPriority w:val="99"/>
    <w:semiHidden/>
    <w:unhideWhenUsed/>
    <w:rsid w:val="00DC4621"/>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comments" Target="comments.xml"/><Relationship Id="rId7" Type="http://schemas.openxmlformats.org/officeDocument/2006/relationships/footnotes" Target="footnotes.xml"/><Relationship Id="rId12" Type="http://schemas.openxmlformats.org/officeDocument/2006/relationships/hyperlink" Target="https://www.caiso.com/" TargetMode="External"/><Relationship Id="rId17" Type="http://schemas.openxmlformats.org/officeDocument/2006/relationships/image" Target="media/image6.png"/><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image" Target="media/image4.png"/><Relationship Id="rId23" Type="http://schemas.microsoft.com/office/2016/09/relationships/commentsIds" Target="commentsIds.xml"/><Relationship Id="rId28" Type="http://schemas.openxmlformats.org/officeDocument/2006/relationships/footer" Target="footer1.xml"/><Relationship Id="rId10" Type="http://schemas.openxmlformats.org/officeDocument/2006/relationships/hyperlink" Target="mailto:Hamed.Aly@dal.ca"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Mahmoud.Kiasari@dal.ca" TargetMode="External"/><Relationship Id="rId14" Type="http://schemas.openxmlformats.org/officeDocument/2006/relationships/image" Target="media/image3.jpeg"/><Relationship Id="rId22" Type="http://schemas.microsoft.com/office/2011/relationships/commentsExtended" Target="commentsExtended.xml"/><Relationship Id="rId27" Type="http://schemas.openxmlformats.org/officeDocument/2006/relationships/header" Target="header2.xml"/><Relationship Id="rId30"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0020;&#26102;&#25991;&#20214;\&#33647;&#21270;\process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001A68-CF98-4476-89EE-A3822C23B2F6}">
  <we:reference id="WA200001361" version="2.129.3.0" store="Omex" storeType="OMEX"/>
  <we:alternateReferences>
    <we:reference id="WA200001361" version="2.129.3.0" store="WA200001361" storeType="OMEX"/>
  </we:alternateReferences>
  <we:properties>
    <we:property name="paperpal-document-id" value="&quot;a185e4ea-5022-43a5-9b0f-6c0f83c35f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1188F8B2-BF8E-4D3B-80BF-B0C1F5EA13DB}">
  <ds:schemaRefs>
    <ds:schemaRef ds:uri="http://schemas.openxmlformats.org/officeDocument/2006/bibliography"/>
  </ds:schemaRefs>
</ds:datastoreItem>
</file>

<file path=customXml/itemProps2.xml><?xml version="1.0" encoding="utf-8"?>
<ds:datastoreItem xmlns:ds="http://schemas.openxmlformats.org/officeDocument/2006/customXml" ds:itemID="{31FABE08-0839-488B-AB38-5B64263CA501}">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processes-template.dot</Template>
  <TotalTime>9642</TotalTime>
  <Pages>81</Pages>
  <Words>104828</Words>
  <Characters>597526</Characters>
  <Application>Microsoft Office Word</Application>
  <DocSecurity>0</DocSecurity>
  <Lines>4979</Lines>
  <Paragraphs>1401</Paragraphs>
  <ScaleCrop>false</ScaleCrop>
  <Company/>
  <LinksUpToDate>false</LinksUpToDate>
  <CharactersWithSpaces>700953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Hamed Aly</dc:creator>
  <cp:keywords/>
  <cp:lastModifiedBy>Mahmoud Kiasari</cp:lastModifiedBy>
  <cp:revision>572</cp:revision>
  <cp:lastPrinted>2026-06-17T16:15:00Z</cp:lastPrinted>
  <dcterms:created xsi:type="dcterms:W3CDTF">2026-06-17T16:15:00Z</dcterms:created>
  <dcterms:modified xsi:type="dcterms:W3CDTF">2026-09-06T01:02:00Z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9a3262f8b85c43a8b1e1f9797828b6c6_22</vt:lpwstr>
  </property>
  <property fmtid="{D5CDD505-2E9C-101B-9397-08002B2CF9AE}" pid="3" name="ZOTERO_PREF_1">
    <vt:lpwstr>&lt;data data-version="3" zotero-version="9.0.6"&gt;&lt;session id="yOsC0jWT"/&gt;&lt;style id="http://www.zotero.org/styles/ieee"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ZOTERO_BREF_okwlG68la8Ol_1">
    <vt:lpwstr>ZOTERO_ITEM CSL_CITATION {"citationID":"Fs8kZQN1","properties":{"formattedCitation":"[3]","plainCitation":"[3]","dontUpdate":true,"noteIndex":0},"citationItems":[{"id":1892,"uris":["http://zotero.org/users/9870935/items/FF7QIGXZ"],"itemData":{"id":1892,"t</vt:lpwstr>
  </property>
  <property fmtid="{D5CDD505-2E9C-101B-9397-08002B2CF9AE}" pid="6" name="ZOTERO_BREF_okwlG68la8Ol_2">
    <vt:lpwstr>ype":"post-weblog","title":"Wind","URL":"https://www.iea.org/energy-system/renewables/wind","author":[{"family":"IEA","given":""}],"accessed":{"date-parts":[["2025",2,25]]},"issued":{"date-parts":[["2025",2,25]]}}}],"schema":"https://github.com/citation-s</vt:lpwstr>
  </property>
  <property fmtid="{D5CDD505-2E9C-101B-9397-08002B2CF9AE}" pid="7" name="ZOTERO_BREF_okwlG68la8Ol_3">
    <vt:lpwstr>tyle-language/schema/raw/master/csl-citation.json"}</vt:lpwstr>
  </property>
  <property fmtid="{D5CDD505-2E9C-101B-9397-08002B2CF9AE}" pid="8" name="ZOTERO_BREF_hNWAXeeYukc6_1">
    <vt:lpwstr>ZOTERO_ITEM CSL_CITATION {"citationID":"fF34IWzD","properties":{"formattedCitation":"[3]","plainCitation":"[3]","noteIndex":0},"citationItems":[{"id":1892,"uris":["http://zotero.org/users/9870935/items/FF7QIGXZ"],"itemData":{"id":1892,"type":"post-weblog"</vt:lpwstr>
  </property>
  <property fmtid="{D5CDD505-2E9C-101B-9397-08002B2CF9AE}" pid="9" name="ZOTERO_BREF_hNWAXeeYukc6_2">
    <vt:lpwstr>,"title":"Wind","URL":"https://www.iea.org/energy-system/renewables/wind","author":[{"family":"IEA","given":""}],"accessed":{"date-parts":[["2025",2,25]]},"issued":{"date-parts":[["2025",2,25]]}}}],"schema":"https://github.com/citation-style-language/sche</vt:lpwstr>
  </property>
  <property fmtid="{D5CDD505-2E9C-101B-9397-08002B2CF9AE}" pid="10" name="ZOTERO_BREF_hNWAXeeYukc6_3">
    <vt:lpwstr>ma/raw/master/csl-citation.json"}</vt:lpwstr>
  </property>
  <property fmtid="{D5CDD505-2E9C-101B-9397-08002B2CF9AE}" pid="11" name="ZOTERO_BREF_2C1pJPrHrq4l_1">
    <vt:lpwstr>ZOTERO_ITEM CSL_CITATION {"citationID":"pGChGYEo","properties":{"formattedCitation":"[5]","plainCitation":"[5]","noteIndex":0},"citationItems":[{"id":1893,"uris":["http://zotero.org/users/9870935/items/QNEHP29S"],"itemData":{"id":1893,"type":"post-weblog"</vt:lpwstr>
  </property>
  <property fmtid="{D5CDD505-2E9C-101B-9397-08002B2CF9AE}" pid="12" name="ZOTERO_BREF_2C1pJPrHrq4l_2">
    <vt:lpwstr>,"title":"Renewables","URL":"https://www.iea.org/reports/renewables-2024","author":[{"family":"IEA","given":""}],"accessed":{"date-parts":[["2024",10,9]]}}}],"schema":"https://github.com/citation-style-language/schema/raw/master/csl-citation.json"}</vt:lpwstr>
  </property>
  <property fmtid="{D5CDD505-2E9C-101B-9397-08002B2CF9AE}" pid="13" name="ZOTERO_BREF_4vXwJ5yLEiz1_1">
    <vt:lpwstr>ZOTERO_TEMP</vt:lpwstr>
  </property>
  <property fmtid="{D5CDD505-2E9C-101B-9397-08002B2CF9AE}" pid="14" name="ZOTERO_BREF_wu8OLmHyuqzg_1">
    <vt:lpwstr>ZOTERO_ITEM CSL_CITATION {"citationID":"8RgihEPN","properties":{"formattedCitation":"[5]","plainCitation":"[5]","dontUpdate":true,"noteIndex":0},"citationItems":[{"id":1895,"uris":["http://zotero.org/users/9870935/items/3ZDJBDIS"],"itemData":{"id":1895,"t</vt:lpwstr>
  </property>
  <property fmtid="{D5CDD505-2E9C-101B-9397-08002B2CF9AE}" pid="15" name="ZOTERO_BREF_wu8OLmHyuqzg_2">
    <vt:lpwstr>ype":"post-weblog","title":"International Smart Grid Action Network (ISGAN) Annual Report 2024","URL":"https://www.iea-isgan.org/wp-content/uploads/2025/07/2024-Annual-Report.pdf","author":[{"family":"ISGAN","given":""}],"accessed":{"date-parts":[["2025",</vt:lpwstr>
  </property>
  <property fmtid="{D5CDD505-2E9C-101B-9397-08002B2CF9AE}" pid="16" name="ZOTERO_BREF_wu8OLmHyuqzg_3">
    <vt:lpwstr>2,28]]}}}],"schema":"https://github.com/citation-style-language/schema/raw/master/csl-citation.json"}</vt:lpwstr>
  </property>
  <property fmtid="{D5CDD505-2E9C-101B-9397-08002B2CF9AE}" pid="17" name="ZOTERO_BREF_QvkQVh7ZBI3l_1">
    <vt:lpwstr>ZOTERO_ITEM CSL_CITATION {"citationID":"bZ0KZvDK","properties":{"formattedCitation":"[6]","plainCitation":"[6]","dontUpdate":true,"noteIndex":0},"citationItems":[{"id":1897,"uris":["http://zotero.org/users/9870935/items/8ETZLS3G"],"itemData":{"id":1897,"t</vt:lpwstr>
  </property>
  <property fmtid="{D5CDD505-2E9C-101B-9397-08002B2CF9AE}" pid="18" name="ZOTERO_BREF_QvkQVh7ZBI3l_2">
    <vt:lpwstr>ype":"article-journal","language":"en","source":"Zotero","title":"Key Questions on Energy and AI","author":[{"family":"Christopoulou","given":"Christina"},{"family":"Coroama","given":"Vlad"}]}}],"schema":"https://github.com/citation-style-language/schema/</vt:lpwstr>
  </property>
  <property fmtid="{D5CDD505-2E9C-101B-9397-08002B2CF9AE}" pid="19" name="ZOTERO_BREF_QvkQVh7ZBI3l_3">
    <vt:lpwstr>raw/master/csl-citation.json"}</vt:lpwstr>
  </property>
  <property fmtid="{D5CDD505-2E9C-101B-9397-08002B2CF9AE}" pid="20" name="ZOTERO_BREF_Z7nyIFJbMw7m_1">
    <vt:lpwstr>ZOTERO_ITEM CSL_CITATION {"citationID":"koNtpjpF","properties":{"formattedCitation":"[7]","plainCitation":"[7]","dontUpdate":true,"noteIndex":0},"citationItems":[{"id":1899,"uris":["http://zotero.org/users/9870935/items/DSZ4EYRB"],"itemData":{"id":1899,"t</vt:lpwstr>
  </property>
  <property fmtid="{D5CDD505-2E9C-101B-9397-08002B2CF9AE}" pid="21" name="ZOTERO_BREF_Z7nyIFJbMw7m_2">
    <vt:lpwstr>ype":"report","DOI":"10.2172/1372902","language":"en","number":"LBNL--1005775, 1372902","page":"LBNL--1005775, 1372902","source":"DOI.org (Crossref)","title":"United States Data Center Energy Usage Report","URL":"http://www.osti.gov/servlets/purl/1372902/</vt:lpwstr>
  </property>
  <property fmtid="{D5CDD505-2E9C-101B-9397-08002B2CF9AE}" pid="22" name="ZOTERO_BREF_Z7nyIFJbMw7m_3">
    <vt:lpwstr>","author":[{"family":"Shehabi","given":"Arman"},{"family":"Smith","given":"Sarah"},{"family":"Sartor","given":"Dale"},{"family":"Brown","given":"Richard"},{"family":"Herrlin","given":"Magnus"},{"family":"Koomey","given":"Jonathan"},{"family":"Masanet","g</vt:lpwstr>
  </property>
  <property fmtid="{D5CDD505-2E9C-101B-9397-08002B2CF9AE}" pid="23" name="ZOTERO_BREF_Z7nyIFJbMw7m_4">
    <vt:lpwstr>iven":"Eric"},{"family":"Horner","given":"Nathaniel"},{"family":"Azevedo","given":"Inês"},{"family":"Lintner","given":"William"}],"accessed":{"date-parts":[["2026",5,10]]},"issued":{"date-parts":[["2016",6,1]]}}}],"schema":"https://github.com/citation-sty</vt:lpwstr>
  </property>
  <property fmtid="{D5CDD505-2E9C-101B-9397-08002B2CF9AE}" pid="24" name="ZOTERO_BREF_Z7nyIFJbMw7m_5">
    <vt:lpwstr>le-language/schema/raw/master/csl-citation.json"}</vt:lpwstr>
  </property>
  <property fmtid="{D5CDD505-2E9C-101B-9397-08002B2CF9AE}" pid="25" name="ZOTERO_BREF_2ZcgfMmetQ0j_1">
    <vt:lpwstr>ZOTERO_ITEM CSL_CITATION {"citationID":"7KG3MiJq","properties":{"formattedCitation":"[8]","plainCitation":"[8]","dontUpdate":true,"noteIndex":0},"citationItems":[{"id":1900,"uris":["http://zotero.org/users/9870935/items/IDZTTL47"],"itemData":{"id":1900,"t</vt:lpwstr>
  </property>
  <property fmtid="{D5CDD505-2E9C-101B-9397-08002B2CF9AE}" pid="26" name="ZOTERO_BREF_2ZcgfMmetQ0j_2">
    <vt:lpwstr>ype":"article","abstract":"The computation demand for machine learning (ML) has grown rapidly recently, which comes with a number of costs. Estimating the energy cost helps measure its environmental impact and finding greener strategies, yet it is challen</vt:lpwstr>
  </property>
  <property fmtid="{D5CDD505-2E9C-101B-9397-08002B2CF9AE}" pid="27" name="ZOTERO_BREF_2ZcgfMmetQ0j_3">
    <vt:lpwstr>ging without detailed information. We calculate the energy use and carbon footprint of several recent large models-T5, Meena, GShard, Switch Transformer, and GPT-3-and refine earlier estimates for the neural architecture search that found Evolved Transfor</vt:lpwstr>
  </property>
  <property fmtid="{D5CDD505-2E9C-101B-9397-08002B2CF9AE}" pid="28" name="ZOTERO_BREF_2ZcgfMmetQ0j_4">
    <vt:lpwstr>mer. We highlight the following opportunities to improve energy efficiency and CO2 equivalent emissions (CO2e): Large but sparsely activated DNNs can consume &amp;lt;1/10th the energy of large, dense DNNs without sacrificing accuracy despite using as many or </vt:lpwstr>
  </property>
  <property fmtid="{D5CDD505-2E9C-101B-9397-08002B2CF9AE}" pid="29" name="ZOTERO_BREF_2ZcgfMmetQ0j_5">
    <vt:lpwstr>even more parameters. Geographic location matters for ML workload scheduling since the fraction of carbon-free energy and resulting CO2e vary ~5X-10X, even within the same country and the same organization. We are now optimizing where and when large model</vt:lpwstr>
  </property>
  <property fmtid="{D5CDD505-2E9C-101B-9397-08002B2CF9AE}" pid="30" name="ZOTERO_BREF_2ZcgfMmetQ0j_6">
    <vt:lpwstr>s are trained. Specific datacenter infrastructure matters, as Cloud datacenters can be ~1.4-2X more energy efficient than typical datacenters, and the ML-oriented accelerators inside them can be ~2-5X more effective than off-the-shelf systems. Remarkably,</vt:lpwstr>
  </property>
  <property fmtid="{D5CDD505-2E9C-101B-9397-08002B2CF9AE}" pid="31" name="ZOTERO_BREF_2ZcgfMmetQ0j_7">
    <vt:lpwstr> the choice of DNN, datacenter, and processor can reduce the carbon footprint up to ~100-1000X. These large factors also make retroactive estimates of energy cost difficult. To avoid miscalculations, we believe ML papers requiring large computational reso</vt:lpwstr>
  </property>
  <property fmtid="{D5CDD505-2E9C-101B-9397-08002B2CF9AE}" pid="32" name="ZOTERO_BREF_2ZcgfMmetQ0j_8">
    <vt:lpwstr>urces should make energy consumption and CO2e explicit when practical. We are working to be more transparent about energy use and CO2e in our future research. To help reduce the carbon footprint of ML, we believe energy usage and CO2e should be a key metr</vt:lpwstr>
  </property>
  <property fmtid="{D5CDD505-2E9C-101B-9397-08002B2CF9AE}" pid="33" name="ZOTERO_BREF_2ZcgfMmetQ0j_9">
    <vt:lpwstr>ic in evaluating models, and we are collaborating with MLPerf developers to include energy usage during training and inference in this industry standard benchmark.","DOI":"10.48550/ARXIV.2104.10350","license":"arXiv.org perpetual, non-exclusive license","</vt:lpwstr>
  </property>
  <property fmtid="{D5CDD505-2E9C-101B-9397-08002B2CF9AE}" pid="34" name="ZOTERO_BREF_2ZcgfMmetQ0j_10">
    <vt:lpwstr>note":"version: 3","publisher":"arXiv","source":"DOI.org (Datacite)","title":"Carbon Emissions and Large Neural Network Training","URL":"https://arxiv.org/abs/2104.10350","author":[{"family":"Patterson","given":"David"},{"family":"Gonzalez","given":"Josep</vt:lpwstr>
  </property>
  <property fmtid="{D5CDD505-2E9C-101B-9397-08002B2CF9AE}" pid="35" name="ZOTERO_BREF_2ZcgfMmetQ0j_11">
    <vt:lpwstr>h"},{"family":"Le","given":"Quoc"},{"family":"Liang","given":"Chen"},{"family":"Munguia","given":"Lluis-Miquel"},{"family":"Rothchild","given":"Daniel"},{"family":"So","given":"David"},{"family":"Texier","given":"Maud"},{"family":"Dean","given":"Jeff"}],"</vt:lpwstr>
  </property>
  <property fmtid="{D5CDD505-2E9C-101B-9397-08002B2CF9AE}" pid="36" name="ZOTERO_BREF_2ZcgfMmetQ0j_12">
    <vt:lpwstr>accessed":{"date-parts":[["2026",5,10]]},"issued":{"date-parts":[["2021"]]}}}],"schema":"https://github.com/citation-style-language/schema/raw/master/csl-citation.json"}</vt:lpwstr>
  </property>
  <property fmtid="{D5CDD505-2E9C-101B-9397-08002B2CF9AE}" pid="37" name="ZOTERO_BREF_TnnOjkevPghg_1">
    <vt:lpwstr>ZOTERO_ITEM CSL_CITATION {"citationID":"3TgEv9Sm","properties":{"formattedCitation":"[9]","plainCitation":"[9]","dontUpdate":true,"noteIndex":0},"citationItems":[{"id":1901,"uris":["http://zotero.org/users/9870935/items/TV95D224"],"itemData":{"id":1901,"t</vt:lpwstr>
  </property>
  <property fmtid="{D5CDD505-2E9C-101B-9397-08002B2CF9AE}" pid="38" name="ZOTERO_BREF_TnnOjkevPghg_2">
    <vt:lpwstr>ype":"article","abstract":"Recent progress in hardware and methodology for training neural networks has ushered in a new generation of large networks trained on abundant data. These models have obtained notable gains in accuracy across many NLP tasks. How</vt:lpwstr>
  </property>
  <property fmtid="{D5CDD505-2E9C-101B-9397-08002B2CF9AE}" pid="39" name="ZOTERO_BREF_TnnOjkevPghg_3">
    <vt:lpwstr>ever, these accuracy improvements depend on the availability of exceptionally large computational resources that necessitate similarly substantial energy consumption. As a result these models are costly to train and develop, both financially, due to the c</vt:lpwstr>
  </property>
  <property fmtid="{D5CDD505-2E9C-101B-9397-08002B2CF9AE}" pid="40" name="ZOTERO_BREF_TnnOjkevPghg_4">
    <vt:lpwstr>ost of hardware and electricity or cloud compute time, and environmentally, due to the carbon footprint required to fuel modern tensor processing hardware. In this paper we bring this issue to the attention of NLP researchers by quantifying the approximat</vt:lpwstr>
  </property>
  <property fmtid="{D5CDD505-2E9C-101B-9397-08002B2CF9AE}" pid="41" name="ZOTERO_BREF_TnnOjkevPghg_5">
    <vt:lpwstr>e financial and environmental costs of training a variety of recently successful neural network models for NLP. Based on these findings, we propose actionable recommendations to reduce costs and improve equity in NLP research and practice.","DOI":"10.4855</vt:lpwstr>
  </property>
  <property fmtid="{D5CDD505-2E9C-101B-9397-08002B2CF9AE}" pid="42" name="ZOTERO_BREF_TnnOjkevPghg_6">
    <vt:lpwstr>0/ARXIV.1906.02243","license":"arXiv.org perpetual, non-exclusive license","note":"version: 1","publisher":"arXiv","source":"DOI.org (Datacite)","title":"Energy and Policy Considerations for Deep Learning in NLP","URL":"https://arxiv.org/abs/1906.02243","</vt:lpwstr>
  </property>
  <property fmtid="{D5CDD505-2E9C-101B-9397-08002B2CF9AE}" pid="43" name="ZOTERO_BREF_TnnOjkevPghg_7">
    <vt:lpwstr>author":[{"family":"Strubell","given":"Emma"},{"family":"Ganesh","given":"Ananya"},{"family":"McCallum","given":"Andrew"}],"accessed":{"date-parts":[["2026",5,10]]},"issued":{"date-parts":[["2019"]]}}}],"schema":"https://github.com/citation-style-language</vt:lpwstr>
  </property>
  <property fmtid="{D5CDD505-2E9C-101B-9397-08002B2CF9AE}" pid="44" name="ZOTERO_BREF_TnnOjkevPghg_8">
    <vt:lpwstr>/schema/raw/master/csl-citation.json"}</vt:lpwstr>
  </property>
  <property fmtid="{D5CDD505-2E9C-101B-9397-08002B2CF9AE}" pid="45" name="ZOTERO_BREF_5EUQ41HHIaWa_1">
    <vt:lpwstr>ZOTERO_ITEM CSL_CITATION {"citationID":"DSWM6hB1","properties":{"formattedCitation":"[4]","plainCitation":"[4]","dontUpdate":true,"noteIndex":0},"citationItems":[{"id":1897,"uris":["http://zotero.org/users/9870935/items/8ETZLS3G"],"itemData":{"id":1897,"t</vt:lpwstr>
  </property>
  <property fmtid="{D5CDD505-2E9C-101B-9397-08002B2CF9AE}" pid="46" name="ZOTERO_BREF_5EUQ41HHIaWa_2">
    <vt:lpwstr>ype":"article-journal","language":"en","source":"Zotero","title":"Key Questions on Energy and AI","author":[{"family":"Christopoulou","given":"Christina"},{"family":"Coroama","given":"Vlad"}]}}],"schema":"https://github.com/citation-style-language/schema/</vt:lpwstr>
  </property>
  <property fmtid="{D5CDD505-2E9C-101B-9397-08002B2CF9AE}" pid="47" name="ZOTERO_BREF_5EUQ41HHIaWa_3">
    <vt:lpwstr>raw/master/csl-citation.json"}</vt:lpwstr>
  </property>
  <property fmtid="{D5CDD505-2E9C-101B-9397-08002B2CF9AE}" pid="48" name="ZOTERO_BREF_dHv8VG7MV9EW_1">
    <vt:lpwstr>ZOTERO_ITEM CSL_CITATION {"citationID":"bMEhKCVs","properties":{"formattedCitation":"[4]","plainCitation":"[4]","dontUpdate":true,"noteIndex":0},"citationItems":[{"id":1891,"uris":["http://zotero.org/users/9870935/items/Y726ZSXQ"],"itemData":{"id":1891,"t</vt:lpwstr>
  </property>
  <property fmtid="{D5CDD505-2E9C-101B-9397-08002B2CF9AE}" pid="49" name="ZOTERO_BREF_dHv8VG7MV9EW_2">
    <vt:lpwstr>ype":"post-weblog","title":"Energy and AI","URL":"https://www.iea.org/reports/energy-and-ai","author":[{"family":"IEA","given":""}],"accessed":{"date-parts":[["2025",4,10]]}}}],"schema":"https://github.com/citation-style-language/schema/raw/master/csl-cit</vt:lpwstr>
  </property>
  <property fmtid="{D5CDD505-2E9C-101B-9397-08002B2CF9AE}" pid="50" name="ZOTERO_BREF_dHv8VG7MV9EW_3">
    <vt:lpwstr>ation.json"}</vt:lpwstr>
  </property>
  <property fmtid="{D5CDD505-2E9C-101B-9397-08002B2CF9AE}" pid="51" name="ZOTERO_BREF_H70vUx20hBhO_1">
    <vt:lpwstr>ZOTERO_ITEM CSL_CITATION {"citationID":"lrMHeWyX","properties":{"formattedCitation":"[3]","plainCitation":"[3]","dontUpdate":true,"noteIndex":0},"citationItems":[{"id":1891,"uris":["http://zotero.org/users/9870935/items/Y726ZSXQ"],"itemData":{"id":1891,"t</vt:lpwstr>
  </property>
  <property fmtid="{D5CDD505-2E9C-101B-9397-08002B2CF9AE}" pid="52" name="ZOTERO_BREF_H70vUx20hBhO_2">
    <vt:lpwstr>ype":"post-weblog","title":"Energy and AI","URL":"https://www.iea.org/reports/energy-and-ai","author":[{"family":"IEA","given":""}],"accessed":{"date-parts":[["2025",4,10]]}}}],"schema":"https://github.com/citation-style-language/schema/raw/master/csl-cit</vt:lpwstr>
  </property>
  <property fmtid="{D5CDD505-2E9C-101B-9397-08002B2CF9AE}" pid="53" name="ZOTERO_BREF_F1GLAsW3xgTG_1">
    <vt:lpwstr>ZOTERO_ITEM CSL_CITATION {"citationID":"7Zl4vijI","properties":{"formattedCitation":"[6], [7]","plainCitation":"[6], [7]","dontUpdate":true,"noteIndex":0},"citationItems":[{"id":1903,"uris":["http://zotero.org/users/9870935/items/QAA9ZM27"],"itemData":{"i</vt:lpwstr>
  </property>
  <property fmtid="{D5CDD505-2E9C-101B-9397-08002B2CF9AE}" pid="54" name="ZOTERO_BREF_F1GLAsW3xgTG_2">
    <vt:lpwstr>d":1903,"type":"article-journal","container-title":"Resources, Conservation and Recycling","DOI":"10.1016/j.resconrec.2025.108670","ISSN":"09213449","journalAbbreviation":"Resources, Conservation and Recycling","language":"en","page":"108670","source":"DO</vt:lpwstr>
  </property>
  <property fmtid="{D5CDD505-2E9C-101B-9397-08002B2CF9AE}" pid="55" name="ZOTERO_BREF_F1GLAsW3xgTG_3">
    <vt:lpwstr>I.org (Crossref)","title":"Assessing the carbon footprint of language models: Towards sustainability in AI","title-short":"Assessing the carbon footprint of language models","volume":"226","author":[{"family":"Jeanquartier","given":"Fleur"},{"family":"Jea</vt:lpwstr>
  </property>
  <property fmtid="{D5CDD505-2E9C-101B-9397-08002B2CF9AE}" pid="56" name="ZOTERO_BREF_F1GLAsW3xgTG_4">
    <vt:lpwstr>n-Quartier","given":"Claire"},{"family":"Rieder","given":"Paul"},{"family":"Misirlić","given":"Vedad"},{"family":"Pasero","given":"Christian"},{"family":"Hohensinner","given":"Richard"},{"family":"Müller","given":"Heimo"},{"family":"Holzinger","given":"An</vt:lpwstr>
  </property>
  <property fmtid="{D5CDD505-2E9C-101B-9397-08002B2CF9AE}" pid="57" name="ZOTERO_BREF_F1GLAsW3xgTG_5">
    <vt:lpwstr>dreas"}],"issued":{"date-parts":[["2026",2]]}}},{"id":1895,"uris":["http://zotero.org/users/9870935/items/3ZDJBDIS"],"itemData":{"id":1895,"type":"post-weblog","title":"International Smart Grid Action Network (ISGAN) Annual Report 2024","URL":"https://www</vt:lpwstr>
  </property>
  <property fmtid="{D5CDD505-2E9C-101B-9397-08002B2CF9AE}" pid="58" name="ZOTERO_BREF_H70vUx20hBhO_3">
    <vt:lpwstr>ation.json"}</vt:lpwstr>
  </property>
  <property fmtid="{D5CDD505-2E9C-101B-9397-08002B2CF9AE}" pid="59" name="ZOTERO_BREF_5YwRRrwIy7F7_1">
    <vt:lpwstr>ZOTERO_ITEM CSL_CITATION {"citationID":"yWq8hUUv","properties":{"formattedCitation":"[2], [9]","plainCitation":"[2], [9]","noteIndex":0},"citationItems":[{"id":1908,"uris":["http://zotero.org/users/9870935/items/5SZSS7UD"],"itemData":{"id":1908,"type":"ar</vt:lpwstr>
  </property>
  <property fmtid="{D5CDD505-2E9C-101B-9397-08002B2CF9AE}" pid="60" name="ZOTERO_BREF_5YwRRrwIy7F7_2">
    <vt:lpwstr>ticle","abstract":"The rapid growth of artificial intelligence (AI) is driving an unprecedented increase in the electricity demand of AI data centers, raising emerging challenges for electric power grids. Understanding the characteristics of AI data cente</vt:lpwstr>
  </property>
  <property fmtid="{D5CDD505-2E9C-101B-9397-08002B2CF9AE}" pid="61" name="ZOTERO_BREF_5YwRRrwIy7F7_3">
    <vt:lpwstr>r loads and their interactions with the grid is therefore critical for ensuring both reliable power system operation and sustainable AI development. This paper provides a comprehensive review and vision of this evolving landscape. Specifically, this paper</vt:lpwstr>
  </property>
  <property fmtid="{D5CDD505-2E9C-101B-9397-08002B2CF9AE}" pid="62" name="ZOTERO_BREF_5YwRRrwIy7F7_4">
    <vt:lpwstr> (i) presents an overview of AI data center infrastructure and its key components, (ii) examines the key characteristics and patterns of electricity demand across the stages of model preparation, training, fine-tuning, and inference, (iii) analyzes the cr</vt:lpwstr>
  </property>
  <property fmtid="{D5CDD505-2E9C-101B-9397-08002B2CF9AE}" pid="63" name="ZOTERO_BREF_5YwRRrwIy7F7_5">
    <vt:lpwstr>itical challenges that AI data center loads pose to power systems across three interrelated timescales, including long-term planning and interconnection, short-term operation and electricity markets, and real-time dynamics and stability, and (iv) discusse</vt:lpwstr>
  </property>
  <property fmtid="{D5CDD505-2E9C-101B-9397-08002B2CF9AE}" pid="64" name="ZOTERO_BREF_5YwRRrwIy7F7_6">
    <vt:lpwstr>s potential solutions from the perspectives of the grid, AI data centers, and AI end-users to address these challenges. By synthesizing current knowledge and outlining future directions, this review aims to guide research and development in support of the</vt:lpwstr>
  </property>
  <property fmtid="{D5CDD505-2E9C-101B-9397-08002B2CF9AE}" pid="65" name="ZOTERO_BREF_5YwRRrwIy7F7_7">
    <vt:lpwstr> joint advancement of AI data centers and power systems toward reliable, efficient, and sustainable operation.","DOI":"10.48550/arXiv.2509.07218","note":"arXiv:2509.07218 [eess]","number":"arXiv:2509.07218","publisher":"arXiv","source":"arXiv.org","title"</vt:lpwstr>
  </property>
  <property fmtid="{D5CDD505-2E9C-101B-9397-08002B2CF9AE}" pid="66" name="ZOTERO_BREF_5YwRRrwIy7F7_8">
    <vt:lpwstr>:"Electricity Demand and Grid Impacts of AI Data Centers: Challenges and Prospects","title-short":"Electricity Demand and Grid Impacts of AI Data Centers","URL":"http://arxiv.org/abs/2509.07218","author":[{"family":"Chen","given":"Xin"},{"family":"Wang","</vt:lpwstr>
  </property>
  <property fmtid="{D5CDD505-2E9C-101B-9397-08002B2CF9AE}" pid="67" name="ZOTERO_BREF_5YwRRrwIy7F7_9">
    <vt:lpwstr>given":"Xiaoyang"},{"family":"Colacelli","given":"Ana"},{"family":"Lee","given":"Matt"},{"family":"Xie","given":"Le"}],"accessed":{"date-parts":[["2026",5,10]]},"issued":{"date-parts":[["2025",11,26]]}}},{"id":1899,"uris":["http://zotero.org/users/9870935</vt:lpwstr>
  </property>
  <property fmtid="{D5CDD505-2E9C-101B-9397-08002B2CF9AE}" pid="68" name="ZOTERO_BREF_5YwRRrwIy7F7_10">
    <vt:lpwstr>/items/DSZ4EYRB"],"itemData":{"id":1899,"type":"report","DOI":"10.2172/1372902","language":"en","number":"LBNL--1005775, 1372902","page":"LBNL--1005775, 1372902","source":"DOI.org (Crossref)","title":"United States Data Center Energy Usage Report","URL":"</vt:lpwstr>
  </property>
  <property fmtid="{D5CDD505-2E9C-101B-9397-08002B2CF9AE}" pid="69" name="ZOTERO_BREF_5YwRRrwIy7F7_11">
    <vt:lpwstr>http://www.osti.gov/servlets/purl/1372902/","author":[{"family":"Shehabi","given":"Arman"},{"family":"Smith","given":"Sarah"},{"family":"Sartor","given":"Dale"},{"family":"Brown","given":"Richard"},{"family":"Herrlin","given":"Magnus"},{"family":"Koomey",</vt:lpwstr>
  </property>
  <property fmtid="{D5CDD505-2E9C-101B-9397-08002B2CF9AE}" pid="70" name="ZOTERO_BREF_5YwRRrwIy7F7_12">
    <vt:lpwstr>"given":"Jonathan"},{"family":"Masanet","given":"Eric"},{"family":"Horner","given":"Nathaniel"},{"family":"Azevedo","given":"Inês"},{"family":"Lintner","given":"William"}],"accessed":{"date-parts":[["2026",5,10]]},"issued":{"date-parts":[["2016",6,1]]}}}]</vt:lpwstr>
  </property>
  <property fmtid="{D5CDD505-2E9C-101B-9397-08002B2CF9AE}" pid="71" name="ZOTERO_BREF_5YwRRrwIy7F7_13">
    <vt:lpwstr>,"schema":"https://github.com/citation-style-language/schema/raw/master/csl-citation.json"}</vt:lpwstr>
  </property>
  <property fmtid="{D5CDD505-2E9C-101B-9397-08002B2CF9AE}" pid="72" name="ZOTERO_BREF_F1GLAsW3xgTG_6">
    <vt:lpwstr>.iea-isgan.org/wp-content/uploads/2025/07/2024-Annual-Report.pdf","author":[{"family":"ISGAN","given":""}],"accessed":{"date-parts":[["2025",2,28]]}}}],"schema":"https://github.com/citation-style-language/schema/raw/master/csl-citation.json"}</vt:lpwstr>
  </property>
  <property fmtid="{D5CDD505-2E9C-101B-9397-08002B2CF9AE}" pid="73" name="ZOTERO_BREF_VzOpl4gXp4N6_1">
    <vt:lpwstr>ZOTERO_ITEM CSL_CITATION {"citationID":"M5h8VY47","properties":{"formattedCitation":"[10]","plainCitation":"[10]","dontUpdate":true,"noteIndex":0},"citationItems":[{"id":1912,"uris":["http://zotero.org/users/9870935/items/YDR6GAHQ"],"itemData":{"id":1912,</vt:lpwstr>
  </property>
  <property fmtid="{D5CDD505-2E9C-101B-9397-08002B2CF9AE}" pid="74" name="ZOTERO_BREF_VzOpl4gXp4N6_2">
    <vt:lpwstr>"type":"article-journal","language":"en","source":"Zotero","title":"Uptime Institute Global Data Center Survey 2024","author":[{"family":"Donnellan","given":"Douglas"},{"family":"Lawrence","given":"Andy"},{"family":"Bizo","given":"Daniel"},{"family":"Judg</vt:lpwstr>
  </property>
  <property fmtid="{D5CDD505-2E9C-101B-9397-08002B2CF9AE}" pid="75" name="ZOTERO_BREF_VzOpl4gXp4N6_3">
    <vt:lpwstr>e","given":"Peter"},{"family":"O’Brien","given":"John"},{"family":"Davis","given":"Jacqueline"},{"family":"Smolaks","given":"Max"},{"family":"Williams-George","given":"Jabari"},{"family":"Weinschenk","given":"Rose"}],"issued":{"date-parts":[["2024"]]}}}],</vt:lpwstr>
  </property>
  <property fmtid="{D5CDD505-2E9C-101B-9397-08002B2CF9AE}" pid="76" name="ZOTERO_BREF_VzOpl4gXp4N6_4">
    <vt:lpwstr>"schema":"https://github.com/citation-style-language/schema/raw/master/csl-citation.json"}</vt:lpwstr>
  </property>
  <property fmtid="{D5CDD505-2E9C-101B-9397-08002B2CF9AE}" pid="77" name="MSIP_Label_7bda8df4-51d0-4f38-b084-f675c868fb89_Enabled">
    <vt:lpwstr>true</vt:lpwstr>
  </property>
  <property fmtid="{D5CDD505-2E9C-101B-9397-08002B2CF9AE}" pid="78" name="MSIP_Label_7bda8df4-51d0-4f38-b084-f675c868fb89_SetDate">
    <vt:lpwstr>2026-09-02T10:43:53Z</vt:lpwstr>
  </property>
  <property fmtid="{D5CDD505-2E9C-101B-9397-08002B2CF9AE}" pid="79" name="MSIP_Label_7bda8df4-51d0-4f38-b084-f675c868fb89_Method">
    <vt:lpwstr>Standard</vt:lpwstr>
  </property>
  <property fmtid="{D5CDD505-2E9C-101B-9397-08002B2CF9AE}" pid="80" name="MSIP_Label_7bda8df4-51d0-4f38-b084-f675c868fb89_Name">
    <vt:lpwstr>IPP - Internal Use Only</vt:lpwstr>
  </property>
  <property fmtid="{D5CDD505-2E9C-101B-9397-08002B2CF9AE}" pid="81" name="MSIP_Label_7bda8df4-51d0-4f38-b084-f675c868fb89_SiteId">
    <vt:lpwstr>e10aa4b9-b4bd-43c3-a9d6-29280fe1d5f9</vt:lpwstr>
  </property>
  <property fmtid="{D5CDD505-2E9C-101B-9397-08002B2CF9AE}" pid="82" name="MSIP_Label_7bda8df4-51d0-4f38-b084-f675c868fb89_ActionId">
    <vt:lpwstr>35d19138-c927-498d-b337-4450e2fb528e</vt:lpwstr>
  </property>
  <property fmtid="{D5CDD505-2E9C-101B-9397-08002B2CF9AE}" pid="83" name="MSIP_Label_7bda8df4-51d0-4f38-b084-f675c868fb89_ContentBits">
    <vt:lpwstr>0</vt:lpwstr>
  </property>
  <property fmtid="{D5CDD505-2E9C-101B-9397-08002B2CF9AE}" pid="84" name="MSIP_Label_7bda8df4-51d0-4f38-b084-f675c868fb89_Tag">
    <vt:lpwstr>10, 3, 0, 1</vt:lpwstr>
  </property>
</Properties>
</file>