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5704B6" w:rsidRDefault="009216D3" w:rsidP="009216D3">
      <w:pPr>
        <w:pStyle w:val="Correspondence"/>
        <w:spacing w:before="0" w:after="0"/>
        <w:rPr>
          <w:bCs/>
          <w:color w:val="auto"/>
        </w:rPr>
      </w:pPr>
      <w:hyperlink r:id="rId9" w:history="1">
        <w:r w:rsidRPr="005704B6">
          <w:rPr>
            <w:rStyle w:val="Hyperlink"/>
            <w:bCs/>
          </w:rPr>
          <w:t>Mahmoud.Kiasari@dal.ca</w:t>
        </w:r>
      </w:hyperlink>
      <w:r w:rsidRPr="005704B6">
        <w:rPr>
          <w:bCs/>
          <w:color w:val="auto"/>
        </w:rPr>
        <w:t xml:space="preserve">, </w:t>
      </w:r>
      <w:hyperlink r:id="rId10" w:history="1">
        <w:r w:rsidRPr="005704B6">
          <w:rPr>
            <w:rStyle w:val="Hyperlink"/>
            <w:bCs/>
          </w:rPr>
          <w:t>Hamed.Aly@dal.ca</w:t>
        </w:r>
      </w:hyperlink>
    </w:p>
    <w:p w14:paraId="500596E8" w14:textId="2FB25C3F" w:rsidR="0098546F" w:rsidRPr="005704B6" w:rsidRDefault="00FE013C" w:rsidP="002117F0">
      <w:pPr>
        <w:pStyle w:val="Text"/>
        <w:rPr>
          <w:color w:val="auto"/>
        </w:rPr>
      </w:pPr>
      <w:r w:rsidRPr="002117F0">
        <w:rPr>
          <w:b/>
          <w:highlight w:val="yellow"/>
        </w:rPr>
        <w:t xml:space="preserve">Abstract: </w:t>
      </w:r>
      <w:r w:rsidR="00120D26" w:rsidRPr="00185466">
        <w:rPr>
          <w:color w:val="auto"/>
          <w:highlight w:val="yellow"/>
        </w:rPr>
        <w:t>Data centers are being driven by artificial-intelligence workloads that drive up electricity demand and impose higher power density load, reliability, cooling, and requirements for integrating with the grid. This study systematically reviews the energy infrastructure needed to create smart integration of renewable energy generation and energy storage with AI data centers. This review, which follows the PRISMA 2020 reporting framework, analyzes 185 journal articles, conference papers, standards, agency reports, and industry sources examined between 2015 and 2026. The evidence is presented within a seven-part decision framework known as site assessment, technology selection, electrical architecture, hierarchical control, workload flexibility, economic evaluation, and sustainability compliance. The review concludes that the increased availability of renewable generation and battery costs will increase prospects for low-carbon data-center infrastructure, but published cost metrics are often not comparable. Especially, battery-pack prices are different from the installed battery energy storage system costs, unfirmed renewable-generation LCOE are not a direct comparison to the firm delivered electricity and reliability claims should be based on chronological and site-specific adequacy assessment. Balance requirements can be decreased with wind–solar complementarity and flexible computing loads, reducing the amount of balancing possible depends on the correlation of wind and solar resources, network constraints, service-level agreements, and portability of workloads. The proposed framework, thus, permits structured project screening without mandating a universally prescribed technology mix. Ongoing research areas include reproducible techno-economic models, independently verified corporate performance data, multi-year resource assessment, and integrated resource assessment of energy, water, reliability, and grid impacts.</w:t>
      </w:r>
    </w:p>
    <w:p w14:paraId="3F53CE4A" w14:textId="77777777" w:rsidR="00FE013C" w:rsidRDefault="00FE013C" w:rsidP="004C16FF">
      <w:pPr>
        <w:spacing w:after="120"/>
        <w:ind w:firstLine="480"/>
      </w:pPr>
      <w:r>
        <w:rPr>
          <w:b/>
        </w:rPr>
        <w:t xml:space="preserve">Keywords: </w:t>
      </w:r>
      <w:r>
        <w:rPr>
          <w:szCs w:val="24"/>
        </w:rPr>
        <w:t>AI data centers, renewable energy integration, energy storage, microgrid optimization, power system modelling, demand-side management, carbon-free energy, levelized cost of energy</w:t>
      </w:r>
    </w:p>
    <w:p w14:paraId="23F44169" w14:textId="77777777" w:rsidR="00D41EE0" w:rsidRDefault="00D41EE0"/>
    <w:p w14:paraId="6C7E2186" w14:textId="77777777" w:rsidR="00D41EE0" w:rsidRDefault="00000000">
      <w:pPr>
        <w:pStyle w:val="Heading1"/>
      </w:pPr>
      <w:r>
        <w:t>Highlights</w:t>
      </w:r>
    </w:p>
    <w:p w14:paraId="3DD8FD5A" w14:textId="77777777" w:rsidR="00D41EE0" w:rsidRDefault="00000000">
      <w:pPr>
        <w:pStyle w:val="Bullet"/>
      </w:pPr>
      <w:r>
        <w:t>PRISMA 2020 systematic review of 185 sources on renewable-powered AI data centers.</w:t>
      </w:r>
    </w:p>
    <w:p w14:paraId="487C4049" w14:textId="77777777" w:rsidR="00D41EE0" w:rsidRDefault="00000000">
      <w:pPr>
        <w:pStyle w:val="Bullet"/>
      </w:pPr>
      <w:r>
        <w:t>Seven-component decision framework: site, technology, electrical, control, workload, economics, sustainability.</w:t>
      </w:r>
    </w:p>
    <w:p w14:paraId="61BAFB25" w14:textId="77777777" w:rsidR="00D41EE0" w:rsidRDefault="00000000">
      <w:pPr>
        <w:pStyle w:val="Bullet"/>
      </w:pPr>
      <w:r>
        <w:t>Battery pack price ($108/kWh, BNEF 2025) is distinct from installed BESS cost ($180–320/kWh).</w:t>
      </w:r>
    </w:p>
    <w:p w14:paraId="5D41B758" w14:textId="77777777" w:rsidR="00D41EE0" w:rsidRDefault="00000000">
      <w:pPr>
        <w:pStyle w:val="Bullet"/>
      </w:pPr>
      <w:r>
        <w:t>Reliability target unified at 99.99% annual availability (LOLE = 0.876 h/yr).</w:t>
      </w:r>
    </w:p>
    <w:p w14:paraId="3D23A34E" w14:textId="77777777" w:rsidR="00D41EE0" w:rsidRDefault="00000000">
      <w:pPr>
        <w:pStyle w:val="Bullet"/>
      </w:pPr>
      <w:r>
        <w:t>Discount rate unified at 7.5% real WACC with 5–12% sensitivity range.</w:t>
      </w:r>
    </w:p>
    <w:p w14:paraId="4B0FB0DC" w14:textId="13FFE478" w:rsidR="00FE013C" w:rsidRDefault="00FE013C" w:rsidP="004C16FF">
      <w:pPr>
        <w:pStyle w:val="Heading1"/>
        <w:jc w:val="both"/>
        <w:rPr>
          <w:color w:val="auto"/>
        </w:rPr>
      </w:pPr>
      <w:r>
        <w:rPr>
          <w:color w:val="auto"/>
          <w:lang w:eastAsia="zh-CN"/>
        </w:rPr>
        <w:lastRenderedPageBreak/>
        <w:t xml:space="preserve">1. </w:t>
      </w:r>
      <w:r>
        <w:rPr>
          <w:color w:val="auto"/>
        </w:rPr>
        <w:t>Introduction</w:t>
      </w:r>
    </w:p>
    <w:p w14:paraId="3400CE5A" w14:textId="77777777" w:rsidR="00FE013C" w:rsidRDefault="00FE013C" w:rsidP="004C16FF">
      <w:pPr>
        <w:pStyle w:val="Heading2"/>
        <w:rPr>
          <w:color w:val="auto"/>
          <w:lang w:val="en-CA"/>
        </w:rPr>
      </w:pPr>
      <w:r w:rsidRPr="00962BDF">
        <w:rPr>
          <w:color w:val="auto"/>
          <w:lang w:val="en-CA"/>
        </w:rPr>
        <w:t>1.1. Global Data Center Energy Consumption an</w:t>
      </w:r>
      <w:r>
        <w:rPr>
          <w:color w:val="auto"/>
          <w:lang w:val="en-CA"/>
        </w:rPr>
        <w:t>d AI workload Growth</w:t>
      </w:r>
    </w:p>
    <w:p w14:paraId="1DF911CA" w14:textId="21FCB737" w:rsidR="00FE013C" w:rsidRPr="00962BDF" w:rsidRDefault="00FE013C" w:rsidP="004C16FF">
      <w:pPr>
        <w:pStyle w:val="Text"/>
        <w:rPr>
          <w:color w:val="auto"/>
        </w:rPr>
      </w:pPr>
      <w:r w:rsidRPr="00962BDF">
        <w:rPr>
          <w:color w:val="auto"/>
        </w:rPr>
        <w:t xml:space="preserve">In the last ten years, the entire digital infrastructure has been revolutionized, and the main driver behind this is the explosion of applications based on Artificial Intelligence. Data centers alone are a huge component of this infrastructure and are expected to use approximately 415 TWh of electricity in 2024, which is approximately 1.5% of the </w:t>
      </w:r>
      <w:proofErr w:type="gramStart"/>
      <w:r w:rsidRPr="00962BDF">
        <w:rPr>
          <w:color w:val="auto"/>
        </w:rPr>
        <w:t>world[</w:t>
      </w:r>
      <w:proofErr w:type="gramEnd"/>
      <w:r w:rsidRPr="00962BDF">
        <w:rPr>
          <w:color w:val="auto"/>
        </w:rPr>
        <w:t xml:space="preserve">1], [2]. According to the International Energy Agency (IEA), this consumption may grow to 945 TWh by 2030 based on current growth rates, mainly because of the training and inferring workloads of AI </w:t>
      </w:r>
      <w:proofErr w:type="gramStart"/>
      <w:r w:rsidRPr="00962BDF">
        <w:rPr>
          <w:color w:val="auto"/>
        </w:rPr>
        <w:t>models[</w:t>
      </w:r>
      <w:proofErr w:type="gramEnd"/>
      <w:r w:rsidRPr="00962BDF">
        <w:rPr>
          <w:color w:val="auto"/>
        </w:rPr>
        <w:t>3]. This is a staggering leap, feeding the electricity use of a power-hungry country the size of Japan into the global grid in just six years, and shows how critical it is to move towards sustainable energy solutions in data center operations.</w:t>
      </w:r>
      <w:bookmarkStart w:id="0" w:name="ZOTERO_BREF_H70vUx20hBhO"/>
      <w:bookmarkEnd w:id="0"/>
    </w:p>
    <w:p w14:paraId="772C239C" w14:textId="6E6C0D0C" w:rsidR="00FE013C" w:rsidRDefault="00FE013C" w:rsidP="0095647B">
      <w:pPr>
        <w:pStyle w:val="Text"/>
        <w:rPr>
          <w:color w:val="auto"/>
        </w:rPr>
      </w:pPr>
      <w:r w:rsidRPr="00962BDF">
        <w:rPr>
          <w:color w:val="auto"/>
        </w:rPr>
        <w:t>This challenge is evident in the energy consumption of specific AI models. To train GPT-3, a 175-billion-parameter language model developed by OpenAI, approximately 1,287 MWh of electricity was required, which corresponds to an estimated CO</w:t>
      </w:r>
      <w:r w:rsidRPr="00926B18">
        <w:rPr>
          <w:color w:val="auto"/>
          <w:vertAlign w:val="subscript"/>
        </w:rPr>
        <w:t>2</w:t>
      </w:r>
      <w:r w:rsidRPr="00962BDF">
        <w:rPr>
          <w:color w:val="auto"/>
        </w:rPr>
        <w:t xml:space="preserve"> equivalent emission of 552 </w:t>
      </w:r>
      <w:r w:rsidR="00AF78BE">
        <w:rPr>
          <w:color w:val="auto"/>
        </w:rPr>
        <w:t xml:space="preserve">metric </w:t>
      </w:r>
      <w:r w:rsidR="00B34E65" w:rsidRPr="00962BDF">
        <w:rPr>
          <w:color w:val="auto"/>
        </w:rPr>
        <w:t>tons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next GPT, with significantly more parameters, would have an even greater energy cost. Exact numbers are still proprietary, but such a model would likely be even more costly on a per-use basis.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constant inferences per year to serve billions of user queries is much higher than the training energy. </w:t>
      </w:r>
      <w:r w:rsidR="009A7CA8" w:rsidRPr="00161993">
        <w:rPr>
          <w:color w:val="auto"/>
          <w:highlight w:val="yellow"/>
          <w:lang w:val="en-CA"/>
        </w:rPr>
        <w:t>Recent studies have highlighted that the cumulative energy demand associated with large-scale inference workloads can be substantial because even modest per-query electricity consumption becomes significant when deployed across millions of daily requests</w:t>
      </w:r>
      <w:r w:rsidRPr="00161993">
        <w:rPr>
          <w:color w:val="auto"/>
          <w:highlight w:val="yellow"/>
        </w:rPr>
        <w:fldChar w:fldCharType="begin"/>
      </w:r>
      <w:r w:rsidRPr="00161993">
        <w:rPr>
          <w:color w:val="auto"/>
          <w:highlight w:val="yellow"/>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Pr="00161993">
        <w:rPr>
          <w:color w:val="auto"/>
          <w:highlight w:val="yellow"/>
        </w:rPr>
        <w:fldChar w:fldCharType="separate"/>
      </w:r>
      <w:r w:rsidRPr="00161993">
        <w:rPr>
          <w:highlight w:val="yellow"/>
        </w:rPr>
        <w:t>[7]</w:t>
      </w:r>
      <w:r w:rsidRPr="00161993">
        <w:rPr>
          <w:color w:val="auto"/>
          <w:highlight w:val="yellow"/>
        </w:rPr>
        <w:fldChar w:fldCharType="end"/>
      </w:r>
      <w:r w:rsidRPr="00161993">
        <w:rPr>
          <w:color w:val="auto"/>
          <w:highlight w:val="yellow"/>
        </w:rPr>
        <w:t>.</w:t>
      </w:r>
    </w:p>
    <w:p w14:paraId="1E5549E4" w14:textId="5AAEC0FA" w:rsidR="00FE013C" w:rsidRDefault="00FE013C" w:rsidP="00E84C3D">
      <w:pPr>
        <w:pStyle w:val="Text"/>
        <w:rPr>
          <w:color w:val="auto"/>
        </w:rPr>
      </w:pPr>
      <w:r w:rsidRPr="00291195">
        <w:rPr>
          <w:color w:val="auto"/>
          <w:highlight w:val="yellow"/>
        </w:rPr>
        <w:t xml:space="preserve">One of the biggest tipping points in electricity demand growth since the electrification of industry will come with AI, with one research group estimating </w:t>
      </w:r>
      <w:r w:rsidRPr="00291195">
        <w:rPr>
          <w:color w:val="auto"/>
          <w:highlight w:val="yellow"/>
        </w:rPr>
        <w:fldChar w:fldCharType="begin"/>
      </w:r>
      <w:r w:rsidRPr="00291195">
        <w:rPr>
          <w:color w:val="auto"/>
          <w:highlight w:val="yellow"/>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sidRPr="00291195">
        <w:rPr>
          <w:color w:val="auto"/>
          <w:highlight w:val="yellow"/>
        </w:rPr>
        <w:fldChar w:fldCharType="separate"/>
      </w:r>
      <w:r w:rsidRPr="00291195">
        <w:rPr>
          <w:highlight w:val="yellow"/>
        </w:rPr>
        <w:t>[8]</w:t>
      </w:r>
      <w:r w:rsidRPr="00291195">
        <w:rPr>
          <w:color w:val="auto"/>
          <w:highlight w:val="yellow"/>
        </w:rPr>
        <w:fldChar w:fldCharType="end"/>
      </w:r>
      <w:r w:rsidRPr="00291195">
        <w:rPr>
          <w:color w:val="auto"/>
          <w:highlight w:val="yellow"/>
        </w:rPr>
        <w:t xml:space="preserve"> </w:t>
      </w:r>
      <w:r w:rsidR="00291195">
        <w:rPr>
          <w:color w:val="auto"/>
          <w:highlight w:val="yellow"/>
        </w:rPr>
        <w:t>that</w:t>
      </w:r>
      <w:r w:rsidR="00FA40BC" w:rsidRPr="00291195">
        <w:rPr>
          <w:color w:val="auto"/>
          <w:highlight w:val="yellow"/>
          <w:lang w:val="en-CA"/>
        </w:rPr>
        <w:t xml:space="preserve"> data-center electricity demand could increase by approximately 165% between 2024 and 2030, although the magnitude and geographic distribution of this growth remain uncertain</w:t>
      </w:r>
      <w:r w:rsidRPr="00291195">
        <w:rPr>
          <w:color w:val="auto"/>
          <w:highlight w:val="yellow"/>
        </w:rPr>
        <w:t>.</w:t>
      </w:r>
      <w:r>
        <w:rPr>
          <w:color w:val="auto"/>
        </w:rPr>
        <w:t xml:space="preserve"> </w:t>
      </w:r>
      <w:r w:rsidRPr="007B5EF9">
        <w:rPr>
          <w:color w:val="auto"/>
        </w:rPr>
        <w:t>However, the Power Usage Effectiveness (PUE) of the surveyed locations did not show any significant gains in efficiency as measured by PUE,</w:t>
      </w:r>
      <w:r>
        <w:rPr>
          <w:color w:val="auto"/>
        </w:rPr>
        <w:t xml:space="preserve"> </w:t>
      </w:r>
      <w:r w:rsidRPr="007B5EF9">
        <w:rPr>
          <w:color w:val="auto"/>
        </w:rPr>
        <w:t xml:space="preserve">according to the Uptime Institute 2024 Global Data Center </w:t>
      </w:r>
      <w:bookmarkStart w:id="2" w:name="ZOTERO_BREF_VzOpl4gXp4N6"/>
      <w:r w:rsidRPr="007B5EF9">
        <w:rPr>
          <w:color w:val="auto"/>
        </w:rPr>
        <w:t>Survey</w:t>
      </w:r>
      <w:bookmarkEnd w:id="2"/>
      <w:r>
        <w:rPr>
          <w:color w:val="auto"/>
        </w:rPr>
        <w:fldChar w:fldCharType="begin"/>
      </w:r>
      <w:r>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color w:val="auto"/>
        </w:rPr>
        <w:fldChar w:fldCharType="separate"/>
      </w:r>
      <w:r w:rsidRPr="00341E54">
        <w:t>[9]</w:t>
      </w:r>
      <w:r>
        <w:rPr>
          <w:color w:val="auto"/>
        </w:rPr>
        <w:fldChar w:fldCharType="end"/>
      </w:r>
      <w:r w:rsidRPr="007B5EF9">
        <w:rPr>
          <w:color w:val="auto"/>
        </w:rPr>
        <w:t xml:space="preserve">. </w:t>
      </w:r>
      <w:r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Pr="00653055">
        <w:rPr>
          <w:color w:val="auto"/>
        </w:rPr>
        <w:t>architectures</w:t>
      </w:r>
      <w:bookmarkEnd w:id="3"/>
      <w:r>
        <w:rPr>
          <w:color w:val="auto"/>
        </w:rPr>
        <w:fldChar w:fldCharType="begin"/>
      </w:r>
      <w:r>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Pr>
          <w:color w:val="auto"/>
        </w:rPr>
        <w:fldChar w:fldCharType="separate"/>
      </w:r>
      <w:r w:rsidRPr="007F14EA">
        <w:t>[10]</w:t>
      </w:r>
      <w:r>
        <w:rPr>
          <w:color w:val="auto"/>
        </w:rPr>
        <w:fldChar w:fldCharType="end"/>
      </w:r>
      <w:r w:rsidRPr="00653055">
        <w:rPr>
          <w:color w:val="auto"/>
        </w:rPr>
        <w:t>.</w:t>
      </w:r>
      <w:r>
        <w:rPr>
          <w:color w:val="auto"/>
        </w:rPr>
        <w:t xml:space="preserve"> </w:t>
      </w:r>
      <w:r w:rsidR="00E84C3D" w:rsidRPr="00E84C3D">
        <w:rPr>
          <w:color w:val="auto"/>
        </w:rPr>
        <w:t>Figure 1 illustrates the historical growth in global data-center electricity consumption and the projected increase through 2030, highlighting the acceleration in electricity demand associated with the expansion of AI-oriented computing.</w:t>
      </w:r>
    </w:p>
    <w:p w14:paraId="6D7239E5" w14:textId="77777777" w:rsidR="00E84C3D" w:rsidRDefault="00E84C3D" w:rsidP="00FA40BC">
      <w:pPr>
        <w:pStyle w:val="Text"/>
        <w:rPr>
          <w:color w:val="auto"/>
        </w:rPr>
      </w:pPr>
    </w:p>
    <w:p w14:paraId="4836438C" w14:textId="77777777" w:rsidR="00E84C3D" w:rsidRPr="00FA40BC" w:rsidRDefault="00E84C3D" w:rsidP="00FA40BC">
      <w:pPr>
        <w:pStyle w:val="Text"/>
        <w:rPr>
          <w:color w:val="auto"/>
          <w:lang w:val="en-CA"/>
        </w:rPr>
      </w:pPr>
    </w:p>
    <w:p w14:paraId="490072E4" w14:textId="77777777" w:rsidR="00FE013C" w:rsidRDefault="00FE013C" w:rsidP="00FA53F1">
      <w:pPr>
        <w:pStyle w:val="Heading1"/>
        <w:keepNext/>
        <w:spacing w:before="0" w:after="0"/>
        <w:jc w:val="center"/>
      </w:pPr>
      <w:r>
        <w:rPr>
          <w:noProof/>
        </w:rPr>
        <w:lastRenderedPageBreak/>
        <w:drawing>
          <wp:inline distT="0" distB="0" distL="0" distR="0" wp14:anchorId="556059C0" wp14:editId="17CD0762">
            <wp:extent cx="3383902" cy="196658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3402368" cy="1977318"/>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6BFFF7BE" w:rsidR="00FE013C" w:rsidRDefault="00FE013C" w:rsidP="00FA53F1">
      <w:pPr>
        <w:pStyle w:val="Caption"/>
        <w:jc w:val="center"/>
        <w:rPr>
          <w:color w:val="auto"/>
          <w:lang w:eastAsia="zh-CN"/>
        </w:rPr>
      </w:pPr>
      <w:r>
        <w:t xml:space="preserve">Figure </w:t>
      </w:r>
      <w:r>
        <w:fldChar w:fldCharType="begin"/>
      </w:r>
      <w:r>
        <w:instrText xml:space="preserve"> SEQ Figure \* ARABIC </w:instrText>
      </w:r>
      <w:r>
        <w:fldChar w:fldCharType="separate"/>
      </w:r>
      <w:r w:rsidR="00807110">
        <w:rPr>
          <w:noProof/>
        </w:rPr>
        <w:t>1</w:t>
      </w:r>
      <w:r>
        <w:rPr>
          <w:noProof/>
        </w:rPr>
        <w:fldChar w:fldCharType="end"/>
      </w:r>
      <w:r>
        <w:t xml:space="preserve">: </w:t>
      </w:r>
      <w:r w:rsidRPr="008451C0">
        <w:t xml:space="preserve">Global data </w:t>
      </w:r>
      <w:r w:rsidR="00232D2E" w:rsidRPr="008451C0">
        <w:t>center</w:t>
      </w:r>
      <w:r w:rsidRPr="008451C0">
        <w:t xml:space="preserve"> electricity consumption and projections (2015–2030). Source: IEA, 2025</w:t>
      </w:r>
    </w:p>
    <w:p w14:paraId="26DB2460" w14:textId="77777777" w:rsidR="00FE013C" w:rsidRDefault="00FE013C" w:rsidP="004C16FF">
      <w:pPr>
        <w:pStyle w:val="Heading2"/>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Major technology firms such as Google, Microsoft, and Meta have all committed to running 24/7 carbon-free energy (CFE) operations by 2030, a criterion that includes matching all hours 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7F6122A5" w:rsidR="00FE013C" w:rsidRPr="00ED0153" w:rsidRDefault="00FE013C" w:rsidP="00E41B2F">
      <w:pPr>
        <w:pStyle w:val="Text"/>
        <w:rPr>
          <w:color w:val="auto"/>
        </w:rPr>
      </w:pPr>
      <w:r w:rsidRPr="00ED0153">
        <w:rPr>
          <w:color w:val="auto"/>
        </w:rPr>
        <w:t xml:space="preserve">The price curve of renewable energy technologies has reshaped the way data </w:t>
      </w:r>
      <w:r w:rsidR="00232D2E" w:rsidRPr="00ED0153">
        <w:rPr>
          <w:color w:val="auto"/>
        </w:rPr>
        <w:t>centers</w:t>
      </w:r>
      <w:r w:rsidRPr="00ED0153">
        <w:rPr>
          <w:color w:val="auto"/>
        </w:rPr>
        <w:t xml:space="preserve"> purchase power. PV module prices have dropped by more than 90</w:t>
      </w:r>
      <w:r>
        <w:rPr>
          <w:color w:val="auto"/>
        </w:rPr>
        <w:t xml:space="preserve">% </w:t>
      </w:r>
      <w:r w:rsidRPr="00ED0153">
        <w:rPr>
          <w:color w:val="auto"/>
        </w:rPr>
        <w:t>since 2010, to approximately $0.15 to $0.25 per watt for commercial-grade modules in 2024, and PV system costs for ground-mounted utility-scale systems are approximately $0.75 to $1.40 per watt</w:t>
      </w:r>
      <w:r>
        <w:rPr>
          <w:color w:val="auto"/>
        </w:rPr>
        <w:fldChar w:fldCharType="begin"/>
      </w:r>
      <w:r>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Pr>
          <w:color w:val="auto"/>
        </w:rPr>
        <w:fldChar w:fldCharType="separate"/>
      </w:r>
      <w:r w:rsidRPr="00665F0B">
        <w:t>[13], [14]</w:t>
      </w:r>
      <w:r>
        <w:rPr>
          <w:color w:val="auto"/>
        </w:rPr>
        <w:fldChar w:fldCharType="end"/>
      </w:r>
      <w:r w:rsidRPr="00ED0153">
        <w:rPr>
          <w:color w:val="auto"/>
        </w:rPr>
        <w:t>. Onshore wind has also performed well, with capacity factors in the range of 25%–40</w:t>
      </w:r>
      <w:r>
        <w:rPr>
          <w:color w:val="auto"/>
        </w:rPr>
        <w:t xml:space="preserve">% </w:t>
      </w:r>
      <w:r w:rsidRPr="00ED0153">
        <w:rPr>
          <w:color w:val="auto"/>
        </w:rPr>
        <w:t xml:space="preserve">and </w:t>
      </w:r>
      <w:r>
        <w:rPr>
          <w:color w:val="auto"/>
        </w:rPr>
        <w:t>Levelized Cost of Energy (</w:t>
      </w:r>
      <w:r w:rsidRPr="00ED0153">
        <w:rPr>
          <w:color w:val="auto"/>
        </w:rPr>
        <w:t>LCOE</w:t>
      </w:r>
      <w:r>
        <w:rPr>
          <w:color w:val="auto"/>
        </w:rPr>
        <w:t>)</w:t>
      </w:r>
      <w:r w:rsidRPr="00ED0153">
        <w:rPr>
          <w:color w:val="auto"/>
        </w:rPr>
        <w:t xml:space="preserve"> in the range of $25 to $45 per MWh, placing onshore wind among the most cost-competitive electricity generation technologies worldwide </w:t>
      </w:r>
      <w:r>
        <w:rPr>
          <w:color w:val="auto"/>
        </w:rPr>
        <w:fldChar w:fldCharType="begin"/>
      </w:r>
      <w:r>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color w:val="auto"/>
        </w:rPr>
        <w:fldChar w:fldCharType="separate"/>
      </w:r>
      <w:r w:rsidRPr="003F5F56">
        <w:t>[15], [16]</w:t>
      </w:r>
      <w:r>
        <w:rPr>
          <w:color w:val="auto"/>
        </w:rPr>
        <w:fldChar w:fldCharType="end"/>
      </w:r>
      <w:r w:rsidRPr="00ED0153">
        <w:rPr>
          <w:color w:val="auto"/>
        </w:rPr>
        <w:t xml:space="preserve">. </w:t>
      </w:r>
      <w:r w:rsidR="00EC4C43" w:rsidRPr="001C37FA">
        <w:rPr>
          <w:color w:val="auto"/>
          <w:highlight w:val="yellow"/>
          <w:lang w:val="en-CA"/>
        </w:rPr>
        <w:t>Bloomberg New Energy Finance (BNEF) reported that the volume-weighted average lithium-ion battery-pack price declined from approximately USD 300/kWh in 2020 to USD 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w:t>
      </w:r>
      <w:r w:rsidRPr="001C37FA">
        <w:rPr>
          <w:color w:val="auto"/>
          <w:highlight w:val="yellow"/>
        </w:rPr>
        <w:fldChar w:fldCharType="begin"/>
      </w:r>
      <w:r w:rsidRPr="001C37FA">
        <w:rPr>
          <w:color w:val="auto"/>
          <w:highlight w:val="yellow"/>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1C37FA">
        <w:rPr>
          <w:color w:val="auto"/>
          <w:highlight w:val="yellow"/>
        </w:rPr>
        <w:fldChar w:fldCharType="separate"/>
      </w:r>
      <w:r w:rsidRPr="001C37FA">
        <w:rPr>
          <w:highlight w:val="yellow"/>
        </w:rPr>
        <w:t>[17]</w:t>
      </w:r>
      <w:r w:rsidRPr="001C37FA">
        <w:rPr>
          <w:color w:val="auto"/>
          <w:highlight w:val="yellow"/>
        </w:rPr>
        <w:fldChar w:fldCharType="end"/>
      </w:r>
      <w:r w:rsidRPr="001C37FA">
        <w:rPr>
          <w:color w:val="auto"/>
          <w:highlight w:val="yellow"/>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Simultaneously, the rise and development of advanced load management strategies, such as AI 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39C34F63" w14:textId="77777777" w:rsidR="009153F7" w:rsidRPr="009153F7" w:rsidRDefault="009153F7" w:rsidP="009153F7">
      <w:pPr>
        <w:pStyle w:val="Text"/>
        <w:rPr>
          <w:color w:val="auto"/>
        </w:rPr>
      </w:pPr>
      <w:r w:rsidRPr="009153F7">
        <w:rPr>
          <w:color w:val="auto"/>
        </w:rPr>
        <w:lastRenderedPageBreak/>
        <w:t>Despite these advances, implementation remains constrained by interconnection delays, resource variability, power-quality requirements, storage costs, workload limitations, and project-specific regulatory conditions. The framework developed in this review organizes these technical, economic, and operational considerations into a structured decision process. It is intended to support project evaluation rather than to claim universal reductions in cost, storage capacity, or interconnection time.</w:t>
      </w:r>
    </w:p>
    <w:p w14:paraId="1759E4D0" w14:textId="77777777" w:rsidR="00FE013C" w:rsidRPr="009E3649" w:rsidRDefault="00FE013C" w:rsidP="004C16FF">
      <w:pPr>
        <w:pStyle w:val="Heading2"/>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71B69902" w:rsidR="00FE013C" w:rsidRDefault="00997AA6" w:rsidP="00997AA6">
      <w:pPr>
        <w:pStyle w:val="Text"/>
        <w:rPr>
          <w:color w:val="auto"/>
        </w:rPr>
      </w:pPr>
      <w:r w:rsidRPr="00997AA6">
        <w:rPr>
          <w:color w:val="auto"/>
        </w:rPr>
        <w:t xml:space="preserve">Complex grid interconnection requirements pose a major barrier to deployment. In congested regions managed by the </w:t>
      </w:r>
      <w:hyperlink r:id="rId12" w:tgtFrame="_blank" w:history="1">
        <w:r w:rsidRPr="00CF40DD">
          <w:rPr>
            <w:color w:val="auto"/>
          </w:rPr>
          <w:t>California ISO (CAISO)</w:t>
        </w:r>
      </w:hyperlink>
      <w:r w:rsidRPr="00997AA6">
        <w:rPr>
          <w:color w:val="auto"/>
        </w:rPr>
        <w:t xml:space="preserve"> and the </w:t>
      </w:r>
      <w:r w:rsidRPr="00CF40DD">
        <w:rPr>
          <w:color w:val="auto"/>
        </w:rPr>
        <w:t>Pennsylvania-New Jersey-Maryland Interconnection (PJM)</w:t>
      </w:r>
      <w:r w:rsidRPr="00997AA6">
        <w:rPr>
          <w:color w:val="auto"/>
        </w:rPr>
        <w:t xml:space="preserve"> in the United States, developers face queue wait times of 3–5 years for studies, upfront fees ranging from $50,000 to $500,000, and grid upgrade costs that potentially run into the $10 million range</w:t>
      </w:r>
      <w:r>
        <w:rPr>
          <w:color w:val="auto"/>
        </w:rPr>
        <w:t xml:space="preserve"> </w:t>
      </w:r>
      <w:r w:rsidR="00FE013C">
        <w:rPr>
          <w:color w:val="auto"/>
        </w:rPr>
        <w:fldChar w:fldCharType="begin"/>
      </w:r>
      <w:r w:rsidR="00F77E8E">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Questions","URL":"https://www.congress.gov/crs_external_products/R/PDF/R48646/R48646.1.pdf","author":[{"family":"Offutt","given":"Martin C"},{"family":"Zhu","given":"Ling"}]}}],"schema":"https://github.com/citation-style-language/schema/raw/master/csl-citation.json"} </w:instrText>
      </w:r>
      <w:r w:rsidR="00FE013C">
        <w:rPr>
          <w:color w:val="auto"/>
        </w:rPr>
        <w:fldChar w:fldCharType="separate"/>
      </w:r>
      <w:r w:rsidR="00FE013C" w:rsidRPr="00D233EF">
        <w:t>[23]</w:t>
      </w:r>
      <w:r w:rsidR="00FE013C">
        <w:rPr>
          <w:color w:val="auto"/>
        </w:rPr>
        <w:fldChar w:fldCharType="end"/>
      </w:r>
      <w:r w:rsidR="00FE013C" w:rsidRPr="009E3649">
        <w:rPr>
          <w:color w:val="auto"/>
        </w:rPr>
        <w:t xml:space="preserve">. In July 2023, </w:t>
      </w:r>
      <w:r w:rsidR="00FE013C" w:rsidRPr="00531B55">
        <w:rPr>
          <w:color w:val="auto"/>
        </w:rPr>
        <w:t xml:space="preserve">the Federal Energy Regulatory Commission </w:t>
      </w:r>
      <w:r w:rsidR="00FE013C">
        <w:rPr>
          <w:color w:val="auto"/>
        </w:rPr>
        <w:t>(</w:t>
      </w:r>
      <w:r w:rsidR="00FE013C" w:rsidRPr="009E3649">
        <w:rPr>
          <w:color w:val="auto"/>
        </w:rPr>
        <w:t>FERC</w:t>
      </w:r>
      <w:r w:rsidR="00FE013C">
        <w:rPr>
          <w:color w:val="auto"/>
        </w:rPr>
        <w:t>)</w:t>
      </w:r>
      <w:r w:rsidR="00FE013C" w:rsidRPr="009E3649">
        <w:rPr>
          <w:color w:val="auto"/>
        </w:rPr>
        <w:t xml:space="preserve"> issued Order 2023 to streamline the interconnection process for inverter-based resources by establishing </w:t>
      </w:r>
      <w:r w:rsidR="00232D2E" w:rsidRPr="009E3649">
        <w:rPr>
          <w:color w:val="auto"/>
        </w:rPr>
        <w:t>standardized</w:t>
      </w:r>
      <w:r w:rsidR="00FE013C" w:rsidRPr="009E3649">
        <w:rPr>
          <w:color w:val="auto"/>
        </w:rPr>
        <w:t xml:space="preserve"> procedures and timelines for interconnection applications </w:t>
      </w:r>
      <w:r w:rsidR="00FE013C">
        <w:rPr>
          <w:color w:val="auto"/>
        </w:rPr>
        <w:fldChar w:fldCharType="begin"/>
      </w:r>
      <w:r w:rsidR="00FE013C">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E013C">
        <w:rPr>
          <w:color w:val="auto"/>
        </w:rPr>
        <w:fldChar w:fldCharType="separate"/>
      </w:r>
      <w:r w:rsidR="00FE013C" w:rsidRPr="002E2886">
        <w:t>[24]</w:t>
      </w:r>
      <w:r w:rsidR="00FE013C">
        <w:rPr>
          <w:color w:val="auto"/>
        </w:rPr>
        <w:fldChar w:fldCharType="end"/>
      </w:r>
      <w:r w:rsidR="00FE013C">
        <w:rPr>
          <w:color w:val="auto"/>
        </w:rPr>
        <w:t>, where its i</w:t>
      </w:r>
      <w:r w:rsidR="00FE013C" w:rsidRPr="009E3649">
        <w:rPr>
          <w:color w:val="auto"/>
        </w:rPr>
        <w:t>mplementation will take several years.</w:t>
      </w:r>
    </w:p>
    <w:p w14:paraId="21FAE95C" w14:textId="77777777" w:rsidR="00FE013C" w:rsidRDefault="00FE013C" w:rsidP="004C16FF">
      <w:pPr>
        <w:pStyle w:val="Heading2"/>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D223491" w14:textId="542EED01" w:rsidR="00CD1F98" w:rsidRPr="00FA5849" w:rsidRDefault="00CD1F98" w:rsidP="00CD1F98">
      <w:pPr>
        <w:pStyle w:val="Text"/>
        <w:rPr>
          <w:color w:val="auto"/>
          <w:highlight w:val="yellow"/>
        </w:rPr>
      </w:pPr>
      <w:r w:rsidRPr="00FA5849">
        <w:rPr>
          <w:color w:val="auto"/>
          <w:highlight w:val="yellow"/>
        </w:rPr>
        <w:t>The study is based on planning, design, and operation of AI data centers that run on 10MW-1000MW, with majority of their power sourced from renewable sources. Its goal is not to build an optimization model unique to the site, but to collate and evaluate the existing knowledge base of technical, economic, operational and sustainability issues related to AI computing infrastructure powered by renewables.</w:t>
      </w:r>
    </w:p>
    <w:p w14:paraId="21C255D7" w14:textId="2747306F" w:rsidR="00CD1F98" w:rsidRPr="00FA5849" w:rsidRDefault="00CD1F98" w:rsidP="00CD1F98">
      <w:pPr>
        <w:pStyle w:val="Text"/>
        <w:rPr>
          <w:color w:val="auto"/>
          <w:highlight w:val="yellow"/>
        </w:rPr>
      </w:pPr>
      <w:r w:rsidRPr="00FA5849">
        <w:rPr>
          <w:color w:val="auto"/>
          <w:highlight w:val="yellow"/>
        </w:rPr>
        <w:t>This work is guided by 3 primary objectives:</w:t>
      </w:r>
    </w:p>
    <w:p w14:paraId="0B0DFD68" w14:textId="074E50E8" w:rsidR="00CD1F98" w:rsidRPr="00FA5849" w:rsidRDefault="00CD1F98" w:rsidP="00CD1F98">
      <w:pPr>
        <w:pStyle w:val="Text"/>
        <w:rPr>
          <w:color w:val="auto"/>
          <w:highlight w:val="yellow"/>
        </w:rPr>
      </w:pPr>
      <w:r w:rsidRPr="00FA5849">
        <w:rPr>
          <w:color w:val="auto"/>
          <w:highlight w:val="yellow"/>
        </w:rPr>
        <w:t>(</w:t>
      </w:r>
      <w:r w:rsidR="005D213B" w:rsidRPr="00FA5849">
        <w:rPr>
          <w:color w:val="auto"/>
          <w:highlight w:val="yellow"/>
        </w:rPr>
        <w:t>1</w:t>
      </w:r>
      <w:r w:rsidRPr="00FA5849">
        <w:rPr>
          <w:color w:val="auto"/>
          <w:highlight w:val="yellow"/>
        </w:rPr>
        <w:t>) To compile existing knowledge about electrical systems, renewable energy sources, energy storage, grid integration, cooling solutions and workload-flexibility solutions associated with AI data centers.</w:t>
      </w:r>
    </w:p>
    <w:p w14:paraId="6DE64967" w14:textId="01810BFF" w:rsidR="00CD1F98" w:rsidRPr="00FA5849" w:rsidRDefault="00CD1F98" w:rsidP="005D213B">
      <w:pPr>
        <w:pStyle w:val="Text"/>
        <w:rPr>
          <w:color w:val="auto"/>
          <w:highlight w:val="yellow"/>
        </w:rPr>
      </w:pPr>
      <w:r w:rsidRPr="00FA5849">
        <w:rPr>
          <w:color w:val="auto"/>
          <w:highlight w:val="yellow"/>
        </w:rPr>
        <w:t xml:space="preserve">(2) To develop a uniform basis for comparing technology costs, reliability metrics, energy-storage options, and pathways to </w:t>
      </w:r>
      <w:proofErr w:type="gramStart"/>
      <w:r w:rsidRPr="00FA5849">
        <w:rPr>
          <w:color w:val="auto"/>
          <w:highlight w:val="yellow"/>
        </w:rPr>
        <w:t>delivered</w:t>
      </w:r>
      <w:proofErr w:type="gramEnd"/>
      <w:r w:rsidRPr="00FA5849">
        <w:rPr>
          <w:color w:val="auto"/>
          <w:highlight w:val="yellow"/>
        </w:rPr>
        <w:t xml:space="preserve"> electricity, and to identify assumptions, uncertainties, and constraints affecting project-specific assessments.</w:t>
      </w:r>
    </w:p>
    <w:p w14:paraId="6ED8A9D6" w14:textId="62829997" w:rsidR="00CD1F98" w:rsidRPr="00FA5849" w:rsidRDefault="00CD1F98" w:rsidP="005D213B">
      <w:pPr>
        <w:pStyle w:val="Text"/>
        <w:rPr>
          <w:color w:val="auto"/>
          <w:highlight w:val="yellow"/>
        </w:rPr>
      </w:pPr>
      <w:r w:rsidRPr="00FA5849">
        <w:rPr>
          <w:color w:val="auto"/>
          <w:highlight w:val="yellow"/>
        </w:rPr>
        <w:lastRenderedPageBreak/>
        <w:t>(3) To transform the reviewed evidence into a seven-component decision framework and show its application by a critical analysis of publicly reported industry practices, such as Google, Meta, Microsoft, Equinix, and Apple.</w:t>
      </w:r>
    </w:p>
    <w:p w14:paraId="31E7470C" w14:textId="77777777" w:rsidR="00F179C7" w:rsidRDefault="00CD1F98" w:rsidP="00CD1F98">
      <w:pPr>
        <w:pStyle w:val="Text"/>
        <w:rPr>
          <w:color w:val="auto"/>
        </w:rPr>
      </w:pPr>
      <w:r w:rsidRPr="00FA5849">
        <w:rPr>
          <w:color w:val="auto"/>
          <w:highlight w:val="yellow"/>
        </w:rPr>
        <w:t>The resulting framework is intentionally modular, geographically agnostic to be applied broadly across a variety of resource conditions, grid environments, climatic regions, and facility scales. The framework incorporates both engineering and operational considerations while also addressing economic and sustainability factors under one roof to tackle the lack of resources in the current literature and to offer a systematic approach to assessing renewable energy powered AI data center development.</w:t>
      </w:r>
    </w:p>
    <w:p w14:paraId="3DD172AB" w14:textId="0FF48036" w:rsidR="00FE013C" w:rsidRPr="00210251" w:rsidRDefault="00FE013C" w:rsidP="00210251">
      <w:pPr>
        <w:pStyle w:val="Heading2"/>
        <w:rPr>
          <w:color w:val="auto"/>
          <w:lang w:val="en-CA"/>
        </w:rPr>
      </w:pPr>
      <w:r w:rsidRPr="00210251">
        <w:rPr>
          <w:color w:val="auto"/>
          <w:lang w:val="en-CA"/>
        </w:rPr>
        <w:t>1.5. Research Gap and Paper Statement</w:t>
      </w:r>
    </w:p>
    <w:p w14:paraId="2728DC78" w14:textId="77777777"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Furthermore, the dynamic nature of AI workloads, with small shifts to increasingly power-dense accelerators,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08EC0261" w:rsidR="00FE013C" w:rsidRDefault="00F66AD3" w:rsidP="00C00C59">
      <w:pPr>
        <w:pStyle w:val="Text"/>
        <w:rPr>
          <w:color w:val="auto"/>
        </w:rPr>
      </w:pPr>
      <w:r w:rsidRPr="00F66AD3">
        <w:rPr>
          <w:color w:val="auto"/>
        </w:rPr>
        <w:t>This study addresses this gap by synthesizing the reviewed evidence into a seven-component decision framework for evaluating renewable-powered AI data-center infrastructure.</w:t>
      </w:r>
      <w:r w:rsidR="00C00C59">
        <w:rPr>
          <w:color w:val="auto"/>
        </w:rPr>
        <w:t xml:space="preserve"> </w:t>
      </w:r>
      <w:r w:rsidR="00FE013C" w:rsidRPr="00070841">
        <w:rPr>
          <w:color w:val="auto"/>
        </w:rPr>
        <w:t xml:space="preserve">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EDB4799"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00384D46">
        <w:rPr>
          <w:color w:val="auto"/>
        </w:rPr>
        <w:t>.</w:t>
      </w:r>
    </w:p>
    <w:p w14:paraId="233E74A9" w14:textId="094A32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environmentally friendly, and highly reliable operation of AI data </w:t>
      </w:r>
      <w:r w:rsidR="00232D2E" w:rsidRPr="00070841">
        <w:rPr>
          <w:color w:val="auto"/>
        </w:rPr>
        <w:t>centers</w:t>
      </w:r>
      <w:r w:rsidRPr="00070841">
        <w:rPr>
          <w:color w:val="auto"/>
        </w:rPr>
        <w:t xml:space="preserve"> in various geographical and climatic environments.</w:t>
      </w:r>
    </w:p>
    <w:p w14:paraId="252663CB" w14:textId="77777777" w:rsidR="00BD5E10" w:rsidRPr="00BD5E10" w:rsidRDefault="00FE013C" w:rsidP="00BD5E10">
      <w:pPr>
        <w:pStyle w:val="Text"/>
        <w:rPr>
          <w:color w:val="auto"/>
        </w:rPr>
      </w:pPr>
      <w:r w:rsidRPr="007A7079">
        <w:rPr>
          <w:color w:val="auto"/>
        </w:rPr>
        <w:t xml:space="preserve">Section 2 </w:t>
      </w:r>
      <w:r w:rsidR="00232D2E" w:rsidRPr="007A7079">
        <w:rPr>
          <w:color w:val="auto"/>
        </w:rPr>
        <w:t>synthesizes</w:t>
      </w:r>
      <w:r w:rsidRPr="007A7079">
        <w:rPr>
          <w:color w:val="auto"/>
        </w:rPr>
        <w:t xml:space="preserve"> the state of the art and identifies key literature gaps. Section 3 covers the electrical fundamentals of data </w:t>
      </w:r>
      <w:r w:rsidR="00232D2E" w:rsidRPr="007A7079">
        <w:rPr>
          <w:color w:val="auto"/>
        </w:rPr>
        <w:t>center</w:t>
      </w:r>
      <w:r w:rsidRPr="007A7079">
        <w:rPr>
          <w:color w:val="auto"/>
        </w:rPr>
        <w:t xml:space="preserve"> systems. Section 4 characterizes renewable energy resources and assessment methodologies. Section 5 examines energy storage and backup systems, including sizing methodologies. Section 6 covers power system modelling and simulation. Section 7 presents the core seven-component framework for renewable-powered AI data </w:t>
      </w:r>
      <w:r w:rsidR="00232D2E" w:rsidRPr="007A7079">
        <w:rPr>
          <w:color w:val="auto"/>
        </w:rPr>
        <w:t>center</w:t>
      </w:r>
      <w:r w:rsidRPr="007A7079">
        <w:rPr>
          <w:color w:val="auto"/>
        </w:rPr>
        <w:t xml:space="preserve"> design. </w:t>
      </w:r>
      <w:r w:rsidR="00BD5E10" w:rsidRPr="00BD5E10">
        <w:rPr>
          <w:color w:val="auto"/>
        </w:rPr>
        <w:t>Section 8 illustrates and critically compares the framework against publicly reported industry practices. Section 10 critically reviews technology costs, electricity-cost comparability, procurement arrangements, and project-specific financial-assessment methods. Section 13 presents the limitations of the review, Section 14 presents the conclusions, and Section 15 identifies future research priorities.</w:t>
      </w:r>
    </w:p>
    <w:p w14:paraId="1CD78179" w14:textId="4CCF2DF9" w:rsidR="00CD098A" w:rsidRPr="001718D7" w:rsidRDefault="00CD098A" w:rsidP="00BD5E10">
      <w:pPr>
        <w:pStyle w:val="Heading2"/>
        <w:rPr>
          <w:color w:val="auto"/>
          <w:highlight w:val="yellow"/>
          <w:lang w:val="en-CA"/>
        </w:rPr>
      </w:pPr>
      <w:r w:rsidRPr="001718D7">
        <w:rPr>
          <w:color w:val="auto"/>
          <w:highlight w:val="yellow"/>
          <w:lang w:val="en-CA"/>
        </w:rPr>
        <w:lastRenderedPageBreak/>
        <w:t>1.6. Review Methodology</w:t>
      </w:r>
    </w:p>
    <w:p w14:paraId="083E856A" w14:textId="77777777" w:rsidR="00A377FE" w:rsidRPr="00A377FE" w:rsidRDefault="00A377FE" w:rsidP="00A377FE">
      <w:pPr>
        <w:pStyle w:val="Text"/>
        <w:rPr>
          <w:color w:val="auto"/>
          <w:highlight w:val="yellow"/>
        </w:rPr>
      </w:pPr>
      <w:r w:rsidRPr="00A377FE">
        <w:rPr>
          <w:color w:val="auto"/>
          <w:highlight w:val="yellow"/>
        </w:rPr>
        <w:t xml:space="preserve">This study follows the PRISMA 2020 reporting framework to support a structured, transparent, and reproducible review process. PRISMA 2020 was chosen because it provides an internationally </w:t>
      </w:r>
      <w:proofErr w:type="spellStart"/>
      <w:r w:rsidRPr="00A377FE">
        <w:rPr>
          <w:color w:val="auto"/>
          <w:highlight w:val="yellow"/>
        </w:rPr>
        <w:t>recognised</w:t>
      </w:r>
      <w:proofErr w:type="spellEnd"/>
      <w:r w:rsidRPr="00A377FE">
        <w:rPr>
          <w:color w:val="auto"/>
          <w:highlight w:val="yellow"/>
        </w:rPr>
        <w:t xml:space="preserve"> minimum item set for reporting systematic literature reviews, including an explicit account of search strings, eligibility criteria, screening counts, and exclusion reasons. The objective was to identify and </w:t>
      </w:r>
      <w:proofErr w:type="spellStart"/>
      <w:r w:rsidRPr="00A377FE">
        <w:rPr>
          <w:color w:val="auto"/>
          <w:highlight w:val="yellow"/>
        </w:rPr>
        <w:t>synthesise</w:t>
      </w:r>
      <w:proofErr w:type="spellEnd"/>
      <w:r w:rsidRPr="00A377FE">
        <w:rPr>
          <w:color w:val="auto"/>
          <w:highlight w:val="yellow"/>
        </w:rPr>
        <w:t xml:space="preserve"> current knowledge related to renewable-powered AI data centers, with particular emphasis on electrical infrastructure, renewable-energy integration, energy storage, workload flexibility, economic evaluation, sustainability, and grid interaction. The PRISMA flow diagram (Figure 2) </w:t>
      </w:r>
      <w:proofErr w:type="spellStart"/>
      <w:r w:rsidRPr="00A377FE">
        <w:rPr>
          <w:color w:val="auto"/>
          <w:highlight w:val="yellow"/>
        </w:rPr>
        <w:t>summarises</w:t>
      </w:r>
      <w:proofErr w:type="spellEnd"/>
      <w:r w:rsidRPr="00A377FE">
        <w:rPr>
          <w:color w:val="auto"/>
          <w:highlight w:val="yellow"/>
        </w:rPr>
        <w:t xml:space="preserve"> the screening process and the counts reported in Sections 1.6.1 to 1.6.3.</w:t>
      </w:r>
    </w:p>
    <w:p w14:paraId="763016BC" w14:textId="7BF249DB" w:rsidR="00CD098A" w:rsidRPr="001718D7" w:rsidRDefault="00CD098A" w:rsidP="00CD098A">
      <w:pPr>
        <w:pStyle w:val="Heading2"/>
        <w:rPr>
          <w:color w:val="auto"/>
          <w:highlight w:val="yellow"/>
          <w:lang w:val="en-CA"/>
        </w:rPr>
      </w:pPr>
      <w:r w:rsidRPr="001718D7">
        <w:rPr>
          <w:color w:val="auto"/>
          <w:highlight w:val="yellow"/>
          <w:lang w:val="en-CA"/>
        </w:rPr>
        <w:t xml:space="preserve">1.6.1 </w:t>
      </w:r>
      <w:r w:rsidR="00B74A74">
        <w:rPr>
          <w:color w:val="auto"/>
          <w:highlight w:val="yellow"/>
          <w:lang w:val="en-CA"/>
        </w:rPr>
        <w:t>Evidence Selection</w:t>
      </w:r>
    </w:p>
    <w:p w14:paraId="40207BD8" w14:textId="4AAE05AC" w:rsidR="00CE59F0" w:rsidRPr="00CE59F0" w:rsidRDefault="00CE59F0" w:rsidP="00486BDC">
      <w:pPr>
        <w:pStyle w:val="Text"/>
        <w:rPr>
          <w:color w:val="auto"/>
          <w:highlight w:val="yellow"/>
        </w:rPr>
      </w:pPr>
      <w:r w:rsidRPr="00CE59F0">
        <w:rPr>
          <w:color w:val="auto"/>
          <w:highlight w:val="yellow"/>
        </w:rPr>
        <w:t xml:space="preserve">The literature review drew upon a combination of peer-reviewed publications, technical standards, agency reports, and industry sources. Major bibliographic databases included Scopus, Web of Science Core Collection, IEEE Xplore, ScienceDirect, and Google Scholar. The Boolean search string combined three concept blocks: ("data center" OR "data </w:t>
      </w:r>
      <w:proofErr w:type="spellStart"/>
      <w:r w:rsidRPr="00CE59F0">
        <w:rPr>
          <w:color w:val="auto"/>
          <w:highlight w:val="yellow"/>
        </w:rPr>
        <w:t>centre</w:t>
      </w:r>
      <w:proofErr w:type="spellEnd"/>
      <w:r w:rsidRPr="00CE59F0">
        <w:rPr>
          <w:color w:val="auto"/>
          <w:highlight w:val="yellow"/>
        </w:rPr>
        <w:t xml:space="preserve">" OR "hyperscale" OR "AI workload") AND ("renewable energy" OR "solar" OR "wind" OR "battery storage" OR "microgrid") AND ("grid integration" OR "power system" OR "reliability" OR "LOLE" OR "techno-economic"). The primary date window covered publications released between 2015 and 2026, with earlier references retained only when they described foundational methodologies, standards, or widely adopted engineering practices that remain relevant to current power-system and data-center applications. The date of last search was June 2026. Additional information was obtained from publicly available publications issued by </w:t>
      </w:r>
      <w:proofErr w:type="spellStart"/>
      <w:r w:rsidRPr="00CE59F0">
        <w:rPr>
          <w:color w:val="auto"/>
          <w:highlight w:val="yellow"/>
        </w:rPr>
        <w:t>organisations</w:t>
      </w:r>
      <w:proofErr w:type="spellEnd"/>
      <w:r w:rsidRPr="00CE59F0">
        <w:rPr>
          <w:color w:val="auto"/>
          <w:highlight w:val="yellow"/>
        </w:rPr>
        <w:t xml:space="preserve"> such as the International Energy Agency (IEA), the International Renewable Energy Agency (IRENA), the National Renewable Energy Laboratory (NREL), </w:t>
      </w:r>
      <w:proofErr w:type="spellStart"/>
      <w:r w:rsidRPr="00CE59F0">
        <w:rPr>
          <w:color w:val="auto"/>
          <w:highlight w:val="yellow"/>
        </w:rPr>
        <w:t>BloombergNEF</w:t>
      </w:r>
      <w:proofErr w:type="spellEnd"/>
      <w:r w:rsidRPr="00CE59F0">
        <w:rPr>
          <w:color w:val="auto"/>
          <w:highlight w:val="yellow"/>
        </w:rPr>
        <w:t xml:space="preserve"> (BNEF), the Electric Power Research Institute (EPRI), the Uptime Institute, and relevant regulatory and standards bodies (FERC, NERC, IEEE, IEC, NFPA).</w:t>
      </w:r>
    </w:p>
    <w:p w14:paraId="6D49C8F4" w14:textId="03D64970" w:rsidR="00CD098A" w:rsidRPr="001718D7" w:rsidRDefault="00CD098A" w:rsidP="00CD098A">
      <w:pPr>
        <w:pStyle w:val="Heading2"/>
        <w:rPr>
          <w:color w:val="auto"/>
          <w:highlight w:val="yellow"/>
          <w:lang w:val="en-CA"/>
        </w:rPr>
      </w:pPr>
      <w:r w:rsidRPr="001718D7">
        <w:rPr>
          <w:color w:val="auto"/>
          <w:highlight w:val="yellow"/>
          <w:lang w:val="en-CA"/>
        </w:rPr>
        <w:t>1.6.2 Eligibility Criteria</w:t>
      </w:r>
    </w:p>
    <w:p w14:paraId="38CA8871" w14:textId="7D716522" w:rsidR="001020EF" w:rsidRPr="000633EE" w:rsidRDefault="00E07E1A" w:rsidP="000633EE">
      <w:pPr>
        <w:pStyle w:val="Text"/>
        <w:rPr>
          <w:color w:val="auto"/>
          <w:highlight w:val="yellow"/>
        </w:rPr>
      </w:pPr>
      <w:r w:rsidRPr="00E07E1A">
        <w:rPr>
          <w:color w:val="auto"/>
          <w:highlight w:val="yellow"/>
        </w:rPr>
        <w:t>Eligibility criteria were defined a priori and applied consistently across the screening process.</w:t>
      </w:r>
      <w:r w:rsidRPr="00E07E1A">
        <w:rPr>
          <w:color w:val="auto"/>
          <w:highlight w:val="yellow"/>
        </w:rPr>
        <w:br/>
        <w:t>Inclusion criteria:</w:t>
      </w:r>
      <w:r w:rsidRPr="00E07E1A">
        <w:rPr>
          <w:color w:val="auto"/>
          <w:highlight w:val="yellow"/>
        </w:rPr>
        <w:br/>
        <w:t xml:space="preserve">  (</w:t>
      </w:r>
      <w:proofErr w:type="spellStart"/>
      <w:r w:rsidRPr="00E07E1A">
        <w:rPr>
          <w:color w:val="auto"/>
          <w:highlight w:val="yellow"/>
        </w:rPr>
        <w:t>i</w:t>
      </w:r>
      <w:proofErr w:type="spellEnd"/>
      <w:r w:rsidRPr="00E07E1A">
        <w:rPr>
          <w:color w:val="auto"/>
          <w:highlight w:val="yellow"/>
        </w:rPr>
        <w:t>) peer-reviewed journal articles and conference papers reporting original research on AI data center energy use, renewable integration, energy storage, microgrids, reliability, techno-economics, sustainability, or grid codes;</w:t>
      </w:r>
      <w:r w:rsidRPr="00E07E1A">
        <w:rPr>
          <w:color w:val="auto"/>
          <w:highlight w:val="yellow"/>
        </w:rPr>
        <w:br/>
        <w:t xml:space="preserve">  (ii) technical standards issued by IEEE, IEC, or NFPA relevant to power quality, harmonic control, or uninterruptible power supply;</w:t>
      </w:r>
      <w:r w:rsidRPr="00E07E1A">
        <w:rPr>
          <w:color w:val="auto"/>
          <w:highlight w:val="yellow"/>
        </w:rPr>
        <w:br/>
        <w:t xml:space="preserve">  (iii) agency and institutional reports from IEA, IRENA, NREL, EPRI, or EIA providing technology cost, deployment, or market data;</w:t>
      </w:r>
      <w:r w:rsidRPr="00E07E1A">
        <w:rPr>
          <w:color w:val="auto"/>
          <w:highlight w:val="yellow"/>
        </w:rPr>
        <w:br/>
        <w:t xml:space="preserve">  (iv) corporate sustainability reports from hyperscale or colocation operators providing case-study data on renewable procurement, CFE matching, or sustainability metrics;</w:t>
      </w:r>
      <w:r w:rsidRPr="00E07E1A">
        <w:rPr>
          <w:color w:val="auto"/>
          <w:highlight w:val="yellow"/>
        </w:rPr>
        <w:br/>
        <w:t xml:space="preserve">  (v) market reports from </w:t>
      </w:r>
      <w:proofErr w:type="spellStart"/>
      <w:r w:rsidRPr="00E07E1A">
        <w:rPr>
          <w:color w:val="auto"/>
          <w:highlight w:val="yellow"/>
        </w:rPr>
        <w:t>BloombergNEF</w:t>
      </w:r>
      <w:proofErr w:type="spellEnd"/>
      <w:r w:rsidRPr="00E07E1A">
        <w:rPr>
          <w:color w:val="auto"/>
          <w:highlight w:val="yellow"/>
        </w:rPr>
        <w:t>, Lazard, or Wood Mackenzie providing current cost benchmarks;</w:t>
      </w:r>
      <w:r w:rsidRPr="00E07E1A">
        <w:rPr>
          <w:color w:val="auto"/>
          <w:highlight w:val="yellow"/>
        </w:rPr>
        <w:br/>
        <w:t xml:space="preserve">  (vi) patent documents relevant to data-center power conversion, cooling, or storage integration.</w:t>
      </w:r>
      <w:r w:rsidRPr="00E07E1A">
        <w:rPr>
          <w:color w:val="auto"/>
          <w:highlight w:val="yellow"/>
        </w:rPr>
        <w:br/>
        <w:t>Exclusion criteria:</w:t>
      </w:r>
      <w:r w:rsidRPr="00E07E1A">
        <w:rPr>
          <w:color w:val="auto"/>
          <w:highlight w:val="yellow"/>
        </w:rPr>
        <w:br/>
        <w:t xml:space="preserve">  (</w:t>
      </w:r>
      <w:proofErr w:type="spellStart"/>
      <w:r w:rsidRPr="00E07E1A">
        <w:rPr>
          <w:color w:val="auto"/>
          <w:highlight w:val="yellow"/>
        </w:rPr>
        <w:t>i</w:t>
      </w:r>
      <w:proofErr w:type="spellEnd"/>
      <w:r w:rsidRPr="00E07E1A">
        <w:rPr>
          <w:color w:val="auto"/>
          <w:highlight w:val="yellow"/>
        </w:rPr>
        <w:t>) studies limited to non-data-center commercial buildings;</w:t>
      </w:r>
      <w:r w:rsidRPr="00E07E1A">
        <w:rPr>
          <w:color w:val="auto"/>
          <w:highlight w:val="yellow"/>
        </w:rPr>
        <w:br/>
        <w:t xml:space="preserve">  (ii) studies not available in English;</w:t>
      </w:r>
      <w:r w:rsidRPr="00E07E1A">
        <w:rPr>
          <w:color w:val="auto"/>
          <w:highlight w:val="yellow"/>
        </w:rPr>
        <w:br/>
      </w:r>
      <w:r w:rsidRPr="00E07E1A">
        <w:rPr>
          <w:color w:val="auto"/>
          <w:highlight w:val="yellow"/>
        </w:rPr>
        <w:lastRenderedPageBreak/>
        <w:t xml:space="preserve">  (iii) editorials, blog posts, and trade-press articles without primary data or methodology;</w:t>
      </w:r>
      <w:r w:rsidRPr="00E07E1A">
        <w:rPr>
          <w:color w:val="auto"/>
          <w:highlight w:val="yellow"/>
        </w:rPr>
        <w:br/>
        <w:t xml:space="preserve">  (iv) articles published in journals on Beall's list of predatory publishers;</w:t>
      </w:r>
      <w:r w:rsidRPr="00E07E1A">
        <w:rPr>
          <w:color w:val="auto"/>
          <w:highlight w:val="yellow"/>
        </w:rPr>
        <w:br/>
        <w:t xml:space="preserve">  (v) superseded versions of technical standards, with only the latest version retained.</w:t>
      </w:r>
    </w:p>
    <w:p w14:paraId="50C6FC67" w14:textId="6AF4684F" w:rsidR="00A35C4D" w:rsidRPr="00A35C4D" w:rsidRDefault="00A35C4D" w:rsidP="00A35C4D">
      <w:pPr>
        <w:pStyle w:val="Heading2"/>
        <w:spacing w:before="0"/>
        <w:jc w:val="center"/>
        <w:rPr>
          <w:highlight w:val="yellow"/>
          <w:lang w:val="en-CA"/>
        </w:rPr>
      </w:pPr>
      <w:r w:rsidRPr="00A35C4D">
        <w:rPr>
          <w:highlight w:val="yellow"/>
          <w:lang w:val="en-CA"/>
        </w:rPr>
        <w:drawing>
          <wp:inline distT="0" distB="0" distL="0" distR="0" wp14:anchorId="75EE4481" wp14:editId="52AD92CA">
            <wp:extent cx="6192520" cy="3188335"/>
            <wp:effectExtent l="0" t="0" r="0" b="0"/>
            <wp:docPr id="2057159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3188335"/>
                    </a:xfrm>
                    <a:prstGeom prst="rect">
                      <a:avLst/>
                    </a:prstGeom>
                    <a:noFill/>
                    <a:ln>
                      <a:noFill/>
                    </a:ln>
                  </pic:spPr>
                </pic:pic>
              </a:graphicData>
            </a:graphic>
          </wp:inline>
        </w:drawing>
      </w:r>
    </w:p>
    <w:p w14:paraId="240F0818" w14:textId="48718DD5" w:rsidR="001718D7" w:rsidRPr="001718D7" w:rsidRDefault="001718D7" w:rsidP="00F73CD6">
      <w:pPr>
        <w:pStyle w:val="Heading2"/>
        <w:spacing w:before="0"/>
        <w:jc w:val="center"/>
        <w:rPr>
          <w:highlight w:val="yellow"/>
        </w:rPr>
      </w:pPr>
    </w:p>
    <w:p w14:paraId="1B3CB63D" w14:textId="75AD91EC" w:rsidR="00D41EE0" w:rsidRPr="009B3B52" w:rsidRDefault="001718D7" w:rsidP="009B3B52">
      <w:pPr>
        <w:pStyle w:val="Caption"/>
        <w:jc w:val="center"/>
        <w:rPr>
          <w:noProof/>
          <w:snapToGrid w:val="0"/>
          <w:color w:val="auto"/>
          <w:szCs w:val="22"/>
          <w:lang w:val="en-CA" w:bidi="en-US"/>
        </w:rPr>
      </w:pPr>
      <w:r w:rsidRPr="001718D7">
        <w:rPr>
          <w:highlight w:val="yellow"/>
        </w:rPr>
        <w:t xml:space="preserve">Figure </w:t>
      </w:r>
      <w:r w:rsidRPr="001718D7">
        <w:rPr>
          <w:highlight w:val="yellow"/>
        </w:rPr>
        <w:fldChar w:fldCharType="begin"/>
      </w:r>
      <w:r w:rsidRPr="001718D7">
        <w:rPr>
          <w:highlight w:val="yellow"/>
        </w:rPr>
        <w:instrText xml:space="preserve"> SEQ Figure \* ARABIC </w:instrText>
      </w:r>
      <w:r w:rsidRPr="001718D7">
        <w:rPr>
          <w:highlight w:val="yellow"/>
        </w:rPr>
        <w:fldChar w:fldCharType="separate"/>
      </w:r>
      <w:r w:rsidR="00807110">
        <w:rPr>
          <w:noProof/>
          <w:highlight w:val="yellow"/>
        </w:rPr>
        <w:t>2</w:t>
      </w:r>
      <w:r w:rsidRPr="001718D7">
        <w:rPr>
          <w:highlight w:val="yellow"/>
        </w:rPr>
        <w:fldChar w:fldCharType="end"/>
      </w:r>
      <w:r w:rsidRPr="001718D7">
        <w:rPr>
          <w:highlight w:val="yellow"/>
        </w:rPr>
        <w:t xml:space="preserve"> PRISMA 2020 Flow Diagram of the Literature Screening and Selection Process</w:t>
      </w:r>
    </w:p>
    <w:p w14:paraId="0327FFE8" w14:textId="77777777" w:rsidR="00D41EE0" w:rsidRDefault="00000000">
      <w:pPr>
        <w:pStyle w:val="Heading1"/>
      </w:pPr>
      <w:r>
        <w:t>1.7. Nomenclature and Abbreviations</w:t>
      </w:r>
    </w:p>
    <w:p w14:paraId="30910E2C" w14:textId="77777777" w:rsidR="00D41EE0" w:rsidRDefault="00000000">
      <w:pPr>
        <w:pStyle w:val="Text"/>
      </w:pPr>
      <w:r>
        <w:t>The following abbreviations are used throughout this paper.</w:t>
      </w:r>
    </w:p>
    <w:tbl>
      <w:tblPr>
        <w:tblStyle w:val="TableGrid"/>
        <w:tblW w:w="0" w:type="auto"/>
        <w:tblLook w:val="04A0" w:firstRow="1" w:lastRow="0" w:firstColumn="1" w:lastColumn="0" w:noHBand="0" w:noVBand="1"/>
      </w:tblPr>
      <w:tblGrid>
        <w:gridCol w:w="4871"/>
        <w:gridCol w:w="4871"/>
      </w:tblGrid>
      <w:tr w:rsidR="00D41EE0" w14:paraId="252E27A0" w14:textId="77777777">
        <w:tc>
          <w:tcPr>
            <w:tcW w:w="4876" w:type="dxa"/>
          </w:tcPr>
          <w:p w14:paraId="47D96BE1" w14:textId="77777777" w:rsidR="00D41EE0" w:rsidRDefault="00000000">
            <w:r>
              <w:t>Abbreviation</w:t>
            </w:r>
          </w:p>
        </w:tc>
        <w:tc>
          <w:tcPr>
            <w:tcW w:w="4876" w:type="dxa"/>
          </w:tcPr>
          <w:p w14:paraId="7B0C6290" w14:textId="77777777" w:rsidR="00D41EE0" w:rsidRDefault="00000000">
            <w:r>
              <w:t>Definition</w:t>
            </w:r>
          </w:p>
        </w:tc>
      </w:tr>
      <w:tr w:rsidR="00D41EE0" w14:paraId="6A10DB90" w14:textId="77777777">
        <w:tc>
          <w:tcPr>
            <w:tcW w:w="4876" w:type="dxa"/>
          </w:tcPr>
          <w:p w14:paraId="76B2DB98" w14:textId="77777777" w:rsidR="00D41EE0" w:rsidRDefault="00000000">
            <w:r>
              <w:t>ADR</w:t>
            </w:r>
          </w:p>
        </w:tc>
        <w:tc>
          <w:tcPr>
            <w:tcW w:w="4876" w:type="dxa"/>
          </w:tcPr>
          <w:p w14:paraId="469F5872" w14:textId="77777777" w:rsidR="00D41EE0" w:rsidRDefault="00000000">
            <w:r>
              <w:t>Active Demand Response</w:t>
            </w:r>
          </w:p>
        </w:tc>
      </w:tr>
      <w:tr w:rsidR="00D41EE0" w14:paraId="413EA83D" w14:textId="77777777">
        <w:tc>
          <w:tcPr>
            <w:tcW w:w="4876" w:type="dxa"/>
          </w:tcPr>
          <w:p w14:paraId="23C40E76" w14:textId="77777777" w:rsidR="00D41EE0" w:rsidRDefault="00000000">
            <w:r>
              <w:t>ATB</w:t>
            </w:r>
          </w:p>
        </w:tc>
        <w:tc>
          <w:tcPr>
            <w:tcW w:w="4876" w:type="dxa"/>
          </w:tcPr>
          <w:p w14:paraId="336B94F7" w14:textId="77777777" w:rsidR="00D41EE0" w:rsidRDefault="00000000">
            <w:r>
              <w:t>Annual Technology Baseline (NREL)</w:t>
            </w:r>
          </w:p>
        </w:tc>
      </w:tr>
      <w:tr w:rsidR="00D41EE0" w14:paraId="337E5580" w14:textId="77777777">
        <w:tc>
          <w:tcPr>
            <w:tcW w:w="4876" w:type="dxa"/>
          </w:tcPr>
          <w:p w14:paraId="1BC90434" w14:textId="77777777" w:rsidR="00D41EE0" w:rsidRDefault="00000000">
            <w:r>
              <w:t>BESS</w:t>
            </w:r>
          </w:p>
        </w:tc>
        <w:tc>
          <w:tcPr>
            <w:tcW w:w="4876" w:type="dxa"/>
          </w:tcPr>
          <w:p w14:paraId="09B302C8" w14:textId="77777777" w:rsidR="00D41EE0" w:rsidRDefault="00000000">
            <w:r>
              <w:t>Battery Energy Storage System</w:t>
            </w:r>
          </w:p>
        </w:tc>
      </w:tr>
      <w:tr w:rsidR="00D41EE0" w14:paraId="01483D41" w14:textId="77777777">
        <w:tc>
          <w:tcPr>
            <w:tcW w:w="4876" w:type="dxa"/>
          </w:tcPr>
          <w:p w14:paraId="10A2D4BD" w14:textId="77777777" w:rsidR="00D41EE0" w:rsidRDefault="00000000">
            <w:r>
              <w:t>BNEF</w:t>
            </w:r>
          </w:p>
        </w:tc>
        <w:tc>
          <w:tcPr>
            <w:tcW w:w="4876" w:type="dxa"/>
          </w:tcPr>
          <w:p w14:paraId="51C803D7" w14:textId="77777777" w:rsidR="00D41EE0" w:rsidRDefault="00000000">
            <w:r>
              <w:t>Bloomberg New Energy Finance</w:t>
            </w:r>
          </w:p>
        </w:tc>
      </w:tr>
      <w:tr w:rsidR="00D41EE0" w14:paraId="51D20ABD" w14:textId="77777777">
        <w:tc>
          <w:tcPr>
            <w:tcW w:w="4876" w:type="dxa"/>
          </w:tcPr>
          <w:p w14:paraId="4B629A8A" w14:textId="77777777" w:rsidR="00D41EE0" w:rsidRDefault="00000000">
            <w:r>
              <w:t>CAES</w:t>
            </w:r>
          </w:p>
        </w:tc>
        <w:tc>
          <w:tcPr>
            <w:tcW w:w="4876" w:type="dxa"/>
          </w:tcPr>
          <w:p w14:paraId="20CF7541" w14:textId="77777777" w:rsidR="00D41EE0" w:rsidRDefault="00000000">
            <w:proofErr w:type="gramStart"/>
            <w:r>
              <w:t>Compressed Air</w:t>
            </w:r>
            <w:proofErr w:type="gramEnd"/>
            <w:r>
              <w:t xml:space="preserve"> Energy Storage</w:t>
            </w:r>
          </w:p>
        </w:tc>
      </w:tr>
      <w:tr w:rsidR="00D41EE0" w14:paraId="4E7100C3" w14:textId="77777777">
        <w:tc>
          <w:tcPr>
            <w:tcW w:w="4876" w:type="dxa"/>
          </w:tcPr>
          <w:p w14:paraId="01F2E37C" w14:textId="77777777" w:rsidR="00D41EE0" w:rsidRDefault="00000000">
            <w:r>
              <w:t>CAISO</w:t>
            </w:r>
          </w:p>
        </w:tc>
        <w:tc>
          <w:tcPr>
            <w:tcW w:w="4876" w:type="dxa"/>
          </w:tcPr>
          <w:p w14:paraId="5E0DB1F6" w14:textId="77777777" w:rsidR="00D41EE0" w:rsidRDefault="00000000">
            <w:r>
              <w:t>California Independent System Operator</w:t>
            </w:r>
          </w:p>
        </w:tc>
      </w:tr>
      <w:tr w:rsidR="00D41EE0" w14:paraId="44154BBE" w14:textId="77777777">
        <w:tc>
          <w:tcPr>
            <w:tcW w:w="4876" w:type="dxa"/>
          </w:tcPr>
          <w:p w14:paraId="603713E0" w14:textId="77777777" w:rsidR="00D41EE0" w:rsidRDefault="00000000">
            <w:r>
              <w:t>CAPEX</w:t>
            </w:r>
          </w:p>
        </w:tc>
        <w:tc>
          <w:tcPr>
            <w:tcW w:w="4876" w:type="dxa"/>
          </w:tcPr>
          <w:p w14:paraId="3C026CD0" w14:textId="77777777" w:rsidR="00D41EE0" w:rsidRDefault="00000000">
            <w:r>
              <w:t>Capital Expenditure</w:t>
            </w:r>
          </w:p>
        </w:tc>
      </w:tr>
      <w:tr w:rsidR="00D41EE0" w14:paraId="48B83698" w14:textId="77777777">
        <w:tc>
          <w:tcPr>
            <w:tcW w:w="4876" w:type="dxa"/>
          </w:tcPr>
          <w:p w14:paraId="00078C3F" w14:textId="77777777" w:rsidR="00D41EE0" w:rsidRDefault="00000000">
            <w:r>
              <w:t>CFE</w:t>
            </w:r>
          </w:p>
        </w:tc>
        <w:tc>
          <w:tcPr>
            <w:tcW w:w="4876" w:type="dxa"/>
          </w:tcPr>
          <w:p w14:paraId="3C9C06A8" w14:textId="77777777" w:rsidR="00D41EE0" w:rsidRDefault="00000000">
            <w:r>
              <w:t>Carbon-Free Energy</w:t>
            </w:r>
          </w:p>
        </w:tc>
      </w:tr>
      <w:tr w:rsidR="00D41EE0" w14:paraId="64CBF8B8" w14:textId="77777777">
        <w:tc>
          <w:tcPr>
            <w:tcW w:w="4876" w:type="dxa"/>
          </w:tcPr>
          <w:p w14:paraId="5E134B58" w14:textId="77777777" w:rsidR="00D41EE0" w:rsidRDefault="00000000">
            <w:r>
              <w:t>COI</w:t>
            </w:r>
          </w:p>
        </w:tc>
        <w:tc>
          <w:tcPr>
            <w:tcW w:w="4876" w:type="dxa"/>
          </w:tcPr>
          <w:p w14:paraId="253E5EEA" w14:textId="77777777" w:rsidR="00D41EE0" w:rsidRDefault="00000000">
            <w:r>
              <w:t>Conflict of Interest</w:t>
            </w:r>
          </w:p>
        </w:tc>
      </w:tr>
      <w:tr w:rsidR="00D41EE0" w14:paraId="2431368D" w14:textId="77777777">
        <w:tc>
          <w:tcPr>
            <w:tcW w:w="4876" w:type="dxa"/>
          </w:tcPr>
          <w:p w14:paraId="00119027" w14:textId="77777777" w:rsidR="00D41EE0" w:rsidRDefault="00000000">
            <w:r>
              <w:t>CO2e</w:t>
            </w:r>
          </w:p>
        </w:tc>
        <w:tc>
          <w:tcPr>
            <w:tcW w:w="4876" w:type="dxa"/>
          </w:tcPr>
          <w:p w14:paraId="3CD3CB76" w14:textId="77777777" w:rsidR="00D41EE0" w:rsidRDefault="00000000">
            <w:r>
              <w:t>Carbon Dioxide Equivalent</w:t>
            </w:r>
          </w:p>
        </w:tc>
      </w:tr>
      <w:tr w:rsidR="00D41EE0" w14:paraId="142393CE" w14:textId="77777777">
        <w:tc>
          <w:tcPr>
            <w:tcW w:w="4876" w:type="dxa"/>
          </w:tcPr>
          <w:p w14:paraId="0F0687AE" w14:textId="77777777" w:rsidR="00D41EE0" w:rsidRDefault="00000000">
            <w:proofErr w:type="spellStart"/>
            <w:r>
              <w:t>CRediT</w:t>
            </w:r>
            <w:proofErr w:type="spellEnd"/>
          </w:p>
        </w:tc>
        <w:tc>
          <w:tcPr>
            <w:tcW w:w="4876" w:type="dxa"/>
          </w:tcPr>
          <w:p w14:paraId="088FEA7E" w14:textId="77777777" w:rsidR="00D41EE0" w:rsidRDefault="00000000">
            <w:r>
              <w:t>Contributor Roles Taxonomy</w:t>
            </w:r>
          </w:p>
        </w:tc>
      </w:tr>
      <w:tr w:rsidR="00D41EE0" w14:paraId="1B12C687" w14:textId="77777777">
        <w:tc>
          <w:tcPr>
            <w:tcW w:w="4876" w:type="dxa"/>
          </w:tcPr>
          <w:p w14:paraId="33EA09DF" w14:textId="77777777" w:rsidR="00D41EE0" w:rsidRDefault="00000000">
            <w:r>
              <w:t>CUE</w:t>
            </w:r>
          </w:p>
        </w:tc>
        <w:tc>
          <w:tcPr>
            <w:tcW w:w="4876" w:type="dxa"/>
          </w:tcPr>
          <w:p w14:paraId="34898728" w14:textId="77777777" w:rsidR="00D41EE0" w:rsidRDefault="00000000">
            <w:r>
              <w:t>Carbon Usage Effectiveness</w:t>
            </w:r>
          </w:p>
        </w:tc>
      </w:tr>
      <w:tr w:rsidR="00D41EE0" w14:paraId="04B64665" w14:textId="77777777">
        <w:tc>
          <w:tcPr>
            <w:tcW w:w="4876" w:type="dxa"/>
          </w:tcPr>
          <w:p w14:paraId="3A56D6FA" w14:textId="77777777" w:rsidR="00D41EE0" w:rsidRDefault="00000000">
            <w:r>
              <w:t>EMT</w:t>
            </w:r>
          </w:p>
        </w:tc>
        <w:tc>
          <w:tcPr>
            <w:tcW w:w="4876" w:type="dxa"/>
          </w:tcPr>
          <w:p w14:paraId="3081F58F" w14:textId="77777777" w:rsidR="00D41EE0" w:rsidRDefault="00000000">
            <w:r>
              <w:t>Electromagnetic Transient</w:t>
            </w:r>
          </w:p>
        </w:tc>
      </w:tr>
      <w:tr w:rsidR="00D41EE0" w14:paraId="638E710E" w14:textId="77777777">
        <w:tc>
          <w:tcPr>
            <w:tcW w:w="4876" w:type="dxa"/>
          </w:tcPr>
          <w:p w14:paraId="5FB74331" w14:textId="77777777" w:rsidR="00D41EE0" w:rsidRDefault="00000000">
            <w:r>
              <w:t>EPRI</w:t>
            </w:r>
          </w:p>
        </w:tc>
        <w:tc>
          <w:tcPr>
            <w:tcW w:w="4876" w:type="dxa"/>
          </w:tcPr>
          <w:p w14:paraId="149998FA" w14:textId="77777777" w:rsidR="00D41EE0" w:rsidRDefault="00000000">
            <w:r>
              <w:t>Electric Power Research Institute</w:t>
            </w:r>
          </w:p>
        </w:tc>
      </w:tr>
      <w:tr w:rsidR="00D41EE0" w14:paraId="231E3F08" w14:textId="77777777">
        <w:tc>
          <w:tcPr>
            <w:tcW w:w="4876" w:type="dxa"/>
          </w:tcPr>
          <w:p w14:paraId="6A9415CD" w14:textId="77777777" w:rsidR="00D41EE0" w:rsidRDefault="00000000">
            <w:r>
              <w:t>ERCOT</w:t>
            </w:r>
          </w:p>
        </w:tc>
        <w:tc>
          <w:tcPr>
            <w:tcW w:w="4876" w:type="dxa"/>
          </w:tcPr>
          <w:p w14:paraId="4E155301" w14:textId="77777777" w:rsidR="00D41EE0" w:rsidRDefault="00000000">
            <w:r>
              <w:t>Electric Reliability Council of Texas</w:t>
            </w:r>
          </w:p>
        </w:tc>
      </w:tr>
      <w:tr w:rsidR="00D41EE0" w14:paraId="6D0C4018" w14:textId="77777777">
        <w:tc>
          <w:tcPr>
            <w:tcW w:w="4876" w:type="dxa"/>
          </w:tcPr>
          <w:p w14:paraId="5A64DE70" w14:textId="77777777" w:rsidR="00D41EE0" w:rsidRDefault="00000000">
            <w:r>
              <w:t>FERC</w:t>
            </w:r>
          </w:p>
        </w:tc>
        <w:tc>
          <w:tcPr>
            <w:tcW w:w="4876" w:type="dxa"/>
          </w:tcPr>
          <w:p w14:paraId="6AB641EE" w14:textId="77777777" w:rsidR="00D41EE0" w:rsidRDefault="00000000">
            <w:r>
              <w:t>Federal Energy Regulatory Commission</w:t>
            </w:r>
          </w:p>
        </w:tc>
      </w:tr>
      <w:tr w:rsidR="00D41EE0" w14:paraId="4B6CAD50" w14:textId="77777777">
        <w:tc>
          <w:tcPr>
            <w:tcW w:w="4876" w:type="dxa"/>
          </w:tcPr>
          <w:p w14:paraId="0A03C37F" w14:textId="77777777" w:rsidR="00D41EE0" w:rsidRDefault="00000000">
            <w:r>
              <w:t>GHG</w:t>
            </w:r>
          </w:p>
        </w:tc>
        <w:tc>
          <w:tcPr>
            <w:tcW w:w="4876" w:type="dxa"/>
          </w:tcPr>
          <w:p w14:paraId="4D6F8C78" w14:textId="77777777" w:rsidR="00D41EE0" w:rsidRDefault="00000000">
            <w:r>
              <w:t>Greenhouse Gas</w:t>
            </w:r>
          </w:p>
        </w:tc>
      </w:tr>
      <w:tr w:rsidR="00D41EE0" w14:paraId="77032F9D" w14:textId="77777777">
        <w:tc>
          <w:tcPr>
            <w:tcW w:w="4876" w:type="dxa"/>
          </w:tcPr>
          <w:p w14:paraId="2341A81C" w14:textId="77777777" w:rsidR="00D41EE0" w:rsidRDefault="00000000">
            <w:r>
              <w:lastRenderedPageBreak/>
              <w:t>GW</w:t>
            </w:r>
          </w:p>
        </w:tc>
        <w:tc>
          <w:tcPr>
            <w:tcW w:w="4876" w:type="dxa"/>
          </w:tcPr>
          <w:p w14:paraId="28DB100B" w14:textId="77777777" w:rsidR="00D41EE0" w:rsidRDefault="00000000">
            <w:r>
              <w:t>Gigawatt</w:t>
            </w:r>
          </w:p>
        </w:tc>
      </w:tr>
      <w:tr w:rsidR="00D41EE0" w14:paraId="0AD04398" w14:textId="77777777">
        <w:tc>
          <w:tcPr>
            <w:tcW w:w="4876" w:type="dxa"/>
          </w:tcPr>
          <w:p w14:paraId="50468E06" w14:textId="77777777" w:rsidR="00D41EE0" w:rsidRDefault="00000000">
            <w:r>
              <w:t>H2</w:t>
            </w:r>
          </w:p>
        </w:tc>
        <w:tc>
          <w:tcPr>
            <w:tcW w:w="4876" w:type="dxa"/>
          </w:tcPr>
          <w:p w14:paraId="3DC35CEA" w14:textId="77777777" w:rsidR="00D41EE0" w:rsidRDefault="00000000">
            <w:r>
              <w:t>Hydrogen</w:t>
            </w:r>
          </w:p>
        </w:tc>
      </w:tr>
      <w:tr w:rsidR="00D41EE0" w14:paraId="4156F1BA" w14:textId="77777777">
        <w:tc>
          <w:tcPr>
            <w:tcW w:w="4876" w:type="dxa"/>
          </w:tcPr>
          <w:p w14:paraId="72BDD5BD" w14:textId="77777777" w:rsidR="00D41EE0" w:rsidRDefault="00000000">
            <w:r>
              <w:t>HJT</w:t>
            </w:r>
          </w:p>
        </w:tc>
        <w:tc>
          <w:tcPr>
            <w:tcW w:w="4876" w:type="dxa"/>
          </w:tcPr>
          <w:p w14:paraId="77BDA459" w14:textId="77777777" w:rsidR="00D41EE0" w:rsidRDefault="00000000">
            <w:r>
              <w:t>Heterojunction</w:t>
            </w:r>
          </w:p>
        </w:tc>
      </w:tr>
      <w:tr w:rsidR="00D41EE0" w14:paraId="69EA55A1" w14:textId="77777777">
        <w:tc>
          <w:tcPr>
            <w:tcW w:w="4876" w:type="dxa"/>
          </w:tcPr>
          <w:p w14:paraId="3F844F1A" w14:textId="77777777" w:rsidR="00D41EE0" w:rsidRDefault="00000000">
            <w:r>
              <w:t>IBR</w:t>
            </w:r>
          </w:p>
        </w:tc>
        <w:tc>
          <w:tcPr>
            <w:tcW w:w="4876" w:type="dxa"/>
          </w:tcPr>
          <w:p w14:paraId="51DB6CD0" w14:textId="77777777" w:rsidR="00D41EE0" w:rsidRDefault="00000000">
            <w:r>
              <w:t>Inverter-Based Resource</w:t>
            </w:r>
          </w:p>
        </w:tc>
      </w:tr>
      <w:tr w:rsidR="00D41EE0" w14:paraId="213A915C" w14:textId="77777777">
        <w:tc>
          <w:tcPr>
            <w:tcW w:w="4876" w:type="dxa"/>
          </w:tcPr>
          <w:p w14:paraId="5DE3FB2C" w14:textId="77777777" w:rsidR="00D41EE0" w:rsidRDefault="00000000">
            <w:r>
              <w:t>IEA</w:t>
            </w:r>
          </w:p>
        </w:tc>
        <w:tc>
          <w:tcPr>
            <w:tcW w:w="4876" w:type="dxa"/>
          </w:tcPr>
          <w:p w14:paraId="0E27A03A" w14:textId="77777777" w:rsidR="00D41EE0" w:rsidRDefault="00000000">
            <w:r>
              <w:t>International Energy Agency</w:t>
            </w:r>
          </w:p>
        </w:tc>
      </w:tr>
      <w:tr w:rsidR="00D41EE0" w14:paraId="373CC502" w14:textId="77777777">
        <w:tc>
          <w:tcPr>
            <w:tcW w:w="4876" w:type="dxa"/>
          </w:tcPr>
          <w:p w14:paraId="5EE74A6A" w14:textId="77777777" w:rsidR="00D41EE0" w:rsidRDefault="00000000">
            <w:r>
              <w:t>IEEE</w:t>
            </w:r>
          </w:p>
        </w:tc>
        <w:tc>
          <w:tcPr>
            <w:tcW w:w="4876" w:type="dxa"/>
          </w:tcPr>
          <w:p w14:paraId="6A1EB619" w14:textId="77777777" w:rsidR="00D41EE0" w:rsidRDefault="00000000">
            <w:r>
              <w:t>Institute of Electrical and Electronics Engineers</w:t>
            </w:r>
          </w:p>
        </w:tc>
      </w:tr>
      <w:tr w:rsidR="00D41EE0" w14:paraId="19D41455" w14:textId="77777777">
        <w:tc>
          <w:tcPr>
            <w:tcW w:w="4876" w:type="dxa"/>
          </w:tcPr>
          <w:p w14:paraId="315EB518" w14:textId="77777777" w:rsidR="00D41EE0" w:rsidRDefault="00000000">
            <w:r>
              <w:t>IRENA</w:t>
            </w:r>
          </w:p>
        </w:tc>
        <w:tc>
          <w:tcPr>
            <w:tcW w:w="4876" w:type="dxa"/>
          </w:tcPr>
          <w:p w14:paraId="19562B9E" w14:textId="77777777" w:rsidR="00D41EE0" w:rsidRDefault="00000000">
            <w:r>
              <w:t>International Renewable Energy Agency</w:t>
            </w:r>
          </w:p>
        </w:tc>
      </w:tr>
      <w:tr w:rsidR="00D41EE0" w14:paraId="6139C27B" w14:textId="77777777">
        <w:tc>
          <w:tcPr>
            <w:tcW w:w="4876" w:type="dxa"/>
          </w:tcPr>
          <w:p w14:paraId="781CC2BD" w14:textId="77777777" w:rsidR="00D41EE0" w:rsidRDefault="00000000">
            <w:r>
              <w:t>IRR</w:t>
            </w:r>
          </w:p>
        </w:tc>
        <w:tc>
          <w:tcPr>
            <w:tcW w:w="4876" w:type="dxa"/>
          </w:tcPr>
          <w:p w14:paraId="0267BFE7" w14:textId="77777777" w:rsidR="00D41EE0" w:rsidRDefault="00000000">
            <w:r>
              <w:t>Internal Rate of Return</w:t>
            </w:r>
          </w:p>
        </w:tc>
      </w:tr>
      <w:tr w:rsidR="00D41EE0" w14:paraId="2BF907FE" w14:textId="77777777">
        <w:tc>
          <w:tcPr>
            <w:tcW w:w="4876" w:type="dxa"/>
          </w:tcPr>
          <w:p w14:paraId="7FE6C00C" w14:textId="77777777" w:rsidR="00D41EE0" w:rsidRDefault="00000000">
            <w:r>
              <w:t>ITC</w:t>
            </w:r>
          </w:p>
        </w:tc>
        <w:tc>
          <w:tcPr>
            <w:tcW w:w="4876" w:type="dxa"/>
          </w:tcPr>
          <w:p w14:paraId="52629B9F" w14:textId="77777777" w:rsidR="00D41EE0" w:rsidRDefault="00000000">
            <w:r>
              <w:t>Investment Tax Credit</w:t>
            </w:r>
          </w:p>
        </w:tc>
      </w:tr>
      <w:tr w:rsidR="00D41EE0" w14:paraId="17A0196E" w14:textId="77777777">
        <w:tc>
          <w:tcPr>
            <w:tcW w:w="4876" w:type="dxa"/>
          </w:tcPr>
          <w:p w14:paraId="0BB45DF7" w14:textId="77777777" w:rsidR="00D41EE0" w:rsidRDefault="00000000">
            <w:r>
              <w:t>LCOE</w:t>
            </w:r>
          </w:p>
        </w:tc>
        <w:tc>
          <w:tcPr>
            <w:tcW w:w="4876" w:type="dxa"/>
          </w:tcPr>
          <w:p w14:paraId="2185732C" w14:textId="77777777" w:rsidR="00D41EE0" w:rsidRDefault="00000000">
            <w:r>
              <w:t>Levelized Cost of Energy</w:t>
            </w:r>
          </w:p>
        </w:tc>
      </w:tr>
      <w:tr w:rsidR="00D41EE0" w14:paraId="4CB4EAE9" w14:textId="77777777">
        <w:tc>
          <w:tcPr>
            <w:tcW w:w="4876" w:type="dxa"/>
          </w:tcPr>
          <w:p w14:paraId="73FC5E82" w14:textId="77777777" w:rsidR="00D41EE0" w:rsidRDefault="00000000">
            <w:r>
              <w:t>LDES</w:t>
            </w:r>
          </w:p>
        </w:tc>
        <w:tc>
          <w:tcPr>
            <w:tcW w:w="4876" w:type="dxa"/>
          </w:tcPr>
          <w:p w14:paraId="33C2A15B" w14:textId="77777777" w:rsidR="00D41EE0" w:rsidRDefault="00000000">
            <w:r>
              <w:t>Long-Duration Energy Storage</w:t>
            </w:r>
          </w:p>
        </w:tc>
      </w:tr>
      <w:tr w:rsidR="00D41EE0" w14:paraId="65E52489" w14:textId="77777777">
        <w:tc>
          <w:tcPr>
            <w:tcW w:w="4876" w:type="dxa"/>
          </w:tcPr>
          <w:p w14:paraId="53A4D817" w14:textId="77777777" w:rsidR="00D41EE0" w:rsidRDefault="00000000">
            <w:r>
              <w:t>LFP</w:t>
            </w:r>
          </w:p>
        </w:tc>
        <w:tc>
          <w:tcPr>
            <w:tcW w:w="4876" w:type="dxa"/>
          </w:tcPr>
          <w:p w14:paraId="7602D653" w14:textId="77777777" w:rsidR="00D41EE0" w:rsidRDefault="00000000">
            <w:r>
              <w:t>Lithium Iron Phosphate</w:t>
            </w:r>
          </w:p>
        </w:tc>
      </w:tr>
      <w:tr w:rsidR="00D41EE0" w14:paraId="28D230D1" w14:textId="77777777">
        <w:tc>
          <w:tcPr>
            <w:tcW w:w="4876" w:type="dxa"/>
          </w:tcPr>
          <w:p w14:paraId="22B79BAD" w14:textId="77777777" w:rsidR="00D41EE0" w:rsidRDefault="00000000">
            <w:r>
              <w:t>Li-ion</w:t>
            </w:r>
          </w:p>
        </w:tc>
        <w:tc>
          <w:tcPr>
            <w:tcW w:w="4876" w:type="dxa"/>
          </w:tcPr>
          <w:p w14:paraId="78DBF1A5" w14:textId="77777777" w:rsidR="00D41EE0" w:rsidRDefault="00000000">
            <w:r>
              <w:t>Lithium-Ion</w:t>
            </w:r>
          </w:p>
        </w:tc>
      </w:tr>
      <w:tr w:rsidR="00D41EE0" w14:paraId="60CD94CA" w14:textId="77777777">
        <w:tc>
          <w:tcPr>
            <w:tcW w:w="4876" w:type="dxa"/>
          </w:tcPr>
          <w:p w14:paraId="22A78EBB" w14:textId="77777777" w:rsidR="00D41EE0" w:rsidRDefault="00000000">
            <w:r>
              <w:t>LMP</w:t>
            </w:r>
          </w:p>
        </w:tc>
        <w:tc>
          <w:tcPr>
            <w:tcW w:w="4876" w:type="dxa"/>
          </w:tcPr>
          <w:p w14:paraId="111B5661" w14:textId="77777777" w:rsidR="00D41EE0" w:rsidRDefault="00000000">
            <w:r>
              <w:t>Locational Marginal Price</w:t>
            </w:r>
          </w:p>
        </w:tc>
      </w:tr>
      <w:tr w:rsidR="00D41EE0" w14:paraId="76A19FBC" w14:textId="77777777">
        <w:tc>
          <w:tcPr>
            <w:tcW w:w="4876" w:type="dxa"/>
          </w:tcPr>
          <w:p w14:paraId="49D1E326" w14:textId="77777777" w:rsidR="00D41EE0" w:rsidRDefault="00000000">
            <w:r>
              <w:t>LOLE</w:t>
            </w:r>
          </w:p>
        </w:tc>
        <w:tc>
          <w:tcPr>
            <w:tcW w:w="4876" w:type="dxa"/>
          </w:tcPr>
          <w:p w14:paraId="1403F383" w14:textId="77777777" w:rsidR="00D41EE0" w:rsidRDefault="00000000">
            <w:r>
              <w:t>Loss of Load Expectation</w:t>
            </w:r>
          </w:p>
        </w:tc>
      </w:tr>
      <w:tr w:rsidR="00D41EE0" w14:paraId="78E3C9BC" w14:textId="77777777">
        <w:tc>
          <w:tcPr>
            <w:tcW w:w="4876" w:type="dxa"/>
          </w:tcPr>
          <w:p w14:paraId="3179E383" w14:textId="77777777" w:rsidR="00D41EE0" w:rsidRDefault="00000000">
            <w:r>
              <w:t>LOLP</w:t>
            </w:r>
          </w:p>
        </w:tc>
        <w:tc>
          <w:tcPr>
            <w:tcW w:w="4876" w:type="dxa"/>
          </w:tcPr>
          <w:p w14:paraId="2C19E7F1" w14:textId="77777777" w:rsidR="00D41EE0" w:rsidRDefault="00000000">
            <w:r>
              <w:t>Loss of Load Probability</w:t>
            </w:r>
          </w:p>
        </w:tc>
      </w:tr>
      <w:tr w:rsidR="00D41EE0" w14:paraId="46DA94B7" w14:textId="77777777">
        <w:tc>
          <w:tcPr>
            <w:tcW w:w="4876" w:type="dxa"/>
          </w:tcPr>
          <w:p w14:paraId="55BF328C" w14:textId="77777777" w:rsidR="00D41EE0" w:rsidRDefault="00000000">
            <w:r>
              <w:t>MACRS</w:t>
            </w:r>
          </w:p>
        </w:tc>
        <w:tc>
          <w:tcPr>
            <w:tcW w:w="4876" w:type="dxa"/>
          </w:tcPr>
          <w:p w14:paraId="23030B70" w14:textId="77777777" w:rsidR="00D41EE0" w:rsidRDefault="00000000">
            <w:r>
              <w:t>Modified Accelerated Cost Recovery System</w:t>
            </w:r>
          </w:p>
        </w:tc>
      </w:tr>
      <w:tr w:rsidR="00D41EE0" w14:paraId="48EF4890" w14:textId="77777777">
        <w:tc>
          <w:tcPr>
            <w:tcW w:w="4876" w:type="dxa"/>
          </w:tcPr>
          <w:p w14:paraId="4A87FFD4" w14:textId="77777777" w:rsidR="00D41EE0" w:rsidRDefault="00000000">
            <w:r>
              <w:t>MILP</w:t>
            </w:r>
          </w:p>
        </w:tc>
        <w:tc>
          <w:tcPr>
            <w:tcW w:w="4876" w:type="dxa"/>
          </w:tcPr>
          <w:p w14:paraId="5E6E4F91" w14:textId="77777777" w:rsidR="00D41EE0" w:rsidRDefault="00000000">
            <w:r>
              <w:t>Mixed-Integer Linear Programming</w:t>
            </w:r>
          </w:p>
        </w:tc>
      </w:tr>
      <w:tr w:rsidR="00D41EE0" w14:paraId="02B12405" w14:textId="77777777">
        <w:tc>
          <w:tcPr>
            <w:tcW w:w="4876" w:type="dxa"/>
          </w:tcPr>
          <w:p w14:paraId="1EBFA2D1" w14:textId="77777777" w:rsidR="00D41EE0" w:rsidRDefault="00000000">
            <w:r>
              <w:t>MPC</w:t>
            </w:r>
          </w:p>
        </w:tc>
        <w:tc>
          <w:tcPr>
            <w:tcW w:w="4876" w:type="dxa"/>
          </w:tcPr>
          <w:p w14:paraId="38D5F1FC" w14:textId="77777777" w:rsidR="00D41EE0" w:rsidRDefault="00000000">
            <w:r>
              <w:t>Model Predictive Control</w:t>
            </w:r>
          </w:p>
        </w:tc>
      </w:tr>
      <w:tr w:rsidR="00D41EE0" w14:paraId="4802DD4D" w14:textId="77777777">
        <w:tc>
          <w:tcPr>
            <w:tcW w:w="4876" w:type="dxa"/>
          </w:tcPr>
          <w:p w14:paraId="60BF94A1" w14:textId="77777777" w:rsidR="00D41EE0" w:rsidRDefault="00000000">
            <w:r>
              <w:t>NCA</w:t>
            </w:r>
          </w:p>
        </w:tc>
        <w:tc>
          <w:tcPr>
            <w:tcW w:w="4876" w:type="dxa"/>
          </w:tcPr>
          <w:p w14:paraId="30B5C2E7" w14:textId="77777777" w:rsidR="00D41EE0" w:rsidRDefault="00000000">
            <w:r>
              <w:t>Nickel Cobalt Aluminum</w:t>
            </w:r>
          </w:p>
        </w:tc>
      </w:tr>
      <w:tr w:rsidR="00D41EE0" w14:paraId="619FFD08" w14:textId="77777777">
        <w:tc>
          <w:tcPr>
            <w:tcW w:w="4876" w:type="dxa"/>
          </w:tcPr>
          <w:p w14:paraId="30F0B475" w14:textId="77777777" w:rsidR="00D41EE0" w:rsidRDefault="00000000">
            <w:r>
              <w:t>NERC</w:t>
            </w:r>
          </w:p>
        </w:tc>
        <w:tc>
          <w:tcPr>
            <w:tcW w:w="4876" w:type="dxa"/>
          </w:tcPr>
          <w:p w14:paraId="1D47AC0C" w14:textId="77777777" w:rsidR="00D41EE0" w:rsidRDefault="00000000">
            <w:r>
              <w:t>North American Electric Reliability Corporation</w:t>
            </w:r>
          </w:p>
        </w:tc>
      </w:tr>
      <w:tr w:rsidR="00D41EE0" w14:paraId="09335A07" w14:textId="77777777">
        <w:tc>
          <w:tcPr>
            <w:tcW w:w="4876" w:type="dxa"/>
          </w:tcPr>
          <w:p w14:paraId="51BB1058" w14:textId="77777777" w:rsidR="00D41EE0" w:rsidRDefault="00000000">
            <w:r>
              <w:t>NMC</w:t>
            </w:r>
          </w:p>
        </w:tc>
        <w:tc>
          <w:tcPr>
            <w:tcW w:w="4876" w:type="dxa"/>
          </w:tcPr>
          <w:p w14:paraId="106EE427" w14:textId="77777777" w:rsidR="00D41EE0" w:rsidRDefault="00000000">
            <w:r>
              <w:t>Nickel Manganese Cobalt</w:t>
            </w:r>
          </w:p>
        </w:tc>
      </w:tr>
      <w:tr w:rsidR="00D41EE0" w14:paraId="408A829E" w14:textId="77777777">
        <w:tc>
          <w:tcPr>
            <w:tcW w:w="4876" w:type="dxa"/>
          </w:tcPr>
          <w:p w14:paraId="12117851" w14:textId="77777777" w:rsidR="00D41EE0" w:rsidRDefault="00000000">
            <w:r>
              <w:t>NPV</w:t>
            </w:r>
          </w:p>
        </w:tc>
        <w:tc>
          <w:tcPr>
            <w:tcW w:w="4876" w:type="dxa"/>
          </w:tcPr>
          <w:p w14:paraId="434170A0" w14:textId="77777777" w:rsidR="00D41EE0" w:rsidRDefault="00000000">
            <w:r>
              <w:t>Net Present Value</w:t>
            </w:r>
          </w:p>
        </w:tc>
      </w:tr>
      <w:tr w:rsidR="00D41EE0" w14:paraId="6D3223C6" w14:textId="77777777">
        <w:tc>
          <w:tcPr>
            <w:tcW w:w="4876" w:type="dxa"/>
          </w:tcPr>
          <w:p w14:paraId="1CC1AEBC" w14:textId="77777777" w:rsidR="00D41EE0" w:rsidRDefault="00000000">
            <w:r>
              <w:t>NREL</w:t>
            </w:r>
          </w:p>
        </w:tc>
        <w:tc>
          <w:tcPr>
            <w:tcW w:w="4876" w:type="dxa"/>
          </w:tcPr>
          <w:p w14:paraId="4D5912C6" w14:textId="77777777" w:rsidR="00D41EE0" w:rsidRDefault="00000000">
            <w:r>
              <w:t>National Renewable Energy Laboratory</w:t>
            </w:r>
          </w:p>
        </w:tc>
      </w:tr>
      <w:tr w:rsidR="00D41EE0" w14:paraId="4072F875" w14:textId="77777777">
        <w:tc>
          <w:tcPr>
            <w:tcW w:w="4876" w:type="dxa"/>
          </w:tcPr>
          <w:p w14:paraId="379347B6" w14:textId="77777777" w:rsidR="00D41EE0" w:rsidRDefault="00000000">
            <w:r>
              <w:t>O&amp;M</w:t>
            </w:r>
          </w:p>
        </w:tc>
        <w:tc>
          <w:tcPr>
            <w:tcW w:w="4876" w:type="dxa"/>
          </w:tcPr>
          <w:p w14:paraId="2832D06F" w14:textId="77777777" w:rsidR="00D41EE0" w:rsidRDefault="00000000">
            <w:r>
              <w:t>Operations and Maintenance</w:t>
            </w:r>
          </w:p>
        </w:tc>
      </w:tr>
      <w:tr w:rsidR="00D41EE0" w14:paraId="1524E319" w14:textId="77777777">
        <w:tc>
          <w:tcPr>
            <w:tcW w:w="4876" w:type="dxa"/>
          </w:tcPr>
          <w:p w14:paraId="15B27AF2" w14:textId="77777777" w:rsidR="00D41EE0" w:rsidRDefault="00000000">
            <w:r>
              <w:t>OPEX</w:t>
            </w:r>
          </w:p>
        </w:tc>
        <w:tc>
          <w:tcPr>
            <w:tcW w:w="4876" w:type="dxa"/>
          </w:tcPr>
          <w:p w14:paraId="7B23529A" w14:textId="77777777" w:rsidR="00D41EE0" w:rsidRDefault="00000000">
            <w:r>
              <w:t>Operating Expenditure</w:t>
            </w:r>
          </w:p>
        </w:tc>
      </w:tr>
      <w:tr w:rsidR="00D41EE0" w14:paraId="36B8599E" w14:textId="77777777">
        <w:tc>
          <w:tcPr>
            <w:tcW w:w="4876" w:type="dxa"/>
          </w:tcPr>
          <w:p w14:paraId="4328E104" w14:textId="77777777" w:rsidR="00D41EE0" w:rsidRDefault="00000000">
            <w:r>
              <w:t>PFR</w:t>
            </w:r>
          </w:p>
        </w:tc>
        <w:tc>
          <w:tcPr>
            <w:tcW w:w="4876" w:type="dxa"/>
          </w:tcPr>
          <w:p w14:paraId="124D335E" w14:textId="77777777" w:rsidR="00D41EE0" w:rsidRDefault="00000000">
            <w:r>
              <w:t>Primary Frequency Response</w:t>
            </w:r>
          </w:p>
        </w:tc>
      </w:tr>
      <w:tr w:rsidR="00D41EE0" w14:paraId="6669670E" w14:textId="77777777">
        <w:tc>
          <w:tcPr>
            <w:tcW w:w="4876" w:type="dxa"/>
          </w:tcPr>
          <w:p w14:paraId="5952CC47" w14:textId="77777777" w:rsidR="00D41EE0" w:rsidRDefault="00000000">
            <w:r>
              <w:t>PJM</w:t>
            </w:r>
          </w:p>
        </w:tc>
        <w:tc>
          <w:tcPr>
            <w:tcW w:w="4876" w:type="dxa"/>
          </w:tcPr>
          <w:p w14:paraId="58739D61" w14:textId="77777777" w:rsidR="00D41EE0" w:rsidRDefault="00000000">
            <w:r>
              <w:t>Pennsylvania-New Jersey-Maryland Interconnection</w:t>
            </w:r>
          </w:p>
        </w:tc>
      </w:tr>
      <w:tr w:rsidR="00D41EE0" w14:paraId="5A2EFA8E" w14:textId="77777777">
        <w:tc>
          <w:tcPr>
            <w:tcW w:w="4876" w:type="dxa"/>
          </w:tcPr>
          <w:p w14:paraId="74A37599" w14:textId="77777777" w:rsidR="00D41EE0" w:rsidRDefault="00000000">
            <w:r>
              <w:t>PPA</w:t>
            </w:r>
          </w:p>
        </w:tc>
        <w:tc>
          <w:tcPr>
            <w:tcW w:w="4876" w:type="dxa"/>
          </w:tcPr>
          <w:p w14:paraId="3DE375E7" w14:textId="77777777" w:rsidR="00D41EE0" w:rsidRDefault="00000000">
            <w:r>
              <w:t>Power Purchase Agreement</w:t>
            </w:r>
          </w:p>
        </w:tc>
      </w:tr>
      <w:tr w:rsidR="00D41EE0" w14:paraId="3A7D2C42" w14:textId="77777777">
        <w:tc>
          <w:tcPr>
            <w:tcW w:w="4876" w:type="dxa"/>
          </w:tcPr>
          <w:p w14:paraId="574EF90B" w14:textId="77777777" w:rsidR="00D41EE0" w:rsidRDefault="00000000">
            <w:r>
              <w:t>PTC</w:t>
            </w:r>
          </w:p>
        </w:tc>
        <w:tc>
          <w:tcPr>
            <w:tcW w:w="4876" w:type="dxa"/>
          </w:tcPr>
          <w:p w14:paraId="0BB50493" w14:textId="77777777" w:rsidR="00D41EE0" w:rsidRDefault="00000000">
            <w:r>
              <w:t>Production Tax Credit</w:t>
            </w:r>
          </w:p>
        </w:tc>
      </w:tr>
      <w:tr w:rsidR="00D41EE0" w14:paraId="0342F70D" w14:textId="77777777">
        <w:tc>
          <w:tcPr>
            <w:tcW w:w="4876" w:type="dxa"/>
          </w:tcPr>
          <w:p w14:paraId="6F17A3EF" w14:textId="77777777" w:rsidR="00D41EE0" w:rsidRDefault="00000000">
            <w:r>
              <w:t>PUE</w:t>
            </w:r>
          </w:p>
        </w:tc>
        <w:tc>
          <w:tcPr>
            <w:tcW w:w="4876" w:type="dxa"/>
          </w:tcPr>
          <w:p w14:paraId="78F8FE5C" w14:textId="77777777" w:rsidR="00D41EE0" w:rsidRDefault="00000000">
            <w:r>
              <w:t>Power Usage Effectiveness</w:t>
            </w:r>
          </w:p>
        </w:tc>
      </w:tr>
      <w:tr w:rsidR="00D41EE0" w14:paraId="6011481C" w14:textId="77777777">
        <w:tc>
          <w:tcPr>
            <w:tcW w:w="4876" w:type="dxa"/>
          </w:tcPr>
          <w:p w14:paraId="3B0C694B" w14:textId="77777777" w:rsidR="00D41EE0" w:rsidRDefault="00000000">
            <w:r>
              <w:t>PV</w:t>
            </w:r>
          </w:p>
        </w:tc>
        <w:tc>
          <w:tcPr>
            <w:tcW w:w="4876" w:type="dxa"/>
          </w:tcPr>
          <w:p w14:paraId="6630253B" w14:textId="77777777" w:rsidR="00D41EE0" w:rsidRDefault="00000000">
            <w:r>
              <w:t>Photovoltaic</w:t>
            </w:r>
          </w:p>
        </w:tc>
      </w:tr>
      <w:tr w:rsidR="00D41EE0" w14:paraId="2285CD5E" w14:textId="77777777">
        <w:tc>
          <w:tcPr>
            <w:tcW w:w="4876" w:type="dxa"/>
          </w:tcPr>
          <w:p w14:paraId="120847CC" w14:textId="77777777" w:rsidR="00D41EE0" w:rsidRDefault="00000000">
            <w:proofErr w:type="spellStart"/>
            <w:r>
              <w:t>RoCoF</w:t>
            </w:r>
            <w:proofErr w:type="spellEnd"/>
          </w:p>
        </w:tc>
        <w:tc>
          <w:tcPr>
            <w:tcW w:w="4876" w:type="dxa"/>
          </w:tcPr>
          <w:p w14:paraId="62B7069E" w14:textId="77777777" w:rsidR="00D41EE0" w:rsidRDefault="00000000">
            <w:r>
              <w:t>Rate of Change of Frequency</w:t>
            </w:r>
          </w:p>
        </w:tc>
      </w:tr>
      <w:tr w:rsidR="00D41EE0" w14:paraId="5BA54F15" w14:textId="77777777">
        <w:tc>
          <w:tcPr>
            <w:tcW w:w="4876" w:type="dxa"/>
          </w:tcPr>
          <w:p w14:paraId="02244D31" w14:textId="77777777" w:rsidR="00D41EE0" w:rsidRDefault="00000000">
            <w:r>
              <w:t>SCR</w:t>
            </w:r>
          </w:p>
        </w:tc>
        <w:tc>
          <w:tcPr>
            <w:tcW w:w="4876" w:type="dxa"/>
          </w:tcPr>
          <w:p w14:paraId="45B21390" w14:textId="77777777" w:rsidR="00D41EE0" w:rsidRDefault="00000000">
            <w:r>
              <w:t>Short-Circuit Ratio</w:t>
            </w:r>
          </w:p>
        </w:tc>
      </w:tr>
      <w:tr w:rsidR="00D41EE0" w14:paraId="015EF973" w14:textId="77777777">
        <w:tc>
          <w:tcPr>
            <w:tcW w:w="4876" w:type="dxa"/>
          </w:tcPr>
          <w:p w14:paraId="6FD7CC51" w14:textId="77777777" w:rsidR="00D41EE0" w:rsidRDefault="00000000">
            <w:r>
              <w:t>SLA</w:t>
            </w:r>
          </w:p>
        </w:tc>
        <w:tc>
          <w:tcPr>
            <w:tcW w:w="4876" w:type="dxa"/>
          </w:tcPr>
          <w:p w14:paraId="44C62AA6" w14:textId="77777777" w:rsidR="00D41EE0" w:rsidRDefault="00000000">
            <w:r>
              <w:t>Service-Level Agreement</w:t>
            </w:r>
          </w:p>
        </w:tc>
      </w:tr>
      <w:tr w:rsidR="00D41EE0" w14:paraId="29C8D487" w14:textId="77777777">
        <w:tc>
          <w:tcPr>
            <w:tcW w:w="4876" w:type="dxa"/>
          </w:tcPr>
          <w:p w14:paraId="33946DC5" w14:textId="77777777" w:rsidR="00D41EE0" w:rsidRDefault="00000000">
            <w:r>
              <w:t>SMPS</w:t>
            </w:r>
          </w:p>
        </w:tc>
        <w:tc>
          <w:tcPr>
            <w:tcW w:w="4876" w:type="dxa"/>
          </w:tcPr>
          <w:p w14:paraId="6043F2DC" w14:textId="77777777" w:rsidR="00D41EE0" w:rsidRDefault="00000000">
            <w:r>
              <w:t>Switched-Mode Power Supply</w:t>
            </w:r>
          </w:p>
        </w:tc>
      </w:tr>
      <w:tr w:rsidR="00D41EE0" w14:paraId="2A64947B" w14:textId="77777777">
        <w:tc>
          <w:tcPr>
            <w:tcW w:w="4876" w:type="dxa"/>
          </w:tcPr>
          <w:p w14:paraId="188DFEBC" w14:textId="77777777" w:rsidR="00D41EE0" w:rsidRDefault="00000000">
            <w:r>
              <w:t>THD</w:t>
            </w:r>
          </w:p>
        </w:tc>
        <w:tc>
          <w:tcPr>
            <w:tcW w:w="4876" w:type="dxa"/>
          </w:tcPr>
          <w:p w14:paraId="1A7234E9" w14:textId="77777777" w:rsidR="00D41EE0" w:rsidRDefault="00000000">
            <w:r>
              <w:t>Total Harmonic Distortion</w:t>
            </w:r>
          </w:p>
        </w:tc>
      </w:tr>
      <w:tr w:rsidR="00D41EE0" w14:paraId="0B61C009" w14:textId="77777777">
        <w:tc>
          <w:tcPr>
            <w:tcW w:w="4876" w:type="dxa"/>
          </w:tcPr>
          <w:p w14:paraId="6FA0F13F" w14:textId="77777777" w:rsidR="00D41EE0" w:rsidRDefault="00000000">
            <w:proofErr w:type="spellStart"/>
            <w:r>
              <w:t>TOPCon</w:t>
            </w:r>
            <w:proofErr w:type="spellEnd"/>
          </w:p>
        </w:tc>
        <w:tc>
          <w:tcPr>
            <w:tcW w:w="4876" w:type="dxa"/>
          </w:tcPr>
          <w:p w14:paraId="0C53F16E" w14:textId="77777777" w:rsidR="00D41EE0" w:rsidRDefault="00000000">
            <w:r>
              <w:t>Tunnel Oxide Passivated Contact</w:t>
            </w:r>
          </w:p>
        </w:tc>
      </w:tr>
      <w:tr w:rsidR="00D41EE0" w14:paraId="18EC7386" w14:textId="77777777">
        <w:tc>
          <w:tcPr>
            <w:tcW w:w="4876" w:type="dxa"/>
          </w:tcPr>
          <w:p w14:paraId="4010E027" w14:textId="77777777" w:rsidR="00D41EE0" w:rsidRDefault="00000000">
            <w:r>
              <w:t>TRE</w:t>
            </w:r>
          </w:p>
        </w:tc>
        <w:tc>
          <w:tcPr>
            <w:tcW w:w="4876" w:type="dxa"/>
          </w:tcPr>
          <w:p w14:paraId="62740B90" w14:textId="77777777" w:rsidR="00D41EE0" w:rsidRDefault="00000000">
            <w:r>
              <w:t>Transient Response Evaluation</w:t>
            </w:r>
          </w:p>
        </w:tc>
      </w:tr>
      <w:tr w:rsidR="00D41EE0" w14:paraId="6B8D7698" w14:textId="77777777">
        <w:tc>
          <w:tcPr>
            <w:tcW w:w="4876" w:type="dxa"/>
          </w:tcPr>
          <w:p w14:paraId="421897D9" w14:textId="77777777" w:rsidR="00D41EE0" w:rsidRDefault="00000000">
            <w:r>
              <w:t>TWh</w:t>
            </w:r>
          </w:p>
        </w:tc>
        <w:tc>
          <w:tcPr>
            <w:tcW w:w="4876" w:type="dxa"/>
          </w:tcPr>
          <w:p w14:paraId="44863434" w14:textId="77777777" w:rsidR="00D41EE0" w:rsidRDefault="00000000">
            <w:r>
              <w:t>Terawatt-hour</w:t>
            </w:r>
          </w:p>
        </w:tc>
      </w:tr>
      <w:tr w:rsidR="00D41EE0" w14:paraId="5AC02E2F" w14:textId="77777777">
        <w:tc>
          <w:tcPr>
            <w:tcW w:w="4876" w:type="dxa"/>
          </w:tcPr>
          <w:p w14:paraId="2D0B9EE7" w14:textId="77777777" w:rsidR="00D41EE0" w:rsidRDefault="00000000">
            <w:r>
              <w:t>UPS</w:t>
            </w:r>
          </w:p>
        </w:tc>
        <w:tc>
          <w:tcPr>
            <w:tcW w:w="4876" w:type="dxa"/>
          </w:tcPr>
          <w:p w14:paraId="31DBDD29" w14:textId="77777777" w:rsidR="00D41EE0" w:rsidRDefault="00000000">
            <w:r>
              <w:t>Uninterruptible Power Supply</w:t>
            </w:r>
          </w:p>
        </w:tc>
      </w:tr>
      <w:tr w:rsidR="00D41EE0" w14:paraId="5F46AD21" w14:textId="77777777">
        <w:tc>
          <w:tcPr>
            <w:tcW w:w="4876" w:type="dxa"/>
          </w:tcPr>
          <w:p w14:paraId="19B89512" w14:textId="77777777" w:rsidR="00D41EE0" w:rsidRDefault="00000000">
            <w:r>
              <w:t>VRFB</w:t>
            </w:r>
          </w:p>
        </w:tc>
        <w:tc>
          <w:tcPr>
            <w:tcW w:w="4876" w:type="dxa"/>
          </w:tcPr>
          <w:p w14:paraId="593B9EC4" w14:textId="77777777" w:rsidR="00D41EE0" w:rsidRDefault="00000000">
            <w:r>
              <w:t>Vanadium Redox Flow Battery</w:t>
            </w:r>
          </w:p>
        </w:tc>
      </w:tr>
      <w:tr w:rsidR="00D41EE0" w14:paraId="64EAD4EF" w14:textId="77777777">
        <w:tc>
          <w:tcPr>
            <w:tcW w:w="4876" w:type="dxa"/>
          </w:tcPr>
          <w:p w14:paraId="356CA25B" w14:textId="77777777" w:rsidR="00D41EE0" w:rsidRDefault="00000000">
            <w:r>
              <w:lastRenderedPageBreak/>
              <w:t>VFD</w:t>
            </w:r>
          </w:p>
        </w:tc>
        <w:tc>
          <w:tcPr>
            <w:tcW w:w="4876" w:type="dxa"/>
          </w:tcPr>
          <w:p w14:paraId="239D4EF5" w14:textId="77777777" w:rsidR="00D41EE0" w:rsidRDefault="00000000">
            <w:r>
              <w:t>Variable Frequency Drive</w:t>
            </w:r>
          </w:p>
        </w:tc>
      </w:tr>
      <w:tr w:rsidR="00D41EE0" w14:paraId="22E59D5C" w14:textId="77777777">
        <w:tc>
          <w:tcPr>
            <w:tcW w:w="4876" w:type="dxa"/>
          </w:tcPr>
          <w:p w14:paraId="1FF7BD0D" w14:textId="77777777" w:rsidR="00D41EE0" w:rsidRDefault="00000000">
            <w:r>
              <w:t>WACC</w:t>
            </w:r>
          </w:p>
        </w:tc>
        <w:tc>
          <w:tcPr>
            <w:tcW w:w="4876" w:type="dxa"/>
          </w:tcPr>
          <w:p w14:paraId="7E1C6898" w14:textId="77777777" w:rsidR="00D41EE0" w:rsidRDefault="00000000">
            <w:r>
              <w:t>Weighted Average Cost of Capital</w:t>
            </w:r>
          </w:p>
        </w:tc>
      </w:tr>
      <w:tr w:rsidR="00D41EE0" w14:paraId="76721850" w14:textId="77777777">
        <w:tc>
          <w:tcPr>
            <w:tcW w:w="4876" w:type="dxa"/>
          </w:tcPr>
          <w:p w14:paraId="5DD29BED" w14:textId="77777777" w:rsidR="00D41EE0" w:rsidRDefault="00000000">
            <w:r>
              <w:t>WUE</w:t>
            </w:r>
          </w:p>
        </w:tc>
        <w:tc>
          <w:tcPr>
            <w:tcW w:w="4876" w:type="dxa"/>
          </w:tcPr>
          <w:p w14:paraId="73B4B434" w14:textId="77777777" w:rsidR="00D41EE0" w:rsidRDefault="00000000">
            <w:r>
              <w:t>Water Usage Effectiveness</w:t>
            </w:r>
          </w:p>
        </w:tc>
      </w:tr>
    </w:tbl>
    <w:p w14:paraId="121BA4C9" w14:textId="77777777" w:rsidR="00D41EE0" w:rsidRDefault="00D41EE0"/>
    <w:p w14:paraId="725B69FD" w14:textId="77777777" w:rsidR="00FE013C" w:rsidRDefault="00FE013C" w:rsidP="004C16FF">
      <w:pPr>
        <w:pStyle w:val="Heading1"/>
        <w:jc w:val="both"/>
        <w:rPr>
          <w:color w:val="auto"/>
        </w:rPr>
      </w:pPr>
      <w:r>
        <w:rPr>
          <w:color w:val="auto"/>
          <w:lang w:eastAsia="zh-CN"/>
        </w:rPr>
        <w:t xml:space="preserve">2. </w:t>
      </w:r>
      <w:r>
        <w:rPr>
          <w:color w:val="auto"/>
        </w:rPr>
        <w:t>Literature Review and State-of-the-Art</w:t>
      </w:r>
    </w:p>
    <w:p w14:paraId="4B93E1DF" w14:textId="3FFF1CDF" w:rsidR="00132B05" w:rsidRPr="00132B05" w:rsidRDefault="00132B05" w:rsidP="00132B05">
      <w:pPr>
        <w:spacing w:after="120"/>
        <w:ind w:firstLine="480"/>
        <w:rPr>
          <w:szCs w:val="24"/>
        </w:rPr>
      </w:pPr>
      <w:r w:rsidRPr="009055C9">
        <w:rPr>
          <w:szCs w:val="24"/>
          <w:highlight w:val="yellow"/>
        </w:rPr>
        <w:t>This section synthesizes the existing body of knowledge across five domains critical to renewable-powered AI data centers: data center power consumption, renewable energy technologies, energy storage systems, microgrid and grid integration, and industry case studies. The synthesis draws on 185 sources retained after the PRISMA screening process described in Section 1.6, including 92 peer-reviewed journal articles, 21 conference papers, 14 standards and patents, 38 agency and institutional reports, and 20 corporate and grey-literature sources published between 2015 and 2026.</w:t>
      </w:r>
    </w:p>
    <w:p w14:paraId="27716A7A" w14:textId="034D1736" w:rsidR="00FE013C" w:rsidRPr="003E394F" w:rsidRDefault="00FE013C" w:rsidP="00EE1463">
      <w:pPr>
        <w:pStyle w:val="Heading2"/>
        <w:rPr>
          <w:color w:val="auto"/>
          <w:lang w:val="en-CA"/>
        </w:rPr>
      </w:pPr>
      <w:r w:rsidRPr="003E394F">
        <w:rPr>
          <w:color w:val="auto"/>
          <w:lang w:val="en-CA"/>
        </w:rPr>
        <w:t>2.1. AI Data Center Power Consumption</w:t>
      </w:r>
    </w:p>
    <w:p w14:paraId="450E82AB" w14:textId="77777777" w:rsidR="00FE013C" w:rsidRPr="00684620" w:rsidRDefault="00FE013C" w:rsidP="004C16FF">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high intensity and concentrated nature. </w:t>
      </w:r>
      <w:r w:rsidRPr="00561461">
        <w:rPr>
          <w:szCs w:val="24"/>
        </w:rPr>
        <w:t>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w:t>
      </w:r>
      <w:r>
        <w:rPr>
          <w:szCs w:val="24"/>
        </w:rPr>
        <w:t xml:space="preserve"> </w:t>
      </w:r>
      <w:r>
        <w:rPr>
          <w:szCs w:val="24"/>
        </w:rPr>
        <w:fldChar w:fldCharType="begin"/>
      </w:r>
      <w:r>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Pr>
          <w:szCs w:val="24"/>
        </w:rPr>
        <w:fldChar w:fldCharType="separate"/>
      </w:r>
      <w:r w:rsidRPr="00B56A24">
        <w:t>[10], [27]</w:t>
      </w:r>
      <w:r>
        <w:rPr>
          <w:szCs w:val="24"/>
        </w:rPr>
        <w:fldChar w:fldCharType="end"/>
      </w:r>
      <w:r>
        <w:rPr>
          <w:szCs w:val="24"/>
        </w:rPr>
        <w:t xml:space="preserve">. </w:t>
      </w:r>
      <w:r w:rsidRPr="00684620">
        <w:rPr>
          <w:szCs w:val="24"/>
        </w:rPr>
        <w:t>Power densities can reach 30 kW on a rack with eight GPUs per server and multiple servers per rack, whereas typical enterprise computing rack power densities are 5–10 kW</w:t>
      </w:r>
      <w:r>
        <w:rPr>
          <w:szCs w:val="24"/>
        </w:rPr>
        <w:fldChar w:fldCharType="begin"/>
      </w:r>
      <w:r>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Pr>
          <w:szCs w:val="24"/>
        </w:rPr>
        <w:fldChar w:fldCharType="separate"/>
      </w:r>
      <w:r w:rsidRPr="00A47543">
        <w:t>[28]</w:t>
      </w:r>
      <w:r>
        <w:rPr>
          <w:szCs w:val="24"/>
        </w:rPr>
        <w:fldChar w:fldCharType="end"/>
      </w:r>
      <w:r w:rsidRPr="00684620">
        <w:rPr>
          <w:szCs w:val="24"/>
        </w:rPr>
        <w:t>. This significant increase in computing density has far-reaching effects on power delivery infrastructure, cooling system design, and facility power usage.</w:t>
      </w:r>
    </w:p>
    <w:p w14:paraId="58B7A460" w14:textId="77777777" w:rsidR="00FE013C" w:rsidRPr="00684620" w:rsidRDefault="00FE013C" w:rsidP="004C16FF">
      <w:pPr>
        <w:spacing w:after="120"/>
        <w:ind w:firstLine="480"/>
        <w:rPr>
          <w:szCs w:val="24"/>
        </w:rPr>
      </w:pPr>
      <w:r w:rsidRPr="00684620">
        <w:rPr>
          <w:szCs w:val="24"/>
        </w:rPr>
        <w:t>The intensity and timing of training vary depending on the inference made. Training is designed to use high and near-maximum power for hours to weeks and has little or no "idle" time between computation cycles</w:t>
      </w:r>
      <w:r>
        <w:rPr>
          <w:szCs w:val="24"/>
        </w:rPr>
        <w:fldChar w:fldCharType="begin"/>
      </w:r>
      <w:r>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Pr>
          <w:szCs w:val="24"/>
        </w:rPr>
        <w:fldChar w:fldCharType="separate"/>
      </w:r>
      <w:r w:rsidRPr="005B5BA4">
        <w:t>[4], [29]</w:t>
      </w:r>
      <w:r>
        <w:rPr>
          <w:szCs w:val="24"/>
        </w:rPr>
        <w:fldChar w:fldCharType="end"/>
      </w:r>
      <w:r>
        <w:rPr>
          <w:szCs w:val="24"/>
        </w:rPr>
        <w:t xml:space="preserve">. </w:t>
      </w:r>
      <w:r w:rsidRPr="00684620">
        <w:rPr>
          <w:szCs w:val="24"/>
        </w:rPr>
        <w:t xml:space="preserve">Inference workloads are more variable because power consumption can vary depending on the number of requests, the model complexity, and the batch size. Research shows that training loads generally use 80-95% of the peak GPU power, and inferences use 40-70% of the peak GPU power, depending on the application and traffic </w:t>
      </w:r>
      <w:r>
        <w:rPr>
          <w:szCs w:val="24"/>
        </w:rPr>
        <w:fldChar w:fldCharType="begin"/>
      </w:r>
      <w:r>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URL":"https://openreview.net/forum?id=86NT1eVitH&amp;referrer=%5Bthe%20profile%20of%20Mahveen%20Raza%5D(%2Fprofile%3Fid%3D~Mahveen_Raza1)","author":[{"family":"Raza","given":"Mahveen"}]}}],"schema":"https://github.com/citation-style-language/schema/raw/master/csl-citation.json"} </w:instrText>
      </w:r>
      <w:r>
        <w:rPr>
          <w:szCs w:val="24"/>
        </w:rPr>
        <w:fldChar w:fldCharType="separate"/>
      </w:r>
      <w:r w:rsidRPr="00363763">
        <w:t>[30]</w:t>
      </w:r>
      <w:r>
        <w:rPr>
          <w:szCs w:val="24"/>
        </w:rPr>
        <w:fldChar w:fldCharType="end"/>
      </w:r>
      <w:r w:rsidRPr="00684620">
        <w:rPr>
          <w:szCs w:val="24"/>
        </w:rPr>
        <w:t>. The temporal load pattern has important implications for integration planning for renewable energy, as the length of time they are stored and dispatched depends on this.</w:t>
      </w:r>
    </w:p>
    <w:p w14:paraId="1829D0F1" w14:textId="27F46A08" w:rsidR="00FE013C" w:rsidRPr="00684620" w:rsidRDefault="00FE013C" w:rsidP="004C16FF">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Pr="00436DD1">
        <w:t>[31]</w:t>
      </w:r>
      <w:r>
        <w:rPr>
          <w:szCs w:val="24"/>
        </w:rPr>
        <w:fldChar w:fldCharType="end"/>
      </w:r>
      <w:r w:rsidRPr="00684620">
        <w:rPr>
          <w:szCs w:val="24"/>
        </w:rPr>
        <w:t>.</w:t>
      </w:r>
    </w:p>
    <w:p w14:paraId="17416DC4" w14:textId="700F7B86" w:rsidR="00FE013C" w:rsidRPr="00684620" w:rsidRDefault="00FE013C" w:rsidP="004C16FF">
      <w:pPr>
        <w:spacing w:after="120"/>
        <w:ind w:firstLine="480"/>
        <w:rPr>
          <w:szCs w:val="24"/>
        </w:rPr>
      </w:pPr>
      <w:r w:rsidRPr="00684620">
        <w:rPr>
          <w:szCs w:val="24"/>
        </w:rPr>
        <w:lastRenderedPageBreak/>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Pr="00AE143F">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1C1DB8">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Pr="008A2F4C">
        <w:t>[35]</w:t>
      </w:r>
      <w:r>
        <w:rPr>
          <w:szCs w:val="24"/>
        </w:rPr>
        <w:fldChar w:fldCharType="end"/>
      </w:r>
      <w:r w:rsidRPr="00684620">
        <w:rPr>
          <w:szCs w:val="24"/>
        </w:rPr>
        <w:t>.</w:t>
      </w:r>
    </w:p>
    <w:p w14:paraId="441CC53B" w14:textId="77777777" w:rsidR="00FE013C" w:rsidRDefault="00FE013C" w:rsidP="004C16FF">
      <w:pPr>
        <w:pStyle w:val="Heading2"/>
        <w:rPr>
          <w:color w:val="auto"/>
        </w:rPr>
      </w:pPr>
      <w:r>
        <w:rPr>
          <w:color w:val="auto"/>
        </w:rPr>
        <w:t>2.2. Renewable Energy Technologies</w:t>
      </w:r>
    </w:p>
    <w:p w14:paraId="1EC737C9" w14:textId="0B22094F" w:rsidR="00FE013C" w:rsidRPr="005C62D0" w:rsidRDefault="00FE013C" w:rsidP="004C16FF">
      <w:pPr>
        <w:spacing w:after="120"/>
        <w:ind w:firstLine="480"/>
        <w:rPr>
          <w:szCs w:val="24"/>
        </w:rPr>
      </w:pPr>
      <w:r w:rsidRPr="00967457">
        <w:rPr>
          <w:szCs w:val="24"/>
        </w:rPr>
        <w:t xml:space="preserve">In the last 10 years, solar PV technology has experienced an incredible shift 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proofErr w:type="spellStart"/>
      <w:r w:rsidRPr="00571D9E">
        <w:rPr>
          <w:szCs w:val="24"/>
        </w:rPr>
        <w:t>TOPCon</w:t>
      </w:r>
      <w:proofErr w:type="spellEnd"/>
      <w:r w:rsidRPr="00571D9E">
        <w:rPr>
          <w:szCs w:val="24"/>
        </w:rPr>
        <w:t>, heterojunction (HJT), and back contact (BC)</w:t>
      </w:r>
      <w:r w:rsidRPr="00967457">
        <w:rPr>
          <w:szCs w:val="24"/>
        </w:rPr>
        <w:t xml:space="preserve"> cell architectures</w:t>
      </w:r>
      <w:r>
        <w:rPr>
          <w:szCs w:val="24"/>
        </w:rPr>
        <w:fldChar w:fldCharType="begin"/>
      </w:r>
      <w:r>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Pr="001B2A37">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Pr="00905B51">
        <w:t>[37]</w:t>
      </w:r>
      <w:r>
        <w:rPr>
          <w:szCs w:val="24"/>
        </w:rPr>
        <w:fldChar w:fldCharType="end"/>
      </w:r>
      <w:r w:rsidRPr="005C62D0">
        <w:rPr>
          <w:szCs w:val="24"/>
        </w:rPr>
        <w:t xml:space="preserve">. The </w:t>
      </w:r>
      <w:r w:rsidR="00232D2E" w:rsidRPr="005C62D0">
        <w:rPr>
          <w:szCs w:val="24"/>
        </w:rPr>
        <w:t>levelized</w:t>
      </w:r>
      <w:r w:rsidRPr="005C62D0">
        <w:rPr>
          <w:szCs w:val="24"/>
        </w:rPr>
        <w:t xml:space="preserve"> cost of electricity for utility-scale solar PV has dropped to $30 to $50/MWh in high-resource areas and is the lowest-cost source of new electricity generation in most markets globally</w:t>
      </w:r>
      <w:r>
        <w:rPr>
          <w:szCs w:val="24"/>
        </w:rPr>
        <w:fldChar w:fldCharType="begin"/>
      </w:r>
      <w:r>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Pr="005108FD">
        <w:t>[38], [39]</w:t>
      </w:r>
      <w:r>
        <w:rPr>
          <w:szCs w:val="24"/>
        </w:rPr>
        <w:fldChar w:fldCharType="end"/>
      </w:r>
      <w:r w:rsidRPr="005C62D0">
        <w:rPr>
          <w:szCs w:val="24"/>
        </w:rPr>
        <w:t>.</w:t>
      </w:r>
    </w:p>
    <w:p w14:paraId="5BB3DB35" w14:textId="77777777" w:rsidR="00FE013C" w:rsidRPr="005C62D0" w:rsidRDefault="00FE013C" w:rsidP="004C16FF">
      <w:pPr>
        <w:spacing w:after="120"/>
        <w:ind w:firstLine="480"/>
        <w:rPr>
          <w:szCs w:val="24"/>
        </w:rPr>
      </w:pPr>
      <w:r w:rsidRPr="00532C4C">
        <w:rPr>
          <w:szCs w:val="24"/>
        </w:rPr>
        <w:t>Onshore wind turbines now achieve capacity factors of 25–40% in high-resource regions</w:t>
      </w:r>
      <w:r w:rsidRPr="005C62D0">
        <w:rPr>
          <w:szCs w:val="24"/>
        </w:rPr>
        <w:t>, and optimal offshore wind installations reach 40–50</w:t>
      </w:r>
      <w:r>
        <w:rPr>
          <w:szCs w:val="24"/>
        </w:rPr>
        <w:t>%</w:t>
      </w:r>
      <w:r>
        <w:rPr>
          <w:szCs w:val="24"/>
        </w:rPr>
        <w:fldChar w:fldCharType="begin"/>
      </w:r>
      <w:r>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Pr="00A02978">
        <w:rPr>
          <w:szCs w:val="24"/>
        </w:rPr>
        <w:t>[40]</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Pr="00D21173">
        <w:t>[41]</w:t>
      </w:r>
      <w:r>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Pr="00533059">
        <w:t>[42]</w:t>
      </w:r>
      <w:r>
        <w:rPr>
          <w:szCs w:val="24"/>
        </w:rPr>
        <w:fldChar w:fldCharType="end"/>
      </w:r>
      <w:r w:rsidRPr="005C62D0">
        <w:rPr>
          <w:szCs w:val="24"/>
        </w:rPr>
        <w:t>.</w:t>
      </w:r>
    </w:p>
    <w:p w14:paraId="1DED5B25" w14:textId="77777777" w:rsidR="00FE013C" w:rsidRDefault="00FE013C" w:rsidP="004C16FF">
      <w:pPr>
        <w:spacing w:after="120"/>
        <w:ind w:firstLine="480"/>
        <w:rPr>
          <w:szCs w:val="24"/>
        </w:rPr>
      </w:pPr>
      <w:r w:rsidRPr="005C62D0">
        <w:rPr>
          <w:szCs w:val="24"/>
        </w:rPr>
        <w:t>Hydroelectric power, specifically pumped-storage hydropower (PSH), is a vital component of the energy balancing equation at the grid level. PSH accounts for approximately 95% of the world's electricity storage capacity and offers gigawatt hours of storage at much lower costs than battery systems</w:t>
      </w:r>
      <w:r>
        <w:rPr>
          <w:szCs w:val="24"/>
        </w:rPr>
        <w:fldChar w:fldCharType="begin"/>
      </w:r>
      <w:r>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Pr="007B720C">
        <w:t>[43]</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Pr="000B39AB">
        <w:t>[44]</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
        <w:rPr>
          <w:color w:val="auto"/>
        </w:rPr>
      </w:pPr>
      <w:r>
        <w:rPr>
          <w:color w:val="auto"/>
        </w:rPr>
        <w:t>2.3. Energy Storage Technologies</w:t>
      </w:r>
    </w:p>
    <w:p w14:paraId="314E80E9" w14:textId="2B2F7778" w:rsidR="00A71ADA" w:rsidRPr="00EA0A9E" w:rsidRDefault="00A71ADA" w:rsidP="00EA0A9E">
      <w:pPr>
        <w:spacing w:after="120"/>
        <w:ind w:firstLine="480"/>
        <w:rPr>
          <w:szCs w:val="24"/>
          <w:highlight w:val="yellow"/>
          <w:lang w:val="en-CA"/>
        </w:rPr>
      </w:pPr>
      <w:r w:rsidRPr="00EA0A9E">
        <w:rPr>
          <w:szCs w:val="24"/>
          <w:highlight w:val="yellow"/>
          <w:lang w:val="en-CA"/>
        </w:rPr>
        <w:t xml:space="preserve">Currently, there is no other available technology that dominates stationary energy storage. The volume weighted average price for lithium-ion battery packs in 2020 fell from some USD 300/kWh to USD 108/kWh in 2025, according to </w:t>
      </w:r>
      <w:proofErr w:type="spellStart"/>
      <w:r w:rsidRPr="00EA0A9E">
        <w:rPr>
          <w:szCs w:val="24"/>
          <w:highlight w:val="yellow"/>
          <w:lang w:val="en-CA"/>
        </w:rPr>
        <w:t>BloombergNEF</w:t>
      </w:r>
      <w:proofErr w:type="spellEnd"/>
      <w:r w:rsidRPr="00EA0A9E">
        <w:rPr>
          <w:szCs w:val="24"/>
          <w:highlight w:val="yellow"/>
          <w:lang w:val="en-CA"/>
        </w:rPr>
        <w:t xml:space="preserve"> </w:t>
      </w:r>
      <w:r w:rsidR="00EA0A9E">
        <w:rPr>
          <w:szCs w:val="24"/>
        </w:rPr>
        <w:fldChar w:fldCharType="begin"/>
      </w:r>
      <w:r w:rsidR="00EA0A9E">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EA0A9E">
        <w:rPr>
          <w:szCs w:val="24"/>
        </w:rPr>
        <w:fldChar w:fldCharType="separate"/>
      </w:r>
      <w:r w:rsidR="00EA0A9E" w:rsidRPr="006512AA">
        <w:t>[17]</w:t>
      </w:r>
      <w:r w:rsidR="00EA0A9E">
        <w:rPr>
          <w:szCs w:val="24"/>
        </w:rPr>
        <w:fldChar w:fldCharType="end"/>
      </w:r>
      <w:r w:rsidRPr="00EA0A9E">
        <w:rPr>
          <w:szCs w:val="24"/>
          <w:highlight w:val="yellow"/>
          <w:lang w:val="en-CA"/>
        </w:rPr>
        <w:t xml:space="preserve">. Note that this is battery-pricing not </w:t>
      </w:r>
      <w:r w:rsidR="00EA0A9E" w:rsidRPr="00EA0A9E">
        <w:rPr>
          <w:szCs w:val="24"/>
          <w:highlight w:val="yellow"/>
          <w:lang w:val="en-CA"/>
        </w:rPr>
        <w:t>including</w:t>
      </w:r>
      <w:r w:rsidRPr="00EA0A9E">
        <w:rPr>
          <w:szCs w:val="24"/>
          <w:highlight w:val="yellow"/>
          <w:lang w:val="en-CA"/>
        </w:rPr>
        <w:t xml:space="preserve"> extra expenses for power-conversion gear, thermal management, controls, engineering, procurement, construction, and the integration with the grid if applicable of a battery energy storage system (BESS). Due to this, Lithium Iron Phosphate (LFP) chemistry has become the mainstream selection in stationary storage applications where battery cycle life (usually &gt; 4000 cycles at 80% depth </w:t>
      </w:r>
      <w:r w:rsidRPr="00EA0A9E">
        <w:rPr>
          <w:szCs w:val="24"/>
          <w:highlight w:val="yellow"/>
          <w:lang w:val="en-CA"/>
        </w:rPr>
        <w:lastRenderedPageBreak/>
        <w:t xml:space="preserve">of discharge), low cost, and safer attributes prevail over those of nickel manganese cobalt (NMC) and nickel cobalt aluminum (NCA) chemistries </w:t>
      </w:r>
      <w:r w:rsidR="00EA0A9E">
        <w:rPr>
          <w:szCs w:val="24"/>
        </w:rPr>
        <w:fldChar w:fldCharType="begin"/>
      </w:r>
      <w:r w:rsidR="00EA0A9E">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EA0A9E">
        <w:rPr>
          <w:szCs w:val="24"/>
        </w:rPr>
        <w:fldChar w:fldCharType="separate"/>
      </w:r>
      <w:r w:rsidR="00EA0A9E" w:rsidRPr="00965B5C">
        <w:t>[45], [46]</w:t>
      </w:r>
      <w:r w:rsidR="00EA0A9E">
        <w:rPr>
          <w:szCs w:val="24"/>
        </w:rPr>
        <w:fldChar w:fldCharType="end"/>
      </w:r>
      <w:r w:rsidRPr="00EA0A9E">
        <w:rPr>
          <w:szCs w:val="24"/>
          <w:highlight w:val="yellow"/>
          <w:lang w:val="en-CA"/>
        </w:rPr>
        <w:t>. Lithium-ion round trip efficiency is normally in the range of 85% to 95% and adequate thermal management is needed to ensure battery performance and calendar life.</w:t>
      </w:r>
    </w:p>
    <w:p w14:paraId="3D88FCA9" w14:textId="4A039C0C" w:rsidR="00A71ADA" w:rsidRPr="00EA0A9E" w:rsidRDefault="00A71ADA" w:rsidP="00EA0A9E">
      <w:pPr>
        <w:spacing w:after="120"/>
        <w:ind w:firstLine="480"/>
        <w:rPr>
          <w:szCs w:val="24"/>
          <w:highlight w:val="yellow"/>
          <w:lang w:val="en-CA"/>
        </w:rPr>
      </w:pPr>
      <w:r w:rsidRPr="00EA0A9E">
        <w:rPr>
          <w:szCs w:val="24"/>
          <w:highlight w:val="yellow"/>
          <w:lang w:val="en-CA"/>
        </w:rPr>
        <w:t xml:space="preserve">Long-duration energy-storage (LDES) technologies are gaining traction for periods of storage beyond about 8-hours. While the start-up cost for vanadium redox flow batteries (VRFBs) is still relatively high, they have long cycle lifetimes (typically over 20,000 cycles) and have the power and energy capacity that can be separated </w:t>
      </w:r>
      <w:r w:rsidR="00EA0A9E">
        <w:rPr>
          <w:szCs w:val="24"/>
        </w:rPr>
        <w:fldChar w:fldCharType="begin"/>
      </w:r>
      <w:r w:rsidR="00EA0A9E">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A0A9E">
        <w:rPr>
          <w:szCs w:val="24"/>
        </w:rPr>
        <w:fldChar w:fldCharType="separate"/>
      </w:r>
      <w:r w:rsidR="00EA0A9E" w:rsidRPr="008130CA">
        <w:t>[47]</w:t>
      </w:r>
      <w:r w:rsidR="00EA0A9E">
        <w:rPr>
          <w:szCs w:val="24"/>
        </w:rPr>
        <w:fldChar w:fldCharType="end"/>
      </w:r>
      <w:r w:rsidRPr="00EA0A9E">
        <w:rPr>
          <w:szCs w:val="24"/>
          <w:highlight w:val="yellow"/>
          <w:lang w:val="en-CA"/>
        </w:rPr>
        <w:t xml:space="preserve">. The technology using iron-air has </w:t>
      </w:r>
      <w:r w:rsidR="00B34E65" w:rsidRPr="00EA0A9E">
        <w:rPr>
          <w:szCs w:val="24"/>
          <w:highlight w:val="yellow"/>
          <w:lang w:val="en-CA"/>
        </w:rPr>
        <w:t>been</w:t>
      </w:r>
      <w:r w:rsidRPr="00EA0A9E">
        <w:rPr>
          <w:szCs w:val="24"/>
          <w:highlight w:val="yellow"/>
          <w:lang w:val="en-CA"/>
        </w:rPr>
        <w:t xml:space="preserve"> proposed as another option for multi-day storage, with storage cost of $20/kWh and discharge time of more than 100 hours envisioned, to enhance the economic viability of VLD energy storage [48]. Hydrogen storage using green hydrogen can produce storage times that range from weeks up to months, but the present trajectory of research from H2 electrolysis to electricity generation in fuel cells has a round-trip efficiency of about 25–40%, and electricity prices are still much higher than a conventional battery-storage system.</w:t>
      </w:r>
    </w:p>
    <w:p w14:paraId="56825C19" w14:textId="39413FD2" w:rsidR="00A71ADA" w:rsidRPr="00EA0A9E" w:rsidRDefault="00A71ADA" w:rsidP="00E11FE4">
      <w:pPr>
        <w:spacing w:after="120"/>
        <w:ind w:firstLine="480"/>
        <w:rPr>
          <w:szCs w:val="24"/>
          <w:highlight w:val="yellow"/>
          <w:lang w:val="en-CA"/>
        </w:rPr>
      </w:pPr>
      <w:r w:rsidRPr="00EA0A9E">
        <w:rPr>
          <w:szCs w:val="24"/>
          <w:highlight w:val="yellow"/>
          <w:lang w:val="en-CA"/>
        </w:rPr>
        <w:t xml:space="preserve">Energy-storage sizing methodologies have advanced from deterministic methods relying on prespecified worst cases to probabilistic and optimization-based methods. One widely used probabilistic sizing method is adequacy measures like Loss of Load Expectation (LOLE), defined as the mean time that the targeted load is not met by available electricity supply. The planning target adopted in this review is 99.99% availability (annual-duration relationship simplified: 0.876 h/year, or 52.6 min/year). When compared to the deterministic approach, probabilistic methods offer a more realistic representation of system performance, as they explicitly account for the frequency and duration of supply shortcomings. Their implementation, however, necessitates time-series information containing load information, renewable generation information, storage operation information and grid availability information </w:t>
      </w:r>
      <w:r w:rsidR="00D51B19" w:rsidRPr="009A5758">
        <w:rPr>
          <w:szCs w:val="24"/>
          <w:highlight w:val="yellow"/>
        </w:rPr>
        <w:fldChar w:fldCharType="begin"/>
      </w:r>
      <w:r w:rsidR="00E11FE4">
        <w:rPr>
          <w:szCs w:val="24"/>
          <w:highlight w:val="yellow"/>
        </w:rPr>
        <w:instrText xml:space="preserve"> ADDIN ZOTERO_ITEM CSL_CITATION {"citationID":"9gclYoSe","properties":{"unsorted":false,"formattedCitation":"[48]","plainCitation":"[48]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D51B19" w:rsidRPr="009A5758">
        <w:rPr>
          <w:szCs w:val="24"/>
          <w:highlight w:val="yellow"/>
        </w:rPr>
        <w:fldChar w:fldCharType="separate"/>
      </w:r>
      <w:r w:rsidR="00E11FE4" w:rsidRPr="00E11FE4">
        <w:rPr>
          <w:highlight w:val="yellow"/>
        </w:rPr>
        <w:t>[48]</w:t>
      </w:r>
      <w:r w:rsidR="00D51B19" w:rsidRPr="009A5758">
        <w:rPr>
          <w:szCs w:val="24"/>
          <w:highlight w:val="yellow"/>
        </w:rPr>
        <w:fldChar w:fldCharType="end"/>
      </w:r>
      <w:r w:rsidRPr="00EA0A9E">
        <w:rPr>
          <w:szCs w:val="24"/>
          <w:highlight w:val="yellow"/>
          <w:lang w:val="en-CA"/>
        </w:rPr>
        <w:t>.</w:t>
      </w:r>
    </w:p>
    <w:p w14:paraId="2A29A5EA" w14:textId="77777777" w:rsidR="00FE013C" w:rsidRDefault="00FE013C" w:rsidP="004C16FF">
      <w:pPr>
        <w:pStyle w:val="Heading2"/>
        <w:rPr>
          <w:color w:val="auto"/>
        </w:rPr>
      </w:pPr>
      <w:r>
        <w:rPr>
          <w:color w:val="auto"/>
        </w:rPr>
        <w:t>2.4. Microgrids and Grid Integration</w:t>
      </w:r>
    </w:p>
    <w:p w14:paraId="1ACED6C1" w14:textId="7F60A082" w:rsidR="00FE013C" w:rsidRPr="00D0205A" w:rsidRDefault="00FE013C" w:rsidP="00E11FE4">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paradigm shift 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sidR="00E11FE4">
        <w:rPr>
          <w:szCs w:val="24"/>
        </w:rPr>
        <w:instrText xml:space="preserve"> ADDIN ZOTERO_ITEM CSL_CITATION {"citationID":"GRPOjuAH","properties":{"unsorted":false,"formattedCitation":"[49]","plainCitation":"[49]","noteIndex":0},"citationItems":[{"id":1991,"uris":["http://zotero.org/users/9870935/items/TCP3MAYA"],"itemData":{"id":1991,"type":"article-journal","abstract":"With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00E11FE4" w:rsidRPr="00E11FE4">
        <w:t>[49]</w:t>
      </w:r>
      <w:r>
        <w:rPr>
          <w:szCs w:val="24"/>
        </w:rPr>
        <w:fldChar w:fldCharType="end"/>
      </w:r>
      <w:r w:rsidRPr="00D0205A">
        <w:rPr>
          <w:szCs w:val="24"/>
        </w:rPr>
        <w:t>. The 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sidR="00E11FE4">
        <w:rPr>
          <w:szCs w:val="24"/>
        </w:rPr>
        <w:instrText xml:space="preserve"> ADDIN ZOTERO_ITEM CSL_CITATION {"citationID":"yvSCoOuc","properties":{"unsorted":false,"formattedCitation":"[50]","plainCitation":"[50]","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00E11FE4" w:rsidRPr="00E11FE4">
        <w:t>[50]</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26360350" w:rsidR="00FE013C" w:rsidRPr="00D0205A" w:rsidRDefault="00FE013C" w:rsidP="00E11FE4">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sidR="00E11FE4">
        <w:rPr>
          <w:szCs w:val="24"/>
        </w:rPr>
        <w:instrText xml:space="preserve"> ADDIN ZOTERO_ITEM CSL_CITATION {"citationID":"jj4vX417","properties":{"unsorted":false,"formattedCitation":"[51]","plainCitation":"[51]","noteIndex":0},"citationItems":[{"id":1993,"uris":["http://zotero.org/users/9870935/items/2D54TKGT"],"itemData":{"id":1993,"type":"paper-conference","container-title":"2024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00E11FE4" w:rsidRPr="00E11FE4">
        <w:t>[51]</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
        <w:rPr>
          <w:color w:val="auto"/>
        </w:rPr>
      </w:pPr>
      <w:r>
        <w:rPr>
          <w:color w:val="auto"/>
        </w:rPr>
        <w:lastRenderedPageBreak/>
        <w:t>2.5. Industry Case Studies</w:t>
      </w:r>
    </w:p>
    <w:p w14:paraId="778EC10C" w14:textId="5AE515ED" w:rsidR="00FE013C" w:rsidRPr="00215994" w:rsidRDefault="00FE013C" w:rsidP="00E11FE4">
      <w:pPr>
        <w:spacing w:after="120"/>
        <w:ind w:firstLine="480"/>
        <w:rPr>
          <w:szCs w:val="24"/>
        </w:rPr>
      </w:pPr>
      <w:r w:rsidRPr="00215994">
        <w:rPr>
          <w:szCs w:val="24"/>
        </w:rPr>
        <w:t>Google has become an industry leader in buying renewable energy. The company has recently increased its contracting activities, resulting in a portfolio of over 22 GW of contracted renewable capacity — with total pipeline commitments exceeding 30 GW — through more than 170 power purchase agreements (PPAs</w:t>
      </w:r>
      <w:proofErr w:type="gramStart"/>
      <w:r w:rsidRPr="00215994">
        <w:rPr>
          <w:szCs w:val="24"/>
        </w:rPr>
        <w:t>)[</w:t>
      </w:r>
      <w:proofErr w:type="gramEnd"/>
      <w:r w:rsidRPr="00215994">
        <w:rPr>
          <w:szCs w:val="24"/>
        </w:rPr>
        <w:t xml:space="preserve">52]. Google met its hourly carbon-free energy (CFE) matching metric at 66% global average hourly CFE for 2024 and </w:t>
      </w:r>
      <w:proofErr w:type="gramStart"/>
      <w:r w:rsidRPr="00215994">
        <w:rPr>
          <w:szCs w:val="24"/>
        </w:rPr>
        <w:t>continues on</w:t>
      </w:r>
      <w:proofErr w:type="gramEnd"/>
      <w:r w:rsidRPr="00215994">
        <w:rPr>
          <w:szCs w:val="24"/>
        </w:rPr>
        <w:t xml:space="preserve"> its path toward achieving its structural target of 100% CFE operation on all regional grids by 2030[52], [53]. This approach involves the deployment of a 50 MW on-site wind generation framework at its data center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w:t>
      </w:r>
      <w:proofErr w:type="gramStart"/>
      <w:r w:rsidRPr="00215994">
        <w:rPr>
          <w:szCs w:val="24"/>
        </w:rPr>
        <w:t>to[</w:t>
      </w:r>
      <w:proofErr w:type="gramEnd"/>
      <w:r w:rsidRPr="00215994">
        <w:rPr>
          <w:szCs w:val="24"/>
        </w:rPr>
        <w:t xml:space="preserve">53].  </w:t>
      </w:r>
    </w:p>
    <w:p w14:paraId="3A90E4C4" w14:textId="51EDED2E" w:rsidR="00FE013C" w:rsidRPr="00215994" w:rsidRDefault="00FE013C" w:rsidP="00E11FE4">
      <w:pPr>
        <w:spacing w:after="120"/>
        <w:ind w:firstLine="480"/>
        <w:rPr>
          <w:szCs w:val="24"/>
        </w:rPr>
      </w:pPr>
      <w:r w:rsidRPr="00215994">
        <w:rPr>
          <w:szCs w:val="24"/>
        </w:rPr>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to supply stable primary baseload power</w:t>
      </w:r>
      <w:r>
        <w:rPr>
          <w:szCs w:val="24"/>
        </w:rPr>
        <w:fldChar w:fldCharType="begin"/>
      </w:r>
      <w:r w:rsidR="00E11FE4">
        <w:rPr>
          <w:szCs w:val="24"/>
        </w:rPr>
        <w:instrText xml:space="preserve"> ADDIN ZOTERO_ITEM CSL_CITATION {"citationID":"yI9ZUW0O","properties":{"unsorted":false,"formattedCitation":"[53]","plainCitation":"[53]","noteIndex":0},"citationItems":[{"id":1996,"uris":["http://zotero.org/users/9870935/items/JWXMITAD"],"itemData":{"id":1996,"type":"article-journal","abstract":"The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E11FE4" w:rsidRPr="00E11FE4">
        <w:t>[53]</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sidR="00E11FE4">
        <w:rPr>
          <w:szCs w:val="24"/>
        </w:rPr>
        <w:instrText xml:space="preserve"> ADDIN ZOTERO_ITEM CSL_CITATION {"citationID":"Zg4mrp1i","properties":{"unsorted":false,"formattedCitation":"[54], [55]","plainCitation":"[54], [55]","noteIndex":0},"citationItems":[{"id":1998,"uris":["http://zotero.org/users/9870935/items/3PR5HCM7"],"itemData":{"id":1998,"type":"post-weblog","title":"2025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Growth","URL":"https://about.bnef.com/insights/clean-energy/corporate-clean-energy-buying-fell-in-2025-after-nearly-a-decade-of-growth/","author":[{"family":"BloombergNEF","given":""}]}}],"schema":"https://github.com/citation-style-language/schema/raw/master/csl-citation.json"} </w:instrText>
      </w:r>
      <w:r>
        <w:rPr>
          <w:szCs w:val="24"/>
        </w:rPr>
        <w:fldChar w:fldCharType="separate"/>
      </w:r>
      <w:r w:rsidR="00E11FE4" w:rsidRPr="00E11FE4">
        <w:t>[54], [55]</w:t>
      </w:r>
      <w:r>
        <w:rPr>
          <w:szCs w:val="24"/>
        </w:rPr>
        <w:fldChar w:fldCharType="end"/>
      </w:r>
      <w:r w:rsidRPr="00215994">
        <w:rPr>
          <w:szCs w:val="24"/>
        </w:rPr>
        <w:t xml:space="preserve">.  </w:t>
      </w:r>
    </w:p>
    <w:p w14:paraId="63A51356" w14:textId="4673AE78" w:rsidR="00FE013C" w:rsidRPr="00215994" w:rsidRDefault="00FE013C" w:rsidP="00E11FE4">
      <w:pPr>
        <w:spacing w:after="120"/>
        <w:ind w:firstLine="480"/>
        <w:rPr>
          <w:szCs w:val="24"/>
        </w:rPr>
      </w:pPr>
      <w:r w:rsidRPr="00215994">
        <w:rPr>
          <w:szCs w:val="24"/>
        </w:rPr>
        <w:t xml:space="preserve">At the same time, Microsoft has been leading the way with very </w:t>
      </w:r>
      <w:r w:rsidR="005F08CE" w:rsidRPr="00215994">
        <w:rPr>
          <w:szCs w:val="24"/>
        </w:rPr>
        <w:t>decentralized</w:t>
      </w:r>
      <w:r w:rsidRPr="00215994">
        <w:rPr>
          <w:szCs w:val="24"/>
        </w:rPr>
        <w:t xml:space="preserve"> baseload ideas.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sidR="00E11FE4">
        <w:rPr>
          <w:szCs w:val="24"/>
        </w:rPr>
        <w:instrText xml:space="preserve"> ADDIN ZOTERO_ITEM CSL_CITATION {"citationID":"8st61XpZ","properties":{"unsorted":false,"formattedCitation":"[56], [57]","plainCitation":"[56], [57]","noteIndex":0},"citationItems":[{"id":2005,"uris":["http://zotero.org/users/9870935/items/GPXLWD7A"],"itemData":{"id":2005,"type":"article-journal","abstract":"This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00E11FE4" w:rsidRPr="00E11FE4">
        <w:t>[56], [57]</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sidR="00E11FE4">
        <w:rPr>
          <w:szCs w:val="24"/>
        </w:rPr>
        <w:instrText xml:space="preserve"> ADDIN ZOTERO_ITEM CSL_CITATION {"citationID":"XDrsuJcP","properties":{"unsorted":false,"formattedCitation":"[58]","plainCitation":"[58]","noteIndex":0},"citationItems":[{"id":2006,"uris":["http://zotero.org/users/9870935/items/X97WKK42"],"itemData":{"id":2006,"type":"article-journal","abstract":"Societies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00E11FE4" w:rsidRPr="00E11FE4">
        <w:t>[39]</w:t>
      </w:r>
      <w:r>
        <w:rPr>
          <w:szCs w:val="24"/>
        </w:rPr>
        <w:fldChar w:fldCharType="end"/>
      </w:r>
      <w:r w:rsidRPr="00215994">
        <w:rPr>
          <w:szCs w:val="24"/>
        </w:rPr>
        <w:t>.</w:t>
      </w:r>
    </w:p>
    <w:p w14:paraId="4EE3A5CE" w14:textId="04FF18E7" w:rsidR="00FE013C" w:rsidRPr="00215994" w:rsidRDefault="00FE013C" w:rsidP="00E11FE4">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sidR="00E11FE4">
        <w:rPr>
          <w:szCs w:val="24"/>
        </w:rPr>
        <w:instrText xml:space="preserve"> ADDIN ZOTERO_ITEM CSL_CITATION {"citationID":"55g5vk6s","properties":{"unsorted":false,"formattedCitation":"[59]","plainCitation":"[59]","noteIndex":0},"citationItems":[{"id":2007,"uris":["http://zotero.org/users/9870935/items/KHWRQFNN"],"itemData":{"id":2007,"type":"post-weblog","title":"Sustainability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E11FE4" w:rsidRPr="00E11FE4">
        <w:t>[58]</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sidR="00E11FE4">
        <w:rPr>
          <w:szCs w:val="24"/>
        </w:rPr>
        <w:instrText xml:space="preserve"> ADDIN ZOTERO_ITEM CSL_CITATION {"citationID":"4AetSQpC","properties":{"unsorted":false,"formattedCitation":"[59]","plainCitation":"[59]","noteIndex":0},"citationItems":[{"id":2007,"uris":["http://zotero.org/users/9870935/items/KHWRQFNN"],"itemData":{"id":2007,"type":"post-weblog","title":"Sustainability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E11FE4" w:rsidRPr="00E11FE4">
        <w:t>[58]</w:t>
      </w:r>
      <w:r>
        <w:rPr>
          <w:szCs w:val="24"/>
        </w:rPr>
        <w:fldChar w:fldCharType="end"/>
      </w:r>
      <w:r w:rsidRPr="00215994">
        <w:rPr>
          <w:szCs w:val="24"/>
        </w:rPr>
        <w:t>.</w:t>
      </w:r>
    </w:p>
    <w:p w14:paraId="0E5CA854" w14:textId="3F0A2522" w:rsidR="00FE013C" w:rsidRDefault="00FE013C" w:rsidP="00E11FE4">
      <w:pPr>
        <w:spacing w:after="120"/>
        <w:ind w:firstLine="480"/>
        <w:rPr>
          <w:szCs w:val="24"/>
        </w:rPr>
      </w:pPr>
      <w:r w:rsidRPr="00215994">
        <w:rPr>
          <w:szCs w:val="24"/>
        </w:rPr>
        <w:t>Likewise, Apple has removed its operating footprint and matched 100</w:t>
      </w:r>
      <w:r>
        <w:rPr>
          <w:szCs w:val="24"/>
        </w:rPr>
        <w:t xml:space="preserve">% </w:t>
      </w:r>
      <w:r w:rsidRPr="00215994">
        <w:rPr>
          <w:szCs w:val="24"/>
        </w:rPr>
        <w:t xml:space="preserve">renewable energy at its corporate operations and upstream manufacturing supply chain. This setup includes a </w:t>
      </w:r>
      <w:r w:rsidR="005F08CE" w:rsidRPr="00215994">
        <w:rPr>
          <w:szCs w:val="24"/>
        </w:rPr>
        <w:t>specialized</w:t>
      </w:r>
      <w:r w:rsidRPr="00215994">
        <w:rPr>
          <w:szCs w:val="24"/>
        </w:rPr>
        <w:t xml:space="preserve"> 10 MW solid oxide fuel cell array at its Maiden, North Carolina data </w:t>
      </w:r>
      <w:r w:rsidR="005F08CE" w:rsidRPr="00215994">
        <w:rPr>
          <w:szCs w:val="24"/>
        </w:rPr>
        <w:t>center</w:t>
      </w:r>
      <w:r w:rsidRPr="00215994">
        <w:rPr>
          <w:szCs w:val="24"/>
        </w:rPr>
        <w:t>, which runs in parallel with significant onsite solar power generation</w:t>
      </w:r>
      <w:r>
        <w:rPr>
          <w:szCs w:val="24"/>
        </w:rPr>
        <w:t xml:space="preserve">. </w:t>
      </w:r>
      <w:r w:rsidRPr="00215994">
        <w:rPr>
          <w:szCs w:val="24"/>
        </w:rPr>
        <w:t xml:space="preserve">These are clearly public-facing corporate efforts to prove that although perfect, real-time 24/7 CFE matching is a continuing challenge on the grid, utility-scale renewable-powered data </w:t>
      </w:r>
      <w:r w:rsidR="005F08CE" w:rsidRPr="00215994">
        <w:rPr>
          <w:szCs w:val="24"/>
        </w:rPr>
        <w:t>center</w:t>
      </w:r>
      <w:r w:rsidRPr="00215994">
        <w:rPr>
          <w:szCs w:val="24"/>
        </w:rPr>
        <w:t xml:space="preserve"> configurations are technically stable and economically better options for hyperscale infrastructure</w:t>
      </w:r>
      <w:r>
        <w:rPr>
          <w:szCs w:val="24"/>
        </w:rPr>
        <w:fldChar w:fldCharType="begin"/>
      </w:r>
      <w:r w:rsidR="00E11FE4">
        <w:rPr>
          <w:szCs w:val="24"/>
        </w:rPr>
        <w:instrText xml:space="preserve"> ADDIN ZOTERO_ITEM CSL_CITATION {"citationID":"aW9zBp1f","properties":{"unsorted":false,"formattedCitation":"[60]","plainCitation":"[60]","noteIndex":0},"citationItems":[{"id":2010,"uris":["http://zotero.org/users/9870935/items/36ZP5SVZ"],"itemData":{"id":2010,"type":"post-weblog","title":"Environmental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Pr>
          <w:szCs w:val="24"/>
        </w:rPr>
        <w:fldChar w:fldCharType="separate"/>
      </w:r>
      <w:r w:rsidR="00E11FE4" w:rsidRPr="00E11FE4">
        <w:t>[59]</w:t>
      </w:r>
      <w:r>
        <w:rPr>
          <w:szCs w:val="24"/>
        </w:rPr>
        <w:fldChar w:fldCharType="end"/>
      </w:r>
      <w:r w:rsidRPr="00215994">
        <w:rPr>
          <w:szCs w:val="24"/>
        </w:rPr>
        <w:t>.</w:t>
      </w:r>
    </w:p>
    <w:p w14:paraId="13B265DA" w14:textId="77777777" w:rsidR="00FE013C" w:rsidRDefault="00FE013C" w:rsidP="004C16FF">
      <w:pPr>
        <w:pStyle w:val="Heading2"/>
        <w:rPr>
          <w:color w:val="auto"/>
        </w:rPr>
      </w:pPr>
      <w:r>
        <w:rPr>
          <w:color w:val="auto"/>
        </w:rPr>
        <w:t xml:space="preserve">2.6. </w:t>
      </w:r>
      <w:r w:rsidRPr="00B768DA">
        <w:rPr>
          <w:color w:val="auto"/>
        </w:rPr>
        <w:t>Critical Comparative Analysis of Renewable Integration Frameworks</w:t>
      </w:r>
    </w:p>
    <w:p w14:paraId="544E38E3" w14:textId="54E97258" w:rsidR="00177B3A" w:rsidRPr="00177B3A" w:rsidRDefault="00177B3A" w:rsidP="008A765B">
      <w:pPr>
        <w:spacing w:after="120"/>
        <w:ind w:firstLine="480"/>
        <w:rPr>
          <w:szCs w:val="24"/>
          <w:lang w:val="en-CA"/>
        </w:rPr>
      </w:pPr>
      <w:r w:rsidRPr="002A0D24">
        <w:rPr>
          <w:szCs w:val="24"/>
          <w:highlight w:val="yellow"/>
          <w:lang w:val="en-CA"/>
        </w:rPr>
        <w:t>Previous studies on renewable-energy integration for data centers can be grouped into four broad categories, each with distinct strengths, limitations, and implementation challenges. Table 1 provides a comparative assessment of these approaches and includes representative references supporting the identified technical strengths, economic blind spots, and implementation barriers. The analysis highlights the specific gaps that motivate the integrated framework proposed in this study.</w:t>
      </w:r>
    </w:p>
    <w:p w14:paraId="3CC51054" w14:textId="3EC48BE6" w:rsidR="00FE013C" w:rsidRDefault="00FE013C" w:rsidP="004C16FF">
      <w:pPr>
        <w:pStyle w:val="Caption"/>
        <w:keepNext/>
      </w:pPr>
      <w:r>
        <w:lastRenderedPageBreak/>
        <w:t xml:space="preserve">Table </w:t>
      </w:r>
      <w:r>
        <w:fldChar w:fldCharType="begin"/>
      </w:r>
      <w:r>
        <w:instrText xml:space="preserve"> SEQ Table \* ARABIC </w:instrText>
      </w:r>
      <w:r>
        <w:fldChar w:fldCharType="separate"/>
      </w:r>
      <w:r w:rsidR="003A45CA">
        <w:rPr>
          <w:noProof/>
        </w:rPr>
        <w:t>1</w:t>
      </w:r>
      <w:r>
        <w:rPr>
          <w:noProof/>
        </w:rPr>
        <w:fldChar w:fldCharType="end"/>
      </w:r>
      <w:r>
        <w:t xml:space="preserve"> </w:t>
      </w:r>
      <w:r w:rsidRPr="008B20D6">
        <w:t>Comparative Analysis of Renewable Integration Approaches for Data Centers</w:t>
      </w:r>
    </w:p>
    <w:tbl>
      <w:tblPr>
        <w:tblStyle w:val="MDPI41threelinetable"/>
        <w:tblW w:w="0" w:type="auto"/>
        <w:tblLayout w:type="fixed"/>
        <w:tblLook w:val="04A0" w:firstRow="1" w:lastRow="0" w:firstColumn="1" w:lastColumn="0" w:noHBand="0" w:noVBand="1"/>
      </w:tblPr>
      <w:tblGrid>
        <w:gridCol w:w="1678"/>
        <w:gridCol w:w="1695"/>
        <w:gridCol w:w="1695"/>
        <w:gridCol w:w="1947"/>
        <w:gridCol w:w="1829"/>
      </w:tblGrid>
      <w:tr w:rsidR="00FE013C" w:rsidRPr="00E2702F" w14:paraId="41D68597" w14:textId="77777777" w:rsidTr="00A2273B">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Approach</w:t>
            </w:r>
          </w:p>
        </w:tc>
        <w:tc>
          <w:tcPr>
            <w:tcW w:w="1695" w:type="dxa"/>
            <w:hideMark/>
          </w:tcPr>
          <w:p w14:paraId="5F2561D9"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Technical Strengths</w:t>
            </w:r>
          </w:p>
        </w:tc>
        <w:tc>
          <w:tcPr>
            <w:tcW w:w="1695" w:type="dxa"/>
            <w:hideMark/>
          </w:tcPr>
          <w:p w14:paraId="3827A75C"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Economic Blind Spots</w:t>
            </w:r>
          </w:p>
        </w:tc>
        <w:tc>
          <w:tcPr>
            <w:tcW w:w="1947" w:type="dxa"/>
            <w:hideMark/>
          </w:tcPr>
          <w:p w14:paraId="644C52F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Implementation Barriers</w:t>
            </w:r>
          </w:p>
        </w:tc>
        <w:tc>
          <w:tcPr>
            <w:tcW w:w="1829" w:type="dxa"/>
            <w:hideMark/>
          </w:tcPr>
          <w:p w14:paraId="5F1849DD"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Gap Addressed by This Framework</w:t>
            </w:r>
          </w:p>
        </w:tc>
      </w:tr>
      <w:tr w:rsidR="00FE013C" w:rsidRPr="00E2702F" w14:paraId="353811D3" w14:textId="77777777" w:rsidTr="00A2273B">
        <w:trPr>
          <w:trHeight w:val="1684"/>
        </w:trPr>
        <w:tc>
          <w:tcPr>
            <w:tcW w:w="1678" w:type="dxa"/>
            <w:hideMark/>
          </w:tcPr>
          <w:p w14:paraId="5DCFD7A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Technical-Only (Grid Studies)</w:t>
            </w:r>
          </w:p>
        </w:tc>
        <w:tc>
          <w:tcPr>
            <w:tcW w:w="1695" w:type="dxa"/>
            <w:hideMark/>
          </w:tcPr>
          <w:p w14:paraId="099228A6" w14:textId="062382B8"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Strong harmonic and stability analysis (IEEE 519, IEC 62351 compliance); detailed EMT simulation</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{"citationID":"za0v7lKo","properties":{"unsorted":false,"formattedCitation":"[51], [61], [62]","plainCitation":"[51], [61], [62]","noteIndex":0},"citationItems":[{"id":1993,"uris":["http://zotero.org/users/9870935/items/2D54TKGT"],"itemData":{"id":1993,"type":"paper-conference","container-title":"2024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[51], [61], [62]</w:t>
            </w:r>
            <w:r w:rsidR="000B0F03" w:rsidRPr="00E2702F">
              <w:rPr>
                <w:bCs/>
                <w:color w:val="auto"/>
                <w:sz w:val="16"/>
                <w:szCs w:val="16"/>
                <w:highlight w:val="yellow"/>
              </w:rPr>
              <w:fldChar w:fldCharType="end"/>
            </w:r>
          </w:p>
        </w:tc>
        <w:tc>
          <w:tcPr>
            <w:tcW w:w="1695" w:type="dxa"/>
            <w:hideMark/>
          </w:tcPr>
          <w:p w14:paraId="472E1423" w14:textId="2FAE6EDF"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No cost-benefit analysis; no integration with workload flexibility or PPA strategy</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{"citationID":"9NO494JV","properties":{"unsorted":false,"formattedCitation":"[63]","plainCitation":"[63]","noteIndex":0},"citationItems":[{"id":2119,"uris":["http://zotero.org/users/9870935/items/HCPVHF7M"],"itemData":{"id":2119,"type":"article-journal","container-title":"Energy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[63]</w:t>
            </w:r>
            <w:r w:rsidR="000B0F03" w:rsidRPr="00E2702F">
              <w:rPr>
                <w:bCs/>
                <w:color w:val="auto"/>
                <w:sz w:val="16"/>
                <w:szCs w:val="16"/>
                <w:highlight w:val="yellow"/>
              </w:rPr>
              <w:fldChar w:fldCharType="end"/>
            </w:r>
          </w:p>
        </w:tc>
        <w:tc>
          <w:tcPr>
            <w:tcW w:w="1947" w:type="dxa"/>
            <w:hideMark/>
          </w:tcPr>
          <w:p w14:paraId="4DC76685" w14:textId="610EDC6F"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 xml:space="preserve">Assumes infinite budget; ignores capital constraints and </w:t>
            </w:r>
            <w:proofErr w:type="spellStart"/>
            <w:r w:rsidRPr="00E2702F">
              <w:rPr>
                <w:bCs/>
                <w:color w:val="auto"/>
                <w:sz w:val="16"/>
                <w:szCs w:val="16"/>
                <w:highlight w:val="yellow"/>
              </w:rPr>
              <w:t>OpEx</w:t>
            </w:r>
            <w:proofErr w:type="spellEnd"/>
            <w:r w:rsidRPr="00E2702F">
              <w:rPr>
                <w:bCs/>
                <w:color w:val="auto"/>
                <w:sz w:val="16"/>
                <w:szCs w:val="16"/>
                <w:highlight w:val="yellow"/>
              </w:rPr>
              <w:t xml:space="preserve"> optimization</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{"citationID":"EikesDoX","properties":{"unsorted":false,"formattedCitation":"[63]","plainCitation":"[63]","noteIndex":0},"citationItems":[{"id":2119,"uris":["http://zotero.org/users/9870935/items/HCPVHF7M"],"itemData":{"id":2119,"type":"article-journal","container-title":"Energy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[63]</w:t>
            </w:r>
            <w:r w:rsidR="000B0F03" w:rsidRPr="00E2702F">
              <w:rPr>
                <w:bCs/>
                <w:color w:val="auto"/>
                <w:sz w:val="16"/>
                <w:szCs w:val="16"/>
                <w:highlight w:val="yellow"/>
              </w:rPr>
              <w:fldChar w:fldCharType="end"/>
            </w:r>
          </w:p>
        </w:tc>
        <w:tc>
          <w:tcPr>
            <w:tcW w:w="1829" w:type="dxa"/>
            <w:hideMark/>
          </w:tcPr>
          <w:p w14:paraId="26E4B80F" w14:textId="77777777" w:rsidR="00BB0095" w:rsidRPr="00BB0095" w:rsidRDefault="00BB0095" w:rsidP="00BB0095">
            <w:pPr>
              <w:pStyle w:val="TableBody"/>
              <w:spacing w:line="300" w:lineRule="exact"/>
              <w:jc w:val="both"/>
              <w:rPr>
                <w:bCs/>
                <w:color w:val="auto"/>
                <w:sz w:val="16"/>
                <w:szCs w:val="16"/>
                <w:highlight w:val="yellow"/>
              </w:rPr>
            </w:pPr>
            <w:r w:rsidRPr="00BB0095">
              <w:rPr>
                <w:bCs/>
                <w:color w:val="auto"/>
                <w:sz w:val="16"/>
                <w:szCs w:val="16"/>
                <w:highlight w:val="yellow"/>
              </w:rPr>
              <w:t>Establishes consistent economic boundaries for comparing generation, storage, hybrid systems, and delivered electricity while identifying the inputs required for project-specific financial analysis.</w:t>
            </w:r>
          </w:p>
          <w:p w14:paraId="75B4D40E" w14:textId="3E859CFF" w:rsidR="00FE013C" w:rsidRPr="00BB0095" w:rsidRDefault="00FE013C" w:rsidP="004C16FF">
            <w:pPr>
              <w:pStyle w:val="TableBody"/>
              <w:jc w:val="both"/>
              <w:rPr>
                <w:bCs/>
                <w:color w:val="auto"/>
                <w:sz w:val="16"/>
                <w:szCs w:val="16"/>
                <w:highlight w:val="yellow"/>
                <w:lang w:val="de-DE"/>
              </w:rPr>
            </w:pPr>
          </w:p>
        </w:tc>
      </w:tr>
      <w:tr w:rsidR="00FE013C" w:rsidRPr="00E2702F" w14:paraId="15381C8C" w14:textId="77777777" w:rsidTr="00A2273B">
        <w:tc>
          <w:tcPr>
            <w:tcW w:w="1678" w:type="dxa"/>
            <w:hideMark/>
          </w:tcPr>
          <w:p w14:paraId="4310A57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Economic-Only (Procurement)</w:t>
            </w:r>
          </w:p>
        </w:tc>
        <w:tc>
          <w:tcPr>
            <w:tcW w:w="1695" w:type="dxa"/>
            <w:hideMark/>
          </w:tcPr>
          <w:p w14:paraId="70A9A471" w14:textId="1EF4E41E"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Optimizes PPA rates ($25–50/MWh wind, $30–50/MWh solar); models energy costs independently</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{"citationID":"gxbq6i7E","properties":{"unsorted":false,"formattedCitation":"[64], [65], [66]","plainCitation":"[64], [65], [66]","noteIndex":0},"citationItems":[{"id":2132,"uris":["http://zotero.org/users/9870935/items/786EAJKN"],"itemData":{"id":2132,"type":"document","title":"Levelized Cost of Energy","URL":"https://www.lazard.com/media/eijnqja3/lazards-lcoeplus-june-2025.pdf","author":[{"family":"Lazard","given":""}]}},{"id":2166,"uris":["http://zotero.org/users/9870935/items/7HVT828C"],"itemData":{"id":2166,"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[64], [65], [66]</w:t>
            </w:r>
            <w:r w:rsidR="000B0F03" w:rsidRPr="00E2702F">
              <w:rPr>
                <w:bCs/>
                <w:color w:val="auto"/>
                <w:sz w:val="16"/>
                <w:szCs w:val="16"/>
                <w:highlight w:val="yellow"/>
              </w:rPr>
              <w:fldChar w:fldCharType="end"/>
            </w:r>
          </w:p>
        </w:tc>
        <w:tc>
          <w:tcPr>
            <w:tcW w:w="1695" w:type="dxa"/>
            <w:hideMark/>
          </w:tcPr>
          <w:p w14:paraId="371682CE" w14:textId="791A4B7C"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Ignores power quality, harmonic distortion, and system stability; assumes the grid can accommodate arbitrary generation profiles</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{"citationID":"jQc2q64j","properties":{"unsorted":false,"formattedCitation":"[50], [51]","plainCitation":"[50], [51]","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[50], [51]</w:t>
            </w:r>
            <w:r w:rsidR="000B0F03" w:rsidRPr="00E2702F">
              <w:rPr>
                <w:bCs/>
                <w:color w:val="auto"/>
                <w:sz w:val="16"/>
                <w:szCs w:val="16"/>
                <w:highlight w:val="yellow"/>
              </w:rPr>
              <w:fldChar w:fldCharType="end"/>
            </w:r>
          </w:p>
        </w:tc>
        <w:tc>
          <w:tcPr>
            <w:tcW w:w="1947" w:type="dxa"/>
            <w:hideMark/>
          </w:tcPr>
          <w:p w14:paraId="75A4E722" w14:textId="1F2C9348"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May result in renewable energy purchases that grid interconnection and protection systems cannot safely dispatch</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{"citationID":"wf5Pi7xb","properties":{"unsorted":false,"formattedCitation":"[67], [68], [69]","plainCitation":"[67], [68], [69]","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[67], [68], [69]</w:t>
            </w:r>
            <w:r w:rsidR="000B0F03" w:rsidRPr="00E2702F">
              <w:rPr>
                <w:bCs/>
                <w:color w:val="auto"/>
                <w:sz w:val="16"/>
                <w:szCs w:val="16"/>
                <w:highlight w:val="yellow"/>
              </w:rPr>
              <w:fldChar w:fldCharType="end"/>
            </w:r>
          </w:p>
        </w:tc>
        <w:tc>
          <w:tcPr>
            <w:tcW w:w="1829" w:type="dxa"/>
            <w:hideMark/>
          </w:tcPr>
          <w:p w14:paraId="5243FC6F" w14:textId="77777777"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t xml:space="preserve">Adds </w:t>
            </w:r>
            <w:r w:rsidRPr="00E2702F">
              <w:rPr>
                <w:b/>
                <w:bCs/>
                <w:color w:val="auto"/>
                <w:sz w:val="16"/>
                <w:szCs w:val="16"/>
                <w:highlight w:val="yellow"/>
              </w:rPr>
              <w:t>Section 6</w:t>
            </w:r>
            <w:r w:rsidRPr="00E2702F">
              <w:rPr>
                <w:bCs/>
                <w:color w:val="auto"/>
                <w:sz w:val="16"/>
                <w:szCs w:val="16"/>
                <w:highlight w:val="yellow"/>
              </w:rPr>
              <w:t xml:space="preserve"> (power flow analysis), </w:t>
            </w:r>
            <w:r w:rsidRPr="00E2702F">
              <w:rPr>
                <w:b/>
                <w:bCs/>
                <w:color w:val="auto"/>
                <w:sz w:val="16"/>
                <w:szCs w:val="16"/>
                <w:highlight w:val="yellow"/>
              </w:rPr>
              <w:t>Section 6.3</w:t>
            </w:r>
            <w:r w:rsidRPr="00E2702F">
              <w:rPr>
                <w:bCs/>
                <w:color w:val="auto"/>
                <w:sz w:val="16"/>
                <w:szCs w:val="16"/>
                <w:highlight w:val="yellow"/>
              </w:rPr>
              <w:t xml:space="preserve"> (harmonic mitigation sizing), and a comprehensive grid integration strategy</w:t>
            </w:r>
          </w:p>
        </w:tc>
      </w:tr>
      <w:tr w:rsidR="00FE013C" w:rsidRPr="00E2702F" w14:paraId="40CC1E5C" w14:textId="77777777" w:rsidTr="00A2273B">
        <w:tc>
          <w:tcPr>
            <w:tcW w:w="1678" w:type="dxa"/>
            <w:hideMark/>
          </w:tcPr>
          <w:p w14:paraId="24ABE1C1"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Company Case Studies (Google, Meta, Microsoft)</w:t>
            </w:r>
          </w:p>
        </w:tc>
        <w:tc>
          <w:tcPr>
            <w:tcW w:w="1695" w:type="dxa"/>
            <w:hideMark/>
          </w:tcPr>
          <w:p w14:paraId="71007A1C" w14:textId="3F956A0A" w:rsidR="00FE013C" w:rsidRPr="00E2702F" w:rsidRDefault="00FE013C" w:rsidP="000B0F03">
            <w:pPr>
              <w:pStyle w:val="TableBody"/>
              <w:jc w:val="both"/>
              <w:rPr>
                <w:bCs/>
                <w:color w:val="auto"/>
                <w:sz w:val="16"/>
                <w:szCs w:val="16"/>
                <w:highlight w:val="yellow"/>
              </w:rPr>
            </w:pPr>
            <w:r w:rsidRPr="00E2702F">
              <w:rPr>
                <w:bCs/>
                <w:color w:val="auto"/>
                <w:sz w:val="16"/>
                <w:szCs w:val="16"/>
                <w:highlight w:val="yellow"/>
              </w:rPr>
              <w:t>Provides real-world deployment data; demonstrates 64–99.9% CFE performance and scalability across portfolios exceeding 30 GW</w:t>
            </w:r>
            <w:r w:rsidR="000B0F03" w:rsidRPr="00E2702F">
              <w:rPr>
                <w:bCs/>
                <w:color w:val="auto"/>
                <w:sz w:val="16"/>
                <w:szCs w:val="16"/>
                <w:highlight w:val="yellow"/>
              </w:rPr>
              <w:fldChar w:fldCharType="begin"/>
            </w:r>
            <w:r w:rsidR="000B0F03" w:rsidRPr="00E2702F">
              <w:rPr>
                <w:bCs/>
                <w:color w:val="auto"/>
                <w:sz w:val="16"/>
                <w:szCs w:val="16"/>
                <w:highlight w:val="yellow"/>
              </w:rPr>
              <w:instrText xml:space="preserve"> ADDIN ZOTERO_ITEM CSL_CITATION {"citationID":"C2SL9tNN","properties":{"unsorted":false,"formattedCitation":"[52], [54], [59], [60]","plainCitation":"[52], [54], [59], [60]","noteIndex":0},"citationItems":[{"id":1995,"uris":["http://zotero.org/users/9870935/items/ZZ4BDIPH"],"itemData":{"id":1995,"type":"post-weblog","title":"Google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[52], [54], [59], [60]</w:t>
            </w:r>
            <w:r w:rsidR="000B0F03" w:rsidRPr="00E2702F">
              <w:rPr>
                <w:bCs/>
                <w:color w:val="auto"/>
                <w:sz w:val="16"/>
                <w:szCs w:val="16"/>
                <w:highlight w:val="yellow"/>
              </w:rPr>
              <w:fldChar w:fldCharType="end"/>
            </w:r>
          </w:p>
        </w:tc>
        <w:tc>
          <w:tcPr>
            <w:tcW w:w="1695" w:type="dxa"/>
            <w:hideMark/>
          </w:tcPr>
          <w:p w14:paraId="3A596B93" w14:textId="1CA9FAB4"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t>Lacks a systematic methodology; highly geography-dependent; limited applicability for non-hyperscale operators; insufficient transparency on cost drivers</w:t>
            </w:r>
            <w:r w:rsidR="000B0F03" w:rsidRPr="00E2702F">
              <w:rPr>
                <w:bCs/>
                <w:color w:val="auto"/>
                <w:sz w:val="16"/>
                <w:szCs w:val="16"/>
                <w:highlight w:val="yellow"/>
              </w:rPr>
              <w:t xml:space="preserve"> </w:t>
            </w:r>
            <w:r w:rsidR="000B0F03" w:rsidRPr="00E2702F">
              <w:rPr>
                <w:bCs/>
                <w:color w:val="auto"/>
                <w:sz w:val="16"/>
                <w:szCs w:val="16"/>
                <w:highlight w:val="yellow"/>
              </w:rPr>
              <w:fldChar w:fldCharType="begin"/>
            </w:r>
            <w:r w:rsidR="00B73641" w:rsidRPr="00E2702F">
              <w:rPr>
                <w:bCs/>
                <w:color w:val="auto"/>
                <w:sz w:val="16"/>
                <w:szCs w:val="16"/>
                <w:highlight w:val="yellow"/>
              </w:rPr>
              <w:instrText xml:space="preserve"> ADDIN ZOTERO_ITEM CSL_CITATION {"citationID":"5YAGAcn5","properties":{"unsorted":false,"formattedCitation":"[52], [54], [59], [60]","plainCitation":"[52], [54], [59], [60]","noteIndex":0},"citationItems":[{"id":1995,"uris":["http://zotero.org/users/9870935/items/ZZ4BDIPH"],"itemData":{"id":1995,"type":"post-weblog","title":"Google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rPr>
              <w:t>[52], [54], [59], [60]</w:t>
            </w:r>
            <w:r w:rsidR="000B0F03" w:rsidRPr="00E2702F">
              <w:rPr>
                <w:bCs/>
                <w:color w:val="auto"/>
                <w:sz w:val="16"/>
                <w:szCs w:val="16"/>
                <w:highlight w:val="yellow"/>
              </w:rPr>
              <w:fldChar w:fldCharType="end"/>
            </w:r>
          </w:p>
        </w:tc>
        <w:tc>
          <w:tcPr>
            <w:tcW w:w="1947" w:type="dxa"/>
            <w:hideMark/>
          </w:tcPr>
          <w:p w14:paraId="1380B35B" w14:textId="077A6174" w:rsidR="00FE013C" w:rsidRPr="00E2702F" w:rsidRDefault="00FE013C" w:rsidP="00B73641">
            <w:pPr>
              <w:pStyle w:val="TableBody"/>
              <w:jc w:val="both"/>
              <w:rPr>
                <w:bCs/>
                <w:color w:val="auto"/>
                <w:sz w:val="16"/>
                <w:szCs w:val="16"/>
                <w:highlight w:val="yellow"/>
              </w:rPr>
            </w:pPr>
            <w:r w:rsidRPr="00E2702F">
              <w:rPr>
                <w:bCs/>
                <w:color w:val="auto"/>
                <w:sz w:val="16"/>
                <w:szCs w:val="16"/>
                <w:highlight w:val="yellow"/>
              </w:rPr>
              <w:t>Solutions are often hyperscale-specific (e.g., nuclear procurement, fuel-cell deployment) and not directly transferable to 10–100 MW facilities</w:t>
            </w:r>
            <w:r w:rsidR="00B73641" w:rsidRPr="00E2702F">
              <w:rPr>
                <w:bCs/>
                <w:color w:val="auto"/>
                <w:sz w:val="16"/>
                <w:szCs w:val="16"/>
                <w:highlight w:val="yellow"/>
              </w:rPr>
              <w:fldChar w:fldCharType="begin"/>
            </w:r>
            <w:r w:rsidR="00B73641" w:rsidRPr="00E2702F">
              <w:rPr>
                <w:bCs/>
                <w:color w:val="auto"/>
                <w:sz w:val="16"/>
                <w:szCs w:val="16"/>
                <w:highlight w:val="yellow"/>
              </w:rPr>
              <w:instrText xml:space="preserve"> ADDIN ZOTERO_ITEM CSL_CITATION {"citationID":"SO8MXGxm","properties":{"unsorted":false,"formattedCitation":"[63], [70]","plainCitation":"[63], [70]","noteIndex":0},"citationItems":[{"id":2119,"uris":["http://zotero.org/users/9870935/items/HCPVHF7M"],"itemData":{"id":2119,"type":"article-journal","container-title":"Energy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rPr>
              <w:t>[63], [70]</w:t>
            </w:r>
            <w:r w:rsidR="00B73641" w:rsidRPr="00E2702F">
              <w:rPr>
                <w:bCs/>
                <w:color w:val="auto"/>
                <w:sz w:val="16"/>
                <w:szCs w:val="16"/>
                <w:highlight w:val="yellow"/>
              </w:rPr>
              <w:fldChar w:fldCharType="end"/>
            </w:r>
          </w:p>
        </w:tc>
        <w:tc>
          <w:tcPr>
            <w:tcW w:w="1829" w:type="dxa"/>
            <w:hideMark/>
          </w:tcPr>
          <w:p w14:paraId="2E1C7760" w14:textId="77777777" w:rsidR="00D57603" w:rsidRPr="00D57603" w:rsidRDefault="00D57603" w:rsidP="00D57603">
            <w:pPr>
              <w:pStyle w:val="TableBody"/>
              <w:jc w:val="both"/>
              <w:rPr>
                <w:bCs/>
                <w:color w:val="auto"/>
                <w:sz w:val="16"/>
                <w:szCs w:val="16"/>
                <w:highlight w:val="yellow"/>
              </w:rPr>
            </w:pPr>
            <w:r w:rsidRPr="00D57603">
              <w:rPr>
                <w:bCs/>
                <w:color w:val="auto"/>
                <w:sz w:val="16"/>
                <w:szCs w:val="16"/>
                <w:highlight w:val="yellow"/>
              </w:rPr>
              <w:t>Provides a modular screening framework that can be adapted to facilities of different scales, subject to project-specific data and engineering assessment.</w:t>
            </w:r>
          </w:p>
          <w:p w14:paraId="4B6D7270" w14:textId="5449CBCE" w:rsidR="00FE013C" w:rsidRPr="00E2702F" w:rsidRDefault="00FE013C" w:rsidP="004C16FF">
            <w:pPr>
              <w:pStyle w:val="TableBody"/>
              <w:jc w:val="both"/>
              <w:rPr>
                <w:bCs/>
                <w:color w:val="auto"/>
                <w:sz w:val="16"/>
                <w:szCs w:val="16"/>
                <w:highlight w:val="yellow"/>
              </w:rPr>
            </w:pPr>
          </w:p>
        </w:tc>
      </w:tr>
      <w:tr w:rsidR="00FE013C" w:rsidRPr="00C57FAE" w14:paraId="50A7E664" w14:textId="77777777" w:rsidTr="00A2273B">
        <w:tc>
          <w:tcPr>
            <w:tcW w:w="1678" w:type="dxa"/>
            <w:hideMark/>
          </w:tcPr>
          <w:p w14:paraId="71B589EF"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Equipment-Centric (Battery, Inverter, Cooling Vendors)</w:t>
            </w:r>
          </w:p>
        </w:tc>
        <w:tc>
          <w:tcPr>
            <w:tcW w:w="1695" w:type="dxa"/>
            <w:hideMark/>
          </w:tcPr>
          <w:p w14:paraId="5C797FD9" w14:textId="4081E120" w:rsidR="00FE013C" w:rsidRPr="00E2702F" w:rsidRDefault="00FE013C" w:rsidP="00B73641">
            <w:pPr>
              <w:pStyle w:val="TableBody"/>
              <w:jc w:val="both"/>
              <w:rPr>
                <w:bCs/>
                <w:color w:val="auto"/>
                <w:sz w:val="16"/>
                <w:szCs w:val="16"/>
                <w:highlight w:val="yellow"/>
              </w:rPr>
            </w:pPr>
            <w:r w:rsidRPr="00E2702F">
              <w:rPr>
                <w:bCs/>
                <w:color w:val="auto"/>
                <w:sz w:val="16"/>
                <w:szCs w:val="16"/>
                <w:highlight w:val="yellow"/>
              </w:rPr>
              <w:t>Detailed component specifications, thermal management guidance, and efficiency performance curves</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B73641" w:rsidRPr="00E2702F">
              <w:rPr>
                <w:bCs/>
                <w:color w:val="auto"/>
                <w:sz w:val="16"/>
                <w:szCs w:val="16"/>
                <w:highlight w:val="yellow"/>
              </w:rPr>
              <w:instrText xml:space="preserve"> ADDIN ZOTERO_ITEM CSL_CITATION {"citationID":"hRHqbbDL","properties":{"unsorted":false,"formattedCitation":"[34], [45], [47], [71]","plainCitation":"[34], [45], [47], [71]","noteIndex":0},"citationItems":[{"id":1964,"uris":["http://zotero.org/users/9870935/items/97W4FH39"],"itemData":{"id":1964,"type":"article-journal","container-title":"Applied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rPr>
              <w:t>[34], [45], [47], [71]</w:t>
            </w:r>
            <w:r w:rsidR="00B73641" w:rsidRPr="00E2702F">
              <w:rPr>
                <w:bCs/>
                <w:color w:val="auto"/>
                <w:sz w:val="16"/>
                <w:szCs w:val="16"/>
                <w:highlight w:val="yellow"/>
              </w:rPr>
              <w:fldChar w:fldCharType="end"/>
            </w:r>
          </w:p>
        </w:tc>
        <w:tc>
          <w:tcPr>
            <w:tcW w:w="1695" w:type="dxa"/>
            <w:hideMark/>
          </w:tcPr>
          <w:p w14:paraId="3C2A8292" w14:textId="4DD22F18" w:rsidR="00FE013C" w:rsidRPr="00E2702F" w:rsidRDefault="00FE013C" w:rsidP="00B73641">
            <w:pPr>
              <w:pStyle w:val="TableBody"/>
              <w:jc w:val="both"/>
              <w:rPr>
                <w:bCs/>
                <w:color w:val="auto"/>
                <w:sz w:val="16"/>
                <w:szCs w:val="16"/>
                <w:highlight w:val="yellow"/>
              </w:rPr>
            </w:pPr>
            <w:r w:rsidRPr="00E2702F">
              <w:rPr>
                <w:bCs/>
                <w:color w:val="auto"/>
                <w:sz w:val="16"/>
                <w:szCs w:val="16"/>
                <w:highlight w:val="yellow"/>
              </w:rPr>
              <w:t>No pathway for system-level integration; neglects interactions among storage, load flexibility, and dispatch optimization</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B73641" w:rsidRPr="00E2702F">
              <w:rPr>
                <w:bCs/>
                <w:color w:val="auto"/>
                <w:sz w:val="16"/>
                <w:szCs w:val="16"/>
                <w:highlight w:val="yellow"/>
              </w:rPr>
              <w:instrText xml:space="preserve"> ADDIN ZOTERO_ITEM CSL_CITATION {"citationID":"1NVFdPcj","properties":{"unsorted":false,"formattedCitation":"[71], [72], [73]","plainCitation":"[71], [72], [73]","noteIndex":0},"citationItems":[{"id":2069,"uris":["http://zotero.org/users/9870935/items/VGJ2SVN2"],"itemData":{"id":2069,"type":"article-journal","container-title":"Applied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rPr>
              <w:t>[71], [72], [73]</w:t>
            </w:r>
            <w:r w:rsidR="00B73641" w:rsidRPr="00E2702F">
              <w:rPr>
                <w:bCs/>
                <w:color w:val="auto"/>
                <w:sz w:val="16"/>
                <w:szCs w:val="16"/>
                <w:highlight w:val="yellow"/>
              </w:rPr>
              <w:fldChar w:fldCharType="end"/>
            </w:r>
          </w:p>
        </w:tc>
        <w:tc>
          <w:tcPr>
            <w:tcW w:w="1947" w:type="dxa"/>
            <w:hideMark/>
          </w:tcPr>
          <w:p w14:paraId="45DFF39B" w14:textId="10B82289"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t>Risk of over-sizing (excess capital expenditure) or under-sizing (reliability failures); lacks dispatch and coordination strategy</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957B20">
              <w:rPr>
                <w:bCs/>
                <w:color w:val="auto"/>
                <w:sz w:val="16"/>
                <w:szCs w:val="16"/>
                <w:highlight w:val="yellow"/>
              </w:rPr>
              <w:instrText xml:space="preserve"> ADDIN ZOTERO_ITEM CSL_CITATION {"citationID":"jarev5d2","properties":{"unsorted":false,"formattedCitation":"[71], [72], [73]","plainCitation":"[71], [72], [73]","noteIndex":0},"citationItems":[{"id":2069,"uris":["http://zotero.org/users/9870935/items/VGJ2SVN2"],"itemData":{"id":2069,"type":"article-journal","container-title":"Applied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rPr>
              <w:t>[71], [72], [73]</w:t>
            </w:r>
            <w:r w:rsidR="00B73641" w:rsidRPr="00E2702F">
              <w:rPr>
                <w:bCs/>
                <w:color w:val="auto"/>
                <w:sz w:val="16"/>
                <w:szCs w:val="16"/>
                <w:highlight w:val="yellow"/>
              </w:rPr>
              <w:fldChar w:fldCharType="end"/>
            </w:r>
          </w:p>
        </w:tc>
        <w:tc>
          <w:tcPr>
            <w:tcW w:w="1829" w:type="dxa"/>
            <w:hideMark/>
          </w:tcPr>
          <w:p w14:paraId="3B914F9C" w14:textId="77777777" w:rsidR="00FE013C" w:rsidRPr="00C57FAE" w:rsidRDefault="00FE013C" w:rsidP="004C16FF">
            <w:pPr>
              <w:pStyle w:val="TableBody"/>
              <w:jc w:val="both"/>
              <w:rPr>
                <w:bCs/>
                <w:color w:val="auto"/>
                <w:sz w:val="16"/>
                <w:szCs w:val="16"/>
              </w:rPr>
            </w:pPr>
            <w:r w:rsidRPr="00E2702F">
              <w:rPr>
                <w:bCs/>
                <w:color w:val="auto"/>
                <w:sz w:val="16"/>
                <w:szCs w:val="16"/>
                <w:highlight w:val="yellow"/>
              </w:rPr>
              <w:t xml:space="preserve">Adds integrated energy management through </w:t>
            </w:r>
            <w:r w:rsidRPr="00E2702F">
              <w:rPr>
                <w:b/>
                <w:bCs/>
                <w:color w:val="auto"/>
                <w:sz w:val="16"/>
                <w:szCs w:val="16"/>
                <w:highlight w:val="yellow"/>
              </w:rPr>
              <w:t>Section 5.5 (MPC Control)</w:t>
            </w:r>
            <w:r w:rsidRPr="00E2702F">
              <w:rPr>
                <w:bCs/>
                <w:color w:val="auto"/>
                <w:sz w:val="16"/>
                <w:szCs w:val="16"/>
                <w:highlight w:val="yellow"/>
              </w:rPr>
              <w:t xml:space="preserve"> and probabilistic sizing in </w:t>
            </w:r>
            <w:r w:rsidRPr="00E2702F">
              <w:rPr>
                <w:b/>
                <w:bCs/>
                <w:color w:val="auto"/>
                <w:sz w:val="16"/>
                <w:szCs w:val="16"/>
                <w:highlight w:val="yellow"/>
              </w:rPr>
              <w:t>Section 5.3</w:t>
            </w:r>
            <w:r w:rsidRPr="00E2702F">
              <w:rPr>
                <w:bCs/>
                <w:color w:val="auto"/>
                <w:sz w:val="16"/>
                <w:szCs w:val="16"/>
                <w:highlight w:val="yellow"/>
              </w:rPr>
              <w:t>, linking component selection to overall system outcomes</w:t>
            </w:r>
          </w:p>
        </w:tc>
      </w:tr>
    </w:tbl>
    <w:p w14:paraId="543E788C" w14:textId="77777777" w:rsidR="00FE013C" w:rsidRDefault="00FE013C" w:rsidP="004C16FF">
      <w:pPr>
        <w:pStyle w:val="Heading2"/>
        <w:rPr>
          <w:color w:val="auto"/>
        </w:rPr>
      </w:pPr>
      <w:r>
        <w:rPr>
          <w:color w:val="auto"/>
        </w:rPr>
        <w:t xml:space="preserve">2.6.1 </w:t>
      </w:r>
      <w:r w:rsidRPr="005F1307">
        <w:rPr>
          <w:color w:val="auto"/>
        </w:rPr>
        <w:t>Key Gaps Identified in Prior Work</w:t>
      </w:r>
    </w:p>
    <w:p w14:paraId="7BA3741D" w14:textId="77777777" w:rsidR="00FE013C" w:rsidRDefault="00FE013C" w:rsidP="004C16FF">
      <w:pPr>
        <w:pStyle w:val="Heading2"/>
        <w:rPr>
          <w:color w:val="auto"/>
        </w:rPr>
      </w:pPr>
      <w:r>
        <w:rPr>
          <w:color w:val="auto"/>
        </w:rPr>
        <w:t xml:space="preserve">2.6.1.1 </w:t>
      </w:r>
      <w:r w:rsidRPr="004F362B">
        <w:rPr>
          <w:color w:val="auto"/>
        </w:rPr>
        <w:t>Integration Failure</w:t>
      </w:r>
    </w:p>
    <w:p w14:paraId="48AA73E5" w14:textId="77777777" w:rsidR="00FE013C" w:rsidRPr="004F362B" w:rsidRDefault="00FE013C" w:rsidP="009F7E9F">
      <w:pPr>
        <w:pStyle w:val="Heading1"/>
        <w:numPr>
          <w:ilvl w:val="0"/>
          <w:numId w:val="10"/>
        </w:numPr>
        <w:spacing w:before="0" w:after="0"/>
        <w:ind w:left="714" w:hanging="357"/>
        <w:jc w:val="both"/>
        <w:rPr>
          <w:b w:val="0"/>
          <w:color w:val="auto"/>
          <w:lang w:eastAsia="zh-CN"/>
        </w:rPr>
      </w:pPr>
      <w:r w:rsidRPr="007B470D">
        <w:rPr>
          <w:color w:val="auto"/>
          <w:lang w:eastAsia="zh-CN"/>
        </w:rPr>
        <w:t>Problem:</w:t>
      </w:r>
      <w:r w:rsidRPr="004F362B">
        <w:rPr>
          <w:color w:val="auto"/>
          <w:lang w:eastAsia="zh-CN"/>
        </w:rPr>
        <w:t xml:space="preserve"> Technical (Sections 6.1–6.3) and economic literature (LCOE, PPA pricing) are siloed.</w:t>
      </w:r>
      <w:r w:rsidRPr="004F362B">
        <w:rPr>
          <w:b w:val="0"/>
          <w:color w:val="auto"/>
          <w:lang w:eastAsia="zh-CN"/>
        </w:rPr>
        <w:t xml:space="preserve"> </w:t>
      </w:r>
    </w:p>
    <w:p w14:paraId="4E2CFFAB" w14:textId="77777777" w:rsidR="00FE013C" w:rsidRPr="004F362B" w:rsidRDefault="00FE013C" w:rsidP="009F7E9F">
      <w:pPr>
        <w:pStyle w:val="Heading1"/>
        <w:numPr>
          <w:ilvl w:val="0"/>
          <w:numId w:val="10"/>
        </w:numPr>
        <w:spacing w:before="0" w:after="0"/>
        <w:ind w:left="714" w:hanging="357"/>
        <w:jc w:val="both"/>
        <w:rPr>
          <w:b w:val="0"/>
          <w:color w:val="auto"/>
          <w:lang w:eastAsia="zh-CN"/>
        </w:rPr>
      </w:pPr>
      <w:r w:rsidRPr="007B470D">
        <w:rPr>
          <w:color w:val="auto"/>
          <w:lang w:eastAsia="zh-CN"/>
        </w:rPr>
        <w:t>Consequence:</w:t>
      </w:r>
      <w:r w:rsidRPr="004F362B">
        <w:rPr>
          <w:b w:val="0"/>
          <w:color w:val="auto"/>
          <w:lang w:eastAsia="zh-CN"/>
        </w:rPr>
        <w:t xml:space="preserve"> A $50/MWh wind PPA is economically attractive until grid interconnection costs ($10M+) and harmonic mitigation (active filter costs: $500k–$2M) are added—total cost can exceed $75/MWh. </w:t>
      </w:r>
    </w:p>
    <w:p w14:paraId="2F59170B" w14:textId="6E4A7ECF" w:rsidR="00FE013C" w:rsidRDefault="00FE013C" w:rsidP="009F7E9F">
      <w:pPr>
        <w:pStyle w:val="Heading1"/>
        <w:numPr>
          <w:ilvl w:val="0"/>
          <w:numId w:val="10"/>
        </w:numPr>
        <w:spacing w:before="0" w:after="0"/>
        <w:ind w:left="714" w:hanging="357"/>
        <w:jc w:val="both"/>
        <w:rPr>
          <w:b w:val="0"/>
          <w:color w:val="auto"/>
          <w:lang w:eastAsia="zh-CN"/>
        </w:rPr>
      </w:pPr>
      <w:r w:rsidRPr="007B470D">
        <w:rPr>
          <w:color w:val="auto"/>
          <w:lang w:eastAsia="zh-CN"/>
        </w:rPr>
        <w:t>Solution of this framework:</w:t>
      </w:r>
      <w:r w:rsidRPr="004F362B">
        <w:rPr>
          <w:color w:val="auto"/>
          <w:lang w:eastAsia="zh-CN"/>
        </w:rPr>
        <w:t xml:space="preserve"> </w:t>
      </w:r>
      <w:r w:rsidR="00240FF9">
        <w:rPr>
          <w:color w:val="auto"/>
          <w:lang w:eastAsia="zh-CN"/>
        </w:rPr>
        <w:t>This system models</w:t>
      </w:r>
      <w:r w:rsidRPr="004F362B">
        <w:rPr>
          <w:color w:val="auto"/>
          <w:lang w:eastAsia="zh-CN"/>
        </w:rPr>
        <w:t xml:space="preserve"> full system cost, including grid interconnection delay premiums, protection upgrades, and harmonic mitigation, into the NPV analysis.</w:t>
      </w:r>
    </w:p>
    <w:p w14:paraId="07D5C542" w14:textId="77777777" w:rsidR="00FE013C" w:rsidRDefault="00FE013C" w:rsidP="004C16FF">
      <w:pPr>
        <w:pStyle w:val="Heading2"/>
        <w:rPr>
          <w:color w:val="auto"/>
        </w:rPr>
      </w:pPr>
      <w:r>
        <w:rPr>
          <w:color w:val="auto"/>
        </w:rPr>
        <w:lastRenderedPageBreak/>
        <w:t xml:space="preserve">2.6.1.2 </w:t>
      </w:r>
      <w:r w:rsidRPr="00FF620A">
        <w:rPr>
          <w:color w:val="auto"/>
        </w:rPr>
        <w:t>Geographic Non-Transferability</w:t>
      </w:r>
    </w:p>
    <w:p w14:paraId="2EFD3AA9" w14:textId="77777777" w:rsidR="00FE013C" w:rsidRPr="00367469" w:rsidRDefault="00FE013C" w:rsidP="004C16FF">
      <w:pPr>
        <w:pStyle w:val="Heading1"/>
        <w:numPr>
          <w:ilvl w:val="0"/>
          <w:numId w:val="10"/>
        </w:numPr>
        <w:spacing w:before="0" w:after="0"/>
        <w:jc w:val="both"/>
        <w:rPr>
          <w:b w:val="0"/>
          <w:color w:val="auto"/>
          <w:lang w:eastAsia="zh-CN"/>
        </w:rPr>
      </w:pPr>
      <w:r w:rsidRPr="008344F0">
        <w:rPr>
          <w:color w:val="auto"/>
          <w:lang w:eastAsia="zh-CN"/>
        </w:rPr>
        <w:t>Problem:</w:t>
      </w:r>
      <w:r w:rsidRPr="00367469">
        <w:rPr>
          <w:color w:val="auto"/>
          <w:lang w:eastAsia="zh-CN"/>
        </w:rPr>
        <w:t xml:space="preserve"> Google's Iowa wind + Southwest solar strategy works because:</w:t>
      </w:r>
    </w:p>
    <w:p w14:paraId="43C03C63" w14:textId="77777777" w:rsidR="00FE013C" w:rsidRPr="00367469" w:rsidRDefault="00FE013C" w:rsidP="004C16FF">
      <w:pPr>
        <w:pStyle w:val="Heading1"/>
        <w:numPr>
          <w:ilvl w:val="1"/>
          <w:numId w:val="10"/>
        </w:numPr>
        <w:spacing w:before="0" w:after="0"/>
        <w:jc w:val="both"/>
        <w:rPr>
          <w:b w:val="0"/>
          <w:color w:val="auto"/>
          <w:lang w:eastAsia="zh-CN"/>
        </w:rPr>
      </w:pPr>
      <w:r w:rsidRPr="00367469">
        <w:rPr>
          <w:b w:val="0"/>
          <w:color w:val="auto"/>
          <w:lang w:eastAsia="zh-CN"/>
        </w:rPr>
        <w:t>Access to &gt;30 GW contracting portfolio (cost leverage)</w:t>
      </w:r>
    </w:p>
    <w:p w14:paraId="40D97762" w14:textId="77777777" w:rsidR="00FE013C" w:rsidRPr="00367469" w:rsidRDefault="00FE013C" w:rsidP="004C16FF">
      <w:pPr>
        <w:pStyle w:val="Heading1"/>
        <w:numPr>
          <w:ilvl w:val="1"/>
          <w:numId w:val="10"/>
        </w:numPr>
        <w:spacing w:before="0" w:after="0"/>
        <w:jc w:val="both"/>
        <w:rPr>
          <w:b w:val="0"/>
          <w:color w:val="auto"/>
          <w:lang w:eastAsia="zh-CN"/>
        </w:rPr>
      </w:pPr>
      <w:r w:rsidRPr="00367469">
        <w:rPr>
          <w:b w:val="0"/>
          <w:color w:val="auto"/>
          <w:lang w:eastAsia="zh-CN"/>
        </w:rPr>
        <w:t>Multi-regional load balancing (capital intensive)</w:t>
      </w:r>
    </w:p>
    <w:p w14:paraId="71C5C723" w14:textId="77777777" w:rsidR="00FE013C" w:rsidRPr="00367469" w:rsidRDefault="00FE013C" w:rsidP="004C16FF">
      <w:pPr>
        <w:pStyle w:val="Heading1"/>
        <w:numPr>
          <w:ilvl w:val="1"/>
          <w:numId w:val="10"/>
        </w:numPr>
        <w:spacing w:before="0" w:after="0"/>
        <w:jc w:val="both"/>
        <w:rPr>
          <w:b w:val="0"/>
          <w:color w:val="auto"/>
          <w:lang w:eastAsia="zh-CN"/>
        </w:rPr>
      </w:pPr>
      <w:r w:rsidRPr="00367469">
        <w:rPr>
          <w:b w:val="0"/>
          <w:color w:val="auto"/>
          <w:lang w:eastAsia="zh-CN"/>
        </w:rPr>
        <w:t>24/7 CFE target (different from reliability-first optimization)</w:t>
      </w:r>
    </w:p>
    <w:p w14:paraId="4B757011" w14:textId="77777777" w:rsidR="00FE013C" w:rsidRDefault="00FE013C" w:rsidP="004C16FF">
      <w:pPr>
        <w:pStyle w:val="Heading1"/>
        <w:numPr>
          <w:ilvl w:val="0"/>
          <w:numId w:val="10"/>
        </w:numPr>
        <w:spacing w:before="0" w:after="0"/>
        <w:jc w:val="both"/>
        <w:rPr>
          <w:b w:val="0"/>
          <w:color w:val="auto"/>
          <w:lang w:eastAsia="zh-CN"/>
        </w:rPr>
      </w:pPr>
      <w:r w:rsidRPr="00EE168C">
        <w:rPr>
          <w:color w:val="auto"/>
          <w:lang w:eastAsia="zh-CN"/>
        </w:rPr>
        <w:t>Consequence:</w:t>
      </w:r>
      <w:r w:rsidRPr="00367469">
        <w:rPr>
          <w:color w:val="auto"/>
          <w:lang w:eastAsia="zh-CN"/>
        </w:rPr>
        <w:t xml:space="preserve"> </w:t>
      </w:r>
      <w:r w:rsidRPr="007B7F82">
        <w:rPr>
          <w:b w:val="0"/>
          <w:color w:val="auto"/>
          <w:lang w:eastAsia="zh-CN"/>
        </w:rPr>
        <w:t>Smaller operators cannot replicate this, and there is no guidance on site-specific optimisation.</w:t>
      </w:r>
      <w:r w:rsidRPr="00367469">
        <w:rPr>
          <w:b w:val="0"/>
          <w:color w:val="auto"/>
          <w:lang w:eastAsia="zh-CN"/>
        </w:rPr>
        <w:t xml:space="preserve"> </w:t>
      </w:r>
    </w:p>
    <w:p w14:paraId="73591ACF" w14:textId="77777777" w:rsidR="00FE013C" w:rsidRPr="009E0D53" w:rsidRDefault="00FE013C" w:rsidP="004C16FF">
      <w:pPr>
        <w:pStyle w:val="Heading1"/>
        <w:numPr>
          <w:ilvl w:val="0"/>
          <w:numId w:val="10"/>
        </w:numPr>
        <w:spacing w:before="0" w:after="0"/>
        <w:jc w:val="both"/>
        <w:rPr>
          <w:b w:val="0"/>
          <w:color w:val="auto"/>
          <w:lang w:eastAsia="zh-CN"/>
        </w:rPr>
      </w:pPr>
      <w:r w:rsidRPr="00EE168C">
        <w:rPr>
          <w:color w:val="auto"/>
          <w:lang w:eastAsia="zh-CN"/>
        </w:rPr>
        <w:t>This Framework's Solution:</w:t>
      </w:r>
      <w:r w:rsidRPr="007B7F82">
        <w:rPr>
          <w:b w:val="0"/>
          <w:color w:val="auto"/>
          <w:lang w:eastAsia="zh-CN"/>
        </w:rPr>
        <w:t xml:space="preserve"> Section 4 provides the site assessment methodology (GIS, resource variability, and seasonal complementarity), and Section 8 presents case studies across diverse geographies (temperate, arid, and seasonal).</w:t>
      </w:r>
    </w:p>
    <w:p w14:paraId="3C6660D9" w14:textId="77777777" w:rsidR="00FE013C" w:rsidRDefault="00FE013C" w:rsidP="004C16FF">
      <w:pPr>
        <w:pStyle w:val="Heading2"/>
        <w:rPr>
          <w:color w:val="auto"/>
        </w:rPr>
      </w:pPr>
      <w:r>
        <w:rPr>
          <w:color w:val="auto"/>
        </w:rPr>
        <w:t xml:space="preserve">2.6.1.3 </w:t>
      </w:r>
      <w:r w:rsidRPr="000C26DB">
        <w:rPr>
          <w:color w:val="auto"/>
        </w:rPr>
        <w:t>Workload Rigidity Assumption</w:t>
      </w:r>
    </w:p>
    <w:p w14:paraId="3E9E432B" w14:textId="77777777" w:rsidR="00FE013C" w:rsidRPr="00B25B1E" w:rsidRDefault="00FE013C" w:rsidP="004C16FF">
      <w:pPr>
        <w:pStyle w:val="Heading1"/>
        <w:numPr>
          <w:ilvl w:val="0"/>
          <w:numId w:val="10"/>
        </w:numPr>
        <w:spacing w:before="0" w:after="0"/>
        <w:jc w:val="both"/>
        <w:rPr>
          <w:color w:val="auto"/>
          <w:lang w:eastAsia="zh-CN"/>
        </w:rPr>
      </w:pPr>
      <w:r w:rsidRPr="00C3424F">
        <w:rPr>
          <w:color w:val="auto"/>
          <w:lang w:eastAsia="zh-CN"/>
        </w:rPr>
        <w:t>Problem:</w:t>
      </w:r>
      <w:r w:rsidRPr="00B25B1E">
        <w:rPr>
          <w:color w:val="auto"/>
          <w:lang w:eastAsia="zh-CN"/>
        </w:rPr>
        <w:t xml:space="preserve"> </w:t>
      </w:r>
      <w:r w:rsidRPr="00894838">
        <w:rPr>
          <w:b w:val="0"/>
          <w:color w:val="auto"/>
          <w:lang w:eastAsia="zh-CN"/>
        </w:rPr>
        <w:t>Prior power system studies assume a fixed load. AI workload scheduling (training vs. inference, batch deferral, model complexity) is highly flexible but not integrated into control strategies.</w:t>
      </w:r>
      <w:r w:rsidRPr="00B25B1E">
        <w:rPr>
          <w:color w:val="auto"/>
          <w:lang w:eastAsia="zh-CN"/>
        </w:rPr>
        <w:t xml:space="preserve"> </w:t>
      </w:r>
    </w:p>
    <w:p w14:paraId="2FE4261B" w14:textId="77777777" w:rsidR="0005469C" w:rsidRPr="00B25B1E" w:rsidRDefault="00FE013C" w:rsidP="00B25B1E">
      <w:pPr>
        <w:pStyle w:val="Heading1"/>
        <w:numPr>
          <w:ilvl w:val="0"/>
          <w:numId w:val="10"/>
        </w:numPr>
        <w:spacing w:before="0" w:after="0"/>
        <w:jc w:val="both"/>
        <w:rPr>
          <w:color w:val="auto"/>
          <w:lang w:eastAsia="zh-CN"/>
        </w:rPr>
      </w:pPr>
      <w:r w:rsidRPr="0005469C">
        <w:rPr>
          <w:color w:val="auto"/>
          <w:lang w:eastAsia="zh-CN"/>
        </w:rPr>
        <w:t xml:space="preserve">Consequence: </w:t>
      </w:r>
      <w:r w:rsidR="0005469C" w:rsidRPr="00894838">
        <w:rPr>
          <w:b w:val="0"/>
          <w:color w:val="auto"/>
          <w:lang w:eastAsia="zh-CN"/>
        </w:rPr>
        <w:t>Ignoring eligible workload flexibility may lead to oversized generation or storage; however, the magnitude of this effect is project-specific and requires chronological analysis.</w:t>
      </w:r>
    </w:p>
    <w:p w14:paraId="4B2D8F5C" w14:textId="5E969FDD" w:rsidR="00FE013C" w:rsidRPr="00B25B1E" w:rsidRDefault="00FE013C" w:rsidP="004C16FF">
      <w:pPr>
        <w:pStyle w:val="Heading1"/>
        <w:numPr>
          <w:ilvl w:val="0"/>
          <w:numId w:val="10"/>
        </w:numPr>
        <w:spacing w:before="0" w:after="0"/>
        <w:jc w:val="both"/>
        <w:rPr>
          <w:color w:val="auto"/>
          <w:lang w:eastAsia="zh-CN"/>
        </w:rPr>
      </w:pPr>
      <w:r w:rsidRPr="0005469C">
        <w:rPr>
          <w:color w:val="auto"/>
          <w:lang w:eastAsia="zh-CN"/>
        </w:rPr>
        <w:t>This Framework's Solution:</w:t>
      </w:r>
      <w:r w:rsidRPr="00B25B1E">
        <w:rPr>
          <w:color w:val="auto"/>
          <w:lang w:eastAsia="zh-CN"/>
        </w:rPr>
        <w:t xml:space="preserve"> </w:t>
      </w:r>
      <w:r w:rsidRPr="00894838">
        <w:rPr>
          <w:b w:val="0"/>
          <w:color w:val="auto"/>
          <w:lang w:eastAsia="zh-CN"/>
        </w:rPr>
        <w:t>Section 5 integrates demand-side workload flexibility into storage sizing (Section 5.3) and MPC dispatch (Section 5.5).</w:t>
      </w:r>
    </w:p>
    <w:p w14:paraId="2DE1A120" w14:textId="77777777" w:rsidR="00FE013C" w:rsidRDefault="00FE013C" w:rsidP="004C16FF">
      <w:pPr>
        <w:pStyle w:val="Heading2"/>
        <w:rPr>
          <w:color w:val="auto"/>
        </w:rPr>
      </w:pPr>
      <w:r>
        <w:rPr>
          <w:color w:val="auto"/>
        </w:rPr>
        <w:lastRenderedPageBreak/>
        <w:t xml:space="preserve">2.6.1.4 </w:t>
      </w:r>
      <w:r w:rsidRPr="00B55492">
        <w:rPr>
          <w:color w:val="auto"/>
        </w:rPr>
        <w:t>Lack of Reproducible Economics</w:t>
      </w:r>
    </w:p>
    <w:p w14:paraId="43EF2742" w14:textId="77777777" w:rsidR="00FE013C" w:rsidRPr="00F66394" w:rsidRDefault="00FE013C" w:rsidP="004C16FF">
      <w:pPr>
        <w:pStyle w:val="Heading1"/>
        <w:numPr>
          <w:ilvl w:val="0"/>
          <w:numId w:val="10"/>
        </w:numPr>
        <w:spacing w:before="0" w:after="0"/>
        <w:jc w:val="both"/>
        <w:rPr>
          <w:color w:val="auto"/>
          <w:lang w:eastAsia="zh-CN"/>
        </w:rPr>
      </w:pPr>
      <w:r w:rsidRPr="00B55492">
        <w:rPr>
          <w:color w:val="auto"/>
          <w:lang w:eastAsia="zh-CN"/>
        </w:rPr>
        <w:t>Problem:</w:t>
      </w:r>
      <w:r w:rsidRPr="00F66394">
        <w:rPr>
          <w:color w:val="auto"/>
          <w:lang w:eastAsia="zh-CN"/>
        </w:rPr>
        <w:t xml:space="preserve"> </w:t>
      </w:r>
      <w:r w:rsidRPr="00F66394">
        <w:rPr>
          <w:b w:val="0"/>
          <w:color w:val="auto"/>
          <w:lang w:eastAsia="zh-CN"/>
        </w:rPr>
        <w:t>Industry case studies report metrics (% CFE, $35–100/MWh) but not cost breakdowns or sensitivity to parameters (interest rate, tech costs, grid delays).</w:t>
      </w:r>
      <w:r w:rsidRPr="00F66394">
        <w:rPr>
          <w:color w:val="auto"/>
          <w:lang w:eastAsia="zh-CN"/>
        </w:rPr>
        <w:t xml:space="preserve"> </w:t>
      </w:r>
    </w:p>
    <w:p w14:paraId="48C1F8A0" w14:textId="77777777" w:rsidR="00FE013C" w:rsidRPr="00F66394" w:rsidRDefault="00FE013C" w:rsidP="004C16FF">
      <w:pPr>
        <w:pStyle w:val="Heading1"/>
        <w:numPr>
          <w:ilvl w:val="0"/>
          <w:numId w:val="10"/>
        </w:numPr>
        <w:spacing w:before="0" w:after="0"/>
        <w:jc w:val="both"/>
        <w:rPr>
          <w:color w:val="auto"/>
          <w:lang w:eastAsia="zh-CN"/>
        </w:rPr>
      </w:pPr>
      <w:r w:rsidRPr="00B55492">
        <w:rPr>
          <w:color w:val="auto"/>
          <w:lang w:eastAsia="zh-CN"/>
        </w:rPr>
        <w:t>Consequence:</w:t>
      </w:r>
      <w:r w:rsidRPr="00F66394">
        <w:rPr>
          <w:color w:val="auto"/>
          <w:lang w:eastAsia="zh-CN"/>
        </w:rPr>
        <w:t xml:space="preserve"> </w:t>
      </w:r>
      <w:r w:rsidRPr="00F66394">
        <w:rPr>
          <w:b w:val="0"/>
          <w:color w:val="auto"/>
          <w:lang w:eastAsia="zh-CN"/>
        </w:rPr>
        <w:t>Operators cannot assess feasibility in their context.</w:t>
      </w:r>
      <w:r w:rsidRPr="00F66394">
        <w:rPr>
          <w:color w:val="auto"/>
          <w:lang w:eastAsia="zh-CN"/>
        </w:rPr>
        <w:t xml:space="preserve"> </w:t>
      </w:r>
    </w:p>
    <w:p w14:paraId="78ECD72B" w14:textId="31EEEED3" w:rsidR="000C716D" w:rsidRPr="00F66394" w:rsidRDefault="00FE013C" w:rsidP="00F66394">
      <w:pPr>
        <w:pStyle w:val="Heading1"/>
        <w:numPr>
          <w:ilvl w:val="0"/>
          <w:numId w:val="10"/>
        </w:numPr>
        <w:spacing w:before="0" w:after="0"/>
        <w:jc w:val="both"/>
        <w:rPr>
          <w:color w:val="auto"/>
          <w:lang w:eastAsia="zh-CN"/>
        </w:rPr>
      </w:pPr>
      <w:r w:rsidRPr="00B55492">
        <w:rPr>
          <w:color w:val="auto"/>
          <w:lang w:eastAsia="zh-CN"/>
        </w:rPr>
        <w:t>This Framework's Solution:</w:t>
      </w:r>
      <w:r w:rsidRPr="00F66394">
        <w:rPr>
          <w:color w:val="auto"/>
          <w:lang w:eastAsia="zh-CN"/>
        </w:rPr>
        <w:t xml:space="preserve"> </w:t>
      </w:r>
      <w:r w:rsidR="000C716D" w:rsidRPr="00F66394">
        <w:rPr>
          <w:b w:val="0"/>
          <w:color w:val="auto"/>
          <w:lang w:eastAsia="zh-CN"/>
        </w:rPr>
        <w:t>Section 10 distinguishes technology-cost boundaries and describes the data and assumptions required for reproducible project-specific lifecycle-cost analysis.</w:t>
      </w:r>
    </w:p>
    <w:p w14:paraId="4BEEECE7" w14:textId="77777777" w:rsidR="00FE013C" w:rsidRDefault="00FE013C" w:rsidP="004C16FF">
      <w:pPr>
        <w:pStyle w:val="Heading2"/>
        <w:rPr>
          <w:color w:val="auto"/>
        </w:rPr>
      </w:pPr>
      <w:r>
        <w:rPr>
          <w:color w:val="auto"/>
        </w:rPr>
        <w:t xml:space="preserve">2.6.2 </w:t>
      </w:r>
      <w:r w:rsidRPr="00915220">
        <w:rPr>
          <w:color w:val="auto"/>
        </w:rPr>
        <w:t>Critical Observations</w:t>
      </w:r>
    </w:p>
    <w:p w14:paraId="28032A78" w14:textId="58F85064" w:rsidR="00FE013C" w:rsidRPr="00F722BB" w:rsidRDefault="00FE013C" w:rsidP="004C16FF">
      <w:pPr>
        <w:spacing w:after="120"/>
        <w:ind w:firstLine="480"/>
        <w:rPr>
          <w:szCs w:val="24"/>
        </w:rPr>
      </w:pPr>
      <w:r w:rsidRPr="00F722BB">
        <w:rPr>
          <w:szCs w:val="24"/>
        </w:rPr>
        <w:t xml:space="preserve">Existing research on integrating RE sources into data </w:t>
      </w:r>
      <w:r w:rsidR="009F7E9F" w:rsidRPr="00F722BB">
        <w:rPr>
          <w:szCs w:val="24"/>
        </w:rPr>
        <w:t>centers</w:t>
      </w:r>
      <w:r w:rsidRPr="00F722BB">
        <w:rPr>
          <w:szCs w:val="24"/>
        </w:rPr>
        <w:t xml:space="preserve"> is typically </w:t>
      </w:r>
      <w:r w:rsidR="009F7E9F" w:rsidRPr="00F722BB">
        <w:rPr>
          <w:szCs w:val="24"/>
        </w:rPr>
        <w:t>categorized</w:t>
      </w:r>
      <w:r w:rsidRPr="00F722BB">
        <w:rPr>
          <w:szCs w:val="24"/>
        </w:rPr>
        <w:t xml:space="preserve"> into four distinct portfolios: </w:t>
      </w:r>
      <w:r w:rsidRPr="001C3837">
        <w:rPr>
          <w:szCs w:val="24"/>
        </w:rPr>
        <w:t>simulation-only</w:t>
      </w:r>
      <w:r>
        <w:rPr>
          <w:szCs w:val="24"/>
        </w:rPr>
        <w:t xml:space="preserve"> </w:t>
      </w:r>
      <w:r w:rsidRPr="00F722BB">
        <w:rPr>
          <w:szCs w:val="24"/>
        </w:rPr>
        <w:t>studies, economic-only procurement/optimization, large-scale and hyperscale company case studies, and vendor demos. Each of these methods has drawbacks, including the absence of cost-benefit analysis in technical analyses, omitting power quality and grid stability from economic assessments, and ignoring the fact that power advantages and the geographic spread of demand are difficult to replicate across projects of different sizes. This breaks apart methodologies and presents substantial implementation challenges, including excessive interconnection delays on the grid, underestimated harm mitigation pricing, and project failure due to over-or undersized storage and workload immutability.</w:t>
      </w:r>
    </w:p>
    <w:p w14:paraId="1C80FB30" w14:textId="2D4C91BE" w:rsidR="00FE013C" w:rsidRPr="00F722BB" w:rsidRDefault="00FE013C" w:rsidP="004C16FF">
      <w:pPr>
        <w:spacing w:after="120"/>
        <w:ind w:firstLine="480"/>
        <w:rPr>
          <w:szCs w:val="24"/>
        </w:rPr>
      </w:pPr>
      <w:r w:rsidRPr="002C43F2">
        <w:rPr>
          <w:szCs w:val="24"/>
        </w:rPr>
        <w:t xml:space="preserve">This paper addresses these gaps by </w:t>
      </w:r>
      <w:r w:rsidR="009F7E9F" w:rsidRPr="002C43F2">
        <w:rPr>
          <w:szCs w:val="24"/>
        </w:rPr>
        <w:t>operationalizing</w:t>
      </w:r>
      <w:r w:rsidRPr="002C43F2">
        <w:rPr>
          <w:szCs w:val="24"/>
        </w:rPr>
        <w:t xml:space="preserve"> a unified, modular framework designed for data </w:t>
      </w:r>
      <w:r w:rsidR="009F7E9F" w:rsidRPr="002C43F2">
        <w:rPr>
          <w:szCs w:val="24"/>
        </w:rPr>
        <w:t>centers</w:t>
      </w:r>
      <w:r w:rsidRPr="002C43F2">
        <w:rPr>
          <w:szCs w:val="24"/>
        </w:rPr>
        <w:t xml:space="preserve"> ranging from 10 MW (mid-scale) to 1,000 MW (hyperscale), providing applicability across </w:t>
      </w:r>
      <w:proofErr w:type="gramStart"/>
      <w:r w:rsidRPr="002C43F2">
        <w:rPr>
          <w:szCs w:val="24"/>
        </w:rPr>
        <w:t>the majority of</w:t>
      </w:r>
      <w:proofErr w:type="gramEnd"/>
      <w:r w:rsidRPr="002C43F2">
        <w:rPr>
          <w:szCs w:val="24"/>
        </w:rPr>
        <w:t xml:space="preserve"> commercial deployment contexts.</w:t>
      </w:r>
      <w:r>
        <w:rPr>
          <w:szCs w:val="24"/>
        </w:rPr>
        <w:t xml:space="preserve"> </w:t>
      </w:r>
      <w:r w:rsidRPr="00F722BB">
        <w:rPr>
          <w:szCs w:val="24"/>
        </w:rPr>
        <w:t>This framework combines the direct engineering aspects of power flow and harmonic stability (Section 6) directly with demand-side workload flexibility (Section 5) and probabilistic storage size (Section 6.3), thereby closing the gap between engineering constraints and economic viability. Moreover, it integrates transparent, sensitivity-based economic modelling, such as NPV and LCOE analysis, giving operators a definitive idea of project feasibility to help manage capital expenditure, grid interconnection queues, regulatory compliance, and other economic risks.</w:t>
      </w:r>
    </w:p>
    <w:p w14:paraId="1B311FC1" w14:textId="0EE12D1A" w:rsidR="00FE013C" w:rsidRPr="00F722BB" w:rsidRDefault="00DF1199" w:rsidP="00DF1199">
      <w:pPr>
        <w:spacing w:after="120"/>
        <w:ind w:firstLine="480"/>
        <w:rPr>
          <w:szCs w:val="24"/>
        </w:rPr>
      </w:pPr>
      <w:r w:rsidRPr="00DF1199">
        <w:rPr>
          <w:szCs w:val="24"/>
        </w:rPr>
        <w:t>The framework provides a structured basis for identifying relevant inputs, comparing candidate options, and documenting project-specific assumptions. It does not replace detailed engineering, interconnection, reliability, or investment-grade financial studies</w:t>
      </w:r>
      <w:r w:rsidR="00FE013C" w:rsidRPr="00F722BB">
        <w:rPr>
          <w:szCs w:val="24"/>
        </w:rPr>
        <w:t xml:space="preserve">. The methodology combines site-specific resource assessment (Section 4), advanced MPC-based dispatch control (Section 5.5), and a modular approach to regional grid codes and cybersecurity standards (Sections 6 and 12), providing a scalable solution across a wide range of geographic and climatic environments. </w:t>
      </w:r>
      <w:r w:rsidR="00FE013C" w:rsidRPr="00F14637">
        <w:rPr>
          <w:szCs w:val="24"/>
        </w:rPr>
        <w:t xml:space="preserve">This paper equips mid-scale data </w:t>
      </w:r>
      <w:r w:rsidR="009F7E9F" w:rsidRPr="00F14637">
        <w:rPr>
          <w:szCs w:val="24"/>
        </w:rPr>
        <w:t>center</w:t>
      </w:r>
      <w:r w:rsidR="00FE013C" w:rsidRPr="00F14637">
        <w:rPr>
          <w:szCs w:val="24"/>
        </w:rPr>
        <w:t xml:space="preserve"> operators with tools to navigate these gaps and</w:t>
      </w:r>
      <w:r w:rsidR="00FE013C" w:rsidRPr="00F722BB">
        <w:rPr>
          <w:szCs w:val="24"/>
        </w:rPr>
        <w:t xml:space="preserve"> make increasingly complex energy cost/benefit/risk decisions.</w:t>
      </w:r>
    </w:p>
    <w:p w14:paraId="469BF53F" w14:textId="77777777" w:rsidR="00FE013C" w:rsidRDefault="00FE013C" w:rsidP="004C16FF">
      <w:pPr>
        <w:pStyle w:val="Heading1"/>
        <w:jc w:val="both"/>
        <w:rPr>
          <w:color w:val="auto"/>
        </w:rPr>
      </w:pPr>
      <w:r>
        <w:rPr>
          <w:color w:val="auto"/>
          <w:lang w:eastAsia="zh-CN"/>
        </w:rPr>
        <w:lastRenderedPageBreak/>
        <w:t xml:space="preserve">3. </w:t>
      </w:r>
      <w:r>
        <w:rPr>
          <w:color w:val="auto"/>
        </w:rPr>
        <w:t>Electrical Fundamentals of Data Center Systems</w:t>
      </w:r>
    </w:p>
    <w:p w14:paraId="681C4C53" w14:textId="77777777" w:rsidR="00FE013C" w:rsidRDefault="00FE013C" w:rsidP="004C16FF">
      <w:pPr>
        <w:pStyle w:val="Heading2"/>
        <w:rPr>
          <w:color w:val="auto"/>
        </w:rPr>
      </w:pPr>
      <w:r>
        <w:rPr>
          <w:color w:val="auto"/>
        </w:rPr>
        <w:t>3.1. Electrical Distribution Architecture</w:t>
      </w:r>
    </w:p>
    <w:p w14:paraId="20A8EF36" w14:textId="0F60E781" w:rsidR="00FE013C" w:rsidRPr="00040480" w:rsidRDefault="00FE013C" w:rsidP="00B73641">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rsidR="00B73641">
        <w:instrText xml:space="preserve"> ADDIN ZOTERO_ITEM CSL_CITATION {"citationID":"PfKI6RIJ","properties":{"unsorted":false,"formattedCitation":"[74]","plainCitation":"[74]","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00B73641" w:rsidRPr="00B73641">
        <w:t>[73]</w:t>
      </w:r>
      <w:r>
        <w:fldChar w:fldCharType="end"/>
      </w:r>
      <w:r w:rsidRPr="00040480">
        <w:t>. Power distribution units (PDUs) deliver 480 V three-phase power to the last mile for individual equipment racks.</w:t>
      </w:r>
    </w:p>
    <w:p w14:paraId="0BEDA30B" w14:textId="1B6C4D8F" w:rsidR="00FE013C" w:rsidRPr="00040480" w:rsidRDefault="00FE013C" w:rsidP="00B73641">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rsidR="00B73641">
        <w:instrText xml:space="preserve"> ADDIN ZOTERO_ITEM CSL_CITATION {"citationID":"s2FyWRFx","properties":{"unsorted":false,"formattedCitation":"[75]","plainCitation":"[75]","noteIndex":0},"citationItems":[{"id":2012,"uris":["http://zotero.org/users/9870935/items/BVU5PGIM"],"itemData":{"id":2012,"type":"article-journal","container-title":"Energy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00B73641" w:rsidRPr="00B73641">
        <w:t>[74]</w:t>
      </w:r>
      <w:r>
        <w:fldChar w:fldCharType="end"/>
      </w:r>
      <w:r w:rsidRPr="00040480">
        <w:t xml:space="preserve">. The typical configuration for most AI data </w:t>
      </w:r>
      <w:r w:rsidR="00580BAE">
        <w:t>center</w:t>
      </w:r>
      <w:r w:rsidRPr="00040480">
        <w:t>s is 2N, 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rsidR="00B73641">
        <w:instrText xml:space="preserve"> ADDIN ZOTERO_ITEM CSL_CITATION {"citationID":"uyzrmxWp","properties":{"unsorted":false,"formattedCitation":"[76]","plainCitation":"[76]","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00B73641" w:rsidRPr="00B73641">
        <w:t>[75]</w:t>
      </w:r>
      <w:r>
        <w:fldChar w:fldCharType="end"/>
      </w:r>
      <w:r w:rsidRPr="00040480">
        <w:t>.</w:t>
      </w:r>
    </w:p>
    <w:p w14:paraId="369487DB" w14:textId="0C418951" w:rsidR="00FE013C" w:rsidRPr="00040480" w:rsidRDefault="00FE013C" w:rsidP="00B73641">
      <w:pPr>
        <w:spacing w:after="120"/>
        <w:ind w:firstLine="480"/>
      </w:pPr>
      <w:r w:rsidRPr="00040480">
        <w:t>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and 10–30 s for electromechanical switches (EMS) in the ATS</w:t>
      </w:r>
      <w:r>
        <w:fldChar w:fldCharType="begin"/>
      </w:r>
      <w:r w:rsidR="00B73641">
        <w:instrText xml:space="preserve"> ADDIN ZOTERO_ITEM CSL_CITATION {"citationID":"EnoLyCgw","properties":{"unsorted":false,"formattedCitation":"[77]","plainCitation":"[77]","noteIndex":0},"citationItems":[{"id":2014,"uris":["http://zotero.org/users/9870935/items/YRI3RIYJ"],"itemData":{"id":2014,"type":"article-journal","abstract":"PLN's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00B73641" w:rsidRPr="00B73641">
        <w:t>[76]</w:t>
      </w:r>
      <w:r>
        <w:fldChar w:fldCharType="end"/>
      </w:r>
      <w:r w:rsidRPr="00040480">
        <w:t>. AI training workloads are typically specified with STS or flywheel-based uninterrupted power supply (UPS) systems, as a brief power interruption can disrupt the workload.</w:t>
      </w:r>
    </w:p>
    <w:p w14:paraId="7B2CB280" w14:textId="77777777" w:rsidR="00FE013C" w:rsidRDefault="00FE013C" w:rsidP="004C16FF">
      <w:pPr>
        <w:pStyle w:val="Heading2"/>
        <w:rPr>
          <w:color w:val="auto"/>
        </w:rPr>
      </w:pPr>
      <w:r>
        <w:rPr>
          <w:color w:val="auto"/>
        </w:rPr>
        <w:t>3.2. AI Workload Electrical Characteristics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642F6EA0" w:rsidR="00FE013C" w:rsidRPr="00F166F8" w:rsidRDefault="00FE013C" w:rsidP="00B73641">
      <w:pPr>
        <w:spacing w:after="120"/>
        <w:ind w:firstLine="480"/>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fldChar w:fldCharType="begin"/>
      </w:r>
      <w:r w:rsidR="00B73641">
        <w:instrText xml:space="preserve"> ADDIN ZOTERO_ITEM CSL_CITATION {"citationID":"CscueCyo","properties":{"unsorted":false,"formattedCitation":"[78]","plainCitation":"[78]","noteIndex":0},"citationItems":[{"id":2016,"uris":["http://zotero.org/users/9870935/items/IGX3D6LZ"],"itemData":{"id":2016,"type":"article","abstract":"This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00B73641" w:rsidRPr="00B73641">
        <w:t>[77]</w:t>
      </w:r>
      <w:r>
        <w:fldChar w:fldCharType="end"/>
      </w:r>
      <w:r w:rsidRPr="00F166F8">
        <w:t>. Idle power consumption is usually in the range of 50-150 W per GPU, or about 15-20</w:t>
      </w:r>
      <w:r>
        <w:t xml:space="preserve">% </w:t>
      </w:r>
      <w:r w:rsidRPr="00F166F8">
        <w:t>of peak power, because memory contents must be kept alive and provide a low-latency response for inference operations</w:t>
      </w:r>
      <w:r>
        <w:fldChar w:fldCharType="begin"/>
      </w:r>
      <w:r w:rsidR="00B73641">
        <w:instrText xml:space="preserve"> ADDIN ZOTERO_ITEM CSL_CITATION {"citationID":"APKvRgnH","properties":{"unsorted":false,"formattedCitation":"[79]","plainCitation":"[79]","noteIndex":0},"citationItems":[{"id":2018,"uris":["http://zotero.org/users/9870935/items/XN4NHKM7"],"itemData":{"id":2018,"type":"article","abstract":"Ubiquity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00B73641" w:rsidRPr="00B73641">
        <w:t>[78]</w:t>
      </w:r>
      <w:r>
        <w:fldChar w:fldCharType="end"/>
      </w:r>
      <w:r w:rsidRPr="00F166F8">
        <w:t>. Power capping (e.g., using the NVML power limit API) allows operators to cap the maximum power draw for lower computational throughput, offering a power management solution for the demand side.</w:t>
      </w:r>
    </w:p>
    <w:p w14:paraId="1F23F0DE" w14:textId="20814BF9" w:rsidR="00FE013C" w:rsidRDefault="00FE013C" w:rsidP="00B73641">
      <w:pPr>
        <w:spacing w:after="120"/>
        <w:ind w:firstLine="480"/>
      </w:pPr>
      <w:r w:rsidRPr="00F166F8">
        <w:t>Thermal design point considerations shall include steady-state and transient thermal loads. GPU temperatures during training can reach 80-85 degrees °C when the GPUs are sustained under load, and cooling systems must be able to dissipate 3.5–5 kW of cooling power per GPU</w:t>
      </w:r>
      <w:r>
        <w:fldChar w:fldCharType="begin"/>
      </w:r>
      <w:r w:rsidR="00B73641">
        <w:instrText xml:space="preserve"> ADDIN ZOTERO_ITEM CSL_CITATION {"citationID":"wo1i8Mfh","properties":{"unsorted":false,"formattedCitation":"[80]","plainCitation":"[80]","noteIndex":0},"citationItems":[{"id":2020,"uris":["http://zotero.org/users/9870935/items/EUX8ZVSI"],"itemData":{"id":2020,"type":"article-journal","abstract":"The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fldChar w:fldCharType="separate"/>
      </w:r>
      <w:r w:rsidR="00B73641" w:rsidRPr="00B73641">
        <w:t>[79]</w:t>
      </w:r>
      <w:r>
        <w:fldChar w:fldCharType="end"/>
      </w:r>
      <w:r w:rsidRPr="00F166F8">
        <w:t xml:space="preserve">. The electrical energy that is input </w:t>
      </w:r>
      <w:r w:rsidR="009F7E9F" w:rsidRPr="00F166F8">
        <w:t>into</w:t>
      </w:r>
      <w:r w:rsidRPr="00F166F8">
        <w:t xml:space="preserve"> the computing equipment is almost entirely converted to heat, which is why </w:t>
      </w:r>
      <w:r w:rsidRPr="00F166F8">
        <w:lastRenderedPageBreak/>
        <w:t xml:space="preserve">there is a very close relationship between electrical energy consumption and heat generation. This integration of electrical and thermal systems opens the opportunity to integrate energy management, </w:t>
      </w:r>
      <w:r w:rsidR="009F7E9F" w:rsidRPr="00F166F8">
        <w:t>optimize</w:t>
      </w:r>
      <w:r w:rsidRPr="00F166F8">
        <w:t xml:space="preserve"> the operation of the cooling system with the availability of renewable energy, and </w:t>
      </w:r>
      <w:r w:rsidR="009F7E9F" w:rsidRPr="00F166F8">
        <w:t>optimize</w:t>
      </w:r>
      <w:r w:rsidRPr="00F166F8">
        <w:t xml:space="preserve"> the workload.</w:t>
      </w:r>
      <w:r>
        <w:t xml:space="preserve"> </w:t>
      </w:r>
      <w:r w:rsidRPr="00F51CFF">
        <w:t xml:space="preserve">Fig. 2 illustrates a representative daily power profile for an AI data </w:t>
      </w:r>
      <w:r w:rsidR="009F7E9F" w:rsidRPr="00F51CFF">
        <w:t>center</w:t>
      </w:r>
      <w:r w:rsidRPr="00F51CFF">
        <w:t>, decomposing total facility load into training, real-time inference, batch processing, and cooling components, and overlaying typical solar and wind generation windows to identify natural demand flexibility opportunities.</w:t>
      </w:r>
    </w:p>
    <w:p w14:paraId="40DC3670" w14:textId="77777777" w:rsidR="00FE013C" w:rsidRDefault="00FE013C" w:rsidP="00240FF9">
      <w:pPr>
        <w:keepNext/>
        <w:spacing w:after="120"/>
        <w:jc w:val="center"/>
      </w:pPr>
      <w:r>
        <w:rPr>
          <w:noProof/>
        </w:rPr>
        <w:drawing>
          <wp:inline distT="114300" distB="114300" distL="114300" distR="114300" wp14:anchorId="3AE6179E" wp14:editId="2824EE61">
            <wp:extent cx="5002126" cy="2672649"/>
            <wp:effectExtent l="0" t="0" r="8255" b="0"/>
            <wp:docPr id="7677810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4"/>
                    <a:srcRect t="1315" b="-1"/>
                    <a:stretch>
                      <a:fillRect/>
                    </a:stretch>
                  </pic:blipFill>
                  <pic:spPr bwMode="auto">
                    <a:xfrm>
                      <a:off x="0" y="0"/>
                      <a:ext cx="5033650" cy="2689492"/>
                    </a:xfrm>
                    <a:prstGeom prst="rect">
                      <a:avLst/>
                    </a:prstGeom>
                    <a:ln>
                      <a:noFill/>
                    </a:ln>
                    <a:extLst>
                      <a:ext uri="{53640926-AAD7-44D8-BBD7-CCE9431645EC}">
                        <a14:shadowObscured xmlns:a14="http://schemas.microsoft.com/office/drawing/2010/main"/>
                      </a:ext>
                    </a:extLst>
                  </pic:spPr>
                </pic:pic>
              </a:graphicData>
            </a:graphic>
          </wp:inline>
        </w:drawing>
      </w:r>
    </w:p>
    <w:p w14:paraId="5B212C98" w14:textId="260C63B1" w:rsidR="00FE013C" w:rsidRPr="00F166F8" w:rsidRDefault="00FE013C" w:rsidP="00240FF9">
      <w:pPr>
        <w:pStyle w:val="Caption"/>
        <w:jc w:val="center"/>
      </w:pPr>
      <w:r>
        <w:t xml:space="preserve">Figure </w:t>
      </w:r>
      <w:r>
        <w:fldChar w:fldCharType="begin"/>
      </w:r>
      <w:r>
        <w:instrText xml:space="preserve"> SEQ Figure \* ARABIC </w:instrText>
      </w:r>
      <w:r>
        <w:fldChar w:fldCharType="separate"/>
      </w:r>
      <w:r w:rsidR="00807110">
        <w:rPr>
          <w:noProof/>
        </w:rPr>
        <w:t>3</w:t>
      </w:r>
      <w:r>
        <w:rPr>
          <w:noProof/>
        </w:rPr>
        <w:fldChar w:fldCharType="end"/>
      </w:r>
      <w:r>
        <w:t xml:space="preserve"> T</w:t>
      </w:r>
      <w:r w:rsidRPr="0031233A">
        <w:t xml:space="preserve">ypical </w:t>
      </w:r>
      <w:r>
        <w:t>AI</w:t>
      </w:r>
      <w:r w:rsidRPr="0031233A">
        <w:t xml:space="preserve"> data center daily power consumption profile</w:t>
      </w:r>
    </w:p>
    <w:p w14:paraId="22B8AF1E" w14:textId="77777777" w:rsidR="00FE013C" w:rsidRDefault="00FE013C" w:rsidP="004C16FF">
      <w:pPr>
        <w:pStyle w:val="Heading2"/>
        <w:rPr>
          <w:color w:val="auto"/>
        </w:rPr>
      </w:pPr>
      <w:r>
        <w:rPr>
          <w:color w:val="auto"/>
        </w:rPr>
        <w:t>3.3. Backup Power and UPS Systems</w:t>
      </w:r>
    </w:p>
    <w:p w14:paraId="2222DAF5" w14:textId="59074BBD" w:rsidR="00FE013C" w:rsidRPr="00C24F3F" w:rsidRDefault="00FE013C" w:rsidP="00B73641">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sidR="00B73641">
        <w:rPr>
          <w:szCs w:val="24"/>
        </w:rPr>
        <w:instrText xml:space="preserve"> ADDIN ZOTERO_ITEM CSL_CITATION {"citationID":"6s5dz7U7","properties":{"unsorted":false,"formattedCitation":"[81]","plainCitation":"[81]","noteIndex":0},"citationItems":[{"id":2021,"uris":["http://zotero.org/users/9870935/items/AHEUC4DF"],"itemData":{"id":2021,"type":"article","abstract":"Artificial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00B73641" w:rsidRPr="00B73641">
        <w:t>[80]</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sidR="00B73641">
        <w:rPr>
          <w:szCs w:val="24"/>
        </w:rPr>
        <w:instrText xml:space="preserve"> ADDIN ZOTERO_ITEM CSL_CITATION {"citationID":"uVqeSVVe","properties":{"unsorted":false,"formattedCitation":"[82]","plainCitation":"[82]","noteIndex":0},"citationItems":[{"id":2025,"uris":["http://zotero.org/users/9870935/items/URLYJFL9"],"itemData":{"id":2025,"type":"article-journal","abstract":"Our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00B73641" w:rsidRPr="00B73641">
        <w:t>[81]</w:t>
      </w:r>
      <w:r>
        <w:rPr>
          <w:szCs w:val="24"/>
        </w:rPr>
        <w:fldChar w:fldCharType="end"/>
      </w:r>
      <w:r w:rsidRPr="00C24F3F">
        <w:rPr>
          <w:szCs w:val="24"/>
        </w:rPr>
        <w:t>.</w:t>
      </w:r>
    </w:p>
    <w:p w14:paraId="2E36A04D" w14:textId="6515E935" w:rsidR="00FE013C" w:rsidRDefault="00FE013C" w:rsidP="00B73641">
      <w:pPr>
        <w:spacing w:after="120"/>
        <w:ind w:firstLine="480"/>
        <w:rPr>
          <w:szCs w:val="24"/>
        </w:rPr>
      </w:pPr>
      <w:r w:rsidRPr="00C24F3F">
        <w:rPr>
          <w:szCs w:val="24"/>
        </w:rPr>
        <w:t xml:space="preserve">The UPS capacity required for a 100 MW data </w:t>
      </w:r>
      <w:r w:rsidR="009F7E9F" w:rsidRPr="00C24F3F">
        <w:rPr>
          <w:szCs w:val="24"/>
        </w:rPr>
        <w:t>center</w:t>
      </w:r>
      <w:r w:rsidRPr="00C24F3F">
        <w:rPr>
          <w:szCs w:val="24"/>
        </w:rPr>
        <w:t xml:space="preserve"> with N+1 redundancy and 20</w:t>
      </w:r>
      <w:r>
        <w:rPr>
          <w:szCs w:val="24"/>
        </w:rPr>
        <w:t xml:space="preserve">% </w:t>
      </w:r>
      <w:r w:rsidRPr="00C24F3F">
        <w:rPr>
          <w:szCs w:val="24"/>
        </w:rPr>
        <w:t>safety margin would be approximately 144 MVA with a power factor of 0.9</w:t>
      </w:r>
      <w:r>
        <w:rPr>
          <w:szCs w:val="24"/>
        </w:rPr>
        <w:fldChar w:fldCharType="begin"/>
      </w:r>
      <w:r w:rsidR="00B73641">
        <w:rPr>
          <w:szCs w:val="24"/>
        </w:rPr>
        <w:instrText xml:space="preserve"> ADDIN ZOTERO_ITEM CSL_CITATION {"citationID":"qzNEaqIS","properties":{"unsorted":false,"formattedCitation":"[83]","plainCitation":"[83]","noteIndex":0},"citationItems":[{"id":2027,"uris":["http://zotero.org/users/9870935/items/84JHTAVB"],"itemData":{"id":2027,"type":"article-journal","abstract":"The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Pr>
          <w:szCs w:val="24"/>
        </w:rPr>
        <w:fldChar w:fldCharType="separate"/>
      </w:r>
      <w:r w:rsidR="00B73641" w:rsidRPr="00B73641">
        <w:t>[82]</w:t>
      </w:r>
      <w:r>
        <w:rPr>
          <w:szCs w:val="24"/>
        </w:rPr>
        <w:fldChar w:fldCharType="end"/>
      </w:r>
      <w:r w:rsidRPr="00C24F3F">
        <w:rPr>
          <w:szCs w:val="24"/>
        </w:rPr>
        <w:t xml:space="preserve">. The choice of the double-conversion (online), line-interactive, and standby (offline) UPS topologies depends on the criticality of the load. Data </w:t>
      </w:r>
      <w:r w:rsidR="009F7E9F" w:rsidRPr="00C24F3F">
        <w:rPr>
          <w:szCs w:val="24"/>
        </w:rPr>
        <w:t>center</w:t>
      </w:r>
      <w:r w:rsidRPr="00C24F3F">
        <w:rPr>
          <w:szCs w:val="24"/>
        </w:rPr>
        <w:t xml:space="preserve"> AI training and inference workloads are typically designed with a double-conversion topology to ensure full protection from input power disturbances</w:t>
      </w:r>
      <w:r>
        <w:rPr>
          <w:szCs w:val="24"/>
        </w:rPr>
        <w:fldChar w:fldCharType="begin"/>
      </w:r>
      <w:r w:rsidR="00B73641">
        <w:rPr>
          <w:szCs w:val="24"/>
        </w:rPr>
        <w:instrText xml:space="preserve"> ADDIN ZOTERO_ITEM CSL_CITATION {"citationID":"WYKaySkz","properties":{"unsorted":false,"formattedCitation":"[84]","plainCitation":"[84]","noteIndex":0},"citationItems":[{"id":2030,"uris":["http://zotero.org/users/9870935/items/UI369LDD"],"itemData":{"id":2030,"type":"post-weblog","title":"Electrical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Pr>
          <w:szCs w:val="24"/>
        </w:rPr>
        <w:fldChar w:fldCharType="separate"/>
      </w:r>
      <w:r w:rsidR="00B73641" w:rsidRPr="00B73641">
        <w:t>[83]</w:t>
      </w:r>
      <w:r>
        <w:rPr>
          <w:szCs w:val="24"/>
        </w:rPr>
        <w:fldChar w:fldCharType="end"/>
      </w:r>
      <w:r w:rsidRPr="00C24F3F">
        <w:rPr>
          <w:szCs w:val="24"/>
        </w:rPr>
        <w:t>.</w:t>
      </w:r>
    </w:p>
    <w:p w14:paraId="00B085C4" w14:textId="47626265" w:rsidR="00FE013C" w:rsidRPr="00C24F3F" w:rsidRDefault="00FE013C" w:rsidP="00B73641">
      <w:pPr>
        <w:spacing w:after="120"/>
        <w:ind w:firstLine="480"/>
        <w:rPr>
          <w:szCs w:val="24"/>
        </w:rPr>
      </w:pPr>
      <w:r w:rsidRPr="00B92CC3">
        <w:rPr>
          <w:szCs w:val="24"/>
        </w:rPr>
        <w:t xml:space="preserve">The most widely used backup power system for data </w:t>
      </w:r>
      <w:r w:rsidR="009F7E9F" w:rsidRPr="00B92CC3">
        <w:rPr>
          <w:szCs w:val="24"/>
        </w:rPr>
        <w:t>centers</w:t>
      </w:r>
      <w:r w:rsidRPr="00B92CC3">
        <w:rPr>
          <w:szCs w:val="24"/>
        </w:rPr>
        <w:t xml:space="preserve"> is a diesel generator, which is sized based on the peak facility load with an updated safety capacity </w:t>
      </w:r>
      <w:r w:rsidR="009F7E9F" w:rsidRPr="00B92CC3">
        <w:rPr>
          <w:szCs w:val="24"/>
        </w:rPr>
        <w:t>utilization</w:t>
      </w:r>
      <w:r w:rsidRPr="00B92CC3">
        <w:rPr>
          <w:szCs w:val="24"/>
        </w:rPr>
        <w:t xml:space="preserve"> buffer of 15–25% to effectively suppress severe </w:t>
      </w:r>
      <w:r w:rsidR="009F7E9F" w:rsidRPr="00B92CC3">
        <w:rPr>
          <w:szCs w:val="24"/>
        </w:rPr>
        <w:t>localized</w:t>
      </w:r>
      <w:r w:rsidRPr="00B92CC3">
        <w:rPr>
          <w:szCs w:val="24"/>
        </w:rPr>
        <w:t xml:space="preserve"> voltage fluctuations</w:t>
      </w:r>
      <w:r>
        <w:rPr>
          <w:szCs w:val="24"/>
        </w:rPr>
        <w:t xml:space="preserve"> </w:t>
      </w:r>
      <w:r w:rsidRPr="00B92CC3">
        <w:rPr>
          <w:szCs w:val="24"/>
        </w:rPr>
        <w:t>caused by sudden load increases from AI inference workloads and power-electronic harmonic distortion</w:t>
      </w:r>
      <w:r>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Pr>
          <w:szCs w:val="24"/>
        </w:rPr>
        <w:fldChar w:fldCharType="begin"/>
      </w:r>
      <w:r w:rsidR="00B73641">
        <w:rPr>
          <w:szCs w:val="24"/>
        </w:rPr>
        <w:instrText xml:space="preserve"> ADDIN ZOTERO_ITEM CSL_CITATION {"citationID":"VffnOBvN","properties":{"unsorted":false,"formattedCitation":"[85]","plainCitation":"[85]","noteIndex":0},"citationItems":[{"id":2031,"uris":["http://zotero.org/users/9870935/items/AC53WR7L"],"itemData":{"id":2031,"type":"article-journal","abstract":"The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B73641" w:rsidRPr="00B73641">
        <w:t>[84]</w:t>
      </w:r>
      <w:r>
        <w:rPr>
          <w:szCs w:val="24"/>
        </w:rPr>
        <w:fldChar w:fldCharType="end"/>
      </w:r>
      <w:r w:rsidRPr="00B92CC3">
        <w:rPr>
          <w:szCs w:val="24"/>
        </w:rPr>
        <w:t xml:space="preserve">. Despite the proven efficiency of diesel generators, they generate very high levels of nitrogen oxides (NOx) during routine testing, up to 12 metric tons per year per hyperscale facility, </w:t>
      </w:r>
      <w:r w:rsidRPr="00B92CC3">
        <w:rPr>
          <w:szCs w:val="24"/>
        </w:rPr>
        <w:lastRenderedPageBreak/>
        <w:t xml:space="preserve">which has a direct impact on urban air quality margins and increases the pace of reaching </w:t>
      </w:r>
      <w:r w:rsidR="009F7E9F" w:rsidRPr="00B92CC3">
        <w:rPr>
          <w:szCs w:val="24"/>
        </w:rPr>
        <w:t>localized</w:t>
      </w:r>
      <w:r w:rsidRPr="00B92CC3">
        <w:rPr>
          <w:szCs w:val="24"/>
        </w:rPr>
        <w:t xml:space="preserve"> greenhouse gas thresholds</w:t>
      </w:r>
      <w:r>
        <w:rPr>
          <w:szCs w:val="24"/>
        </w:rPr>
        <w:fldChar w:fldCharType="begin"/>
      </w:r>
      <w:r w:rsidR="00B73641">
        <w:rPr>
          <w:szCs w:val="24"/>
        </w:rPr>
        <w:instrText xml:space="preserve"> ADDIN ZOTERO_ITEM CSL_CITATION {"citationID":"MhrzpTJ3","properties":{"unsorted":false,"formattedCitation":"[86]","plainCitation":"[86]","noteIndex":0},"citationItems":[{"id":2032,"uris":["http://zotero.org/users/9870935/items/3SYSZCVP"],"itemData":{"id":2032,"type":"article","abstract":"This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Pr>
          <w:szCs w:val="24"/>
        </w:rPr>
        <w:fldChar w:fldCharType="separate"/>
      </w:r>
      <w:r w:rsidR="00B73641" w:rsidRPr="00B73641">
        <w:t>[85]</w:t>
      </w:r>
      <w:r>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also deliver fast-frequency ancillary services back to the main grid</w:t>
      </w:r>
      <w:r>
        <w:rPr>
          <w:szCs w:val="24"/>
        </w:rPr>
        <w:t>.</w:t>
      </w:r>
    </w:p>
    <w:p w14:paraId="0F0850E0" w14:textId="77777777" w:rsidR="00FE013C" w:rsidRDefault="00FE013C" w:rsidP="004C16FF">
      <w:pPr>
        <w:pStyle w:val="Heading2"/>
        <w:rPr>
          <w:color w:val="auto"/>
        </w:rPr>
      </w:pPr>
      <w:r>
        <w:rPr>
          <w:color w:val="auto"/>
        </w:rPr>
        <w:t>3.4. Cooling System Integration</w:t>
      </w:r>
    </w:p>
    <w:p w14:paraId="4D135C58" w14:textId="3A33368A" w:rsidR="00FE013C" w:rsidRPr="007D6A70" w:rsidRDefault="00FE013C" w:rsidP="00B73641">
      <w:pPr>
        <w:spacing w:after="120"/>
        <w:ind w:firstLine="480"/>
        <w:rPr>
          <w:szCs w:val="24"/>
        </w:rPr>
      </w:pPr>
      <w:r w:rsidRPr="007D6A70">
        <w:rPr>
          <w:szCs w:val="24"/>
        </w:rPr>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sidR="00B73641">
        <w:rPr>
          <w:szCs w:val="24"/>
        </w:rPr>
        <w:instrText xml:space="preserve"> ADDIN ZOTERO_ITEM CSL_CITATION {"citationID":"JmbelhlJ","properties":{"unsorted":false,"formattedCitation":"[87]","plainCitation":"[87]","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00B73641" w:rsidRPr="00B73641">
        <w:t>[86]</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Pr="00F36463">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BA2BA6">
        <w:t>[34]</w:t>
      </w:r>
      <w:r>
        <w:rPr>
          <w:szCs w:val="24"/>
        </w:rPr>
        <w:fldChar w:fldCharType="end"/>
      </w:r>
      <w:r w:rsidRPr="007D6A70">
        <w:rPr>
          <w:szCs w:val="24"/>
        </w:rPr>
        <w:t>.</w:t>
      </w:r>
    </w:p>
    <w:p w14:paraId="7ACA7F6F" w14:textId="2D8C6931" w:rsidR="00FE013C" w:rsidRDefault="00FE013C" w:rsidP="00B73641">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sidR="00B73641">
        <w:rPr>
          <w:szCs w:val="24"/>
        </w:rPr>
        <w:instrText xml:space="preserve"> ADDIN ZOTERO_ITEM CSL_CITATION {"citationID":"3wFuVfzc","properties":{"unsorted":false,"formattedCitation":"[88]","plainCitation":"[88]","noteIndex":0},"citationItems":[{"id":2036,"uris":["http://zotero.org/users/9870935/items/2KMJ9H69"],"itemData":{"id":2036,"type":"paper-conference","container-title":"2011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00B73641" w:rsidRPr="00B73641">
        <w:t>[87]</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sidR="00B73641">
        <w:rPr>
          <w:szCs w:val="24"/>
        </w:rPr>
        <w:instrText xml:space="preserve"> ADDIN ZOTERO_ITEM CSL_CITATION {"citationID":"z2ZjfPrB","properties":{"unsorted":false,"formattedCitation":"[89]","plainCitation":"[89]","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00B73641" w:rsidRPr="00B73641">
        <w:t>[88]</w:t>
      </w:r>
      <w:r>
        <w:rPr>
          <w:szCs w:val="24"/>
        </w:rPr>
        <w:fldChar w:fldCharType="end"/>
      </w:r>
      <w:r w:rsidRPr="007D6A70">
        <w:rPr>
          <w:szCs w:val="24"/>
        </w:rPr>
        <w:t>.</w:t>
      </w:r>
    </w:p>
    <w:p w14:paraId="4587B737" w14:textId="77777777" w:rsidR="00FE013C" w:rsidRDefault="00FE013C" w:rsidP="004C16FF">
      <w:pPr>
        <w:pStyle w:val="Heading2"/>
        <w:rPr>
          <w:color w:val="auto"/>
        </w:rPr>
      </w:pPr>
      <w:r>
        <w:rPr>
          <w:color w:val="auto"/>
        </w:rPr>
        <w:t>3.5. Power Quality and Harmonic Analysis</w:t>
      </w:r>
    </w:p>
    <w:p w14:paraId="028C966C" w14:textId="0EB85C05" w:rsidR="00FE013C" w:rsidRDefault="00FE013C" w:rsidP="00B73641">
      <w:pPr>
        <w:spacing w:after="120"/>
        <w:ind w:firstLine="480"/>
        <w:rPr>
          <w:szCs w:val="24"/>
        </w:rPr>
      </w:pPr>
      <w:r w:rsidRPr="00145C6F">
        <w:rPr>
          <w:szCs w:val="24"/>
        </w:rPr>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sidR="00B73641">
        <w:rPr>
          <w:szCs w:val="24"/>
        </w:rPr>
        <w:instrText xml:space="preserve"> ADDIN ZOTERO_ITEM CSL_CITATION {"citationID":"NUYFmlEf","properties":{"unsorted":false,"formattedCitation":"[90]","plainCitation":"[90]","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00B73641" w:rsidRPr="00B73641">
        <w:t>[89]</w:t>
      </w:r>
      <w:r>
        <w:rPr>
          <w:szCs w:val="24"/>
        </w:rPr>
        <w:fldChar w:fldCharType="end"/>
      </w:r>
      <w:r w:rsidRPr="00145C6F">
        <w:rPr>
          <w:szCs w:val="24"/>
        </w:rPr>
        <w:t>. According to IEEE 519-2022, the maximum allowed total harmonic distortion (THD) at the point of common coupling (PCC) is 5</w:t>
      </w:r>
      <w:r>
        <w:rPr>
          <w:szCs w:val="24"/>
        </w:rPr>
        <w:t>%</w:t>
      </w:r>
      <w:r w:rsidRPr="00145C6F">
        <w:rPr>
          <w:szCs w:val="24"/>
        </w:rPr>
        <w:t>, while the limits for the individual harmonics range from 3</w:t>
      </w:r>
      <w:r>
        <w:rPr>
          <w:szCs w:val="24"/>
        </w:rPr>
        <w:t xml:space="preserve">% </w:t>
      </w:r>
      <w:r w:rsidRPr="00145C6F">
        <w:rPr>
          <w:szCs w:val="24"/>
        </w:rPr>
        <w:t>for lower-order harmonics to lower limits for higher-order harmonics</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Passive filters (tuned LC circuits targeting specific 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sidR="00B73641">
        <w:rPr>
          <w:szCs w:val="24"/>
        </w:rPr>
        <w:instrText xml:space="preserve"> ADDIN ZOTERO_ITEM CSL_CITATION {"citationID":"Mv0Kakcm","properties":{"unsorted":false,"formattedCitation":"[91]","plainCitation":"[91]","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00B73641" w:rsidRPr="00B73641">
        <w:t>[90]</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sidR="00B73641">
        <w:rPr>
          <w:szCs w:val="24"/>
        </w:rPr>
        <w:instrText xml:space="preserve"> ADDIN ZOTERO_ITEM CSL_CITATION {"citationID":"pxV0xqgq","properties":{"unsorted":false,"formattedCitation":"[92]","plainCitation":"[92]","noteIndex":0},"citationItems":[{"id":2042,"uris":["http://zotero.org/users/9870935/items/PXUHJN77"],"itemData":{"id":2042,"type":"article-journal","abstract":"Advances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00B73641" w:rsidRPr="00B73641">
        <w:t>[91]</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
        <w:rPr>
          <w:color w:val="auto"/>
        </w:rPr>
      </w:pPr>
      <w:r>
        <w:rPr>
          <w:color w:val="auto"/>
        </w:rPr>
        <w:t>3.6. Metering and Monitoring Systems</w:t>
      </w:r>
    </w:p>
    <w:p w14:paraId="707AB882" w14:textId="25FD99CA" w:rsidR="00FE013C" w:rsidRPr="00B83856" w:rsidRDefault="00FE013C" w:rsidP="00B73641">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ensures real-time data foundation. Revenue-grade power meters are usually ANSI C12.20 Class 0.2 accurate and are used at key distribution points, such as utility interconnections, generator outputs, UPS inputs and outputs, and PDU feed circuits</w:t>
      </w:r>
      <w:r>
        <w:rPr>
          <w:szCs w:val="24"/>
        </w:rPr>
        <w:fldChar w:fldCharType="begin"/>
      </w:r>
      <w:r w:rsidR="00B73641">
        <w:rPr>
          <w:szCs w:val="24"/>
        </w:rPr>
        <w:instrText xml:space="preserve"> ADDIN ZOTERO_ITEM CSL_CITATION {"citationID":"auJULgbp","properties":{"unsorted":false,"formattedCitation":"[93]","plainCitation":"[93]","noteIndex":0},"citationItems":[{"id":2043,"uris":["http://zotero.org/users/9870935/items/S5A8TX2F"],"itemData":{"id":2043,"type":"paper-conference","container-title":"2007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00B73641" w:rsidRPr="00B73641">
        <w:t>[92]</w:t>
      </w:r>
      <w:r>
        <w:rPr>
          <w:szCs w:val="24"/>
        </w:rPr>
        <w:fldChar w:fldCharType="end"/>
      </w:r>
      <w:r w:rsidRPr="00B83856">
        <w:rPr>
          <w:szCs w:val="24"/>
        </w:rPr>
        <w:t xml:space="preserve">. Today's energy management systems (EMS) are designed to collect data from hundreds or thousands of </w:t>
      </w:r>
      <w:r w:rsidRPr="00B83856">
        <w:rPr>
          <w:szCs w:val="24"/>
        </w:rPr>
        <w:lastRenderedPageBreak/>
        <w:t xml:space="preserve">metering points, provide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sidR="00B73641">
        <w:rPr>
          <w:szCs w:val="24"/>
        </w:rPr>
        <w:instrText xml:space="preserve"> ADDIN ZOTERO_ITEM CSL_CITATION {"citationID":"ZVmq8j39","properties":{"unsorted":false,"formattedCitation":"[94]","plainCitation":"[94]","noteIndex":0},"citationItems":[{"id":2044,"uris":["http://zotero.org/users/9870935/items/6R3YK6PU"],"itemData":{"id":2044,"type":"article","abstract":"The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00B73641" w:rsidRPr="00B73641">
        <w:t>[93]</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sidR="00B73641">
        <w:rPr>
          <w:szCs w:val="24"/>
        </w:rPr>
        <w:instrText xml:space="preserve"> ADDIN ZOTERO_ITEM CSL_CITATION {"citationID":"yq9cwOWS","properties":{"unsorted":false,"formattedCitation":"[95]","plainCitation":"[95]","noteIndex":0},"citationItems":[{"id":2046,"uris":["http://zotero.org/users/9870935/items/P4BXZMCV"],"itemData":{"id":2046,"type":"article","abstract":"Data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00B73641" w:rsidRPr="00B73641">
        <w:t>[94]</w:t>
      </w:r>
      <w:r>
        <w:rPr>
          <w:szCs w:val="24"/>
        </w:rPr>
        <w:fldChar w:fldCharType="end"/>
      </w:r>
      <w:r w:rsidRPr="00B83856">
        <w:rPr>
          <w:szCs w:val="24"/>
        </w:rPr>
        <w:t>.</w:t>
      </w:r>
    </w:p>
    <w:p w14:paraId="2F054A70" w14:textId="77777777" w:rsidR="00FE013C" w:rsidRDefault="00FE013C" w:rsidP="004C16FF">
      <w:pPr>
        <w:pStyle w:val="Heading1"/>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
        <w:rPr>
          <w:color w:val="auto"/>
        </w:rPr>
      </w:pPr>
      <w:r>
        <w:rPr>
          <w:color w:val="auto"/>
        </w:rPr>
        <w:t>4.1. Solar Photovoltaic Systems</w:t>
      </w:r>
    </w:p>
    <w:p w14:paraId="38A09E75" w14:textId="0F1574EF" w:rsidR="00FE013C" w:rsidRPr="00C071A1" w:rsidRDefault="00FE013C" w:rsidP="004C16FF">
      <w:pPr>
        <w:spacing w:after="120"/>
        <w:ind w:firstLine="480"/>
      </w:pPr>
      <w:r w:rsidRPr="00C071A1">
        <w:t xml:space="preserve">PV is now the least expensive renewable energy option in most locations for data </w:t>
      </w:r>
      <w:r w:rsidR="00580BAE">
        <w:t>center</w:t>
      </w:r>
      <w:r w:rsidRPr="00C071A1">
        <w:t>s where the sun shines. Currently available monocrystalline modules in the commercial market have efficiencies of 20–23%, whereas high-efficiency modules with heterojunction (HJT) or tunnel oxide passivated contact (</w:t>
      </w:r>
      <w:proofErr w:type="spellStart"/>
      <w:r w:rsidRPr="00C071A1">
        <w:t>TOPCon</w:t>
      </w:r>
      <w:proofErr w:type="spellEnd"/>
      <w:r w:rsidRPr="00C071A1">
        <w:t>)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This downward cost trajectory is sustained by industry capacity, with IRENA’s latest 24/7 power analytics projecting an additional 30% reduction in firm solar-plus-storage configuration costs by 2030, eventually dipping beyond 40% by 2035</w:t>
      </w:r>
      <w:r>
        <w:fldChar w:fldCharType="begin"/>
      </w:r>
      <w:r>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fldChar w:fldCharType="separate"/>
      </w:r>
      <w:r w:rsidRPr="00BB1439">
        <w:t>[36]</w:t>
      </w:r>
      <w:r>
        <w:fldChar w:fldCharType="end"/>
      </w:r>
      <w:r w:rsidRPr="00C071A1">
        <w:t>.</w:t>
      </w:r>
    </w:p>
    <w:p w14:paraId="04EBC92C" w14:textId="2D28DB65" w:rsidR="00FE013C" w:rsidRDefault="00FE013C" w:rsidP="00B73641">
      <w:pPr>
        <w:spacing w:after="120"/>
        <w:ind w:firstLine="480"/>
      </w:pPr>
      <w:r w:rsidRPr="00C071A1">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rsidR="00B73641">
        <w:instrText xml:space="preserve"> ADDIN ZOTERO_ITEM CSL_CITATION {"citationID":"JNDExKFF","properties":{"unsorted":false,"formattedCitation":"[96]","plainCitation":"[96]","noteIndex":0},"citationItems":[{"id":2049,"uris":["http://zotero.org/users/9870935/items/HTQQE34D"],"itemData":{"id":2049,"type":"post-weblog","title":"National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B73641" w:rsidRPr="00B73641">
        <w:t>[95]</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rsidR="00B73641">
        <w:instrText xml:space="preserve"> ADDIN ZOTERO_ITEM CSL_CITATION {"citationID":"h6U7qzDb","properties":{"unsorted":false,"formattedCitation":"[96]","plainCitation":"[96]","noteIndex":0},"citationItems":[{"id":2049,"uris":["http://zotero.org/users/9870935/items/HTQQE34D"],"itemData":{"id":2049,"type":"post-weblog","title":"National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B73641" w:rsidRPr="00B73641">
        <w:t>[95]</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rsidR="00B73641">
        <w:instrText xml:space="preserve"> ADDIN ZOTERO_ITEM CSL_CITATION {"citationID":"XP0P73le","properties":{"unsorted":false,"formattedCitation":"[97]","plainCitation":"[97]","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00B73641" w:rsidRPr="00B73641">
        <w:t>[96]</w:t>
      </w:r>
      <w:r>
        <w:fldChar w:fldCharType="end"/>
      </w:r>
      <w:r w:rsidRPr="00C071A1">
        <w:t>.</w:t>
      </w:r>
      <w:r>
        <w:t xml:space="preserve"> </w:t>
      </w:r>
      <w:r w:rsidRPr="008447E1">
        <w:t>Table 2 compiles annual capacity factors and installed cost benchmarks across six U.S. regions, providing the site-specific input parameters needed to apply the framework's site assessment component (Component 1, Section 7.2).</w:t>
      </w:r>
    </w:p>
    <w:p w14:paraId="64914837" w14:textId="262D6A3D" w:rsidR="00FE013C" w:rsidRDefault="00FE013C" w:rsidP="004C16FF">
      <w:pPr>
        <w:pStyle w:val="Caption"/>
        <w:keepNext/>
      </w:pPr>
      <w:r>
        <w:t xml:space="preserve">Table </w:t>
      </w:r>
      <w:r>
        <w:fldChar w:fldCharType="begin"/>
      </w:r>
      <w:r>
        <w:instrText xml:space="preserve"> SEQ Table \* ARABIC </w:instrText>
      </w:r>
      <w:r>
        <w:fldChar w:fldCharType="separate"/>
      </w:r>
      <w:r w:rsidR="003A45CA">
        <w:rPr>
          <w:noProof/>
        </w:rPr>
        <w:t>2</w:t>
      </w:r>
      <w:r>
        <w:rPr>
          <w:noProof/>
        </w:rPr>
        <w:fldChar w:fldCharType="end"/>
      </w:r>
      <w:r>
        <w:t xml:space="preserve"> Solar PV capacity factors by U.S. region</w:t>
      </w:r>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lastRenderedPageBreak/>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77777777" w:rsidR="00FE013C" w:rsidRDefault="00FE013C" w:rsidP="004C16FF">
      <w:pPr>
        <w:spacing w:after="120"/>
        <w:ind w:firstLine="480"/>
      </w:pPr>
      <w:r w:rsidRPr="00BE68C7">
        <w:t>Fig. 3 traces the historical decline in solar PV installed costs from 2010 to 2026, demonstrating the 87–90% reduction in system costs that has made utility-scale solar the least-cost electricity generation source in most global markets.</w:t>
      </w:r>
    </w:p>
    <w:p w14:paraId="673A3CC7" w14:textId="77777777" w:rsidR="00FE013C" w:rsidRDefault="00FE013C" w:rsidP="00484A3A">
      <w:pPr>
        <w:keepNext/>
        <w:jc w:val="center"/>
      </w:pPr>
      <w:r w:rsidRPr="00D65F06">
        <w:rPr>
          <w:noProof/>
          <w:lang w:val="en-CA"/>
        </w:rPr>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0C9548CD" w:rsidR="00FE013C" w:rsidRDefault="00FE013C" w:rsidP="00484A3A">
      <w:pPr>
        <w:pStyle w:val="Caption"/>
        <w:jc w:val="center"/>
      </w:pPr>
      <w:r>
        <w:t xml:space="preserve">Figure </w:t>
      </w:r>
      <w:r>
        <w:fldChar w:fldCharType="begin"/>
      </w:r>
      <w:r>
        <w:instrText xml:space="preserve"> SEQ Figure \* ARABIC </w:instrText>
      </w:r>
      <w:r>
        <w:fldChar w:fldCharType="separate"/>
      </w:r>
      <w:r w:rsidR="00807110">
        <w:rPr>
          <w:noProof/>
        </w:rPr>
        <w:t>4</w:t>
      </w:r>
      <w:r>
        <w:rPr>
          <w:noProof/>
        </w:rPr>
        <w:fldChar w:fldCharType="end"/>
      </w:r>
      <w:r>
        <w:t xml:space="preserve"> </w:t>
      </w:r>
      <w:r w:rsidRPr="00B765D6">
        <w:t>Solar PV installed system cost decline (2010–2026), showing the 87–90% reduction from 2010 benchmarks</w:t>
      </w:r>
    </w:p>
    <w:p w14:paraId="22E24B31" w14:textId="77777777" w:rsidR="00FE013C" w:rsidRDefault="00FE013C" w:rsidP="004C16FF">
      <w:pPr>
        <w:pStyle w:val="Heading2"/>
        <w:rPr>
          <w:color w:val="auto"/>
        </w:rPr>
      </w:pPr>
      <w:r>
        <w:rPr>
          <w:color w:val="auto"/>
        </w:rPr>
        <w:t xml:space="preserve">4.2. </w:t>
      </w:r>
      <w:r w:rsidRPr="002068F4">
        <w:rPr>
          <w:color w:val="auto"/>
        </w:rPr>
        <w:t>Wind Energy Systems</w:t>
      </w:r>
    </w:p>
    <w:p w14:paraId="5E6B5B35" w14:textId="7C06539E" w:rsidR="00FE013C" w:rsidRDefault="00FE013C" w:rsidP="00B73641">
      <w:pPr>
        <w:spacing w:after="120"/>
        <w:ind w:firstLine="480"/>
      </w:pPr>
      <w:r>
        <w:t xml:space="preserve">Wind energy contributes to a complementary generation profile to solar PV, </w:t>
      </w:r>
      <w:r w:rsidRPr="00ED54A3">
        <w:t>as it is more productive during night-time hours and winter months when solar PV output is lowest</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fldChar w:fldCharType="begin"/>
      </w:r>
      <w:r w:rsidR="00B73641">
        <w:instrText xml:space="preserve"> ADDIN ZOTERO_ITEM CSL_CITATION {"citationID":"h6bmKIqm","properties":{"unsorted":false,"formattedCitation":"[98]","plainCitation":"[98]","noteIndex":0},"citationItems":[{"id":2051,"uris":["http://zotero.org/users/9870935/items/4VD6QWRZ"],"itemData":{"id":2051,"type":"article-journal","abstract":"Renewable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00B73641" w:rsidRPr="00B73641">
        <w:t>[97]</w:t>
      </w:r>
      <w:r>
        <w:fldChar w:fldCharType="end"/>
      </w:r>
      <w:r>
        <w:t>.</w:t>
      </w:r>
    </w:p>
    <w:p w14:paraId="5796FA3C" w14:textId="78B04CEC" w:rsidR="00FE013C" w:rsidRDefault="00FE013C" w:rsidP="00B73641">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rsidR="00B73641">
        <w:instrText xml:space="preserve"> ADDIN ZOTERO_ITEM CSL_CITATION {"citationID":"vGg2z3bh","properties":{"unsorted":false,"formattedCitation":"[99]","plainCitation":"[99]","noteIndex":0},"citationItems":[{"id":2054,"uris":["http://zotero.org/users/9870935/items/9TII72A6"],"itemData":{"id":2054,"type":"article","abstract":"Recent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00B73641" w:rsidRPr="00B73641">
        <w:t>[98]</w:t>
      </w:r>
      <w:r>
        <w:fldChar w:fldCharType="end"/>
      </w:r>
      <w:r>
        <w:t>.</w:t>
      </w:r>
    </w:p>
    <w:p w14:paraId="560AC4E9" w14:textId="77777777" w:rsidR="00FE013C" w:rsidRDefault="00FE013C" w:rsidP="004C16FF">
      <w:pPr>
        <w:pStyle w:val="Heading2"/>
        <w:rPr>
          <w:color w:val="auto"/>
        </w:rPr>
      </w:pPr>
      <w:r>
        <w:rPr>
          <w:color w:val="auto"/>
        </w:rPr>
        <w:t>4.3. Hydroelectric Power</w:t>
      </w:r>
    </w:p>
    <w:p w14:paraId="7630F4CF" w14:textId="6A30FF1E" w:rsidR="00FE013C" w:rsidRDefault="00FE013C" w:rsidP="004C16FF">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Pr="00095712">
        <w:t>[43]</w:t>
      </w:r>
      <w:r>
        <w:fldChar w:fldCharType="end"/>
      </w:r>
      <w:r>
        <w:t xml:space="preserve">. Reservoir-based systems provide storage </w:t>
      </w:r>
      <w:r>
        <w:lastRenderedPageBreak/>
        <w:t xml:space="preserve">capacity from </w:t>
      </w:r>
      <w:proofErr w:type="gramStart"/>
      <w:r>
        <w:t>days</w:t>
      </w:r>
      <w:proofErr w:type="gramEnd"/>
      <w:r>
        <w:t xml:space="preserve"> to </w:t>
      </w:r>
      <w:proofErr w:type="gramStart"/>
      <w:r>
        <w:t>months</w:t>
      </w:r>
      <w:proofErr w:type="gramEnd"/>
      <w:r>
        <w:t xml:space="preserve"> and thus can provide firming capacity for variable renewables. The largest technology for grid-scale energy storage is pumped storage hydropower (PSH), which now makes up approximately 95% of the installed storage worldwide and has a round-trip efficiency between 70% and 85%</w:t>
      </w:r>
      <w:r>
        <w:fldChar w:fldCharType="begin"/>
      </w:r>
      <w:r>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Pr="001623F2">
        <w:t>[44]</w:t>
      </w:r>
      <w:r>
        <w:fldChar w:fldCharType="end"/>
      </w:r>
      <w:r>
        <w:t>.</w:t>
      </w:r>
    </w:p>
    <w:p w14:paraId="4F2CA50E" w14:textId="4B8B96EF" w:rsidR="00FE013C" w:rsidRDefault="00FE013C" w:rsidP="00B73641">
      <w:pPr>
        <w:spacing w:after="120"/>
        <w:ind w:firstLine="480"/>
      </w:pPr>
      <w:r>
        <w:t xml:space="preserve">Hydro is not scalable for data </w:t>
      </w:r>
      <w:r w:rsidR="00580BAE">
        <w:t>center</w:t>
      </w:r>
      <w:r>
        <w:t xml:space="preserve"> applications, primarily due to geographic constraints. The geomorphic conditions required for developing new PSH include a large vertical difference in elevation between the upper and lower reservoirs, the presence of a data </w:t>
      </w:r>
      <w:r w:rsidR="00580BAE">
        <w:t>center</w:t>
      </w:r>
      <w:r>
        <w:t xml:space="preserve"> load </w:t>
      </w:r>
      <w:r w:rsidR="00580BAE">
        <w:t>center</w:t>
      </w:r>
      <w:r>
        <w:t>, and availability of water. New hydroelectric developments can take 5 to 10 years to obtain environmental permits, and the requirements are complex, covering impacts to aquatic ecosystems, recreational use, and recreational values</w:t>
      </w:r>
      <w:r>
        <w:fldChar w:fldCharType="begin"/>
      </w:r>
      <w:r w:rsidR="00B73641">
        <w:instrText xml:space="preserve"> ADDIN ZOTERO_ITEM CSL_CITATION {"citationID":"dA9ckfvX","properties":{"unsorted":false,"formattedCitation":"[100]","plainCitation":"[100]","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fldChar w:fldCharType="separate"/>
      </w:r>
      <w:r w:rsidR="00B73641" w:rsidRPr="00B73641">
        <w:t>[99]</w:t>
      </w:r>
      <w:r>
        <w:fldChar w:fldCharType="end"/>
      </w:r>
      <w:r>
        <w:t xml:space="preserve">. However, current PSH facilities are an </w:t>
      </w:r>
      <w:r w:rsidR="00580BAE">
        <w:t>underutilized</w:t>
      </w:r>
      <w:r>
        <w:t xml:space="preserve"> asset in data </w:t>
      </w:r>
      <w:r w:rsidR="00580BAE">
        <w:t>center</w:t>
      </w:r>
      <w:r>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
        <w:rPr>
          <w:color w:val="auto"/>
        </w:rPr>
      </w:pPr>
      <w:r>
        <w:rPr>
          <w:color w:val="auto"/>
        </w:rPr>
        <w:t xml:space="preserve">4.4. Resource Assessment </w:t>
      </w:r>
      <w:r w:rsidRPr="00180833">
        <w:rPr>
          <w:color w:val="auto"/>
        </w:rPr>
        <w:t>Methodologies</w:t>
      </w:r>
    </w:p>
    <w:p w14:paraId="63DE7BF5" w14:textId="091F38DD" w:rsidR="00FE013C" w:rsidRPr="00F432AD" w:rsidRDefault="00FE013C" w:rsidP="00B73641">
      <w:pPr>
        <w:spacing w:after="120"/>
        <w:ind w:firstLine="480"/>
      </w:pPr>
      <w:r w:rsidRPr="00F432AD">
        <w:t xml:space="preserve">Proper resource assessment is the backbone of economic success for renewable-powered data </w:t>
      </w:r>
      <w:r w:rsidR="00580BAE">
        <w:t>center</w:t>
      </w:r>
      <w:r w:rsidRPr="00F432AD">
        <w:t xml:space="preserve">s. Solar irradiance data have been drawn from databases derived from satellite observations, including the Global Solar Atlas generated by the World Bank (WB), PVGIS [93] generated by the European Commission Joint Research </w:t>
      </w:r>
      <w:r w:rsidR="00580BAE">
        <w:t>Center</w:t>
      </w:r>
      <w:r w:rsidRPr="00F432AD">
        <w:t xml:space="preserve"> (JRC), and ground-station measurements from networks such as the National Solar Radiation Database (NSRDB) by NREL</w:t>
      </w:r>
      <w:r>
        <w:fldChar w:fldCharType="begin"/>
      </w:r>
      <w:r w:rsidR="00B73641">
        <w:instrText xml:space="preserve"> ADDIN ZOTERO_ITEM CSL_CITATION {"citationID":"IvpZO7M8","properties":{"unsorted":false,"formattedCitation":"[101]","plainCitation":"[101]","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00B73641" w:rsidRPr="00B73641">
        <w:t>[100]</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rsidR="00B73641">
        <w:instrText xml:space="preserve"> ADDIN ZOTERO_ITEM CSL_CITATION {"citationID":"kk3W6zUf","properties":{"unsorted":false,"formattedCitation":"[102]","plainCitation":"[102]","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00B73641" w:rsidRPr="00B73641">
        <w:t>[101]</w:t>
      </w:r>
      <w:r>
        <w:fldChar w:fldCharType="end"/>
      </w:r>
      <w:r w:rsidRPr="00F432AD">
        <w:t>.</w:t>
      </w:r>
    </w:p>
    <w:p w14:paraId="694640BD" w14:textId="60508736" w:rsidR="00FE013C" w:rsidRPr="00F432AD" w:rsidRDefault="00FE013C" w:rsidP="00B73641">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rsidR="00B73641">
        <w:instrText xml:space="preserve"> ADDIN ZOTERO_ITEM CSL_CITATION {"citationID":"NqfWsidk","properties":{"unsorted":false,"formattedCitation":"[103]","plainCitation":"[103]","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00B73641" w:rsidRPr="00B73641">
        <w:t>[102]</w:t>
      </w:r>
      <w:r>
        <w:fldChar w:fldCharType="end"/>
      </w:r>
      <w:r w:rsidRPr="00F432AD">
        <w:t>. These machine learning techniques have improved the GIS-based assessment by allowing for automated selection of the best sites from large geospatial datasets, potentially saving time and money in preliminary feasibility studies</w:t>
      </w:r>
      <w:r>
        <w:fldChar w:fldCharType="begin"/>
      </w:r>
      <w:r w:rsidR="00B73641">
        <w:instrText xml:space="preserve"> ADDIN ZOTERO_ITEM CSL_CITATION {"citationID":"XsHnBnNn","properties":{"unsorted":false,"formattedCitation":"[104]","plainCitation":"[104]","noteIndex":0},"citationItems":[{"id":2059,"uris":["http://zotero.org/users/9870935/items/JGZPYJ4A"],"itemData":{"id":2059,"type":"article-journal","abstract":"ABSTRACT\n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00B73641" w:rsidRPr="00B73641">
        <w:t>[103]</w:t>
      </w:r>
      <w:r>
        <w:fldChar w:fldCharType="end"/>
      </w:r>
      <w:r w:rsidRPr="00F432AD">
        <w:t>.</w:t>
      </w:r>
    </w:p>
    <w:p w14:paraId="472E9197" w14:textId="77777777" w:rsidR="00FE013C" w:rsidRDefault="00FE013C" w:rsidP="004C16FF">
      <w:pPr>
        <w:pStyle w:val="Heading2"/>
        <w:rPr>
          <w:color w:val="auto"/>
        </w:rPr>
      </w:pPr>
      <w:r>
        <w:rPr>
          <w:color w:val="auto"/>
        </w:rPr>
        <w:t>4.5. Geographic Variability and Seasonal Patterns</w:t>
      </w:r>
    </w:p>
    <w:p w14:paraId="50579766" w14:textId="2D52B480" w:rsidR="001B74A6" w:rsidRPr="001B74A6" w:rsidRDefault="00FE013C" w:rsidP="007D29E8">
      <w:pPr>
        <w:spacing w:after="120"/>
        <w:ind w:firstLine="480"/>
        <w:rPr>
          <w:highlight w:val="yellow"/>
          <w:lang w:val="en-CA"/>
        </w:rPr>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rsidR="00B73641">
        <w:instrText xml:space="preserve"> ADDIN ZOTERO_ITEM CSL_CITATION {"citationID":"OfkCYwiH","properties":{"unsorted":false,"formattedCitation":"[105]","plainCitation":"[105]","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00B73641" w:rsidRPr="00B73641">
        <w:t>[104]</w:t>
      </w:r>
      <w:r>
        <w:fldChar w:fldCharType="end"/>
      </w:r>
      <w:r w:rsidRPr="00F07E08">
        <w:t xml:space="preserve">. Wind generation has also been observed to have varying temporal characteristics, in most mid-latitude regions, wind energy tends to be higher at night and through the winter season, </w:t>
      </w:r>
      <w:proofErr w:type="gramStart"/>
      <w:r w:rsidRPr="00F07E08">
        <w:t>so as to</w:t>
      </w:r>
      <w:proofErr w:type="gramEnd"/>
      <w:r w:rsidRPr="00F07E08">
        <w:t xml:space="preserve"> complement solar energy.</w:t>
      </w:r>
      <w:r>
        <w:t xml:space="preserve"> </w:t>
      </w:r>
      <w:r w:rsidR="001B74A6" w:rsidRPr="001B74A6">
        <w:rPr>
          <w:highlight w:val="yellow"/>
          <w:lang w:val="en-CA"/>
        </w:rPr>
        <w:t xml:space="preserve">Figure 5 illustrates the seasonal complementarity that may exist between wind and solar generation. In many regions, wind generation tends to be higher during periods when solar generation is reduced, particularly during winter months and nighttime hours. This complementary behavior can reduce aggregate renewable-generation variability; however, the magnitude of the benefit depends on location, climate conditions, temporal resolution, resource quality, and geographic diversity </w:t>
      </w:r>
      <w:r w:rsidR="001B74A6">
        <w:rPr>
          <w:highlight w:val="yellow"/>
          <w:lang w:val="en-CA"/>
        </w:rPr>
        <w:fldChar w:fldCharType="begin"/>
      </w:r>
      <w:r w:rsidR="007D29E8">
        <w:rPr>
          <w:highlight w:val="yellow"/>
          <w:lang w:val="en-CA"/>
        </w:rPr>
        <w:instrText xml:space="preserve"> ADDIN ZOTERO_ITEM CSL_CITATION {"citationID":"PkWcZCmf","properties":{"unsorted":false,"formattedCitation":"[20],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7D29E8" w:rsidRPr="007D29E8">
        <w:rPr>
          <w:highlight w:val="yellow"/>
          <w:lang w:val="en-CA"/>
        </w:rPr>
        <w:t>[20], [105], [106]</w:t>
      </w:r>
      <w:r w:rsidR="001B74A6">
        <w:rPr>
          <w:highlight w:val="yellow"/>
          <w:lang w:val="en-CA"/>
        </w:rPr>
        <w:fldChar w:fldCharType="end"/>
      </w:r>
      <w:r w:rsidR="001B74A6">
        <w:rPr>
          <w:lang w:val="en-CA"/>
        </w:rPr>
        <w:t>.</w:t>
      </w:r>
    </w:p>
    <w:p w14:paraId="2D08FD41" w14:textId="439042B2" w:rsidR="00FE013C" w:rsidRPr="006A4FAE" w:rsidRDefault="006A4FAE" w:rsidP="006A4FAE">
      <w:pPr>
        <w:spacing w:after="120"/>
        <w:ind w:firstLine="480"/>
        <w:rPr>
          <w:lang w:val="en-CA"/>
        </w:rPr>
      </w:pPr>
      <w:r w:rsidRPr="006A4FAE">
        <w:rPr>
          <w:noProof/>
          <w:lang w:val="en-CA"/>
        </w:rPr>
        <w:lastRenderedPageBreak/>
        <w:drawing>
          <wp:inline distT="0" distB="0" distL="0" distR="0" wp14:anchorId="7BC8964F" wp14:editId="2B77D325">
            <wp:extent cx="6192520" cy="2647950"/>
            <wp:effectExtent l="0" t="0" r="0" b="0"/>
            <wp:docPr id="7438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613" b="23242"/>
                    <a:stretch>
                      <a:fillRect/>
                    </a:stretch>
                  </pic:blipFill>
                  <pic:spPr bwMode="auto">
                    <a:xfrm>
                      <a:off x="0" y="0"/>
                      <a:ext cx="619252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CE86E78" w14:textId="6A7F29EA" w:rsidR="00FE013C" w:rsidRDefault="00FE013C" w:rsidP="00E17344">
      <w:pPr>
        <w:pStyle w:val="Caption"/>
        <w:jc w:val="center"/>
      </w:pPr>
      <w:r>
        <w:t xml:space="preserve">Figure </w:t>
      </w:r>
      <w:r>
        <w:fldChar w:fldCharType="begin"/>
      </w:r>
      <w:r>
        <w:instrText xml:space="preserve"> SEQ Figure \* ARABIC </w:instrText>
      </w:r>
      <w:r>
        <w:fldChar w:fldCharType="separate"/>
      </w:r>
      <w:r w:rsidR="00807110">
        <w:rPr>
          <w:noProof/>
        </w:rPr>
        <w:t>5</w:t>
      </w:r>
      <w:r>
        <w:rPr>
          <w:noProof/>
        </w:rPr>
        <w:fldChar w:fldCharType="end"/>
      </w:r>
      <w:r>
        <w:t xml:space="preserve"> </w:t>
      </w:r>
      <w:r w:rsidR="006A4FAE">
        <w:t>Seasonal complementarity between wind and solar generation</w:t>
      </w:r>
    </w:p>
    <w:p w14:paraId="62D4BD41" w14:textId="54DDA314" w:rsidR="001B74A6" w:rsidRPr="001B74A6" w:rsidRDefault="00FE013C" w:rsidP="007D29E8">
      <w:pPr>
        <w:spacing w:after="120"/>
        <w:ind w:firstLine="480"/>
        <w:rPr>
          <w:lang w:val="en-CA"/>
        </w:rPr>
      </w:pPr>
      <w:r w:rsidRPr="00F07E08">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rsidR="007D29E8">
        <w:instrText xml:space="preserve"> ADDIN ZOTERO_ITEM CSL_CITATION {"citationID":"anSnTjMg","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7D29E8" w:rsidRPr="007D29E8">
        <w:t>[105]</w:t>
      </w:r>
      <w:r>
        <w:fldChar w:fldCharType="end"/>
      </w:r>
      <w:r w:rsidRPr="00F07E08">
        <w:t xml:space="preserve">. In data </w:t>
      </w:r>
      <w:r w:rsidR="00580BAE">
        <w:t>center</w:t>
      </w:r>
      <w:r w:rsidRPr="00F07E08">
        <w:t xml:space="preserve"> applications, this redundancy provides direct benefits in terms of reduced storage space and system costs. </w:t>
      </w:r>
      <w:r w:rsidR="001B74A6" w:rsidRPr="001B74A6">
        <w:rPr>
          <w:highlight w:val="yellow"/>
          <w:lang w:val="en-CA"/>
        </w:rPr>
        <w:t>For data-center applications, wind-solar complementarity may reduce renewable-generation variability and improve renewable-energy utilization. However, any reduction in storage requirements must be quantified using chronological, site-specific renewable-resource and load data rather than assumed from a universal percentage</w:t>
      </w:r>
      <w:r w:rsidR="001B74A6">
        <w:rPr>
          <w:highlight w:val="yellow"/>
          <w:lang w:val="en-CA"/>
        </w:rPr>
        <w:fldChar w:fldCharType="begin"/>
      </w:r>
      <w:r w:rsidR="007D29E8">
        <w:rPr>
          <w:highlight w:val="yellow"/>
          <w:lang w:val="en-CA"/>
        </w:rPr>
        <w:instrText xml:space="preserve"> ADDIN ZOTERO_ITEM CSL_CITATION {"citationID":"jn0yMYkC","properties":{"unsorted":false,"formattedCitation":"[20],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7D29E8" w:rsidRPr="007D29E8">
        <w:rPr>
          <w:highlight w:val="yellow"/>
          <w:lang w:val="en-CA"/>
        </w:rPr>
        <w:t>[20], [105], [106]</w:t>
      </w:r>
      <w:r w:rsidR="001B74A6">
        <w:rPr>
          <w:highlight w:val="yellow"/>
          <w:lang w:val="en-CA"/>
        </w:rPr>
        <w:fldChar w:fldCharType="end"/>
      </w:r>
      <w:r w:rsidR="001B74A6">
        <w:rPr>
          <w:lang w:val="en-CA"/>
        </w:rPr>
        <w:t>.</w:t>
      </w:r>
    </w:p>
    <w:p w14:paraId="17BFC632" w14:textId="166D506A" w:rsidR="00FE013C" w:rsidRDefault="00FE013C" w:rsidP="001B74A6">
      <w:pPr>
        <w:pStyle w:val="Heading1"/>
        <w:spacing w:after="120"/>
        <w:ind w:firstLine="480"/>
        <w:rPr>
          <w:color w:val="auto"/>
        </w:rPr>
      </w:pPr>
      <w:r>
        <w:rPr>
          <w:color w:val="auto"/>
          <w:lang w:eastAsia="zh-CN"/>
        </w:rPr>
        <w:t xml:space="preserve">5. </w:t>
      </w:r>
      <w:r>
        <w:rPr>
          <w:color w:val="auto"/>
        </w:rPr>
        <w:t>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
        <w:rPr>
          <w:color w:val="auto"/>
        </w:rPr>
      </w:pPr>
      <w:r>
        <w:rPr>
          <w:color w:val="auto"/>
        </w:rPr>
        <w:t>5.1. Lithium-Ion Battery Systems</w:t>
      </w:r>
    </w:p>
    <w:p w14:paraId="31E956DA" w14:textId="2BEF2D69" w:rsidR="00FE013C" w:rsidRDefault="00FE013C" w:rsidP="007D29E8">
      <w:pPr>
        <w:spacing w:after="120"/>
        <w:ind w:firstLine="480"/>
      </w:pPr>
      <w:r w:rsidRPr="00ED11B4">
        <w:t xml:space="preserve">The cost of lithium-ion battery technology has dropped dramatically, changing the economics of integrating renewable energy. </w:t>
      </w:r>
      <w:proofErr w:type="spellStart"/>
      <w:r w:rsidRPr="00D75763">
        <w:t>BloombergNEF</w:t>
      </w:r>
      <w:proofErr w:type="spellEnd"/>
      <w:r w:rsidRPr="00D75763">
        <w:t xml:space="preserve"> has reported that utility-scale lithium-ion battery pack prices have declined sharply, from approximately $300/kWh in 2020 to $108/kWh in 2025 at the pack level, with </w:t>
      </w:r>
      <w:r w:rsidR="00963C91" w:rsidRPr="00963C91">
        <w:rPr>
          <w:lang w:val="en-CA"/>
        </w:rPr>
        <w:t>Chinese cell-level prices falling below USD 65/kWh at the cell-manufacturing level, compared with a global volume-weighted average battery-pack price of approximately USD 108/kWh in 2025</w:t>
      </w:r>
      <w:r w:rsidR="00963C91">
        <w:rPr>
          <w:lang w:val="en-CA"/>
        </w:rP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rsidR="007D29E8">
        <w:instrText xml:space="preserve"> ADDIN ZOTERO_ITEM CSL_CITATION {"citationID":"RqYr9QXe","properties":{"unsorted":false,"formattedCitation":"[108]","plainCitation":"[108]","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007D29E8" w:rsidRPr="007D29E8">
        <w:t>[107]</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rsidR="007D29E8">
        <w:instrText xml:space="preserve"> ADDIN ZOTERO_ITEM CSL_CITATION {"citationID":"KdpfBvot","properties":{"unsorted":false,"formattedCitation":"[109]","plainCitation":"[109]","noteIndex":0},"citationItems":[{"id":2068,"uris":["http://zotero.org/users/9870935/items/M4LNHX4F"],"itemData":{"id":2068,"type":"post-weblog","title":"Battery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007D29E8" w:rsidRPr="007D29E8">
        <w:t>[108]</w:t>
      </w:r>
      <w:r>
        <w:fldChar w:fldCharType="end"/>
      </w:r>
      <w:r w:rsidRPr="00ED11B4">
        <w:t>.</w:t>
      </w:r>
    </w:p>
    <w:p w14:paraId="5FB5AE81" w14:textId="77777777" w:rsidR="00FE013C" w:rsidRPr="00ED11B4" w:rsidRDefault="00FE013C" w:rsidP="004C16FF">
      <w:pPr>
        <w:spacing w:after="120"/>
        <w:ind w:firstLine="480"/>
      </w:pPr>
      <w:r w:rsidRPr="00ED11B4">
        <w:lastRenderedPageBreak/>
        <w:t>The key factors for battery chemistry selection are cost, energy density, cycle life, safety, and thermal management requirements. Owing to its excellent safety (no thermal runaway risk), long cycle life of over 4,000 cycles at 80% depth of discharge, and lower cost because it eliminates the use of cobalt and nickel, LFP (lithium iron phosphate) has become the predominant chemistry for stationary storage applications</w:t>
      </w:r>
      <w:r>
        <w:fldChar w:fldCharType="begin"/>
      </w:r>
      <w:r>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Pr="00F9103B">
        <w:t>[45]</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Pr="00B138D4">
        <w:t>[46]</w:t>
      </w:r>
      <w:r>
        <w:fldChar w:fldCharType="end"/>
      </w:r>
      <w:r w:rsidRPr="00ED11B4">
        <w:t>.</w:t>
      </w:r>
    </w:p>
    <w:p w14:paraId="57F46560" w14:textId="6AA85B29" w:rsidR="00FE013C" w:rsidRPr="00ED11B4" w:rsidRDefault="00FE013C" w:rsidP="00B73641">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 degrees °C) and to avoid accelerated degradation. Battery aging happens in two ways: calendar aging, which runs whether or not the battery is used, and cycle aging, which depends on how much charge or discharge the battery has experienced and at what rate</w:t>
      </w:r>
      <w:r>
        <w:fldChar w:fldCharType="begin"/>
      </w:r>
      <w:r w:rsidR="00B73641">
        <w:instrText xml:space="preserve"> ADDIN ZOTERO_ITEM CSL_CITATION {"citationID":"kxRlR2kx","properties":{"unsorted":false,"formattedCitation":"[71]","plainCitation":"[71]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00B73641" w:rsidRPr="00B73641">
        <w:t>[70]</w:t>
      </w:r>
      <w:r>
        <w:fldChar w:fldCharType="end"/>
      </w:r>
      <w:r w:rsidRPr="00ED11B4">
        <w:t>. Limiting the depth of discharge to 50</w:t>
      </w:r>
      <w:r>
        <w:t xml:space="preserve">% </w:t>
      </w:r>
      <w:r w:rsidRPr="00ED11B4">
        <w:t>has been shown to approximately double the cycle life; therefore, the use of larger systems than the nominal capacity requirements can enhance the overall battery system economics of their operation over time, despite the higher up-front capital costs</w:t>
      </w:r>
      <w:r>
        <w:fldChar w:fldCharType="begin"/>
      </w:r>
      <w:r w:rsidR="00B73641">
        <w:instrText xml:space="preserve"> ADDIN ZOTERO_ITEM CSL_CITATION {"citationID":"Amui7OjS","properties":{"unsorted":false,"formattedCitation":"[72]","plainCitation":"[72]","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B73641" w:rsidRPr="00B73641">
        <w:t>[71]</w:t>
      </w:r>
      <w:r>
        <w:fldChar w:fldCharType="end"/>
      </w:r>
      <w:r w:rsidRPr="00ED11B4">
        <w:t>.</w:t>
      </w:r>
    </w:p>
    <w:p w14:paraId="55E1FDE6" w14:textId="77777777" w:rsidR="00FE013C" w:rsidRDefault="00FE013C" w:rsidP="004C16FF">
      <w:pPr>
        <w:pStyle w:val="Heading2"/>
        <w:rPr>
          <w:color w:val="auto"/>
        </w:rPr>
      </w:pPr>
      <w:r>
        <w:rPr>
          <w:color w:val="auto"/>
        </w:rPr>
        <w:t>5.2. Advanced Storage Technologies</w:t>
      </w:r>
    </w:p>
    <w:p w14:paraId="59D63B37" w14:textId="77777777" w:rsidR="00FE013C" w:rsidRPr="002C0C00" w:rsidRDefault="00FE013C" w:rsidP="004C16FF">
      <w:pPr>
        <w:spacing w:after="120"/>
        <w:ind w:firstLine="480"/>
      </w:pPr>
      <w:r w:rsidRPr="002C0C00">
        <w:t>One of the primary challenges associated with lithium-ion batteries is that they become cost-prohibitive for extended periods of storage, where long-duration energy storage (LDES) technologies come into play. Vanadium redox flow batteries (VRFBs) have been developed with independent power and energy scaling, with a cycle life of 20,000 cycles and very little degradation over time</w:t>
      </w:r>
      <w:r>
        <w:fldChar w:fldCharType="begin"/>
      </w:r>
      <w:r>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fldChar w:fldCharType="separate"/>
      </w:r>
      <w:r w:rsidRPr="00E20CA4">
        <w:t>[47]</w:t>
      </w:r>
      <w:r>
        <w:fldChar w:fldCharType="end"/>
      </w:r>
      <w:r w:rsidRPr="002C0C00">
        <w:t>. VRFB systems have already been commercially used at scales larger than 10 MWh, and the main drawback is the relatively high initial cost, although costs are decreasing as the scale of manufacturing increases.</w:t>
      </w:r>
    </w:p>
    <w:p w14:paraId="0AAAA4F2" w14:textId="7638D84A" w:rsidR="00FE013C" w:rsidRPr="002C0C00" w:rsidRDefault="00FE013C" w:rsidP="007D29E8">
      <w:pPr>
        <w:spacing w:after="120"/>
        <w:ind w:firstLine="480"/>
      </w:pPr>
      <w:r w:rsidRPr="002C0C00">
        <w:t xml:space="preserve">Form Energy's iron-air battery is one of the technologies that could </w:t>
      </w:r>
      <w:proofErr w:type="spellStart"/>
      <w:r w:rsidRPr="002C0C00">
        <w:t>revolutionise</w:t>
      </w:r>
      <w:proofErr w:type="spellEnd"/>
      <w:r w:rsidRPr="002C0C00">
        <w:t xml:space="preserve"> ultra-long-duration storage. The technology employs a large amount of cheap materials (iron, water, air) to meet storage costs of $20 per kWh, whereas lithium-ion costing is targeted at $100 to $150 per kWh</w:t>
      </w:r>
      <w:r>
        <w:fldChar w:fldCharType="begin"/>
      </w:r>
      <w:r w:rsidR="007D29E8">
        <w:instrText xml:space="preserve"> ADDIN ZOTERO_ITEM CSL_CITATION {"citationID":"IwjNu9hX","properties":{"unsorted":false,"formattedCitation":"[110]","plainCitation":"[110]","noteIndex":0},"citationItems":[{"id":1985,"uris":["http://zotero.org/users/9870935/items/58URKSK2"],"itemData":{"id":1985,"type":"book","abstract":"This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fldChar w:fldCharType="separate"/>
      </w:r>
      <w:r w:rsidR="007D29E8" w:rsidRPr="007D29E8">
        <w:t>[109]</w:t>
      </w:r>
      <w:r>
        <w:fldChar w:fldCharType="end"/>
      </w:r>
      <w:r w:rsidRPr="002C0C00">
        <w:t xml:space="preserve">. The data </w:t>
      </w:r>
      <w:r w:rsidR="00580BAE">
        <w:t>center</w:t>
      </w:r>
      <w:r w:rsidRPr="002C0C00">
        <w:t xml:space="preserve"> sector is interested in long-duration storage, and a company has inked 12 GWh worth of multi-day iron-air batteries to new U.S. AI data </w:t>
      </w:r>
      <w:r w:rsidR="00580BAE">
        <w:t>center</w:t>
      </w:r>
      <w:r w:rsidRPr="002C0C00">
        <w:t>s</w:t>
      </w:r>
      <w:r>
        <w:t xml:space="preserve"> </w:t>
      </w:r>
      <w:r>
        <w:fldChar w:fldCharType="begin"/>
      </w:r>
      <w:r w:rsidR="007D29E8">
        <w:instrText xml:space="preserve"> ADDIN ZOTERO_ITEM CSL_CITATION {"citationID":"7kVGcOlZ","properties":{"unsorted":false,"formattedCitation":"[111]","plainCitation":"[111]","noteIndex":0},"citationItems":[{"id":2072,"uris":["http://zotero.org/users/9870935/items/EET8N7XP"],"itemData":{"id":2072,"type":"article","abstract":"Deep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fldChar w:fldCharType="separate"/>
      </w:r>
      <w:r w:rsidR="007D29E8" w:rsidRPr="007D29E8">
        <w:t>[110]</w:t>
      </w:r>
      <w:r>
        <w:fldChar w:fldCharType="end"/>
      </w:r>
      <w:r w:rsidRPr="002C0C00">
        <w:t xml:space="preserve">. </w:t>
      </w:r>
      <w:r w:rsidRPr="00530F71">
        <w:t>Iron-air batteries achieve a round-trip efficiency of approximately 40%, which is lower than lithium-ion (85–95%) but acceptable given their dramatically lower cost and the availability of curtailed renewable energy for low-efficiency charging cycles</w:t>
      </w:r>
      <w:r w:rsidRPr="002C0C00">
        <w:t>.</w:t>
      </w:r>
    </w:p>
    <w:p w14:paraId="4F8683F9" w14:textId="2FFBCB78" w:rsidR="00FE013C" w:rsidRPr="002C0C00" w:rsidRDefault="00FE013C" w:rsidP="007D29E8">
      <w:pPr>
        <w:spacing w:after="120"/>
        <w:ind w:firstLine="480"/>
      </w:pPr>
      <w:r w:rsidRPr="002C0C00">
        <w:t xml:space="preserve">Hydrogen fuel cells and green hydrogen storage provide the widest range of storage durations, from weeks to months, enabling seasonal energy shifting that is not feasible with battery technologies. A hydrogen fuel cell backup power system with a capacity of 3 MW was demonstrated by Microsoft at its data </w:t>
      </w:r>
      <w:r w:rsidR="00580BAE">
        <w:t>center</w:t>
      </w:r>
      <w:r w:rsidRPr="002C0C00">
        <w:t>, running for 48+ hours using hydrogen fuel</w:t>
      </w:r>
      <w:r>
        <w:fldChar w:fldCharType="begin"/>
      </w:r>
      <w:r w:rsidR="007D29E8">
        <w:instrText xml:space="preserve"> ADDIN ZOTERO_ITEM CSL_CITATION {"citationID":"Lqa6b4Sx","properties":{"unsorted":false,"formattedCitation":"[112]","plainCitation":"[112]","noteIndex":0},"citationItems":[{"id":2074,"uris":["http://zotero.org/users/9870935/items/55X6H6ID"],"itemData":{"id":2074,"type":"article-journal","abstract":"The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fldChar w:fldCharType="separate"/>
      </w:r>
      <w:r w:rsidR="007D29E8" w:rsidRPr="007D29E8">
        <w:t>[111]</w:t>
      </w:r>
      <w:r>
        <w:fldChar w:fldCharType="end"/>
      </w:r>
      <w:r w:rsidRPr="002C0C00">
        <w:t>. However, the round-trip efficiency of the hydrogen pathway is approximately 30–40%, as opposed to 85–95</w:t>
      </w:r>
      <w:r>
        <w:t xml:space="preserve">% </w:t>
      </w:r>
      <w:r w:rsidRPr="002C0C00">
        <w:t>for lithium-ion batteries</w:t>
      </w:r>
      <w:r>
        <w:fldChar w:fldCharType="begin"/>
      </w:r>
      <w:r w:rsidR="007D29E8">
        <w:instrText xml:space="preserve"> ADDIN ZOTERO_ITEM CSL_CITATION {"citationID":"wSvLouuX","properties":{"unsorted":false,"formattedCitation":"[113]","plainCitation":"[113]","noteIndex":0},"citationItems":[{"id":1987,"uris":["http://zotero.org/users/9870935/items/2TYM8STM"],"itemData":{"id":1987,"type":"article-journal","abstract":"The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fldChar w:fldCharType="separate"/>
      </w:r>
      <w:r w:rsidR="007D29E8" w:rsidRPr="007D29E8">
        <w:t>[112]</w:t>
      </w:r>
      <w:r>
        <w:fldChar w:fldCharType="end"/>
      </w:r>
      <w:r w:rsidRPr="002C0C00">
        <w:t>. The economic viability of hydrogen relies on the ability to produce green hydrogen for $2/kg, versus the current production costs of $4 to $6/kg</w:t>
      </w:r>
      <w:r>
        <w:fldChar w:fldCharType="begin"/>
      </w:r>
      <w:r w:rsidR="007D29E8">
        <w:instrText xml:space="preserve"> ADDIN ZOTERO_ITEM CSL_CITATION {"citationID":"EV0Ut2pY","properties":{"unsorted":false,"formattedCitation":"[114]","plainCitation":"[114]","noteIndex":0},"citationItems":[{"id":2076,"uris":["http://zotero.org/users/9870935/items/WSZ9BQJG"],"itemData":{"id":2076,"type":"article-journal","abstract":"Abstract\n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fldChar w:fldCharType="separate"/>
      </w:r>
      <w:r w:rsidR="007D29E8" w:rsidRPr="007D29E8">
        <w:t>[113]</w:t>
      </w:r>
      <w:r>
        <w:fldChar w:fldCharType="end"/>
      </w:r>
      <w:r w:rsidRPr="002C0C00">
        <w:t>.</w:t>
      </w:r>
    </w:p>
    <w:p w14:paraId="7681B9CD" w14:textId="5BB4869C" w:rsidR="00FE013C" w:rsidRDefault="00FE013C" w:rsidP="004C16FF">
      <w:pPr>
        <w:pStyle w:val="Heading2"/>
        <w:rPr>
          <w:color w:val="auto"/>
        </w:rPr>
      </w:pPr>
      <w:r>
        <w:rPr>
          <w:color w:val="auto"/>
        </w:rPr>
        <w:t xml:space="preserve">5.3. Energy Storage Sizing </w:t>
      </w:r>
      <w:r w:rsidR="007D29E8">
        <w:rPr>
          <w:color w:val="auto"/>
        </w:rPr>
        <w:t>Frameworks</w:t>
      </w:r>
    </w:p>
    <w:p w14:paraId="54B585AD" w14:textId="47B50C55" w:rsidR="00D143A6" w:rsidRPr="00D143A6" w:rsidRDefault="00D143A6" w:rsidP="00D143A6">
      <w:pPr>
        <w:spacing w:after="120"/>
        <w:ind w:firstLine="480"/>
        <w:rPr>
          <w:highlight w:val="yellow"/>
        </w:rPr>
      </w:pPr>
      <w:r w:rsidRPr="00D143A6">
        <w:rPr>
          <w:highlight w:val="yellow"/>
        </w:rPr>
        <w:t xml:space="preserve">The first challenge is energy storage sizing for renewables powered data centers that must address three competing criteria: reliability, operational efficiency and the use of renewable energy sources. Reliability is about having enough storage to ensure services during low renewable generation conditions, whereas economic performance is about keeping capital and operating costs at a minimum. </w:t>
      </w:r>
      <w:r w:rsidRPr="00D143A6">
        <w:rPr>
          <w:highlight w:val="yellow"/>
        </w:rPr>
        <w:lastRenderedPageBreak/>
        <w:t>Meanwhile storage must be dimensioned to make the best use of renewable energy usage and minimize the reliance on grid imports or backup from fossil-fuel generation.</w:t>
      </w:r>
    </w:p>
    <w:p w14:paraId="7CFDEE16" w14:textId="7A7E1458" w:rsidR="00D143A6" w:rsidRPr="00D143A6" w:rsidRDefault="00D143A6" w:rsidP="00B73641">
      <w:pPr>
        <w:spacing w:after="120"/>
        <w:ind w:firstLine="480"/>
        <w:rPr>
          <w:highlight w:val="yellow"/>
        </w:rPr>
      </w:pPr>
      <w:r w:rsidRPr="00D143A6">
        <w:rPr>
          <w:highlight w:val="yellow"/>
        </w:rPr>
        <w:t xml:space="preserve">The three main methods of sizing storage are deterministic, probabilistic, and optimization based. Whereas deterministic sizing assesses how much storage is needed under assumptions of worst cases, including periods of low renewable generation. A solar plant in the U.S. Southwest that relies heavily on solar power, for instance, might see low winter irradiation for a few days from clouds during extended periods. While this approach allows for a safety factor, it often leads to over-designed and costly storage solutions </w:t>
      </w:r>
      <w:r>
        <w:fldChar w:fldCharType="begin"/>
      </w:r>
      <w:r w:rsidR="00B73641">
        <w:instrText xml:space="preserve"> ADDIN ZOTERO_ITEM CSL_CITATION {"citationID":"DHpplHe9","properties":{"unsorted":false,"formattedCitation":"[73]","plainCitation":"[73]","noteIndex":0},"citationItems":[{"id":1988,"uris":["http://zotero.org/users/9870935/items/9LH8YF5V"],"itemData":{"id":1988,"type":"article-journal","container-title":"Future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fldChar w:fldCharType="separate"/>
      </w:r>
      <w:r w:rsidR="00B73641" w:rsidRPr="00B73641">
        <w:t>[72]</w:t>
      </w:r>
      <w:r>
        <w:fldChar w:fldCharType="end"/>
      </w:r>
      <w:r w:rsidRPr="00D143A6">
        <w:rPr>
          <w:highlight w:val="yellow"/>
        </w:rPr>
        <w:t>.</w:t>
      </w:r>
    </w:p>
    <w:p w14:paraId="074721F8" w14:textId="331CE6F4" w:rsidR="00D143A6" w:rsidRDefault="00D143A6" w:rsidP="007D29E8">
      <w:pPr>
        <w:spacing w:after="120"/>
        <w:ind w:firstLine="480"/>
      </w:pPr>
      <w:r w:rsidRPr="00D143A6">
        <w:rPr>
          <w:highlight w:val="yellow"/>
        </w:rPr>
        <w:t xml:space="preserve">Probabilistic sizing assesses reliability based on the picture of availability, which is expressed by the adequacy metrics Loss of Load Expectation (LOLE). When selecting the reliability goal, a 99.99% annual mean availability is used, giving a LOLE of 0.876 h/year (52.6 min/year) based on a simplified annual-duration relationship </w:t>
      </w:r>
      <w:r w:rsidR="00820347">
        <w:fldChar w:fldCharType="begin"/>
      </w:r>
      <w:r w:rsidR="007D29E8">
        <w:instrText xml:space="preserve"> ADDIN ZOTERO_ITEM CSL_CITATION {"citationID":"j8SEt2Uy","properties":{"unsorted":false,"formattedCitation":"[115]","plainCitation":"[115]","noteIndex":0},"citationItems":[{"id":2078,"uris":["http://zotero.org/users/9870935/items/UAQIETIN"],"itemData":{"id":2078,"type":"article-journal","abstract":"Large-scale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820347">
        <w:fldChar w:fldCharType="separate"/>
      </w:r>
      <w:r w:rsidR="007D29E8" w:rsidRPr="007D29E8">
        <w:t>[114]</w:t>
      </w:r>
      <w:r w:rsidR="00820347">
        <w:fldChar w:fldCharType="end"/>
      </w:r>
      <w:r w:rsidRPr="00D143A6">
        <w:rPr>
          <w:highlight w:val="yellow"/>
        </w:rPr>
        <w:t>. Probabilistic methods offer a more realistic approximation of system performance than deterministic because they explicitly account for the incidence and duration of resource shortages. They do need chronological time series of loads, renewable generation, storage operation, and grid availability, though.</w:t>
      </w:r>
    </w:p>
    <w:p w14:paraId="1D93CD8D" w14:textId="6CB33768" w:rsidR="00FE013C" w:rsidRPr="00482AE3" w:rsidRDefault="00822298" w:rsidP="00482AE3">
      <w:pPr>
        <w:spacing w:after="120"/>
        <w:ind w:firstLine="480"/>
        <w:rPr>
          <w:highlight w:val="yellow"/>
          <w:lang w:val="en-CA"/>
        </w:rPr>
      </w:pPr>
      <w:r w:rsidRPr="00482AE3">
        <w:rPr>
          <w:highlight w:val="yellow"/>
          <w:lang w:val="en-CA"/>
        </w:rPr>
        <w:t xml:space="preserve">A deterministic approach looks at </w:t>
      </w:r>
      <w:proofErr w:type="gramStart"/>
      <w:r w:rsidRPr="00482AE3">
        <w:rPr>
          <w:highlight w:val="yellow"/>
          <w:lang w:val="en-CA"/>
        </w:rPr>
        <w:t>all of</w:t>
      </w:r>
      <w:proofErr w:type="gramEnd"/>
      <w:r w:rsidRPr="00482AE3">
        <w:rPr>
          <w:highlight w:val="yellow"/>
          <w:lang w:val="en-CA"/>
        </w:rPr>
        <w:t xml:space="preserve"> the energy shortfall events analysed for a specific period of renewable generation and sizes the energy storage system based on the worst energy shortfall event. Shortfall event starts at the point where available renewable necessary to meet the critical load, plus permitted, is unavailable, and terminates when sufficient is restored. Using this method, the minimum usable battery energy capacity required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2EA4A0B4" w:rsidR="00FE013C" w:rsidRDefault="00000000" w:rsidP="004C16FF">
            <w:pPr>
              <w:rPr>
                <w:color w:val="auto"/>
                <w:szCs w:val="24"/>
                <w:lang w:val="en-CA" w:eastAsia="en-CA"/>
              </w:rPr>
            </w:pPr>
            <m:oMathPara>
              <m:oMath>
                <m:sSub>
                  <m:sSubPr>
                    <m:ctrlPr>
                      <w:rPr>
                        <w:rFonts w:ascii="Cambria Math" w:hAnsi="Cambria Math"/>
                        <w:color w:val="auto"/>
                        <w:szCs w:val="24"/>
                      </w:rPr>
                    </m:ctrlPr>
                  </m:sSubPr>
                  <m:e>
                    <m:r>
                      <w:rPr>
                        <w:rFonts w:ascii="Cambria Math" w:hAnsi="Cambria Math"/>
                        <w:color w:val="auto"/>
                        <w:szCs w:val="24"/>
                      </w:rPr>
                      <m:t>E</m:t>
                    </m:r>
                  </m:e>
                  <m:sub>
                    <m:r>
                      <w:rPr>
                        <w:rFonts w:ascii="Cambria Math" w:hAnsi="Cambria Math"/>
                        <w:color w:val="auto"/>
                        <w:szCs w:val="24"/>
                      </w:rPr>
                      <m:t>B,det</m:t>
                    </m:r>
                  </m:sub>
                </m:sSub>
                <m:r>
                  <w:rPr>
                    <w:rFonts w:ascii="Cambria Math" w:hAnsi="Cambria Math"/>
                    <w:color w:val="auto"/>
                    <w:szCs w:val="24"/>
                  </w:rPr>
                  <m:t>=</m:t>
                </m:r>
                <m:func>
                  <m:funcPr>
                    <m:ctrlPr>
                      <w:rPr>
                        <w:rFonts w:ascii="Cambria Math" w:hAnsi="Cambria Math"/>
                        <w:color w:val="auto"/>
                        <w:szCs w:val="24"/>
                      </w:rPr>
                    </m:ctrlPr>
                  </m:funcPr>
                  <m:fName>
                    <m:limLow>
                      <m:limLowPr>
                        <m:ctrlPr>
                          <w:rPr>
                            <w:rFonts w:ascii="Cambria Math" w:hAnsi="Cambria Math"/>
                            <w:color w:val="auto"/>
                            <w:szCs w:val="24"/>
                          </w:rPr>
                        </m:ctrlPr>
                      </m:limLowPr>
                      <m:e>
                        <m:r>
                          <m:rPr>
                            <m:sty m:val="p"/>
                          </m:rPr>
                          <w:rPr>
                            <w:rFonts w:ascii="Cambria Math" w:hAnsi="Cambria Math"/>
                            <w:color w:val="auto"/>
                            <w:szCs w:val="24"/>
                          </w:rPr>
                          <m:t>max</m:t>
                        </m:r>
                      </m:e>
                      <m:lim>
                        <m:r>
                          <w:rPr>
                            <w:rFonts w:ascii="Cambria Math" w:hAnsi="Cambria Math"/>
                            <w:color w:val="auto"/>
                            <w:szCs w:val="24"/>
                          </w:rPr>
                          <m:t>i∈</m:t>
                        </m:r>
                        <m:d>
                          <m:dPr>
                            <m:begChr m:val="{"/>
                            <m:endChr m:val="}"/>
                            <m:ctrlPr>
                              <w:rPr>
                                <w:rFonts w:ascii="Cambria Math" w:hAnsi="Cambria Math"/>
                                <w:color w:val="auto"/>
                                <w:szCs w:val="24"/>
                              </w:rPr>
                            </m:ctrlPr>
                          </m:dPr>
                          <m:e>
                            <m:r>
                              <w:rPr>
                                <w:rFonts w:ascii="Cambria Math" w:hAnsi="Cambria Math"/>
                                <w:color w:val="auto"/>
                                <w:szCs w:val="24"/>
                              </w:rPr>
                              <m:t>1,…,n</m:t>
                            </m:r>
                          </m:e>
                        </m:d>
                      </m:lim>
                    </m:limLow>
                  </m:fName>
                  <m:e>
                    <m:d>
                      <m:dPr>
                        <m:ctrlPr>
                          <w:rPr>
                            <w:rFonts w:ascii="Cambria Math" w:hAnsi="Cambria Math"/>
                            <w:color w:val="auto"/>
                            <w:szCs w:val="24"/>
                          </w:rPr>
                        </m:ctrlPr>
                      </m:dPr>
                      <m:e>
                        <m:nary>
                          <m:naryPr>
                            <m:chr m:val="∑"/>
                            <m:limLoc m:val="undOvr"/>
                            <m:supHide m:val="1"/>
                            <m:ctrlPr>
                              <w:rPr>
                                <w:rFonts w:ascii="Cambria Math" w:hAnsi="Cambria Math"/>
                                <w:color w:val="auto"/>
                                <w:szCs w:val="24"/>
                              </w:rPr>
                            </m:ctrlPr>
                          </m:naryPr>
                          <m:sub>
                            <m:r>
                              <w:rPr>
                                <w:rFonts w:ascii="Cambria Math" w:hAnsi="Cambria Math"/>
                                <w:color w:val="auto"/>
                                <w:szCs w:val="24"/>
                              </w:rPr>
                              <m:t>t∈</m:t>
                            </m:r>
                            <m:sSub>
                              <m:sSubPr>
                                <m:ctrlPr>
                                  <w:rPr>
                                    <w:rFonts w:ascii="Cambria Math" w:hAnsi="Cambria Math"/>
                                    <w:color w:val="auto"/>
                                    <w:szCs w:val="24"/>
                                  </w:rPr>
                                </m:ctrlPr>
                              </m:sSubPr>
                              <m:e>
                                <m:r>
                                  <w:rPr>
                                    <w:rFonts w:ascii="Cambria Math" w:hAnsi="Cambria Math"/>
                                    <w:color w:val="auto"/>
                                    <w:szCs w:val="24"/>
                                  </w:rPr>
                                  <m:t>T</m:t>
                                </m:r>
                              </m:e>
                              <m:sub>
                                <m:r>
                                  <w:rPr>
                                    <w:rFonts w:ascii="Cambria Math" w:hAnsi="Cambria Math"/>
                                    <w:color w:val="auto"/>
                                    <w:szCs w:val="24"/>
                                  </w:rPr>
                                  <m:t>i</m:t>
                                </m:r>
                              </m:sub>
                            </m:sSub>
                          </m:sub>
                          <m:sup/>
                          <m:e>
                            <m:sSup>
                              <m:sSupPr>
                                <m:ctrlPr>
                                  <w:rPr>
                                    <w:rFonts w:ascii="Cambria Math" w:hAnsi="Cambria Math"/>
                                    <w:color w:val="auto"/>
                                    <w:szCs w:val="24"/>
                                  </w:rPr>
                                </m:ctrlPr>
                              </m:sSupPr>
                              <m:e>
                                <m:d>
                                  <m:dPr>
                                    <m:begChr m:val="["/>
                                    <m:endChr m:val="]"/>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crit,t</m:t>
                                        </m:r>
                                      </m:sub>
                                    </m:sSub>
                                    <m:r>
                                      <w:rPr>
                                        <w:rFonts w:ascii="Cambria Math" w:hAnsi="Cambria Math"/>
                                        <w:color w:val="auto"/>
                                        <w:szCs w:val="24"/>
                                      </w:rPr>
                                      <m:t>-</m:t>
                                    </m:r>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supply,t</m:t>
                                        </m:r>
                                      </m:sub>
                                    </m:sSub>
                                  </m:e>
                                </m:d>
                              </m:e>
                              <m:sup>
                                <m:r>
                                  <w:rPr>
                                    <w:rFonts w:ascii="Cambria Math" w:hAnsi="Cambria Math"/>
                                    <w:color w:val="auto"/>
                                    <w:szCs w:val="24"/>
                                  </w:rPr>
                                  <m:t>+</m:t>
                                </m:r>
                              </m:sup>
                            </m:sSup>
                          </m:e>
                        </m:nary>
                        <m:r>
                          <m:rPr>
                            <m:sty m:val="p"/>
                          </m:rPr>
                          <w:rPr>
                            <w:rFonts w:ascii="Cambria Math" w:hAnsi="Cambria Math"/>
                            <w:color w:val="auto"/>
                            <w:szCs w:val="24"/>
                          </w:rPr>
                          <m:t>Δ</m:t>
                        </m:r>
                        <m:r>
                          <w:rPr>
                            <w:rFonts w:ascii="Cambria Math" w:hAnsi="Cambria Math"/>
                            <w:color w:val="auto"/>
                            <w:szCs w:val="24"/>
                          </w:rPr>
                          <m:t>t</m:t>
                        </m:r>
                      </m:e>
                    </m:d>
                  </m:e>
                </m:func>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2ED5C160" w14:textId="14401AA1"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E</m:t>
            </m:r>
          </m:e>
          <m:sub>
            <m:r>
              <w:rPr>
                <w:rFonts w:ascii="Cambria Math" w:hAnsi="Cambria Math" w:cstheme="majorBidi"/>
                <w:color w:val="auto"/>
                <w:szCs w:val="24"/>
                <w:highlight w:val="yellow"/>
                <w:lang w:val="en-CA" w:eastAsia="en-CA"/>
              </w:rPr>
              <m:t>B</m:t>
            </m:r>
            <m:r>
              <m:rPr>
                <m:sty m:val="p"/>
              </m:rPr>
              <w:rPr>
                <w:rFonts w:ascii="Cambria Math" w:hAnsi="Cambria Math" w:cstheme="majorBidi"/>
                <w:color w:val="auto"/>
                <w:szCs w:val="24"/>
                <w:highlight w:val="yellow"/>
                <w:lang w:val="en-CA" w:eastAsia="en-CA"/>
              </w:rPr>
              <m:t>,det</m:t>
            </m:r>
          </m:sub>
        </m:sSub>
      </m:oMath>
      <w:r w:rsidR="00783999" w:rsidRPr="00783999">
        <w:rPr>
          <w:rFonts w:ascii="Cambria Math" w:hAnsi="Cambria Math" w:cstheme="majorBidi"/>
          <w:color w:val="auto"/>
          <w:szCs w:val="24"/>
          <w:highlight w:val="yellow"/>
          <w:lang w:val="en-CA" w:eastAsia="en-CA"/>
        </w:rPr>
        <w:t xml:space="preserve">= minimum usable battery-energy capacity (MWh); </w:t>
      </w:r>
    </w:p>
    <w:p w14:paraId="59684DE0" w14:textId="7A4A4D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i</m:t>
        </m:r>
      </m:oMath>
      <w:r w:rsidRPr="00783999">
        <w:rPr>
          <w:rFonts w:ascii="Cambria Math" w:hAnsi="Cambria Math" w:cstheme="majorBidi"/>
          <w:color w:val="auto"/>
          <w:szCs w:val="24"/>
          <w:highlight w:val="yellow"/>
          <w:lang w:val="en-CA" w:eastAsia="en-CA"/>
        </w:rPr>
        <w:t xml:space="preserve">= renewable-generation deficit event; </w:t>
      </w:r>
    </w:p>
    <w:p w14:paraId="11806797" w14:textId="0F98B8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n</m:t>
        </m:r>
      </m:oMath>
      <w:r w:rsidRPr="00783999">
        <w:rPr>
          <w:rFonts w:ascii="Cambria Math" w:hAnsi="Cambria Math" w:cstheme="majorBidi"/>
          <w:color w:val="auto"/>
          <w:szCs w:val="24"/>
          <w:highlight w:val="yellow"/>
          <w:lang w:val="en-CA" w:eastAsia="en-CA"/>
        </w:rPr>
        <w:t xml:space="preserve">= number of identified deficit events; </w:t>
      </w:r>
    </w:p>
    <w:p w14:paraId="0612BDD6" w14:textId="70F7456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T</m:t>
            </m:r>
          </m:e>
          <m:sub>
            <m:r>
              <w:rPr>
                <w:rFonts w:ascii="Cambria Math" w:hAnsi="Cambria Math" w:cstheme="majorBidi"/>
                <w:color w:val="auto"/>
                <w:szCs w:val="24"/>
                <w:highlight w:val="yellow"/>
                <w:lang w:val="en-CA" w:eastAsia="en-CA"/>
              </w:rPr>
              <m:t>i</m:t>
            </m:r>
          </m:sub>
        </m:sSub>
      </m:oMath>
      <w:r w:rsidR="00783999" w:rsidRPr="00783999">
        <w:rPr>
          <w:rFonts w:ascii="Cambria Math" w:hAnsi="Cambria Math" w:cstheme="majorBidi"/>
          <w:color w:val="auto"/>
          <w:szCs w:val="24"/>
          <w:highlight w:val="yellow"/>
          <w:lang w:val="en-CA" w:eastAsia="en-CA"/>
        </w:rPr>
        <w:t xml:space="preserve">= set of time intervals associated with event </w:t>
      </w:r>
      <m:oMath>
        <m:r>
          <w:rPr>
            <w:rFonts w:ascii="Cambria Math" w:hAnsi="Cambria Math" w:cstheme="majorBidi"/>
            <w:color w:val="auto"/>
            <w:szCs w:val="24"/>
            <w:highlight w:val="yellow"/>
            <w:lang w:val="en-CA" w:eastAsia="en-CA"/>
          </w:rPr>
          <m:t>i</m:t>
        </m:r>
      </m:oMath>
      <w:r w:rsidR="00783999" w:rsidRPr="00783999">
        <w:rPr>
          <w:rFonts w:ascii="Cambria Math" w:hAnsi="Cambria Math" w:cstheme="majorBidi"/>
          <w:color w:val="auto"/>
          <w:szCs w:val="24"/>
          <w:highlight w:val="yellow"/>
          <w:lang w:val="en-CA" w:eastAsia="en-CA"/>
        </w:rPr>
        <w:t xml:space="preserve">; </w:t>
      </w:r>
    </w:p>
    <w:p w14:paraId="18097424" w14:textId="592E569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crit,</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critical, non-deferrable load (MW); </w:t>
      </w:r>
    </w:p>
    <w:p w14:paraId="3DB941CD" w14:textId="61BC8E22"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supply,</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available non-storage supply (renewables, grid imports, and backup generation) (MW); </w:t>
      </w:r>
    </w:p>
    <w:p w14:paraId="071E1C35" w14:textId="19A59FCC"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Δ</m:t>
        </m:r>
        <m:r>
          <w:rPr>
            <w:rFonts w:ascii="Cambria Math" w:hAnsi="Cambria Math" w:cstheme="majorBidi"/>
            <w:color w:val="auto"/>
            <w:szCs w:val="24"/>
            <w:highlight w:val="yellow"/>
            <w:lang w:val="en-CA" w:eastAsia="en-CA"/>
          </w:rPr>
          <m:t>t</m:t>
        </m:r>
      </m:oMath>
      <w:r w:rsidRPr="00783999">
        <w:rPr>
          <w:rFonts w:ascii="Cambria Math" w:hAnsi="Cambria Math" w:cstheme="majorBidi"/>
          <w:color w:val="auto"/>
          <w:szCs w:val="24"/>
          <w:highlight w:val="yellow"/>
          <w:lang w:val="en-CA" w:eastAsia="en-CA"/>
        </w:rPr>
        <w:t xml:space="preserve">= simulation interval (h); </w:t>
      </w:r>
    </w:p>
    <w:p w14:paraId="76A064FC" w14:textId="0DE49469" w:rsidR="005324E9" w:rsidRPr="00712131" w:rsidRDefault="00000000" w:rsidP="00712131">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p>
          <m:sSupPr>
            <m:ctrlPr>
              <w:rPr>
                <w:rFonts w:ascii="Cambria Math" w:hAnsi="Cambria Math" w:cstheme="majorBidi"/>
                <w:color w:val="auto"/>
                <w:szCs w:val="24"/>
                <w:highlight w:val="yellow"/>
                <w:lang w:val="en-CA" w:eastAsia="en-CA"/>
              </w:rPr>
            </m:ctrlPr>
          </m:sSupPr>
          <m:e>
            <m:d>
              <m:dPr>
                <m:begChr m:val="["/>
                <m:end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d>
          </m:e>
          <m:sup>
            <m:r>
              <m:rPr>
                <m:sty m:val="p"/>
              </m:rPr>
              <w:rPr>
                <w:rFonts w:ascii="Cambria Math" w:hAnsi="Cambria Math" w:cstheme="majorBidi"/>
                <w:color w:val="auto"/>
                <w:szCs w:val="24"/>
                <w:highlight w:val="yellow"/>
                <w:lang w:val="en-CA" w:eastAsia="en-CA"/>
              </w:rPr>
              <m:t>+</m:t>
            </m:r>
          </m:sup>
        </m:sSup>
        <m:r>
          <m:rPr>
            <m:sty m:val="p"/>
          </m:rPr>
          <w:rPr>
            <w:rFonts w:ascii="Cambria Math" w:hAnsi="Cambria Math" w:cstheme="majorBidi"/>
            <w:color w:val="auto"/>
            <w:szCs w:val="24"/>
            <w:highlight w:val="yellow"/>
            <w:lang w:val="en-CA" w:eastAsia="en-CA"/>
          </w:rPr>
          <m:t>=max⁡</m:t>
        </m:r>
        <m:d>
          <m:dPr>
            <m:sep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e>
            <m:r>
              <m:rPr>
                <m:sty m:val="p"/>
              </m:rPr>
              <w:rPr>
                <w:rFonts w:ascii="Cambria Math" w:hAnsi="Cambria Math" w:cstheme="majorBidi"/>
                <w:color w:val="auto"/>
                <w:szCs w:val="24"/>
                <w:highlight w:val="yellow"/>
                <w:lang w:val="en-CA" w:eastAsia="en-CA"/>
              </w:rPr>
              <m:t>0</m:t>
            </m:r>
          </m:e>
        </m:d>
      </m:oMath>
      <w:r w:rsidR="00783999" w:rsidRPr="00783999">
        <w:rPr>
          <w:rFonts w:ascii="Cambria Math" w:hAnsi="Cambria Math" w:cstheme="majorBidi"/>
          <w:color w:val="auto"/>
          <w:szCs w:val="24"/>
          <w:highlight w:val="yellow"/>
          <w:lang w:val="en-CA" w:eastAsia="en-CA"/>
        </w:rPr>
        <w:t>is the positive-part operator, ensuring that only positive energy deficits are accumulated.</w:t>
      </w:r>
    </w:p>
    <w:p w14:paraId="16F4CF6A" w14:textId="40EA4686" w:rsidR="002473F3" w:rsidRPr="002473F3" w:rsidRDefault="002473F3" w:rsidP="002473F3">
      <w:pPr>
        <w:spacing w:after="120"/>
        <w:ind w:firstLine="480"/>
        <w:rPr>
          <w:lang w:val="en-CA"/>
        </w:rPr>
      </w:pPr>
      <w:r w:rsidRPr="002473F3">
        <w:rPr>
          <w:highlight w:val="yellow"/>
          <w:lang w:val="en-CA"/>
        </w:rPr>
        <w:t>LOLE quantifies the expected duration during which available electricity supply is insufficient to meet the specified load over a defined assessment period. For an hourly chronological simulation of one year, LOLE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6A4F6D0D" w:rsidR="00FE013C" w:rsidRPr="005704B6" w:rsidRDefault="00FF34AA" w:rsidP="004C16FF">
            <w:pPr>
              <w:rPr>
                <w:rFonts w:asciiTheme="majorBidi" w:hAnsiTheme="majorBidi" w:cstheme="majorBidi"/>
                <w:color w:val="auto"/>
                <w:szCs w:val="24"/>
                <w:lang w:val="fr-FR" w:eastAsia="en-CA"/>
              </w:rPr>
            </w:pPr>
            <m:oMathPara>
              <m:oMath>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ty m:val="b"/>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avail,t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crit,t</m:t>
                        </m:r>
                      </m:sub>
                    </m:sSub>
                  </m:e>
                </m:d>
                <m:r>
                  <m:rPr>
                    <m:sty m:val="p"/>
                  </m:rPr>
                  <w:rPr>
                    <w:rFonts w:ascii="Cambria Math" w:hAnsi="Cambria Math" w:cstheme="majorBidi"/>
                  </w:rPr>
                  <m:t>Δ</m:t>
                </m:r>
                <m:r>
                  <w:rPr>
                    <w:rFonts w:ascii="Cambria Math" w:hAnsi="Cambria Math" w:cstheme="majorBidi"/>
                  </w:rPr>
                  <m:t>t</m:t>
                </m:r>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50635876" w14:textId="3A496FD4" w:rsidR="004F2081" w:rsidRPr="0088346E" w:rsidRDefault="00000000"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avail,</m:t>
            </m:r>
            <m:r>
              <w:rPr>
                <w:rFonts w:ascii="Cambria Math" w:hAnsi="Cambria Math" w:cstheme="majorBidi"/>
                <w:color w:val="auto"/>
                <w:szCs w:val="24"/>
                <w:highlight w:val="yellow"/>
                <w:lang w:val="en-CA" w:eastAsia="en-CA"/>
              </w:rPr>
              <m:t>t</m:t>
            </m:r>
          </m:sub>
        </m:sSub>
      </m:oMath>
      <w:r w:rsidR="004F2081" w:rsidRPr="0088346E">
        <w:rPr>
          <w:rFonts w:ascii="Cambria Math" w:hAnsi="Cambria Math" w:cstheme="majorBidi"/>
          <w:color w:val="auto"/>
          <w:szCs w:val="24"/>
          <w:highlight w:val="yellow"/>
          <w:lang w:val="en-CA" w:eastAsia="en-CA"/>
        </w:rPr>
        <w:t xml:space="preserve">= total available power including renewable generation, battery discharge, grid imports, and backup generation; </w:t>
      </w:r>
    </w:p>
    <w:p w14:paraId="0E457A0A" w14:textId="2E53FB26" w:rsidR="004F2081" w:rsidRPr="0088346E" w:rsidRDefault="004F2081"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1</m:t>
        </m:r>
        <m:d>
          <m:dPr>
            <m:begChr m:val="["/>
            <m:endChr m:val="]"/>
            <m:ctrlPr>
              <w:rPr>
                <w:rFonts w:ascii="Cambria Math" w:hAnsi="Cambria Math" w:cstheme="majorBidi"/>
                <w:color w:val="auto"/>
                <w:szCs w:val="24"/>
                <w:highlight w:val="yellow"/>
                <w:lang w:val="en-CA" w:eastAsia="en-CA"/>
              </w:rPr>
            </m:ctrlPr>
          </m:dPr>
          <m:e>
            <m:r>
              <m:rPr>
                <m:sty m:val="p"/>
              </m:rPr>
              <w:rPr>
                <w:rFonts w:ascii="Cambria Math" w:hAnsi="Cambria Math" w:cstheme="majorBidi"/>
                <w:color w:val="auto"/>
                <w:szCs w:val="24"/>
                <w:highlight w:val="yellow"/>
                <w:lang w:val="en-CA" w:eastAsia="en-CA"/>
              </w:rPr>
              <m:t>⋅</m:t>
            </m:r>
          </m:e>
        </m:d>
      </m:oMath>
      <w:r w:rsidRPr="0088346E">
        <w:rPr>
          <w:rFonts w:ascii="Cambria Math" w:hAnsi="Cambria Math" w:cstheme="majorBidi"/>
          <w:color w:val="auto"/>
          <w:szCs w:val="24"/>
          <w:highlight w:val="yellow"/>
          <w:lang w:val="en-CA" w:eastAsia="en-CA"/>
        </w:rPr>
        <w:t xml:space="preserve">= indicator function; </w:t>
      </w:r>
    </w:p>
    <w:p w14:paraId="6424CFDE" w14:textId="47641B1D" w:rsidR="0088346E" w:rsidRPr="009A3F4E" w:rsidRDefault="004F2081" w:rsidP="009A3F4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T</m:t>
        </m:r>
      </m:oMath>
      <w:r w:rsidRPr="0088346E">
        <w:rPr>
          <w:rFonts w:ascii="Cambria Math" w:hAnsi="Cambria Math" w:cstheme="majorBidi"/>
          <w:color w:val="auto"/>
          <w:szCs w:val="24"/>
          <w:highlight w:val="yellow"/>
          <w:lang w:val="en-CA" w:eastAsia="en-CA"/>
        </w:rPr>
        <w:t>= total number of simulation intervals.</w:t>
      </w:r>
    </w:p>
    <w:p w14:paraId="556E0CBF" w14:textId="77777777" w:rsidR="002473F3" w:rsidRPr="002473F3" w:rsidRDefault="002473F3" w:rsidP="002473F3">
      <w:pPr>
        <w:spacing w:after="120"/>
        <w:ind w:firstLine="480"/>
        <w:rPr>
          <w:highlight w:val="yellow"/>
          <w:lang w:val="en-CA"/>
        </w:rPr>
      </w:pPr>
      <w:r w:rsidRPr="002473F3">
        <w:rPr>
          <w:highlight w:val="yellow"/>
          <w:lang w:val="en-CA"/>
        </w:rPr>
        <w:t xml:space="preserve">The reliability criterion adopted throughout this review is 99.99% annual availability, corresponding to a maximum shortfall duration of 0.876 h/year, or approximately 52.6 min/year, under the simplified relationship between annual availability and shortfall duration. Accordingly, the minimum battery capacity under </w:t>
      </w:r>
      <w:proofErr w:type="gramStart"/>
      <w:r w:rsidRPr="002473F3">
        <w:rPr>
          <w:highlight w:val="yellow"/>
          <w:lang w:val="en-CA"/>
        </w:rPr>
        <w:t>an</w:t>
      </w:r>
      <w:proofErr w:type="gramEnd"/>
      <w:r w:rsidRPr="002473F3">
        <w:rPr>
          <w:highlight w:val="yellow"/>
          <w:lang w:val="en-CA"/>
        </w:rPr>
        <w:t xml:space="preserve"> LOLE-based sizing approach may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2473F3" w14:paraId="698E61B3" w14:textId="77777777" w:rsidTr="001E5821">
        <w:tc>
          <w:tcPr>
            <w:tcW w:w="421" w:type="dxa"/>
          </w:tcPr>
          <w:p w14:paraId="29A5ABCC" w14:textId="77777777" w:rsidR="002473F3" w:rsidRDefault="002473F3" w:rsidP="001E5821">
            <w:pPr>
              <w:rPr>
                <w:color w:val="auto"/>
                <w:szCs w:val="24"/>
                <w:lang w:val="en-CA" w:eastAsia="en-CA"/>
              </w:rPr>
            </w:pPr>
          </w:p>
        </w:tc>
        <w:tc>
          <w:tcPr>
            <w:tcW w:w="7908" w:type="dxa"/>
          </w:tcPr>
          <w:p w14:paraId="53BC7033" w14:textId="3963A38D" w:rsidR="002473F3" w:rsidRPr="00333CD8" w:rsidRDefault="00000000" w:rsidP="001E5821">
            <w:pPr>
              <w:rPr>
                <w:rFonts w:asciiTheme="majorBidi" w:hAnsiTheme="majorBidi" w:cstheme="majorBidi"/>
                <w:color w:val="auto"/>
                <w:szCs w:val="24"/>
                <w:lang w:val="en-CA" w:eastAsia="en-CA"/>
              </w:rPr>
            </w:pPr>
            <m:oMathPara>
              <m:oMath>
                <m:sSubSup>
                  <m:sSubSupPr>
                    <m:ctrlPr>
                      <w:rPr>
                        <w:rFonts w:ascii="Cambria Math" w:hAnsi="Cambria Math" w:cstheme="majorBidi"/>
                      </w:rPr>
                    </m:ctrlPr>
                  </m:sSubSupPr>
                  <m:e>
                    <m:r>
                      <w:rPr>
                        <w:rFonts w:ascii="Cambria Math" w:hAnsi="Cambria Math" w:cstheme="majorBidi"/>
                      </w:rPr>
                      <m:t>E</m:t>
                    </m:r>
                  </m:e>
                  <m:sub>
                    <m:r>
                      <w:rPr>
                        <w:rFonts w:ascii="Cambria Math" w:hAnsi="Cambria Math" w:cstheme="majorBidi"/>
                      </w:rPr>
                      <m:t>B</m:t>
                    </m:r>
                  </m:sub>
                  <m:sup>
                    <m:r>
                      <w:rPr>
                        <w:rFonts w:ascii="Cambria Math" w:hAnsi="Cambria Math" w:cstheme="majorBidi"/>
                      </w:rPr>
                      <m:t>*</m:t>
                    </m:r>
                  </m:sup>
                </m:sSubSup>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fName>
                  <m:e>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≥0</m:t>
                            </m:r>
                          </m:lim>
                        </m:limLow>
                      </m:fName>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≤0.876</m:t>
                            </m:r>
                          </m:e>
                        </m:d>
                      </m:e>
                    </m:func>
                  </m:e>
                </m:func>
              </m:oMath>
            </m:oMathPara>
          </w:p>
        </w:tc>
        <w:tc>
          <w:tcPr>
            <w:tcW w:w="505" w:type="dxa"/>
            <w:vAlign w:val="center"/>
          </w:tcPr>
          <w:p w14:paraId="7F292C1D" w14:textId="7A91438E" w:rsidR="002473F3" w:rsidRDefault="002473F3" w:rsidP="001E5821">
            <w:pPr>
              <w:rPr>
                <w:color w:val="auto"/>
                <w:szCs w:val="24"/>
                <w:lang w:val="en-CA" w:eastAsia="en-CA"/>
              </w:rPr>
            </w:pPr>
            <w:r>
              <w:rPr>
                <w:color w:val="auto"/>
                <w:szCs w:val="24"/>
                <w:lang w:val="en-CA" w:eastAsia="en-CA"/>
              </w:rPr>
              <w:t>(3)</w:t>
            </w:r>
          </w:p>
        </w:tc>
      </w:tr>
    </w:tbl>
    <w:p w14:paraId="416E6540" w14:textId="77777777" w:rsidR="003A221C" w:rsidRPr="003A221C" w:rsidRDefault="003A221C" w:rsidP="003A221C">
      <w:pPr>
        <w:spacing w:after="120"/>
        <w:ind w:firstLine="480"/>
        <w:rPr>
          <w:highlight w:val="yellow"/>
          <w:lang w:val="en-CA"/>
        </w:rPr>
      </w:pPr>
      <w:r w:rsidRPr="003A221C">
        <w:rPr>
          <w:highlight w:val="yellow"/>
          <w:lang w:val="en-CA"/>
        </w:rPr>
        <w:t>Application of this formulation requires chronological load, renewable-generation, battery-dispatch, grid-availability, and backup-generation data. The resulting storage capacity is site-specific and should not be interpreted as a universal design value.</w:t>
      </w:r>
    </w:p>
    <w:p w14:paraId="0016921F" w14:textId="5E63051E"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throughout the project life cycle) while satisfying the reliability, carbon emission, and capacity 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Pr="002B3E4F">
        <w:t xml:space="preserve">Table 3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6EBBF9EB" w:rsidR="00FE013C" w:rsidRDefault="00FE013C" w:rsidP="004C16FF">
      <w:pPr>
        <w:pStyle w:val="Caption"/>
        <w:keepNext/>
      </w:pPr>
      <w:r>
        <w:t xml:space="preserve">Table </w:t>
      </w:r>
      <w:r>
        <w:fldChar w:fldCharType="begin"/>
      </w:r>
      <w:r>
        <w:instrText xml:space="preserve"> SEQ Table \* ARABIC </w:instrText>
      </w:r>
      <w:r>
        <w:fldChar w:fldCharType="separate"/>
      </w:r>
      <w:r w:rsidR="003A45CA">
        <w:rPr>
          <w:noProof/>
        </w:rPr>
        <w:t>3</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839"/>
        <w:gridCol w:w="1280"/>
        <w:gridCol w:w="1423"/>
        <w:gridCol w:w="1176"/>
        <w:gridCol w:w="1450"/>
        <w:gridCol w:w="1891"/>
        <w:gridCol w:w="1693"/>
      </w:tblGrid>
      <w:tr w:rsidR="00FE013C" w:rsidRPr="007E3FC3"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Duration</w:t>
            </w:r>
          </w:p>
        </w:tc>
        <w:tc>
          <w:tcPr>
            <w:tcW w:w="0" w:type="auto"/>
            <w:hideMark/>
          </w:tcPr>
          <w:p w14:paraId="7F16C723"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Technology</w:t>
            </w:r>
          </w:p>
        </w:tc>
        <w:tc>
          <w:tcPr>
            <w:tcW w:w="0" w:type="auto"/>
            <w:hideMark/>
          </w:tcPr>
          <w:p w14:paraId="27E28FD7" w14:textId="7471D78B"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 xml:space="preserve">Cost </w:t>
            </w:r>
            <w:r w:rsidR="00A232F6" w:rsidRPr="007E3FC3">
              <w:rPr>
                <w:b/>
                <w:bCs/>
                <w:color w:val="auto"/>
                <w:sz w:val="16"/>
                <w:szCs w:val="16"/>
                <w:highlight w:val="yellow"/>
                <w:lang w:val="en-US"/>
              </w:rPr>
              <w:t>Bas</w:t>
            </w:r>
            <w:r w:rsidR="007F0967" w:rsidRPr="007E3FC3">
              <w:rPr>
                <w:b/>
                <w:bCs/>
                <w:color w:val="auto"/>
                <w:sz w:val="16"/>
                <w:szCs w:val="16"/>
                <w:highlight w:val="yellow"/>
                <w:lang w:val="en-US"/>
              </w:rPr>
              <w:t>is</w:t>
            </w:r>
            <w:r w:rsidRPr="007E3FC3">
              <w:rPr>
                <w:b/>
                <w:bCs/>
                <w:color w:val="auto"/>
                <w:sz w:val="16"/>
                <w:szCs w:val="16"/>
                <w:highlight w:val="yellow"/>
                <w:lang w:val="en-US"/>
              </w:rPr>
              <w:t xml:space="preserve"> (2025)</w:t>
            </w:r>
          </w:p>
        </w:tc>
        <w:tc>
          <w:tcPr>
            <w:tcW w:w="0" w:type="auto"/>
            <w:hideMark/>
          </w:tcPr>
          <w:p w14:paraId="39B4E3FA"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Efficiency</w:t>
            </w:r>
          </w:p>
        </w:tc>
        <w:tc>
          <w:tcPr>
            <w:tcW w:w="0" w:type="auto"/>
            <w:hideMark/>
          </w:tcPr>
          <w:p w14:paraId="6B9AC27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Sizing Method</w:t>
            </w:r>
          </w:p>
        </w:tc>
        <w:tc>
          <w:tcPr>
            <w:tcW w:w="0" w:type="auto"/>
            <w:hideMark/>
          </w:tcPr>
          <w:p w14:paraId="2B2418F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Best Application (Data Center Context)</w:t>
            </w:r>
          </w:p>
        </w:tc>
        <w:tc>
          <w:tcPr>
            <w:tcW w:w="0" w:type="auto"/>
            <w:hideMark/>
          </w:tcPr>
          <w:p w14:paraId="22DF8B30"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Key Limitation</w:t>
            </w:r>
          </w:p>
        </w:tc>
      </w:tr>
      <w:tr w:rsidR="00FE013C" w:rsidRPr="007E3FC3" w14:paraId="1DEB16FB" w14:textId="77777777" w:rsidTr="00AF3016">
        <w:tc>
          <w:tcPr>
            <w:tcW w:w="0" w:type="auto"/>
            <w:hideMark/>
          </w:tcPr>
          <w:p w14:paraId="0692AC1B"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 h</w:t>
            </w:r>
          </w:p>
        </w:tc>
        <w:tc>
          <w:tcPr>
            <w:tcW w:w="0" w:type="auto"/>
            <w:hideMark/>
          </w:tcPr>
          <w:p w14:paraId="43E13032"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63D938CF"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Battery-pack price: approximately USD 108/kWh </w:t>
            </w:r>
          </w:p>
          <w:p w14:paraId="3102C455" w14:textId="64341976" w:rsidR="00FE013C"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fldChar w:fldCharType="begin"/>
            </w:r>
            <w:r w:rsidRPr="007E3FC3">
              <w:rPr>
                <w:color w:val="auto"/>
                <w:sz w:val="16"/>
                <w:szCs w:val="16"/>
                <w:highlight w:val="yellow"/>
                <w:lang w:val="en-CA"/>
              </w:rPr>
              <w:instrText xml:space="preserve"> ADDIN ZOTERO_ITEM CSL_CITATION {"citationID":"xf3Tsy3x","properties":{"unsorted":false,"formattedCitation":"[17]","plainCitation":"[17]","noteIndex":0},"citationItems":[{"id":1923,"uris":["http://zotero.org/users/9870935/items/K5N743Z5"],"itemData":{"id":1923,"type":"post-weblog","title":"BNEF: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7E3FC3">
              <w:rPr>
                <w:color w:val="auto"/>
                <w:sz w:val="16"/>
                <w:szCs w:val="16"/>
                <w:highlight w:val="yellow"/>
                <w:lang w:val="en-CA"/>
              </w:rPr>
              <w:fldChar w:fldCharType="separate"/>
            </w:r>
            <w:r w:rsidRPr="007E3FC3">
              <w:rPr>
                <w:sz w:val="16"/>
                <w:highlight w:val="yellow"/>
                <w:lang w:val="en-CA"/>
              </w:rPr>
              <w:t>[17]</w:t>
            </w:r>
            <w:r w:rsidRPr="007E3FC3">
              <w:rPr>
                <w:color w:val="auto"/>
                <w:sz w:val="16"/>
                <w:szCs w:val="16"/>
                <w:highlight w:val="yellow"/>
                <w:lang w:val="en-CA"/>
              </w:rPr>
              <w:fldChar w:fldCharType="end"/>
            </w:r>
          </w:p>
        </w:tc>
        <w:tc>
          <w:tcPr>
            <w:tcW w:w="0" w:type="auto"/>
            <w:hideMark/>
          </w:tcPr>
          <w:p w14:paraId="5232C65F"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85–95%</w:t>
            </w:r>
            <w:r w:rsidRPr="007E3FC3">
              <w:rPr>
                <w:color w:val="auto"/>
                <w:sz w:val="16"/>
                <w:szCs w:val="16"/>
                <w:highlight w:val="yellow"/>
              </w:rPr>
              <w:fldChar w:fldCharType="begin"/>
            </w:r>
            <w:r w:rsidRPr="007E3FC3">
              <w:rPr>
                <w:color w:val="auto"/>
                <w:sz w:val="16"/>
                <w:szCs w:val="16"/>
                <w:highlight w:val="yellow"/>
                <w:lang w:val="en-US"/>
              </w:rPr>
              <w:instrText xml:space="preserve"> ADDIN ZOTERO_ITEM CSL_CITATION {"citationID":"bO4ebft7","properties":{"unsorted":false,"formattedCitation":"[45]","plainCitation":"[45]","noteIndex":0},"citationItems":[{"id":1982,"uris":["http://zotero.org/users/9870935/items/GEX9B6EX"],"itemData":{"id":1982,"type":"article-journal","container-title":"Future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Pr="007E3FC3">
              <w:rPr>
                <w:sz w:val="16"/>
                <w:highlight w:val="yellow"/>
                <w:lang w:val="en-US"/>
              </w:rPr>
              <w:t>[45]</w:t>
            </w:r>
            <w:r w:rsidRPr="007E3FC3">
              <w:rPr>
                <w:color w:val="auto"/>
                <w:sz w:val="16"/>
                <w:szCs w:val="16"/>
                <w:highlight w:val="yellow"/>
              </w:rPr>
              <w:fldChar w:fldCharType="end"/>
            </w:r>
            <w:r w:rsidRPr="007E3FC3">
              <w:rPr>
                <w:color w:val="auto"/>
                <w:sz w:val="16"/>
                <w:szCs w:val="16"/>
                <w:highlight w:val="yellow"/>
                <w:lang w:val="en-US"/>
              </w:rPr>
              <w:t xml:space="preserve"> </w:t>
            </w:r>
          </w:p>
        </w:tc>
        <w:tc>
          <w:tcPr>
            <w:tcW w:w="0" w:type="auto"/>
            <w:hideMark/>
          </w:tcPr>
          <w:p w14:paraId="00F10E05" w14:textId="695A8565"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Deterministic or Probabilistic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{"citationID":"0PMpbWjw","properties":{"unsorted":false,"formattedCitation":"[48], [81]","plainCitation":"[48], [81]","noteIndex":0},"citationItems":[{"id":1989,"uris":["http://zotero.org/users/9870935/items/3AV4CVJ6"],"itemData":{"id":1989,"type":"article-journal","container-title":"Journal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[48], [81]</w:t>
            </w:r>
            <w:r w:rsidRPr="007E3FC3">
              <w:rPr>
                <w:color w:val="auto"/>
                <w:sz w:val="16"/>
                <w:szCs w:val="16"/>
                <w:highlight w:val="yellow"/>
              </w:rPr>
              <w:fldChar w:fldCharType="end"/>
            </w:r>
          </w:p>
        </w:tc>
        <w:tc>
          <w:tcPr>
            <w:tcW w:w="0" w:type="auto"/>
            <w:hideMark/>
          </w:tcPr>
          <w:p w14:paraId="3AB391AF" w14:textId="45D389B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Intra-day peak shaving; frequency regulation during solar ramp events; UPS replacement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{"citationID":"FmJd4TSi","properties":{"unsorted":false,"formattedCitation":"[63],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[63], [116]</w:t>
            </w:r>
            <w:r w:rsidRPr="007E3FC3">
              <w:rPr>
                <w:color w:val="auto"/>
                <w:sz w:val="16"/>
                <w:szCs w:val="16"/>
                <w:highlight w:val="yellow"/>
              </w:rPr>
              <w:fldChar w:fldCharType="end"/>
            </w:r>
          </w:p>
        </w:tc>
        <w:tc>
          <w:tcPr>
            <w:tcW w:w="0" w:type="auto"/>
            <w:hideMark/>
          </w:tcPr>
          <w:p w14:paraId="15E8C570" w14:textId="336EED03"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Insufficient for multi-day cloudiness; requires grid backup or workload deferral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{"citationID":"kbgWUIaN","properties":{"unsorted":false,"formattedCitation":"[81], [117]","plainCitation":"[81], [117]","noteIndex":0},"citationItems":[{"id":2021,"uris":["http://zotero.org/users/9870935/items/AHEUC4DF"],"itemData":{"id":2021,"type":"article","abstract":"Artificial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[81], [117]</w:t>
            </w:r>
            <w:r w:rsidRPr="007E3FC3">
              <w:rPr>
                <w:color w:val="auto"/>
                <w:sz w:val="16"/>
                <w:szCs w:val="16"/>
                <w:highlight w:val="yellow"/>
              </w:rPr>
              <w:fldChar w:fldCharType="end"/>
            </w:r>
          </w:p>
        </w:tc>
      </w:tr>
      <w:tr w:rsidR="00FE013C" w:rsidRPr="007E3FC3" w14:paraId="39BDEAB9" w14:textId="77777777" w:rsidTr="00AF3016">
        <w:tc>
          <w:tcPr>
            <w:tcW w:w="0" w:type="auto"/>
            <w:hideMark/>
          </w:tcPr>
          <w:p w14:paraId="5EDD64F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4–8 h</w:t>
            </w:r>
          </w:p>
        </w:tc>
        <w:tc>
          <w:tcPr>
            <w:tcW w:w="0" w:type="auto"/>
            <w:hideMark/>
          </w:tcPr>
          <w:p w14:paraId="6E78148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34061474"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180–320/kWh-system</w:t>
            </w:r>
          </w:p>
          <w:p w14:paraId="0FB857FC" w14:textId="1A85D164" w:rsidR="00FE013C" w:rsidRPr="007E3FC3" w:rsidRDefault="00FE013C" w:rsidP="00286292">
            <w:pPr>
              <w:pStyle w:val="TableBody"/>
              <w:jc w:val="both"/>
              <w:rPr>
                <w:color w:val="auto"/>
                <w:sz w:val="16"/>
                <w:szCs w:val="16"/>
                <w:highlight w:val="yellow"/>
                <w:lang w:val="en-US"/>
              </w:rPr>
            </w:pPr>
            <w:r w:rsidRPr="007E3FC3">
              <w:rPr>
                <w:color w:val="auto"/>
                <w:sz w:val="16"/>
                <w:szCs w:val="16"/>
                <w:highlight w:val="yellow"/>
              </w:rPr>
              <w:fldChar w:fldCharType="begin"/>
            </w:r>
            <w:r w:rsidR="00286292" w:rsidRPr="007E3FC3">
              <w:rPr>
                <w:color w:val="auto"/>
                <w:sz w:val="16"/>
                <w:szCs w:val="16"/>
                <w:highlight w:val="yellow"/>
                <w:lang w:val="en-US"/>
              </w:rPr>
              <w:instrText xml:space="preserve"> ADDIN ZOTERO_ITEM CSL_CITATION {"citationID":"3cdqhCT9","properties":{"unsorted":false,"formattedCitation":"[17], [118]","plainCitation":"[17], [118]","noteIndex":0},"citationItems":[{"id":1923,"uris":["http://zotero.org/users/9870935/items/K5N743Z5"],"itemData":{"id":1923,"type":"post-weblog","title":"BNEF: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id":2715,"uris":["http://zotero.org/users/9870935/items/7394XZ5J"],"itemData":{"id":2715,"type":"post-weblog","title":"Annual Technoogy Baseline","URL":"https://atb-archive.nlr.gov/","author":[{"literal":"NREL"}]}}],"schema":"https://github.com/citation-style-language/schema/raw/master/csl-citation.json"} </w:instrText>
            </w:r>
            <w:r w:rsidRPr="007E3FC3">
              <w:rPr>
                <w:color w:val="auto"/>
                <w:sz w:val="16"/>
                <w:szCs w:val="16"/>
                <w:highlight w:val="yellow"/>
              </w:rPr>
              <w:fldChar w:fldCharType="separate"/>
            </w:r>
            <w:r w:rsidR="00286292" w:rsidRPr="007E3FC3">
              <w:rPr>
                <w:sz w:val="16"/>
                <w:highlight w:val="yellow"/>
                <w:lang w:val="en-US"/>
              </w:rPr>
              <w:t>[17], [118]</w:t>
            </w:r>
            <w:r w:rsidRPr="007E3FC3">
              <w:rPr>
                <w:color w:val="auto"/>
                <w:sz w:val="16"/>
                <w:szCs w:val="16"/>
                <w:highlight w:val="yellow"/>
              </w:rPr>
              <w:fldChar w:fldCharType="end"/>
            </w:r>
          </w:p>
        </w:tc>
        <w:tc>
          <w:tcPr>
            <w:tcW w:w="0" w:type="auto"/>
            <w:hideMark/>
          </w:tcPr>
          <w:p w14:paraId="2E14296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85–95% </w:t>
            </w:r>
            <w:r w:rsidRPr="007E3FC3">
              <w:rPr>
                <w:color w:val="auto"/>
                <w:sz w:val="16"/>
                <w:szCs w:val="16"/>
                <w:highlight w:val="yellow"/>
              </w:rPr>
              <w:fldChar w:fldCharType="begin"/>
            </w:r>
            <w:r w:rsidRPr="007E3FC3">
              <w:rPr>
                <w:color w:val="auto"/>
                <w:sz w:val="16"/>
                <w:szCs w:val="16"/>
                <w:highlight w:val="yellow"/>
                <w:lang w:val="en-US"/>
              </w:rPr>
              <w:instrText xml:space="preserve"> ADDIN ZOTERO_ITEM CSL_CITATION {"citationID":"78MVeDMD","properties":{"unsorted":false,"formattedCitation":"[45]","plainCitation":"[45]","noteIndex":0},"citationItems":[{"id":1982,"uris":["http://zotero.org/users/9870935/items/GEX9B6EX"],"itemData":{"id":1982,"type":"article-journal","container-title":"Future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Pr="007E3FC3">
              <w:rPr>
                <w:sz w:val="16"/>
                <w:highlight w:val="yellow"/>
                <w:lang w:val="en-US"/>
              </w:rPr>
              <w:t>[45]</w:t>
            </w:r>
            <w:r w:rsidRPr="007E3FC3">
              <w:rPr>
                <w:color w:val="auto"/>
                <w:sz w:val="16"/>
                <w:szCs w:val="16"/>
                <w:highlight w:val="yellow"/>
              </w:rPr>
              <w:fldChar w:fldCharType="end"/>
            </w:r>
          </w:p>
        </w:tc>
        <w:tc>
          <w:tcPr>
            <w:tcW w:w="0" w:type="auto"/>
            <w:hideMark/>
          </w:tcPr>
          <w:p w14:paraId="56851980" w14:textId="7C5CF64C"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Probabilistic (LOLE targeting 99.9%–99.99%)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{"citationID":"AtlXoIhz","properties":{"unsorted":false,"formattedCitation":"[48], [81]","plainCitation":"[48], [81]","noteIndex":0},"citationItems":[{"id":1989,"uris":["http://zotero.org/users/9870935/items/3AV4CVJ6"],"itemData":{"id":1989,"type":"article-journal","container-title":"Journal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[48], [81]</w:t>
            </w:r>
            <w:r w:rsidRPr="007E3FC3">
              <w:rPr>
                <w:color w:val="auto"/>
                <w:sz w:val="16"/>
                <w:szCs w:val="16"/>
                <w:highlight w:val="yellow"/>
              </w:rPr>
              <w:fldChar w:fldCharType="end"/>
            </w:r>
          </w:p>
        </w:tc>
        <w:tc>
          <w:tcPr>
            <w:tcW w:w="0" w:type="auto"/>
            <w:hideMark/>
          </w:tcPr>
          <w:p w14:paraId="4B302F79" w14:textId="42E5B841" w:rsidR="00FE013C" w:rsidRPr="007E3FC3" w:rsidRDefault="00FE013C" w:rsidP="000B0F03">
            <w:pPr>
              <w:pStyle w:val="TableBody"/>
              <w:jc w:val="both"/>
              <w:rPr>
                <w:color w:val="auto"/>
                <w:sz w:val="16"/>
                <w:szCs w:val="16"/>
                <w:highlight w:val="yellow"/>
                <w:lang w:val="en-US"/>
              </w:rPr>
            </w:pPr>
            <w:r w:rsidRPr="007E3FC3">
              <w:rPr>
                <w:color w:val="auto"/>
                <w:sz w:val="16"/>
                <w:szCs w:val="16"/>
                <w:highlight w:val="yellow"/>
                <w:lang w:val="en-US"/>
              </w:rPr>
              <w:t xml:space="preserve">Overnight solar-to-solar shifting; seasonal solar dip management; cost reduction vs deterministic design </w:t>
            </w:r>
            <w:r w:rsidRPr="007E3FC3">
              <w:rPr>
                <w:color w:val="auto"/>
                <w:sz w:val="16"/>
                <w:szCs w:val="16"/>
                <w:highlight w:val="yellow"/>
              </w:rPr>
              <w:fldChar w:fldCharType="begin"/>
            </w:r>
            <w:r w:rsidR="000B0F03" w:rsidRPr="007E3FC3">
              <w:rPr>
                <w:color w:val="auto"/>
                <w:sz w:val="16"/>
                <w:szCs w:val="16"/>
                <w:highlight w:val="yellow"/>
                <w:lang w:val="en-US"/>
              </w:rPr>
              <w:instrText xml:space="preserve"> ADDIN ZOTERO_ITEM CSL_CITATION {"citationID":"m5ijxbq1","properties":{"unsorted":false,"formattedCitation":"[63], [67]","plainCitation":"[63], [67]","noteIndex":0},"citationItems":[{"id":2119,"uris":["http://zotero.org/users/9870935/items/HCPVHF7M"],"itemData":{"id":2119,"type":"article-journal","container-title":"Energy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0B0F03" w:rsidRPr="007E3FC3">
              <w:rPr>
                <w:sz w:val="16"/>
                <w:highlight w:val="yellow"/>
                <w:lang w:val="en-US"/>
              </w:rPr>
              <w:t>[63], [67]</w:t>
            </w:r>
            <w:r w:rsidRPr="007E3FC3">
              <w:rPr>
                <w:color w:val="auto"/>
                <w:sz w:val="16"/>
                <w:szCs w:val="16"/>
                <w:highlight w:val="yellow"/>
              </w:rPr>
              <w:fldChar w:fldCharType="end"/>
            </w:r>
          </w:p>
        </w:tc>
        <w:tc>
          <w:tcPr>
            <w:tcW w:w="0" w:type="auto"/>
            <w:hideMark/>
          </w:tcPr>
          <w:p w14:paraId="129A04FC" w14:textId="737CCECC"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Efficiency loss (5–15%); degradation limits 20–25 yr economic life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{"citationID":"cLfqQeVF","properties":{"unsorted":false,"formattedCitation":"[67], [73]","plainCitation":"[67], [73]","noteIndex":0},"citationItems":[{"id":1988,"uris":["http://zotero.org/users/9870935/items/9LH8YF5V"],"itemData":{"id":1988,"type":"article-journal","container-title":"Future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[67], [73]</w:t>
            </w:r>
            <w:r w:rsidRPr="007E3FC3">
              <w:rPr>
                <w:color w:val="auto"/>
                <w:sz w:val="16"/>
                <w:szCs w:val="16"/>
                <w:highlight w:val="yellow"/>
              </w:rPr>
              <w:fldChar w:fldCharType="end"/>
            </w:r>
          </w:p>
        </w:tc>
      </w:tr>
      <w:tr w:rsidR="00FE013C" w:rsidRPr="007E3FC3" w14:paraId="0A6DEBE1" w14:textId="77777777" w:rsidTr="00AF3016">
        <w:tc>
          <w:tcPr>
            <w:tcW w:w="0" w:type="auto"/>
            <w:hideMark/>
          </w:tcPr>
          <w:p w14:paraId="45E2975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8–24 h</w:t>
            </w:r>
          </w:p>
        </w:tc>
        <w:tc>
          <w:tcPr>
            <w:tcW w:w="0" w:type="auto"/>
            <w:hideMark/>
          </w:tcPr>
          <w:p w14:paraId="20D5DB0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Flow Battery (VRFB) or Li-ion extended DoD</w:t>
            </w:r>
          </w:p>
        </w:tc>
        <w:tc>
          <w:tcPr>
            <w:tcW w:w="0" w:type="auto"/>
            <w:hideMark/>
          </w:tcPr>
          <w:p w14:paraId="06AE34D2"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180–350/kWh-system</w:t>
            </w:r>
          </w:p>
          <w:p w14:paraId="474041E8" w14:textId="184769B0"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{"citationID":"kGRd6P2t","properties":{"unsorted":false,"formattedCitation":"[47], [96]","plainCitation":"[47], [96]","noteIndex":0},"citationItems":[{"id":1984,"uris":["http://zotero.org/users/9870935/items/M6SVEFZJ"],"itemData":{"id":1984,"type":"article-journal","container-title":"Next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[47], [96]</w:t>
            </w:r>
            <w:r w:rsidRPr="007E3FC3">
              <w:rPr>
                <w:color w:val="auto"/>
                <w:sz w:val="16"/>
                <w:szCs w:val="16"/>
                <w:highlight w:val="yellow"/>
              </w:rPr>
              <w:fldChar w:fldCharType="end"/>
            </w:r>
          </w:p>
        </w:tc>
        <w:tc>
          <w:tcPr>
            <w:tcW w:w="0" w:type="auto"/>
            <w:hideMark/>
          </w:tcPr>
          <w:p w14:paraId="072D3B20"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65–80% </w:t>
            </w:r>
            <w:r w:rsidRPr="007E3FC3">
              <w:rPr>
                <w:sz w:val="16"/>
                <w:highlight w:val="yellow"/>
                <w:lang w:val="en-US"/>
              </w:rPr>
              <w:t>[47]</w:t>
            </w:r>
          </w:p>
        </w:tc>
        <w:tc>
          <w:tcPr>
            <w:tcW w:w="0" w:type="auto"/>
            <w:hideMark/>
          </w:tcPr>
          <w:p w14:paraId="6D41E5EE" w14:textId="0746F039"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Optimization (MILP with reliability constraint)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{"citationID":"RhyYQ92V","properties":{"unsorted":false,"formattedCitation":"[73], [81]","plainCitation":"[73], [81]","noteIndex":0},"citationItems":[{"id":1988,"uris":["http://zotero.org/users/9870935/items/9LH8YF5V"],"itemData":{"id":1988,"type":"article-journal","container-title":"Future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[73], [81]</w:t>
            </w:r>
            <w:r w:rsidRPr="007E3FC3">
              <w:rPr>
                <w:color w:val="auto"/>
                <w:sz w:val="16"/>
                <w:szCs w:val="16"/>
                <w:highlight w:val="yellow"/>
              </w:rPr>
              <w:fldChar w:fldCharType="end"/>
            </w:r>
          </w:p>
        </w:tc>
        <w:tc>
          <w:tcPr>
            <w:tcW w:w="0" w:type="auto"/>
            <w:hideMark/>
          </w:tcPr>
          <w:p w14:paraId="141EDB37" w14:textId="7B22026D"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Multi-day firming; weak-grid support; MPC-integrated dispatch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{"citationID":"c2qz5NNw","properties":{"unsorted":false,"formattedCitation":"[63], [119], [120]","plainCitation":"[63], [119], [120]","noteIndex":0},"citationItems":[{"id":2119,"uris":["http://zotero.org/users/9870935/items/HCPVHF7M"],"itemData":{"id":2119,"type":"article-journal","container-title":"Energy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[63], [119], [120]</w:t>
            </w:r>
            <w:r w:rsidRPr="007E3FC3">
              <w:rPr>
                <w:color w:val="auto"/>
                <w:sz w:val="16"/>
                <w:szCs w:val="16"/>
                <w:highlight w:val="yellow"/>
              </w:rPr>
              <w:fldChar w:fldCharType="end"/>
            </w:r>
          </w:p>
        </w:tc>
        <w:tc>
          <w:tcPr>
            <w:tcW w:w="0" w:type="auto"/>
            <w:hideMark/>
          </w:tcPr>
          <w:p w14:paraId="7ECC9B4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Higher </w:t>
            </w:r>
            <w:proofErr w:type="spellStart"/>
            <w:r w:rsidRPr="007E3FC3">
              <w:rPr>
                <w:color w:val="auto"/>
                <w:sz w:val="16"/>
                <w:szCs w:val="16"/>
                <w:highlight w:val="yellow"/>
                <w:lang w:val="en-US"/>
              </w:rPr>
              <w:t>CapEx</w:t>
            </w:r>
            <w:proofErr w:type="spellEnd"/>
            <w:r w:rsidRPr="007E3FC3">
              <w:rPr>
                <w:color w:val="auto"/>
                <w:sz w:val="16"/>
                <w:szCs w:val="16"/>
                <w:highlight w:val="yellow"/>
                <w:lang w:val="en-US"/>
              </w:rPr>
              <w:t xml:space="preserve">; VRFB still emerging at scale </w:t>
            </w:r>
            <w:r w:rsidRPr="007E3FC3">
              <w:rPr>
                <w:sz w:val="16"/>
                <w:highlight w:val="yellow"/>
                <w:lang w:val="en-US"/>
              </w:rPr>
              <w:t>[47]</w:t>
            </w:r>
          </w:p>
        </w:tc>
      </w:tr>
      <w:tr w:rsidR="00FE013C" w:rsidRPr="007E3FC3" w14:paraId="13657801" w14:textId="77777777" w:rsidTr="00AF3016">
        <w:tc>
          <w:tcPr>
            <w:tcW w:w="0" w:type="auto"/>
            <w:hideMark/>
          </w:tcPr>
          <w:p w14:paraId="35FEDE98"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24–100 h</w:t>
            </w:r>
          </w:p>
        </w:tc>
        <w:tc>
          <w:tcPr>
            <w:tcW w:w="0" w:type="auto"/>
            <w:hideMark/>
          </w:tcPr>
          <w:p w14:paraId="0DAE4E7B"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Iron-Air / CAES</w:t>
            </w:r>
          </w:p>
        </w:tc>
        <w:tc>
          <w:tcPr>
            <w:tcW w:w="0" w:type="auto"/>
            <w:hideMark/>
          </w:tcPr>
          <w:p w14:paraId="78096A53" w14:textId="77777777" w:rsidR="00B07A7D" w:rsidRPr="007E3FC3" w:rsidRDefault="00B07A7D" w:rsidP="00B07A7D">
            <w:pPr>
              <w:pStyle w:val="TableBody"/>
              <w:jc w:val="both"/>
              <w:rPr>
                <w:color w:val="auto"/>
                <w:sz w:val="16"/>
                <w:szCs w:val="16"/>
                <w:highlight w:val="yellow"/>
                <w:lang w:val="en-CA"/>
              </w:rPr>
            </w:pPr>
            <w:r w:rsidRPr="007E3FC3">
              <w:rPr>
                <w:color w:val="auto"/>
                <w:sz w:val="16"/>
                <w:szCs w:val="16"/>
                <w:highlight w:val="yellow"/>
                <w:lang w:val="en-CA"/>
              </w:rPr>
              <w:t xml:space="preserve">Technology-specific reported system costs </w:t>
            </w:r>
          </w:p>
          <w:p w14:paraId="73056F51" w14:textId="23150264"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rPr>
              <w:lastRenderedPageBreak/>
              <w:fldChar w:fldCharType="begin"/>
            </w:r>
            <w:r w:rsidR="007D29E8" w:rsidRPr="007E3FC3">
              <w:rPr>
                <w:color w:val="auto"/>
                <w:sz w:val="16"/>
                <w:szCs w:val="16"/>
                <w:highlight w:val="yellow"/>
                <w:lang w:val="en-US"/>
              </w:rPr>
              <w:instrText xml:space="preserve"> ADDIN ZOTERO_ITEM CSL_CITATION {"citationID":"1u4tqan1","properties":{"unsorted":false,"formattedCitation":"[110], [121]","plainCitation":"[110], [121]","noteIndex":0},"citationItems":[{"id":1985,"uris":["http://zotero.org/users/9870935/items/58URKSK2"],"itemData":{"id":1985,"type":"book","abstract":"This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[110], [121]</w:t>
            </w:r>
            <w:r w:rsidRPr="007E3FC3">
              <w:rPr>
                <w:color w:val="auto"/>
                <w:sz w:val="16"/>
                <w:szCs w:val="16"/>
                <w:highlight w:val="yellow"/>
              </w:rPr>
              <w:fldChar w:fldCharType="end"/>
            </w:r>
          </w:p>
        </w:tc>
        <w:tc>
          <w:tcPr>
            <w:tcW w:w="0" w:type="auto"/>
            <w:hideMark/>
          </w:tcPr>
          <w:p w14:paraId="328C5DD4" w14:textId="51EBF707"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lastRenderedPageBreak/>
              <w:t xml:space="preserve">40–70%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{"citationID":"uEb1ccwo","properties":{"unsorted":false,"formattedCitation":"[110], [121]","plainCitation":"[110], [121]","noteIndex":0},"citationItems":[{"id":1985,"uris":["http://zotero.org/users/9870935/items/58URKSK2"],"itemData":{"id":1985,"type":"book","abstract":"This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[110], [121]</w:t>
            </w:r>
            <w:r w:rsidRPr="007E3FC3">
              <w:rPr>
                <w:color w:val="auto"/>
                <w:sz w:val="16"/>
                <w:szCs w:val="16"/>
                <w:highlight w:val="yellow"/>
              </w:rPr>
              <w:fldChar w:fldCharType="end"/>
            </w:r>
          </w:p>
        </w:tc>
        <w:tc>
          <w:tcPr>
            <w:tcW w:w="0" w:type="auto"/>
            <w:hideMark/>
          </w:tcPr>
          <w:p w14:paraId="4DF85AF7" w14:textId="1DC10437"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Optimization with seasonal reliability </w:t>
            </w:r>
            <w:r w:rsidRPr="007E3FC3">
              <w:rPr>
                <w:color w:val="auto"/>
                <w:sz w:val="16"/>
                <w:szCs w:val="16"/>
                <w:highlight w:val="yellow"/>
                <w:lang w:val="en-US"/>
              </w:rPr>
              <w:lastRenderedPageBreak/>
              <w:t xml:space="preserve">constraints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{"citationID":"1raQF4FR","properties":{"unsorted":false,"formattedCitation":"[73], [81]","plainCitation":"[73], [81]","noteIndex":0},"citationItems":[{"id":1988,"uris":["http://zotero.org/users/9870935/items/9LH8YF5V"],"itemData":{"id":1988,"type":"article-journal","container-title":"Future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[73], [81]</w:t>
            </w:r>
            <w:r w:rsidRPr="007E3FC3">
              <w:rPr>
                <w:color w:val="auto"/>
                <w:sz w:val="16"/>
                <w:szCs w:val="16"/>
                <w:highlight w:val="yellow"/>
              </w:rPr>
              <w:fldChar w:fldCharType="end"/>
            </w:r>
          </w:p>
        </w:tc>
        <w:tc>
          <w:tcPr>
            <w:tcW w:w="0" w:type="auto"/>
            <w:hideMark/>
          </w:tcPr>
          <w:p w14:paraId="4BC6A479" w14:textId="359BE28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lastRenderedPageBreak/>
              <w:t xml:space="preserve">Multi-day drought resilience; renewable </w:t>
            </w:r>
            <w:r w:rsidRPr="007E3FC3">
              <w:rPr>
                <w:color w:val="auto"/>
                <w:sz w:val="16"/>
                <w:szCs w:val="16"/>
                <w:highlight w:val="yellow"/>
                <w:lang w:val="en-US"/>
              </w:rPr>
              <w:lastRenderedPageBreak/>
              <w:t xml:space="preserve">firming in high variability climates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{"citationID":"8mVrVFgP","properties":{"unsorted":false,"formattedCitation":"[106], [122]","plainCitation":"[106], [122]","noteIndex":0},"citationItems":[{"id":2063,"uris":["http://zotero.org/users/9870935/items/47PEXHYC"],"itemData":{"id":2063,"type":"article-journal","container-title":"Communications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[106], [122]</w:t>
            </w:r>
            <w:r w:rsidRPr="007E3FC3">
              <w:rPr>
                <w:color w:val="auto"/>
                <w:sz w:val="16"/>
                <w:szCs w:val="16"/>
                <w:highlight w:val="yellow"/>
              </w:rPr>
              <w:fldChar w:fldCharType="end"/>
            </w:r>
          </w:p>
        </w:tc>
        <w:tc>
          <w:tcPr>
            <w:tcW w:w="0" w:type="auto"/>
            <w:hideMark/>
          </w:tcPr>
          <w:p w14:paraId="1EA0A1A2" w14:textId="7CA2BC0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lastRenderedPageBreak/>
              <w:t xml:space="preserve">Low round-trip efficiency; limited </w:t>
            </w:r>
            <w:r w:rsidRPr="007E3FC3">
              <w:rPr>
                <w:color w:val="auto"/>
                <w:sz w:val="16"/>
                <w:szCs w:val="16"/>
                <w:highlight w:val="yellow"/>
                <w:lang w:val="en-US"/>
              </w:rPr>
              <w:lastRenderedPageBreak/>
              <w:t xml:space="preserve">commercial deployment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{"citationID":"t4hhsG9p","properties":{"unsorted":false,"formattedCitation":"[81], [110]","plainCitation":"[81], [110]","noteIndex":0},"citationItems":[{"id":1985,"uris":["http://zotero.org/users/9870935/items/58URKSK2"],"itemData":{"id":1985,"type":"book","abstract":"This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[81], [110]</w:t>
            </w:r>
            <w:r w:rsidRPr="007E3FC3">
              <w:rPr>
                <w:color w:val="auto"/>
                <w:sz w:val="16"/>
                <w:szCs w:val="16"/>
                <w:highlight w:val="yellow"/>
              </w:rPr>
              <w:fldChar w:fldCharType="end"/>
            </w:r>
          </w:p>
        </w:tc>
      </w:tr>
      <w:tr w:rsidR="00FE013C" w:rsidRPr="00AF3016" w14:paraId="2F482E53" w14:textId="77777777" w:rsidTr="00AF3016">
        <w:tc>
          <w:tcPr>
            <w:tcW w:w="0" w:type="auto"/>
            <w:hideMark/>
          </w:tcPr>
          <w:p w14:paraId="36B98206"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lastRenderedPageBreak/>
              <w:t>100+ h</w:t>
            </w:r>
          </w:p>
        </w:tc>
        <w:tc>
          <w:tcPr>
            <w:tcW w:w="0" w:type="auto"/>
            <w:hideMark/>
          </w:tcPr>
          <w:p w14:paraId="05BDFAD9"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Green H₂ / Seasonal thermal storage</w:t>
            </w:r>
          </w:p>
        </w:tc>
        <w:tc>
          <w:tcPr>
            <w:tcW w:w="0" w:type="auto"/>
            <w:hideMark/>
          </w:tcPr>
          <w:p w14:paraId="140EB887" w14:textId="77777777" w:rsidR="00831EE0" w:rsidRPr="007E3FC3" w:rsidRDefault="00831EE0" w:rsidP="00831EE0">
            <w:pPr>
              <w:pStyle w:val="TableBody"/>
              <w:jc w:val="both"/>
              <w:rPr>
                <w:color w:val="auto"/>
                <w:sz w:val="16"/>
                <w:szCs w:val="16"/>
                <w:highlight w:val="yellow"/>
                <w:lang w:val="en-CA"/>
              </w:rPr>
            </w:pPr>
            <w:r w:rsidRPr="007E3FC3">
              <w:rPr>
                <w:color w:val="auto"/>
                <w:sz w:val="16"/>
                <w:szCs w:val="16"/>
                <w:highlight w:val="yellow"/>
                <w:lang w:val="en-CA"/>
              </w:rPr>
              <w:t>Technology-specific system cost basis</w:t>
            </w:r>
          </w:p>
          <w:p w14:paraId="644D0210" w14:textId="1CDAE1A2"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{"citationID":"fVrMURwJ","properties":{"unsorted":false,"formattedCitation":"[113], [114]","plainCitation":"[113], [114]","noteIndex":0},"citationItems":[{"id":1987,"uris":["http://zotero.org/users/9870935/items/2TYM8STM"],"itemData":{"id":1987,"type":"article-journal","abstract":"The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[114]</w:t>
            </w:r>
            <w:r w:rsidRPr="007E3FC3">
              <w:rPr>
                <w:color w:val="auto"/>
                <w:sz w:val="16"/>
                <w:szCs w:val="16"/>
                <w:highlight w:val="yellow"/>
              </w:rPr>
              <w:fldChar w:fldCharType="end"/>
            </w:r>
          </w:p>
        </w:tc>
        <w:tc>
          <w:tcPr>
            <w:tcW w:w="0" w:type="auto"/>
            <w:hideMark/>
          </w:tcPr>
          <w:p w14:paraId="79551898" w14:textId="43C2BE73"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30–41% (H₂), 60–80% (thermal)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{"citationID":"f34Vou48","properties":{"unsorted":false,"formattedCitation":"[113], [114]","plainCitation":"[113], [114]","noteIndex":0},"citationItems":[{"id":1987,"uris":["http://zotero.org/users/9870935/items/2TYM8STM"],"itemData":{"id":1987,"type":"article-journal","abstract":"The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[114]</w:t>
            </w:r>
            <w:r w:rsidRPr="007E3FC3">
              <w:rPr>
                <w:color w:val="auto"/>
                <w:sz w:val="16"/>
                <w:szCs w:val="16"/>
                <w:highlight w:val="yellow"/>
              </w:rPr>
              <w:fldChar w:fldCharType="end"/>
            </w:r>
          </w:p>
        </w:tc>
        <w:tc>
          <w:tcPr>
            <w:tcW w:w="0" w:type="auto"/>
            <w:hideMark/>
          </w:tcPr>
          <w:p w14:paraId="509D77ED" w14:textId="0952EC75"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Optimization with inter-seasonal constraints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{"citationID":"NFfiyigM","properties":{"unsorted":false,"formattedCitation":"[73], [123]","plainCitation":"[73], [123]","noteIndex":0},"citationItems":[{"id":1988,"uris":["http://zotero.org/users/9870935/items/9LH8YF5V"],"itemData":{"id":1988,"type":"article-journal","container-title":"Future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[73], [123]</w:t>
            </w:r>
            <w:r w:rsidRPr="007E3FC3">
              <w:rPr>
                <w:color w:val="auto"/>
                <w:sz w:val="16"/>
                <w:szCs w:val="16"/>
                <w:highlight w:val="yellow"/>
              </w:rPr>
              <w:fldChar w:fldCharType="end"/>
            </w:r>
          </w:p>
        </w:tc>
        <w:tc>
          <w:tcPr>
            <w:tcW w:w="0" w:type="auto"/>
            <w:hideMark/>
          </w:tcPr>
          <w:p w14:paraId="440EB0EA" w14:textId="49A7849D"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Seasonal shifting; long-duration backup for extreme events; grid independence support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{"citationID":"pVfEVGCr","properties":{"unsorted":false,"formattedCitation":"[124], [125]","plainCitation":"[124], [125]","noteIndex":0},"citationItems":[{"id":2141,"uris":["http://zotero.org/users/9870935/items/G3GVLHVX"],"itemData":{"id":2141,"type":"article-journal","container-title":"Renewable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[124], [125]</w:t>
            </w:r>
            <w:r w:rsidRPr="007E3FC3">
              <w:rPr>
                <w:color w:val="auto"/>
                <w:sz w:val="16"/>
                <w:szCs w:val="16"/>
                <w:highlight w:val="yellow"/>
              </w:rPr>
              <w:fldChar w:fldCharType="end"/>
            </w:r>
          </w:p>
        </w:tc>
        <w:tc>
          <w:tcPr>
            <w:tcW w:w="0" w:type="auto"/>
            <w:hideMark/>
          </w:tcPr>
          <w:p w14:paraId="02A5D77B" w14:textId="465BC675" w:rsidR="00FE013C" w:rsidRPr="00D31E21" w:rsidRDefault="00FE013C" w:rsidP="007D29E8">
            <w:pPr>
              <w:pStyle w:val="TableBody"/>
              <w:jc w:val="both"/>
              <w:rPr>
                <w:color w:val="auto"/>
                <w:sz w:val="16"/>
                <w:szCs w:val="16"/>
                <w:lang w:val="en-US"/>
              </w:rPr>
            </w:pPr>
            <w:r w:rsidRPr="007E3FC3">
              <w:rPr>
                <w:color w:val="auto"/>
                <w:sz w:val="16"/>
                <w:szCs w:val="16"/>
                <w:highlight w:val="yellow"/>
                <w:lang w:val="en-US"/>
              </w:rPr>
              <w:t xml:space="preserve">High losses; weak economic maturity; infrastructure dependency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{"citationID":"QpAKC3k6","properties":{"unsorted":false,"formattedCitation":"[113], [124]","plainCitation":"[113], [124]","noteIndex":0},"citationItems":[{"id":1987,"uris":["http://zotero.org/users/9870935/items/2TYM8STM"],"itemData":{"id":1987,"type":"article-journal","abstract":"The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[124]</w:t>
            </w:r>
            <w:r w:rsidRPr="007E3FC3">
              <w:rPr>
                <w:color w:val="auto"/>
                <w:sz w:val="16"/>
                <w:szCs w:val="16"/>
                <w:highlight w:val="yellow"/>
              </w:rPr>
              <w:fldChar w:fldCharType="end"/>
            </w:r>
          </w:p>
        </w:tc>
      </w:tr>
    </w:tbl>
    <w:p w14:paraId="2BAC50E7" w14:textId="51C20BF6" w:rsidR="000665E7" w:rsidRDefault="000665E7" w:rsidP="000665E7">
      <w:pPr>
        <w:spacing w:after="120"/>
        <w:ind w:firstLine="480"/>
        <w:rPr>
          <w:lang w:val="en-CA"/>
        </w:rPr>
      </w:pPr>
      <w:r w:rsidRPr="009A7CA8">
        <w:rPr>
          <w:highlight w:val="yellow"/>
          <w:lang w:val="en-CA"/>
        </w:rPr>
        <w:t>Lithium-ion values in Table 3 refer to battery-pack prices where indicated. Installed battery-system costs are higher because they include power-conversion equipment, thermal management, controls, engineering, procurement, construction, and grid-interconnection costs.</w:t>
      </w:r>
      <w:r w:rsidR="00B204E7">
        <w:rPr>
          <w:lang w:val="en-CA"/>
        </w:rPr>
        <w:t xml:space="preserve"> </w:t>
      </w:r>
    </w:p>
    <w:p w14:paraId="069C975C" w14:textId="22E6E423" w:rsidR="00B204E7" w:rsidRPr="000665E7" w:rsidRDefault="00B204E7" w:rsidP="00B204E7">
      <w:pPr>
        <w:spacing w:after="120"/>
        <w:ind w:firstLine="480"/>
        <w:rPr>
          <w:lang w:val="en-CA"/>
        </w:rPr>
      </w:pPr>
      <w:r w:rsidRPr="00B204E7">
        <w:rPr>
          <w:highlight w:val="yellow"/>
          <w:lang w:val="en-CA"/>
        </w:rPr>
        <w:t>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14:paraId="6ED507B7" w14:textId="2E0FB555"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702FAD7A" w:rsidR="00FE013C" w:rsidRPr="009C0925" w:rsidRDefault="00000000" w:rsidP="004C16FF">
            <w:pPr>
              <w:rPr>
                <w:rFonts w:asciiTheme="majorBidi" w:hAnsiTheme="majorBidi" w:cstheme="majorBidi"/>
                <w:color w:val="auto"/>
                <w:sz w:val="22"/>
                <w:szCs w:val="22"/>
                <w:highlight w:val="yellow"/>
                <w:lang w:val="en-CA" w:eastAsia="en-CA"/>
              </w:rPr>
            </w:pPr>
            <m:oMathPara>
              <m:oMath>
                <m:func>
                  <m:funcPr>
                    <m:ctrlPr>
                      <w:rPr>
                        <w:rFonts w:ascii="Cambria Math" w:hAnsi="Cambria Math"/>
                        <w:color w:val="auto"/>
                        <w:sz w:val="22"/>
                        <w:szCs w:val="22"/>
                        <w:highlight w:val="yellow"/>
                      </w:rPr>
                    </m:ctrlPr>
                  </m:funcPr>
                  <m:fName>
                    <m:r>
                      <m:rPr>
                        <m:sty m:val="p"/>
                      </m:rPr>
                      <w:rPr>
                        <w:rFonts w:ascii="Cambria Math" w:hAnsi="Cambria Math"/>
                        <w:color w:val="auto"/>
                        <w:sz w:val="22"/>
                        <w:szCs w:val="22"/>
                        <w:highlight w:val="yellow"/>
                      </w:rPr>
                      <m:t>min</m:t>
                    </m:r>
                  </m:fName>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total</m:t>
                        </m:r>
                      </m:sub>
                    </m:sSub>
                  </m:e>
                </m:func>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cap</m:t>
                    </m:r>
                  </m:sub>
                </m:sSub>
                <m:r>
                  <w:rPr>
                    <w:rFonts w:ascii="Cambria Math" w:hAnsi="Cambria Math"/>
                    <w:color w:val="auto"/>
                    <w:sz w:val="22"/>
                    <w:szCs w:val="22"/>
                    <w:highlight w:val="yellow"/>
                  </w:rPr>
                  <m:t>+</m:t>
                </m:r>
                <m:nary>
                  <m:naryPr>
                    <m:chr m:val="∑"/>
                    <m:limLoc m:val="undOvr"/>
                    <m:ctrlPr>
                      <w:rPr>
                        <w:rFonts w:ascii="Cambria Math" w:hAnsi="Cambria Math"/>
                        <w:color w:val="auto"/>
                        <w:sz w:val="22"/>
                        <w:szCs w:val="22"/>
                        <w:highlight w:val="yellow"/>
                      </w:rPr>
                    </m:ctrlPr>
                  </m:naryPr>
                  <m:sub>
                    <m:r>
                      <w:rPr>
                        <w:rFonts w:ascii="Cambria Math" w:hAnsi="Cambria Math"/>
                        <w:color w:val="auto"/>
                        <w:sz w:val="22"/>
                        <w:szCs w:val="22"/>
                        <w:highlight w:val="yellow"/>
                      </w:rPr>
                      <m:t>t=1</m:t>
                    </m:r>
                  </m:sub>
                  <m:sup>
                    <m:r>
                      <w:rPr>
                        <w:rFonts w:ascii="Cambria Math" w:hAnsi="Cambria Math"/>
                        <w:color w:val="auto"/>
                        <w:sz w:val="22"/>
                        <w:szCs w:val="22"/>
                        <w:highlight w:val="yellow"/>
                      </w:rPr>
                      <m:t>T</m:t>
                    </m:r>
                  </m:sup>
                  <m:e>
                    <m:d>
                      <m:dPr>
                        <m:ctrlPr>
                          <w:rPr>
                            <w:rFonts w:ascii="Cambria Math" w:hAnsi="Cambria Math"/>
                            <w:color w:val="auto"/>
                            <w:sz w:val="22"/>
                            <w:szCs w:val="22"/>
                            <w:highlight w:val="yellow"/>
                          </w:rPr>
                        </m:ctrlPr>
                      </m:dPr>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op,t</m:t>
                            </m:r>
                          </m:sub>
                        </m:sSub>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deg,t</m:t>
                            </m:r>
                          </m:sub>
                        </m:sSub>
                      </m:e>
                    </m:d>
                  </m:e>
                </m:nary>
              </m:oMath>
            </m:oMathPara>
          </w:p>
        </w:tc>
        <w:tc>
          <w:tcPr>
            <w:tcW w:w="505" w:type="dxa"/>
            <w:vAlign w:val="center"/>
          </w:tcPr>
          <w:p w14:paraId="7D00D276"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(4)</w:t>
            </w:r>
          </w:p>
        </w:tc>
      </w:tr>
    </w:tbl>
    <w:p w14:paraId="0DE9B04A" w14:textId="77777777" w:rsidR="00C53C94" w:rsidRPr="00C53C94" w:rsidRDefault="00C53C94" w:rsidP="00C53C94">
      <w:pPr>
        <w:spacing w:before="100" w:beforeAutospacing="1" w:after="100" w:afterAutospacing="1"/>
        <w:rPr>
          <w:color w:val="auto"/>
          <w:szCs w:val="24"/>
          <w:highlight w:val="yellow"/>
          <w:lang w:eastAsia="en-CA"/>
        </w:rPr>
      </w:pPr>
      <w:proofErr w:type="gramStart"/>
      <w:r w:rsidRPr="00C53C94">
        <w:rPr>
          <w:color w:val="auto"/>
          <w:szCs w:val="24"/>
          <w:highlight w:val="yellow"/>
          <w:lang w:eastAsia="en-CA"/>
        </w:rPr>
        <w:t>where</w:t>
      </w:r>
      <w:proofErr w:type="gramEnd"/>
    </w:p>
    <w:p w14:paraId="591CB736" w14:textId="1669E819"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cap</m:t>
            </m:r>
          </m:sub>
        </m:sSub>
      </m:oMath>
      <w:r w:rsidR="00C53C94" w:rsidRPr="00C53C94">
        <w:rPr>
          <w:color w:val="auto"/>
          <w:szCs w:val="24"/>
          <w:highlight w:val="yellow"/>
          <w:lang w:eastAsia="en-CA"/>
        </w:rPr>
        <w:t>= annualized capital cost;</w:t>
      </w:r>
    </w:p>
    <w:p w14:paraId="3DAD7287" w14:textId="72A74F0C"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op</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operating cost;</w:t>
      </w:r>
    </w:p>
    <w:p w14:paraId="420F6BB3" w14:textId="78A8B790"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deg</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battery degradation cost.</w:t>
      </w:r>
    </w:p>
    <w:p w14:paraId="6E969F0C" w14:textId="1E2C0508" w:rsidR="00FE013C" w:rsidRPr="009C0925" w:rsidRDefault="00FE013C" w:rsidP="004C16FF">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subject to:</w:t>
      </w:r>
    </w:p>
    <w:p w14:paraId="23607DCE" w14:textId="7777777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799DB136" w14:textId="77777777" w:rsidTr="00F5352A">
        <w:tc>
          <w:tcPr>
            <w:tcW w:w="421" w:type="dxa"/>
          </w:tcPr>
          <w:p w14:paraId="47C717C9" w14:textId="77777777" w:rsidR="00FE013C" w:rsidRPr="009C0925" w:rsidRDefault="00FE013C" w:rsidP="004C16FF">
            <w:pPr>
              <w:rPr>
                <w:color w:val="auto"/>
                <w:szCs w:val="24"/>
                <w:highlight w:val="yellow"/>
                <w:lang w:val="en-CA" w:eastAsia="en-CA"/>
              </w:rPr>
            </w:pPr>
          </w:p>
        </w:tc>
        <w:tc>
          <w:tcPr>
            <w:tcW w:w="7908" w:type="dxa"/>
          </w:tcPr>
          <w:p w14:paraId="3BE84C97" w14:textId="42EF9EF8" w:rsidR="00FE013C" w:rsidRPr="009C0925" w:rsidRDefault="00000000"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load,t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curt,t</m:t>
                    </m:r>
                  </m:sub>
                </m:sSub>
              </m:oMath>
            </m:oMathPara>
          </w:p>
        </w:tc>
        <w:tc>
          <w:tcPr>
            <w:tcW w:w="505" w:type="dxa"/>
            <w:vAlign w:val="center"/>
          </w:tcPr>
          <w:p w14:paraId="59CF1D2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(5)</w:t>
            </w:r>
          </w:p>
        </w:tc>
      </w:tr>
    </w:tbl>
    <w:p w14:paraId="31A45B3B" w14:textId="6DA5548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 xml:space="preserve">Battery State-of-Charge </w:t>
      </w:r>
      <w:r w:rsidR="009238A0" w:rsidRPr="009C0925">
        <w:rPr>
          <w:b/>
          <w:bCs/>
          <w:color w:val="auto"/>
          <w:szCs w:val="24"/>
          <w:highlight w:val="yellow"/>
          <w:lang w:val="en-CA" w:eastAsia="en-CA"/>
        </w:rPr>
        <w:t>Equation</w:t>
      </w:r>
      <w:r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323BBD1E" w14:textId="77777777" w:rsidTr="00F5352A">
        <w:tc>
          <w:tcPr>
            <w:tcW w:w="421" w:type="dxa"/>
          </w:tcPr>
          <w:p w14:paraId="094CAE98" w14:textId="77777777" w:rsidR="00FE013C" w:rsidRPr="009C0925" w:rsidRDefault="00FE013C" w:rsidP="004C16FF">
            <w:pPr>
              <w:rPr>
                <w:color w:val="auto"/>
                <w:szCs w:val="24"/>
                <w:highlight w:val="yellow"/>
                <w:lang w:val="en-CA" w:eastAsia="en-CA"/>
              </w:rPr>
            </w:pPr>
          </w:p>
        </w:tc>
        <w:tc>
          <w:tcPr>
            <w:tcW w:w="7908" w:type="dxa"/>
          </w:tcPr>
          <w:p w14:paraId="5DD2AD9F" w14:textId="39372E74" w:rsidR="00FE013C" w:rsidRPr="009C0925" w:rsidRDefault="00DB02E1"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t+1</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ch</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m:rPr>
                    <m:sty m:val="p"/>
                  </m:rPr>
                  <w:rPr>
                    <w:rFonts w:ascii="Cambria Math" w:hAnsi="Cambria Math"/>
                    <w:color w:val="auto"/>
                    <w:szCs w:val="24"/>
                    <w:highlight w:val="yellow"/>
                  </w:rPr>
                  <m:t>Δ</m:t>
                </m:r>
                <m:r>
                  <w:rPr>
                    <w:rFonts w:ascii="Cambria Math" w:hAnsi="Cambria Math"/>
                    <w:color w:val="auto"/>
                    <w:szCs w:val="24"/>
                    <w:highlight w:val="yellow"/>
                  </w:rPr>
                  <m:t>t-</m:t>
                </m:r>
                <m:f>
                  <m:fPr>
                    <m:ctrlPr>
                      <w:rPr>
                        <w:rFonts w:ascii="Cambria Math" w:hAnsi="Cambria Math"/>
                        <w:color w:val="auto"/>
                        <w:szCs w:val="24"/>
                        <w:highlight w:val="yellow"/>
                      </w:rPr>
                    </m:ctrlPr>
                  </m:fPr>
                  <m:num>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m:rPr>
                        <m:sty m:val="p"/>
                      </m:rPr>
                      <w:rPr>
                        <w:rFonts w:ascii="Cambria Math" w:hAnsi="Cambria Math"/>
                        <w:color w:val="auto"/>
                        <w:szCs w:val="24"/>
                        <w:highlight w:val="yellow"/>
                      </w:rPr>
                      <m:t>Δ</m:t>
                    </m:r>
                    <m:r>
                      <w:rPr>
                        <w:rFonts w:ascii="Cambria Math" w:hAnsi="Cambria Math"/>
                        <w:color w:val="auto"/>
                        <w:szCs w:val="24"/>
                        <w:highlight w:val="yellow"/>
                      </w:rPr>
                      <m:t>t</m:t>
                    </m:r>
                  </m:num>
                  <m:den>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dis</m:t>
                        </m:r>
                      </m:sub>
                    </m:sSub>
                  </m:den>
                </m:f>
              </m:oMath>
            </m:oMathPara>
          </w:p>
        </w:tc>
        <w:tc>
          <w:tcPr>
            <w:tcW w:w="505" w:type="dxa"/>
            <w:vAlign w:val="center"/>
          </w:tcPr>
          <w:p w14:paraId="765B93A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(6)</w:t>
            </w:r>
          </w:p>
        </w:tc>
      </w:tr>
    </w:tbl>
    <w:p w14:paraId="0110B78D" w14:textId="77777777" w:rsidR="009238A0" w:rsidRPr="009C0925" w:rsidRDefault="009238A0" w:rsidP="009238A0">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9238A0" w:rsidRPr="009C0925" w14:paraId="235A0989" w14:textId="77777777" w:rsidTr="001E5821">
        <w:tc>
          <w:tcPr>
            <w:tcW w:w="421" w:type="dxa"/>
          </w:tcPr>
          <w:p w14:paraId="795E3C4A" w14:textId="77777777" w:rsidR="009238A0" w:rsidRPr="009C0925" w:rsidRDefault="009238A0" w:rsidP="001E5821">
            <w:pPr>
              <w:rPr>
                <w:color w:val="auto"/>
                <w:szCs w:val="24"/>
                <w:highlight w:val="yellow"/>
                <w:lang w:val="en-CA" w:eastAsia="en-CA"/>
              </w:rPr>
            </w:pPr>
          </w:p>
        </w:tc>
        <w:tc>
          <w:tcPr>
            <w:tcW w:w="7908" w:type="dxa"/>
          </w:tcPr>
          <w:p w14:paraId="2F3BD932" w14:textId="601F0EFD" w:rsidR="009238A0" w:rsidRPr="009C0925" w:rsidRDefault="0083233D" w:rsidP="001E5821">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min</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max</m:t>
                    </m:r>
                  </m:sub>
                </m:sSub>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608315A" w14:textId="2D303BDC" w:rsidR="009238A0" w:rsidRPr="009C0925" w:rsidRDefault="009238A0" w:rsidP="001E5821">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7</w:t>
            </w:r>
            <w:r w:rsidRPr="009C0925">
              <w:rPr>
                <w:color w:val="auto"/>
                <w:szCs w:val="24"/>
                <w:highlight w:val="yellow"/>
                <w:lang w:val="en-CA" w:eastAsia="en-CA"/>
              </w:rPr>
              <w:t>)</w:t>
            </w:r>
          </w:p>
        </w:tc>
      </w:tr>
    </w:tbl>
    <w:p w14:paraId="38D2E6C4" w14:textId="10B52A21" w:rsidR="00FE013C" w:rsidRPr="009C0925" w:rsidRDefault="006F30FD"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Battery Power Limits</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63CE828" w14:textId="77777777" w:rsidTr="00F5352A">
        <w:tc>
          <w:tcPr>
            <w:tcW w:w="421" w:type="dxa"/>
          </w:tcPr>
          <w:p w14:paraId="0DEBAFE5" w14:textId="77777777" w:rsidR="00FE013C" w:rsidRPr="009C0925" w:rsidRDefault="00FE013C" w:rsidP="004C16FF">
            <w:pPr>
              <w:rPr>
                <w:color w:val="auto"/>
                <w:szCs w:val="24"/>
                <w:highlight w:val="yellow"/>
                <w:lang w:val="en-CA" w:eastAsia="en-CA"/>
              </w:rPr>
            </w:pPr>
          </w:p>
        </w:tc>
        <w:tc>
          <w:tcPr>
            <w:tcW w:w="7908" w:type="dxa"/>
          </w:tcPr>
          <w:p w14:paraId="25C78AA2" w14:textId="5E02CDA9" w:rsidR="00FE013C" w:rsidRPr="00F57AF4" w:rsidRDefault="00BB2420"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ch</m:t>
                    </m:r>
                  </m:sub>
                  <m:sup>
                    <m:r>
                      <w:rPr>
                        <w:rFonts w:ascii="Cambria Math" w:hAnsi="Cambria Math"/>
                        <w:color w:val="auto"/>
                        <w:szCs w:val="24"/>
                        <w:highlight w:val="yellow"/>
                      </w:rPr>
                      <m:t>max</m:t>
                    </m:r>
                  </m:sup>
                </m:sSubSup>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731E234B" w14:textId="5E5FE2C4"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8</w:t>
            </w:r>
            <w:r w:rsidRPr="009C0925">
              <w:rPr>
                <w:color w:val="auto"/>
                <w:szCs w:val="24"/>
                <w:highlight w:val="yellow"/>
                <w:lang w:val="en-CA" w:eastAsia="en-CA"/>
              </w:rPr>
              <w:t>)</w:t>
            </w:r>
          </w:p>
        </w:tc>
      </w:tr>
      <w:tr w:rsidR="00FE013C" w:rsidRPr="009C0925" w14:paraId="72947D45" w14:textId="77777777" w:rsidTr="00FF0DBE">
        <w:tc>
          <w:tcPr>
            <w:tcW w:w="421" w:type="dxa"/>
          </w:tcPr>
          <w:p w14:paraId="49A346BC" w14:textId="77777777" w:rsidR="00FE013C" w:rsidRPr="009C0925" w:rsidRDefault="00FE013C" w:rsidP="004C16FF">
            <w:pPr>
              <w:rPr>
                <w:color w:val="auto"/>
                <w:szCs w:val="24"/>
                <w:highlight w:val="yellow"/>
                <w:lang w:val="en-CA" w:eastAsia="en-CA"/>
              </w:rPr>
            </w:pPr>
          </w:p>
        </w:tc>
        <w:tc>
          <w:tcPr>
            <w:tcW w:w="7908" w:type="dxa"/>
          </w:tcPr>
          <w:p w14:paraId="17DD6BF9" w14:textId="70E00028" w:rsidR="00FE013C" w:rsidRPr="00F57AF4" w:rsidRDefault="00F57AF4"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dis</m:t>
                    </m:r>
                  </m:sub>
                  <m:sup>
                    <m:r>
                      <w:rPr>
                        <w:rFonts w:ascii="Cambria Math" w:hAnsi="Cambria Math"/>
                        <w:color w:val="auto"/>
                        <w:szCs w:val="24"/>
                        <w:highlight w:val="yellow"/>
                      </w:rPr>
                      <m:t>max</m:t>
                    </m:r>
                  </m:sup>
                </m:sSubSup>
              </m:oMath>
            </m:oMathPara>
          </w:p>
        </w:tc>
        <w:tc>
          <w:tcPr>
            <w:tcW w:w="505" w:type="dxa"/>
          </w:tcPr>
          <w:p w14:paraId="2483E27C" w14:textId="431C8F35"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9</w:t>
            </w:r>
            <w:r w:rsidRPr="009C0925">
              <w:rPr>
                <w:color w:val="auto"/>
                <w:szCs w:val="24"/>
                <w:highlight w:val="yellow"/>
                <w:lang w:val="en-CA" w:eastAsia="en-CA"/>
              </w:rPr>
              <w:t>)</w:t>
            </w:r>
          </w:p>
        </w:tc>
      </w:tr>
    </w:tbl>
    <w:p w14:paraId="4596B22F" w14:textId="1BCC231C" w:rsidR="00FE013C" w:rsidRPr="009C0925" w:rsidRDefault="00F57AF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Charge/Discharge Exclusivity</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rsidRPr="009C0925" w14:paraId="601130DC" w14:textId="77777777" w:rsidTr="00F5352A">
        <w:tc>
          <w:tcPr>
            <w:tcW w:w="421" w:type="dxa"/>
          </w:tcPr>
          <w:p w14:paraId="413E8120" w14:textId="77777777" w:rsidR="00FE013C" w:rsidRPr="009C0925" w:rsidRDefault="00FE013C" w:rsidP="004C16FF">
            <w:pPr>
              <w:rPr>
                <w:color w:val="auto"/>
                <w:szCs w:val="24"/>
                <w:highlight w:val="yellow"/>
                <w:lang w:val="en-CA" w:eastAsia="en-CA"/>
              </w:rPr>
            </w:pPr>
          </w:p>
        </w:tc>
        <w:tc>
          <w:tcPr>
            <w:tcW w:w="7908" w:type="dxa"/>
          </w:tcPr>
          <w:p w14:paraId="15EC907A" w14:textId="1CE86AD7" w:rsidR="00FE013C" w:rsidRPr="009C0925" w:rsidRDefault="00000000" w:rsidP="004C16FF">
            <w:pPr>
              <w:rPr>
                <w:rFonts w:asciiTheme="majorBidi" w:hAnsiTheme="majorBidi" w:cstheme="majorBidi"/>
                <w:color w:val="auto"/>
                <w:sz w:val="22"/>
                <w:szCs w:val="22"/>
                <w:highlight w:val="yellow"/>
                <w:lang w:val="en-CA" w:eastAsia="en-CA"/>
              </w:rPr>
            </w:pPr>
            <m:oMathPara>
              <m:oMath>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ch</m:t>
                    </m:r>
                  </m:sup>
                </m:sSubSup>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dis</m:t>
                    </m:r>
                  </m:sup>
                </m:sSubSup>
                <m:r>
                  <w:rPr>
                    <w:rFonts w:ascii="Cambria Math" w:hAnsi="Cambria Math"/>
                    <w:color w:val="auto"/>
                    <w:szCs w:val="24"/>
                    <w:highlight w:val="yellow"/>
                  </w:rPr>
                  <m:t>≤1</m:t>
                </m:r>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F6F68B8" w14:textId="78E4859A"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D524ED">
              <w:rPr>
                <w:color w:val="auto"/>
                <w:szCs w:val="24"/>
                <w:highlight w:val="yellow"/>
                <w:lang w:val="en-CA" w:eastAsia="en-CA"/>
              </w:rPr>
              <w:t>10</w:t>
            </w:r>
            <w:r w:rsidRPr="009C0925">
              <w:rPr>
                <w:color w:val="auto"/>
                <w:szCs w:val="24"/>
                <w:highlight w:val="yellow"/>
                <w:lang w:val="en-CA" w:eastAsia="en-CA"/>
              </w:rPr>
              <w:t>)</w:t>
            </w:r>
          </w:p>
        </w:tc>
      </w:tr>
    </w:tbl>
    <w:p w14:paraId="77DBA264" w14:textId="6FC875CE" w:rsidR="00D65E78" w:rsidRPr="00D65E78" w:rsidRDefault="00D65E78" w:rsidP="00D65E78">
      <w:pPr>
        <w:spacing w:before="100" w:beforeAutospacing="1" w:after="100" w:afterAutospacing="1"/>
        <w:rPr>
          <w:color w:val="auto"/>
          <w:szCs w:val="24"/>
          <w:highlight w:val="yellow"/>
          <w:lang w:eastAsia="en-CA"/>
        </w:rPr>
      </w:pPr>
      <w:r w:rsidRPr="00D65E78">
        <w:rPr>
          <w:color w:val="auto"/>
          <w:szCs w:val="24"/>
          <w:highlight w:val="yellow"/>
          <w:lang w:eastAsia="en-CA"/>
        </w:rPr>
        <w:t xml:space="preserve">where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ch</m:t>
            </m:r>
          </m:sup>
        </m:sSubSup>
      </m:oMath>
      <w:r w:rsidRPr="00D65E78">
        <w:rPr>
          <w:color w:val="auto"/>
          <w:szCs w:val="24"/>
          <w:highlight w:val="yellow"/>
          <w:lang w:eastAsia="en-CA"/>
        </w:rPr>
        <w:t xml:space="preserve">and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dis</m:t>
            </m:r>
          </m:sup>
        </m:sSubSup>
      </m:oMath>
      <w:r w:rsidRPr="00D65E78">
        <w:rPr>
          <w:color w:val="auto"/>
          <w:szCs w:val="24"/>
          <w:highlight w:val="yellow"/>
          <w:lang w:eastAsia="en-CA"/>
        </w:rPr>
        <w:t>are binary variables preventing simultaneous charging and discharging.</w:t>
      </w:r>
    </w:p>
    <w:p w14:paraId="0E8C55D8" w14:textId="693C92E9" w:rsidR="00FE013C" w:rsidRPr="009C0925" w:rsidRDefault="00D22FD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Renewable-Generation Limits</w:t>
      </w:r>
      <w:r w:rsidR="00787DBF">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3A4B5D">
        <w:tc>
          <w:tcPr>
            <w:tcW w:w="421" w:type="dxa"/>
          </w:tcPr>
          <w:p w14:paraId="38C604DA" w14:textId="77777777" w:rsidR="00FE013C" w:rsidRPr="009C0925" w:rsidRDefault="00FE013C" w:rsidP="004C16FF">
            <w:pPr>
              <w:rPr>
                <w:color w:val="auto"/>
                <w:szCs w:val="24"/>
                <w:highlight w:val="yellow"/>
                <w:lang w:val="en-CA" w:eastAsia="en-CA"/>
              </w:rPr>
            </w:pPr>
          </w:p>
        </w:tc>
        <w:tc>
          <w:tcPr>
            <w:tcW w:w="7908" w:type="dxa"/>
          </w:tcPr>
          <w:p w14:paraId="1FB500AE" w14:textId="37889D69" w:rsidR="00FE013C" w:rsidRPr="009C0925" w:rsidRDefault="00787DBF"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PV,t</m:t>
                    </m:r>
                  </m:sub>
                </m:sSub>
              </m:oMath>
            </m:oMathPara>
          </w:p>
        </w:tc>
        <w:tc>
          <w:tcPr>
            <w:tcW w:w="616" w:type="dxa"/>
            <w:vAlign w:val="center"/>
          </w:tcPr>
          <w:p w14:paraId="7DE7D2BF" w14:textId="3055A272" w:rsidR="00FE013C" w:rsidRDefault="00FE013C" w:rsidP="004C16FF">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1</w:t>
            </w:r>
            <w:r w:rsidRPr="009C0925">
              <w:rPr>
                <w:color w:val="auto"/>
                <w:szCs w:val="24"/>
                <w:highlight w:val="yellow"/>
                <w:lang w:val="en-CA" w:eastAsia="en-CA"/>
              </w:rPr>
              <w:t>)</w:t>
            </w:r>
          </w:p>
        </w:tc>
      </w:tr>
      <w:tr w:rsidR="003A4B5D" w14:paraId="16B3DBCC" w14:textId="77777777" w:rsidTr="00246B4C">
        <w:tc>
          <w:tcPr>
            <w:tcW w:w="421" w:type="dxa"/>
          </w:tcPr>
          <w:p w14:paraId="61BCC342" w14:textId="77777777" w:rsidR="003A4B5D" w:rsidRPr="009C0925" w:rsidRDefault="003A4B5D" w:rsidP="000B7FFD">
            <w:pPr>
              <w:rPr>
                <w:color w:val="auto"/>
                <w:szCs w:val="24"/>
                <w:highlight w:val="yellow"/>
                <w:lang w:val="en-CA" w:eastAsia="en-CA"/>
              </w:rPr>
            </w:pPr>
          </w:p>
        </w:tc>
        <w:tc>
          <w:tcPr>
            <w:tcW w:w="7908" w:type="dxa"/>
          </w:tcPr>
          <w:p w14:paraId="219BA97F" w14:textId="12551703" w:rsidR="003A4B5D" w:rsidRPr="009C0925" w:rsidRDefault="00B07900"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wind,t</m:t>
                    </m:r>
                  </m:sub>
                </m:sSub>
              </m:oMath>
            </m:oMathPara>
          </w:p>
        </w:tc>
        <w:tc>
          <w:tcPr>
            <w:tcW w:w="616" w:type="dxa"/>
          </w:tcPr>
          <w:p w14:paraId="6BC243E7" w14:textId="710A0B7D" w:rsidR="003A4B5D" w:rsidRDefault="003A4B5D" w:rsidP="000B7FFD">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2</w:t>
            </w:r>
            <w:r w:rsidRPr="009C0925">
              <w:rPr>
                <w:color w:val="auto"/>
                <w:szCs w:val="24"/>
                <w:highlight w:val="yellow"/>
                <w:lang w:val="en-CA" w:eastAsia="en-CA"/>
              </w:rPr>
              <w:t>)</w:t>
            </w:r>
          </w:p>
        </w:tc>
      </w:tr>
    </w:tbl>
    <w:p w14:paraId="56181588" w14:textId="55D86C76" w:rsidR="00FE013C" w:rsidRDefault="0027718E" w:rsidP="004C16FF">
      <w:pPr>
        <w:rPr>
          <w:b/>
          <w:bCs/>
          <w:color w:val="auto"/>
          <w:szCs w:val="24"/>
          <w:lang w:val="en-CA" w:eastAsia="en-CA"/>
        </w:rPr>
      </w:pPr>
      <w:r w:rsidRPr="00050446">
        <w:rPr>
          <w:b/>
          <w:bCs/>
          <w:color w:val="auto"/>
          <w:szCs w:val="24"/>
          <w:highlight w:val="yellow"/>
          <w:lang w:val="en-CA" w:eastAsia="en-CA"/>
        </w:rPr>
        <w:t>Grid Import/Export Limits</w:t>
      </w:r>
      <w:r w:rsidR="00FE013C"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C469F6">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54BD108A" w:rsidR="00FE013C" w:rsidRPr="00DF6FAE" w:rsidRDefault="00450642"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grid,exp</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grid,imp</m:t>
                    </m:r>
                  </m:sub>
                </m:sSub>
              </m:oMath>
            </m:oMathPara>
          </w:p>
        </w:tc>
        <w:tc>
          <w:tcPr>
            <w:tcW w:w="616" w:type="dxa"/>
            <w:vAlign w:val="center"/>
          </w:tcPr>
          <w:p w14:paraId="6A148A28" w14:textId="099D3FBD" w:rsidR="00FE013C" w:rsidRPr="00DF6FAE" w:rsidRDefault="00FE013C" w:rsidP="004C16FF">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3</w:t>
            </w:r>
            <w:r w:rsidRPr="00DF6FAE">
              <w:rPr>
                <w:color w:val="auto"/>
                <w:szCs w:val="24"/>
                <w:highlight w:val="yellow"/>
                <w:lang w:val="en-CA" w:eastAsia="en-CA"/>
              </w:rPr>
              <w:t>)</w:t>
            </w:r>
          </w:p>
        </w:tc>
      </w:tr>
    </w:tbl>
    <w:p w14:paraId="2AC0B359" w14:textId="306242ED" w:rsidR="00C469F6" w:rsidRDefault="001B3BFE" w:rsidP="00C469F6">
      <w:pPr>
        <w:rPr>
          <w:b/>
          <w:bCs/>
          <w:color w:val="auto"/>
          <w:szCs w:val="24"/>
          <w:lang w:val="en-CA" w:eastAsia="en-CA"/>
        </w:rPr>
      </w:pPr>
      <w:r>
        <w:rPr>
          <w:b/>
          <w:bCs/>
          <w:color w:val="auto"/>
          <w:szCs w:val="24"/>
          <w:highlight w:val="yellow"/>
          <w:lang w:val="en-CA" w:eastAsia="en-CA"/>
        </w:rPr>
        <w:t>Backup-Generation Limits</w:t>
      </w:r>
      <w:r w:rsidR="00C469F6"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469F6" w14:paraId="66EDAF75" w14:textId="77777777" w:rsidTr="009D1777">
        <w:tc>
          <w:tcPr>
            <w:tcW w:w="421" w:type="dxa"/>
          </w:tcPr>
          <w:p w14:paraId="3DAD372C" w14:textId="77777777" w:rsidR="00C469F6" w:rsidRDefault="00C469F6" w:rsidP="000B7FFD">
            <w:pPr>
              <w:rPr>
                <w:color w:val="auto"/>
                <w:szCs w:val="24"/>
                <w:lang w:val="en-CA" w:eastAsia="en-CA"/>
              </w:rPr>
            </w:pPr>
          </w:p>
        </w:tc>
        <w:tc>
          <w:tcPr>
            <w:tcW w:w="7908" w:type="dxa"/>
          </w:tcPr>
          <w:p w14:paraId="392A64A8" w14:textId="3C5D25F8" w:rsidR="00C469F6" w:rsidRPr="00DF6FAE" w:rsidRDefault="00A746D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m:t>
                    </m:r>
                  </m:sub>
                </m:sSub>
              </m:oMath>
            </m:oMathPara>
          </w:p>
        </w:tc>
        <w:tc>
          <w:tcPr>
            <w:tcW w:w="616" w:type="dxa"/>
            <w:vAlign w:val="center"/>
          </w:tcPr>
          <w:p w14:paraId="2A645A6C" w14:textId="326131B6" w:rsidR="00C469F6" w:rsidRPr="00DF6FAE" w:rsidRDefault="00C469F6" w:rsidP="000B7FFD">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4</w:t>
            </w:r>
            <w:r w:rsidRPr="00DF6FAE">
              <w:rPr>
                <w:color w:val="auto"/>
                <w:szCs w:val="24"/>
                <w:highlight w:val="yellow"/>
                <w:lang w:val="en-CA" w:eastAsia="en-CA"/>
              </w:rPr>
              <w:t>)</w:t>
            </w:r>
          </w:p>
        </w:tc>
      </w:tr>
    </w:tbl>
    <w:p w14:paraId="303E347A" w14:textId="41B48433" w:rsidR="009D1777" w:rsidRPr="00727E3B" w:rsidRDefault="0023740C" w:rsidP="009D1777">
      <w:pPr>
        <w:rPr>
          <w:b/>
          <w:bCs/>
          <w:color w:val="auto"/>
          <w:szCs w:val="24"/>
          <w:highlight w:val="yellow"/>
          <w:lang w:val="en-CA" w:eastAsia="en-CA"/>
        </w:rPr>
      </w:pPr>
      <w:r w:rsidRPr="00727E3B">
        <w:rPr>
          <w:b/>
          <w:bCs/>
          <w:color w:val="auto"/>
          <w:szCs w:val="24"/>
          <w:highlight w:val="yellow"/>
          <w:lang w:val="en-CA" w:eastAsia="en-CA"/>
        </w:rPr>
        <w:t>Reliability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6815963C" w14:textId="77777777" w:rsidTr="009D1777">
        <w:tc>
          <w:tcPr>
            <w:tcW w:w="421" w:type="dxa"/>
          </w:tcPr>
          <w:p w14:paraId="5D7001AA" w14:textId="77777777" w:rsidR="009D1777" w:rsidRPr="00727E3B" w:rsidRDefault="009D1777" w:rsidP="000B7FFD">
            <w:pPr>
              <w:rPr>
                <w:color w:val="auto"/>
                <w:szCs w:val="24"/>
                <w:highlight w:val="yellow"/>
                <w:lang w:val="en-CA" w:eastAsia="en-CA"/>
              </w:rPr>
            </w:pPr>
          </w:p>
        </w:tc>
        <w:tc>
          <w:tcPr>
            <w:tcW w:w="7908" w:type="dxa"/>
          </w:tcPr>
          <w:p w14:paraId="2CFCAC54" w14:textId="351B9292" w:rsidR="009D1777" w:rsidRPr="00727E3B" w:rsidRDefault="002445F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LOLE≤0.876</m:t>
                </m:r>
                <m:r>
                  <m:rPr>
                    <m:nor/>
                  </m:rPr>
                  <w:rPr>
                    <w:rFonts w:ascii="Cambria Math" w:hAnsi="Cambria Math"/>
                    <w:color w:val="auto"/>
                    <w:szCs w:val="24"/>
                    <w:highlight w:val="yellow"/>
                  </w:rPr>
                  <m:t> h/year</m:t>
                </m:r>
              </m:oMath>
            </m:oMathPara>
          </w:p>
        </w:tc>
        <w:tc>
          <w:tcPr>
            <w:tcW w:w="616" w:type="dxa"/>
            <w:vAlign w:val="center"/>
          </w:tcPr>
          <w:p w14:paraId="746BD69F" w14:textId="491264C0"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5</w:t>
            </w:r>
            <w:r w:rsidRPr="00727E3B">
              <w:rPr>
                <w:color w:val="auto"/>
                <w:szCs w:val="24"/>
                <w:highlight w:val="yellow"/>
                <w:lang w:val="en-CA" w:eastAsia="en-CA"/>
              </w:rPr>
              <w:t>)</w:t>
            </w:r>
          </w:p>
        </w:tc>
      </w:tr>
    </w:tbl>
    <w:p w14:paraId="6D096A00" w14:textId="2B896E52" w:rsidR="009D1777" w:rsidRPr="00727E3B" w:rsidRDefault="00000154" w:rsidP="009D1777">
      <w:pPr>
        <w:rPr>
          <w:b/>
          <w:bCs/>
          <w:color w:val="auto"/>
          <w:szCs w:val="24"/>
          <w:highlight w:val="yellow"/>
          <w:lang w:val="en-CA" w:eastAsia="en-CA"/>
        </w:rPr>
      </w:pPr>
      <w:r w:rsidRPr="00727E3B">
        <w:rPr>
          <w:b/>
          <w:bCs/>
          <w:color w:val="auto"/>
          <w:szCs w:val="24"/>
          <w:highlight w:val="yellow"/>
          <w:lang w:val="en-CA" w:eastAsia="en-CA"/>
        </w:rPr>
        <w:t xml:space="preserve">Cyclic End-State </w:t>
      </w:r>
      <w:r w:rsidR="0016087D" w:rsidRPr="00727E3B">
        <w:rPr>
          <w:b/>
          <w:bCs/>
          <w:color w:val="auto"/>
          <w:szCs w:val="24"/>
          <w:highlight w:val="yellow"/>
          <w:lang w:val="en-CA" w:eastAsia="en-CA"/>
        </w:rPr>
        <w:t>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06EF487A" w14:textId="77777777" w:rsidTr="009D1777">
        <w:tc>
          <w:tcPr>
            <w:tcW w:w="421" w:type="dxa"/>
          </w:tcPr>
          <w:p w14:paraId="1D346788" w14:textId="77777777" w:rsidR="009D1777" w:rsidRPr="00727E3B" w:rsidRDefault="009D1777" w:rsidP="000B7FFD">
            <w:pPr>
              <w:rPr>
                <w:color w:val="auto"/>
                <w:szCs w:val="24"/>
                <w:highlight w:val="yellow"/>
                <w:lang w:val="en-CA" w:eastAsia="en-CA"/>
              </w:rPr>
            </w:pPr>
          </w:p>
        </w:tc>
        <w:tc>
          <w:tcPr>
            <w:tcW w:w="7908" w:type="dxa"/>
          </w:tcPr>
          <w:p w14:paraId="7E7484AD" w14:textId="4512CD0C" w:rsidR="009D1777" w:rsidRPr="00727E3B" w:rsidRDefault="001F01F2"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1</m:t>
                    </m:r>
                  </m:sub>
                </m:sSub>
              </m:oMath>
            </m:oMathPara>
          </w:p>
        </w:tc>
        <w:tc>
          <w:tcPr>
            <w:tcW w:w="616" w:type="dxa"/>
            <w:vAlign w:val="center"/>
          </w:tcPr>
          <w:p w14:paraId="5712CA7F" w14:textId="7B725F29"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6</w:t>
            </w:r>
            <w:r w:rsidRPr="00727E3B">
              <w:rPr>
                <w:color w:val="auto"/>
                <w:szCs w:val="24"/>
                <w:highlight w:val="yellow"/>
                <w:lang w:val="en-CA" w:eastAsia="en-CA"/>
              </w:rPr>
              <w:t>)</w:t>
            </w:r>
          </w:p>
        </w:tc>
      </w:tr>
    </w:tbl>
    <w:p w14:paraId="6CF96D39" w14:textId="41371520" w:rsidR="009D1777" w:rsidRPr="00727E3B" w:rsidRDefault="0016087D" w:rsidP="009D1777">
      <w:pPr>
        <w:rPr>
          <w:b/>
          <w:bCs/>
          <w:color w:val="auto"/>
          <w:szCs w:val="24"/>
          <w:highlight w:val="yellow"/>
          <w:lang w:val="en-CA" w:eastAsia="en-CA"/>
        </w:rPr>
      </w:pPr>
      <w:r w:rsidRPr="00727E3B">
        <w:rPr>
          <w:b/>
          <w:bCs/>
          <w:color w:val="auto"/>
          <w:szCs w:val="24"/>
          <w:highlight w:val="yellow"/>
          <w:lang w:val="en-CA" w:eastAsia="en-CA"/>
        </w:rPr>
        <w:t>Optional Emissions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14:paraId="5C1D77AD" w14:textId="77777777" w:rsidTr="007732EC">
        <w:tc>
          <w:tcPr>
            <w:tcW w:w="421" w:type="dxa"/>
          </w:tcPr>
          <w:p w14:paraId="37E014A0" w14:textId="77777777" w:rsidR="009D1777" w:rsidRPr="00727E3B" w:rsidRDefault="009D1777" w:rsidP="000B7FFD">
            <w:pPr>
              <w:rPr>
                <w:color w:val="auto"/>
                <w:szCs w:val="24"/>
                <w:highlight w:val="yellow"/>
                <w:lang w:val="en-CA" w:eastAsia="en-CA"/>
              </w:rPr>
            </w:pPr>
          </w:p>
        </w:tc>
        <w:tc>
          <w:tcPr>
            <w:tcW w:w="7908" w:type="dxa"/>
          </w:tcPr>
          <w:p w14:paraId="2A840DC7" w14:textId="52B69279" w:rsidR="009D1777" w:rsidRPr="00727E3B" w:rsidRDefault="00000000" w:rsidP="000B7FFD">
            <w:pPr>
              <w:rPr>
                <w:rFonts w:asciiTheme="majorBidi" w:hAnsiTheme="majorBidi" w:cstheme="majorBidi"/>
                <w:color w:val="auto"/>
                <w:sz w:val="22"/>
                <w:szCs w:val="22"/>
                <w:highlight w:val="yellow"/>
                <w:lang w:val="en-CA" w:eastAsia="en-CA"/>
              </w:rPr>
            </w:pPr>
            <m:oMathPara>
              <m:oMath>
                <m:nary>
                  <m:naryPr>
                    <m:chr m:val="∑"/>
                    <m:limLoc m:val="undOvr"/>
                    <m:subHide m:val="1"/>
                    <m:supHide m:val="1"/>
                    <m:ctrlPr>
                      <w:rPr>
                        <w:rFonts w:ascii="Cambria Math" w:hAnsi="Cambria Math"/>
                        <w:color w:val="auto"/>
                        <w:szCs w:val="24"/>
                        <w:highlight w:val="yellow"/>
                      </w:rPr>
                    </m:ctrlPr>
                  </m:naryPr>
                  <m:sub/>
                  <m:sup/>
                  <m:e>
                    <m:sSubSup>
                      <m:sSubSupPr>
                        <m:ctrlPr>
                          <w:rPr>
                            <w:rFonts w:ascii="Cambria Math" w:hAnsi="Cambria Math"/>
                            <w:color w:val="auto"/>
                            <w:szCs w:val="24"/>
                            <w:highlight w:val="yellow"/>
                          </w:rPr>
                        </m:ctrlPr>
                      </m:sSubSupPr>
                      <m:e>
                        <m:r>
                          <w:rPr>
                            <w:rFonts w:ascii="Cambria Math" w:hAnsi="Cambria Math"/>
                            <w:color w:val="auto"/>
                            <w:szCs w:val="24"/>
                            <w:highlight w:val="yellow"/>
                          </w:rPr>
                          <m:t>C</m:t>
                        </m:r>
                      </m:e>
                      <m:sub>
                        <m:r>
                          <w:rPr>
                            <w:rFonts w:ascii="Cambria Math" w:hAnsi="Cambria Math"/>
                            <w:color w:val="auto"/>
                            <w:szCs w:val="24"/>
                            <w:highlight w:val="yellow"/>
                          </w:rPr>
                          <m:t>I</m:t>
                        </m:r>
                      </m:sub>
                      <m:sup>
                        <m:r>
                          <w:rPr>
                            <w:rFonts w:ascii="Cambria Math" w:hAnsi="Cambria Math"/>
                            <w:color w:val="auto"/>
                            <w:szCs w:val="24"/>
                            <w:highlight w:val="yellow"/>
                          </w:rPr>
                          <m:t>t</m:t>
                        </m:r>
                      </m:sup>
                    </m:sSubSup>
                  </m:e>
                </m:nary>
                <m:d>
                  <m:dPr>
                    <m:ctrlPr>
                      <w:rPr>
                        <w:rFonts w:ascii="Cambria Math" w:hAnsi="Cambria Math"/>
                        <w:color w:val="auto"/>
                        <w:szCs w:val="24"/>
                        <w:highlight w:val="yellow"/>
                      </w:rPr>
                    </m:ctrlPr>
                  </m:dPr>
                  <m:e>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e>
                </m:d>
                <m:r>
                  <m:rPr>
                    <m:sty m:val="p"/>
                  </m:rPr>
                  <w:rPr>
                    <w:rFonts w:ascii="Cambria Math" w:hAnsi="Cambria Math"/>
                    <w:color w:val="auto"/>
                    <w:szCs w:val="24"/>
                    <w:highlight w:val="yellow"/>
                  </w:rPr>
                  <m:t>Δ</m:t>
                </m:r>
                <m:r>
                  <w:rPr>
                    <w:rFonts w:ascii="Cambria Math" w:hAnsi="Cambria Math"/>
                    <w:color w:val="auto"/>
                    <w:szCs w:val="24"/>
                    <w:highlight w:val="yellow"/>
                  </w:rPr>
                  <m:t>t≤C</m:t>
                </m:r>
                <m:sSubSup>
                  <m:sSubSupPr>
                    <m:ctrlPr>
                      <w:rPr>
                        <w:rFonts w:ascii="Cambria Math" w:hAnsi="Cambria Math"/>
                        <w:color w:val="auto"/>
                        <w:szCs w:val="24"/>
                        <w:highlight w:val="yellow"/>
                      </w:rPr>
                    </m:ctrlPr>
                  </m:sSubSupPr>
                  <m:e>
                    <m:r>
                      <w:rPr>
                        <w:rFonts w:ascii="Cambria Math" w:hAnsi="Cambria Math"/>
                        <w:color w:val="auto"/>
                        <w:szCs w:val="24"/>
                        <w:highlight w:val="yellow"/>
                      </w:rPr>
                      <m:t>O</m:t>
                    </m:r>
                  </m:e>
                  <m:sub>
                    <m:r>
                      <w:rPr>
                        <w:rFonts w:ascii="Cambria Math" w:hAnsi="Cambria Math"/>
                        <w:color w:val="auto"/>
                        <w:szCs w:val="24"/>
                        <w:highlight w:val="yellow"/>
                      </w:rPr>
                      <m:t>2</m:t>
                    </m:r>
                  </m:sub>
                  <m:sup>
                    <m:r>
                      <w:rPr>
                        <w:rFonts w:ascii="Cambria Math" w:hAnsi="Cambria Math"/>
                        <w:color w:val="auto"/>
                        <w:szCs w:val="24"/>
                        <w:highlight w:val="yellow"/>
                      </w:rPr>
                      <m:t>target</m:t>
                    </m:r>
                  </m:sup>
                </m:sSubSup>
              </m:oMath>
            </m:oMathPara>
          </w:p>
        </w:tc>
        <w:tc>
          <w:tcPr>
            <w:tcW w:w="616" w:type="dxa"/>
            <w:vAlign w:val="center"/>
          </w:tcPr>
          <w:p w14:paraId="271141FE" w14:textId="0658BA12"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7</w:t>
            </w:r>
            <w:r w:rsidRPr="00727E3B">
              <w:rPr>
                <w:color w:val="auto"/>
                <w:szCs w:val="24"/>
                <w:highlight w:val="yellow"/>
                <w:lang w:val="en-CA" w:eastAsia="en-CA"/>
              </w:rPr>
              <w:t>)</w:t>
            </w:r>
          </w:p>
        </w:tc>
      </w:tr>
    </w:tbl>
    <w:p w14:paraId="509261BF" w14:textId="77777777" w:rsidR="007732EC" w:rsidRPr="00B56231" w:rsidRDefault="007732EC" w:rsidP="00B56231">
      <w:pPr>
        <w:spacing w:after="120"/>
        <w:ind w:firstLine="480"/>
      </w:pPr>
      <w:r w:rsidRPr="00B56231">
        <w:rPr>
          <w:highlight w:val="yellow"/>
        </w:rPr>
        <w:t>Deterministic, probabilistic, and optimization-based approaches serve different planning purposes. Deterministic sizing estimates storage requirements under specified deficit conditions and may be appropriate where conservative margins are required. Probabilistic methods quantify supply inadequacy against a stated reliability criterion, while optimization-based methods jointly consider capital cost, operating cost, emissions, and physical constraints. Each approach requires transparent input data, assumptions, formulation, time resolution, solver information where applicable, and validation procedures. This review does not claim a universal storage reduction or a site-specific Pareto-optimal configuration.</w:t>
      </w:r>
    </w:p>
    <w:p w14:paraId="7EED3019" w14:textId="34CF6C19" w:rsidR="00FE013C" w:rsidRDefault="00FE013C" w:rsidP="00FC3188">
      <w:pPr>
        <w:keepNext/>
        <w:spacing w:after="120"/>
        <w:jc w:val="center"/>
      </w:pPr>
      <w:r w:rsidRPr="00582570">
        <w:rPr>
          <w:noProof/>
          <w:lang w:val="en-CA"/>
        </w:rPr>
        <w:lastRenderedPageBreak/>
        <w:drawing>
          <wp:inline distT="0" distB="0" distL="0" distR="0" wp14:anchorId="30D28A52" wp14:editId="3DCC70FB">
            <wp:extent cx="5537835" cy="3016250"/>
            <wp:effectExtent l="0" t="0" r="5715" b="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3768"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317" b="8983"/>
                    <a:stretch>
                      <a:fillRect/>
                    </a:stretch>
                  </pic:blipFill>
                  <pic:spPr bwMode="auto">
                    <a:xfrm>
                      <a:off x="0" y="0"/>
                      <a:ext cx="5539079" cy="3016928"/>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175FD557" w:rsidR="00FE013C" w:rsidRDefault="00FE013C" w:rsidP="00FC3188">
      <w:pPr>
        <w:pStyle w:val="Caption"/>
        <w:jc w:val="center"/>
      </w:pPr>
      <w:r w:rsidRPr="00BA3D74">
        <w:rPr>
          <w:highlight w:val="yellow"/>
        </w:rPr>
        <w:t xml:space="preserve">Figure </w:t>
      </w:r>
      <w:r w:rsidRPr="00BA3D74">
        <w:rPr>
          <w:highlight w:val="yellow"/>
        </w:rPr>
        <w:fldChar w:fldCharType="begin"/>
      </w:r>
      <w:r w:rsidRPr="00BA3D74">
        <w:rPr>
          <w:highlight w:val="yellow"/>
        </w:rPr>
        <w:instrText xml:space="preserve"> SEQ Figure \* ARABIC </w:instrText>
      </w:r>
      <w:r w:rsidRPr="00BA3D74">
        <w:rPr>
          <w:highlight w:val="yellow"/>
        </w:rPr>
        <w:fldChar w:fldCharType="separate"/>
      </w:r>
      <w:r w:rsidR="00807110" w:rsidRPr="00BA3D74">
        <w:rPr>
          <w:noProof/>
          <w:highlight w:val="yellow"/>
        </w:rPr>
        <w:t>6</w:t>
      </w:r>
      <w:r w:rsidRPr="00BA3D74">
        <w:rPr>
          <w:noProof/>
          <w:highlight w:val="yellow"/>
        </w:rPr>
        <w:fldChar w:fldCharType="end"/>
      </w:r>
      <w:r w:rsidRPr="00BA3D74">
        <w:rPr>
          <w:highlight w:val="yellow"/>
        </w:rPr>
        <w:t xml:space="preserve"> Energy storage technology landscape: duration vs. cost trade-offs</w:t>
      </w:r>
    </w:p>
    <w:p w14:paraId="02B303F1" w14:textId="77777777" w:rsidR="00FE013C" w:rsidRDefault="00FE013C" w:rsidP="004C16FF">
      <w:pPr>
        <w:pStyle w:val="Heading2"/>
        <w:rPr>
          <w:color w:val="auto"/>
        </w:rPr>
      </w:pPr>
      <w:r>
        <w:rPr>
          <w:color w:val="auto"/>
        </w:rPr>
        <w:t>5.4. Hybrid Backup Power Systems</w:t>
      </w:r>
    </w:p>
    <w:p w14:paraId="28AADF7D" w14:textId="2F01E32B" w:rsidR="00FE013C" w:rsidRPr="00EE0471" w:rsidRDefault="00FE013C" w:rsidP="001B74A6">
      <w:pPr>
        <w:spacing w:after="120"/>
        <w:ind w:firstLine="480"/>
      </w:pPr>
      <w:r w:rsidRPr="00EE0471">
        <w:t>Choosing a technology for backup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rsidR="001B74A6">
        <w:instrText xml:space="preserve"> ADDIN ZOTERO_ITEM CSL_CITATION {"citationID":"y7cVLr5U","properties":{"unsorted":false,"formattedCitation":"[126]","plainCitation":"[126]","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001B74A6" w:rsidRPr="001B74A6">
        <w:t>[125]</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15D3E35F" w:rsidR="00FE013C" w:rsidRPr="00EE0471" w:rsidRDefault="00FE013C" w:rsidP="001B74A6">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lower per kWh, and the local air quality impact is much lower. Capital costs are similar to those of diesel ($350 - $650/kW), but the reliability of the fuel supply is dependent on the natural gas pipeline infrastructure, which might be vulnerable during extreme weather events</w:t>
      </w:r>
      <w:r>
        <w:fldChar w:fldCharType="begin"/>
      </w:r>
      <w:r w:rsidR="001B74A6">
        <w:instrText xml:space="preserve"> ADDIN ZOTERO_ITEM CSL_CITATION {"citationID":"KkWqXrYg","properties":{"unsorted":false,"formattedCitation":"[127]","plainCitation":"[127]","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001B74A6" w:rsidRPr="001B74A6">
        <w:t>[126]</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rsidR="00F77E8E">
        <w:instrText xml:space="preserve"> ADDIN ZOTERO_ITEM CSL_CITATION {"citationID":"H0M4Pu4F","properties":{"unsorted":false,"formattedCitation":"[117]","plainCitation":"[117]","dontUpdate":true,"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[116]</w:t>
      </w:r>
      <w:r>
        <w:fldChar w:fldCharType="end"/>
      </w:r>
      <w:r w:rsidRPr="00EE0471">
        <w:t>.</w:t>
      </w:r>
    </w:p>
    <w:p w14:paraId="162FD4D7" w14:textId="0094CA9F" w:rsidR="00FE013C" w:rsidRPr="00EE0471" w:rsidRDefault="00FE013C" w:rsidP="007D29E8">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contracts are a mix of firm capacity and interruptible lower-powered rates that offer economic flexibility along with backup power</w:t>
      </w:r>
      <w:r>
        <w:fldChar w:fldCharType="begin"/>
      </w:r>
      <w:r w:rsidR="001B74A6">
        <w:instrText xml:space="preserve"> ADDIN ZOTERO_ITEM CSL_CITATION {"citationID":"a5J6f3tN","properties":{"unsorted":false,"formattedCitation":"[128]","plainCitation":"[128]","noteIndex":0},"citationItems":[{"id":2083,"uris":["http://zotero.org/users/9870935/items/XWHBFKKT"],"itemData":{"id":2083,"type":"post-weblog","title":"Powering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001B74A6" w:rsidRPr="001B74A6">
        <w:t>[127]</w:t>
      </w:r>
      <w:r>
        <w:fldChar w:fldCharType="end"/>
      </w:r>
      <w:r w:rsidRPr="00EE0471">
        <w:t>. Grid backup varies widely from region to region, with an average of 1.5 to 6 hours of utility outages per year in the U.S. for each utility and geographic area</w:t>
      </w:r>
      <w:r>
        <w:fldChar w:fldCharType="begin"/>
      </w:r>
      <w:r w:rsidR="007D29E8">
        <w:instrText xml:space="preserve"> ADDIN ZOTERO_ITEM CSL_CITATION {"citationID":"UpEoxyqs","properties":{"unsorted":false,"formattedCitation":"[117]","plainCitation":"[117]","noteIndex":0},"citationItems":[{"id":2084,"uris":["http://zotero.org/users/9870935/items/TIB5XQM5"],"itemData":{"id":2084,"type":"post-weblog","title":"Electric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007D29E8" w:rsidRPr="007D29E8">
        <w:t>[116]</w:t>
      </w:r>
      <w:r>
        <w:fldChar w:fldCharType="end"/>
      </w:r>
      <w:r w:rsidRPr="00EE0471">
        <w:t>.</w:t>
      </w:r>
    </w:p>
    <w:p w14:paraId="4404FCEB" w14:textId="77777777" w:rsidR="00FE013C" w:rsidRDefault="00FE013C" w:rsidP="004C16FF">
      <w:pPr>
        <w:pStyle w:val="Heading2"/>
        <w:rPr>
          <w:color w:val="auto"/>
        </w:rPr>
      </w:pPr>
      <w:r>
        <w:rPr>
          <w:color w:val="auto"/>
        </w:rPr>
        <w:t>5.5. Integration and Control Architecture</w:t>
      </w:r>
    </w:p>
    <w:p w14:paraId="0E67A1C9" w14:textId="104FD2FE" w:rsidR="00FE013C" w:rsidRPr="00FE141F" w:rsidRDefault="00FE013C" w:rsidP="001B74A6">
      <w:pPr>
        <w:spacing w:after="120"/>
        <w:ind w:firstLine="480"/>
      </w:pPr>
      <w:r w:rsidRPr="00FE141F">
        <w:t xml:space="preserve">In a microgrid for a data </w:t>
      </w:r>
      <w:r w:rsidR="00580BAE">
        <w:t>center</w:t>
      </w:r>
      <w:r w:rsidRPr="00FE141F">
        <w:t xml:space="preserve"> powered by renewable energy, the energy management system (EMS) provides central intelligence coordination of renewable generation, storage dispatch, backup power activation, and demand-side management. Modern EMS platforms have three main levels of control: device-level controllers that react to grid signals in milliseconds, facility-level EMS that </w:t>
      </w:r>
      <w:r w:rsidRPr="00FE141F">
        <w:lastRenderedPageBreak/>
        <w:t xml:space="preserve">control dispatch </w:t>
      </w:r>
      <w:r w:rsidR="00580BAE" w:rsidRPr="00FE141F">
        <w:t>optimization</w:t>
      </w:r>
      <w:r w:rsidRPr="00FE141F">
        <w:t xml:space="preserve"> every hour, and corporate-level </w:t>
      </w:r>
      <w:r w:rsidR="00580BAE" w:rsidRPr="00FE141F">
        <w:t>optimizers</w:t>
      </w:r>
      <w:r w:rsidRPr="00FE141F">
        <w:t xml:space="preserve"> that control resource allocation across multiple facilities</w:t>
      </w:r>
      <w:r>
        <w:fldChar w:fldCharType="begin"/>
      </w:r>
      <w:r w:rsidR="001B74A6">
        <w:instrText xml:space="preserve"> ADDIN ZOTERO_ITEM CSL_CITATION {"citationID":"PrmsOtPX","properties":{"unsorted":false,"formattedCitation":"[129]","plainCitation":"[129]","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fldChar w:fldCharType="separate"/>
      </w:r>
      <w:r w:rsidR="001B74A6" w:rsidRPr="001B74A6">
        <w:t>[128]</w:t>
      </w:r>
      <w:r>
        <w:fldChar w:fldCharType="end"/>
      </w:r>
      <w:r w:rsidRPr="00FE141F">
        <w:t>.</w:t>
      </w:r>
    </w:p>
    <w:p w14:paraId="38B64A67" w14:textId="41742E14" w:rsidR="00FE013C" w:rsidRPr="00FE141F" w:rsidRDefault="00FE013C" w:rsidP="001B74A6">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fldChar w:fldCharType="begin"/>
      </w:r>
      <w:r w:rsidR="001B74A6">
        <w:instrText xml:space="preserve"> ADDIN ZOTERO_ITEM CSL_CITATION {"citationID":"vgPGRl66","properties":{"unsorted":false,"formattedCitation":"[119]","plainCitation":"[119]","noteIndex":0},"citationItems":[{"id":2086,"uris":["http://zotero.org/users/9870935/items/PSX5T5NE"],"itemData":{"id":2086,"type":"article-journal","abstract":"Renewable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fldChar w:fldCharType="separate"/>
      </w:r>
      <w:r w:rsidR="001B74A6" w:rsidRPr="001B74A6">
        <w:t>[118]</w:t>
      </w:r>
      <w:r>
        <w:fldChar w:fldCharType="end"/>
      </w:r>
      <w:r w:rsidRPr="00FE141F">
        <w:t xml:space="preserve">. The MPC formulation aims to </w:t>
      </w:r>
      <w:r w:rsidR="00580BAE" w:rsidRPr="00FE141F">
        <w:t>minimize</w:t>
      </w:r>
      <w:r w:rsidRPr="00FE141F">
        <w:t xml:space="preserv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compared to simple rule-based dispatch strategies</w:t>
      </w:r>
      <w:r>
        <w:fldChar w:fldCharType="begin"/>
      </w:r>
      <w:r w:rsidR="001B74A6">
        <w:instrText xml:space="preserve"> ADDIN ZOTERO_ITEM CSL_CITATION {"citationID":"n2uVBffu","properties":{"unsorted":false,"formattedCitation":"[120]","plainCitation":"[120]","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fldChar w:fldCharType="separate"/>
      </w:r>
      <w:r w:rsidR="001B74A6" w:rsidRPr="001B74A6">
        <w:t>[119]</w:t>
      </w:r>
      <w:r>
        <w:fldChar w:fldCharType="end"/>
      </w:r>
      <w:r w:rsidRPr="00FE141F">
        <w:t>.</w:t>
      </w:r>
    </w:p>
    <w:p w14:paraId="4451159A" w14:textId="1891CD0C" w:rsidR="00FE013C" w:rsidRPr="00FE141F" w:rsidRDefault="00FE013C" w:rsidP="001B74A6">
      <w:pPr>
        <w:spacing w:after="120"/>
        <w:ind w:firstLine="480"/>
      </w:pPr>
      <w:r w:rsidRPr="00FE141F">
        <w:t>A key aspect of system reliability is the implementation of fault detection, redundancy, and failover logic. Modern EMS platforms have N+1 or 2N redundancy for key components and automatically fail if any controller or communication fails. To address the growing threats to critical infrastructure, cybersecurity provisions, such as encrypted communications, multi-factor authentication, and network segmentation between operational technology (OT) and enterprise IT networks, are vital</w:t>
      </w:r>
      <w:r>
        <w:fldChar w:fldCharType="begin"/>
      </w:r>
      <w:r w:rsidR="001B74A6">
        <w:instrText xml:space="preserve"> ADDIN ZOTERO_ITEM CSL_CITATION {"citationID":"pn3NYYgZ","properties":{"unsorted":false,"formattedCitation":"[130]","plainCitation":"[130]","noteIndex":0},"citationItems":[{"id":2089,"uris":["http://zotero.org/users/9870935/items/QKZEVQIE"],"itemData":{"id":2089,"type":"article-journal","abstract":"In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fldChar w:fldCharType="separate"/>
      </w:r>
      <w:r w:rsidR="001B74A6" w:rsidRPr="001B74A6">
        <w:t>[129]</w:t>
      </w:r>
      <w:r>
        <w:fldChar w:fldCharType="end"/>
      </w:r>
      <w:r w:rsidRPr="00FE141F">
        <w:t>.</w:t>
      </w:r>
    </w:p>
    <w:p w14:paraId="75B69A05" w14:textId="77777777" w:rsidR="00FE013C" w:rsidRDefault="00FE013C" w:rsidP="004C16FF">
      <w:pPr>
        <w:pStyle w:val="Heading1"/>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
        <w:rPr>
          <w:color w:val="auto"/>
        </w:rPr>
      </w:pPr>
      <w:r>
        <w:rPr>
          <w:color w:val="auto"/>
        </w:rPr>
        <w:t>6.1. Steady-State Power Flow Analysis</w:t>
      </w:r>
    </w:p>
    <w:p w14:paraId="4CAD0C04" w14:textId="10B0E476" w:rsidR="00FE013C" w:rsidRPr="00970159" w:rsidRDefault="00FE013C" w:rsidP="001B74A6">
      <w:pPr>
        <w:spacing w:after="120"/>
        <w:ind w:firstLine="480"/>
      </w:pPr>
      <w:r w:rsidRPr="00970159">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rsidR="000B0F03">
        <w:instrText xml:space="preserve"> ADDIN ZOTERO_ITEM CSL_CITATION {"citationID":"R69gUmT3","properties":{"unsorted":false,"formattedCitation":"[61]","plainCitation":"[61]","noteIndex":0},"citationItems":[{"id":2090,"uris":["http://zotero.org/users/9870935/items/MW6JYBRT"],"itemData":{"id":2090,"type":"article-journal","container-title":"IEEE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0B0F03" w:rsidRPr="000B0F03">
        <w:t>[60]</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rsidR="001B74A6">
        <w:instrText xml:space="preserve"> ADDIN ZOTERO_ITEM CSL_CITATION {"citationID":"mJtqhMx4","properties":{"unsorted":false,"formattedCitation":"[131]","plainCitation":"[131]","noteIndex":0},"citationItems":[{"id":2091,"uris":["http://zotero.org/users/9870935/items/P7FFXDCA"],"itemData":{"id":2091,"type":"article-journal","container-title":"IEEE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001B74A6" w:rsidRPr="001B74A6">
        <w:t>[130]</w:t>
      </w:r>
      <w:r>
        <w:fldChar w:fldCharType="end"/>
      </w:r>
      <w:r w:rsidRPr="00970159">
        <w:t>.</w:t>
      </w:r>
    </w:p>
    <w:p w14:paraId="25B2D104" w14:textId="75C55849" w:rsidR="00FE013C" w:rsidRPr="00970159" w:rsidRDefault="00FE013C" w:rsidP="001B74A6">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rsidR="001B74A6">
        <w:instrText xml:space="preserve"> ADDIN ZOTERO_ITEM CSL_CITATION {"citationID":"ZkcxuEkd","properties":{"unsorted":false,"formattedCitation":"[132]","plainCitation":"[132]","noteIndex":0},"citationItems":[{"id":2092,"uris":["http://zotero.org/users/9870935/items/5VTNPVIA"],"itemData":{"id":2092,"type":"article-journal","container-title":"IEEE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001B74A6" w:rsidRPr="001B74A6">
        <w:t>[131]</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rsidR="001B74A6">
        <w:instrText xml:space="preserve"> ADDIN ZOTERO_ITEM CSL_CITATION {"citationID":"ipICDqP7","properties":{"unsorted":false,"formattedCitation":"[133]","plainCitation":"[133]","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001B74A6" w:rsidRPr="001B74A6">
        <w:t>[132]</w:t>
      </w:r>
      <w:r>
        <w:fldChar w:fldCharType="end"/>
      </w:r>
      <w:r w:rsidRPr="00970159">
        <w:t xml:space="preserve">. The tools often used for power flow analysis are MATPOWER, an open-source MATLAB toolbox; PSS/E, a commercial tool; and </w:t>
      </w:r>
      <w:proofErr w:type="spellStart"/>
      <w:r w:rsidRPr="00970159">
        <w:t>DIgSILENT</w:t>
      </w:r>
      <w:proofErr w:type="spellEnd"/>
      <w:r w:rsidRPr="00970159">
        <w:t xml:space="preserve"> </w:t>
      </w:r>
      <w:proofErr w:type="spellStart"/>
      <w:r w:rsidRPr="00970159">
        <w:t>PowerFactory</w:t>
      </w:r>
      <w:proofErr w:type="spellEnd"/>
      <w:r w:rsidRPr="00970159">
        <w:t>, a commercial and popular tool in Europe</w:t>
      </w:r>
      <w:r>
        <w:fldChar w:fldCharType="begin"/>
      </w:r>
      <w:r w:rsidR="001B74A6">
        <w:instrText xml:space="preserve"> ADDIN ZOTERO_ITEM CSL_CITATION {"citationID":"BkNp7by7","properties":{"unsorted":false,"formattedCitation":"[134]","plainCitation":"[134]","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001B74A6" w:rsidRPr="001B74A6">
        <w:t>[133]</w:t>
      </w:r>
      <w:r>
        <w:fldChar w:fldCharType="end"/>
      </w:r>
      <w:r w:rsidRPr="00970159">
        <w:t>.</w:t>
      </w:r>
    </w:p>
    <w:p w14:paraId="58095EF1" w14:textId="77777777" w:rsidR="00FE013C" w:rsidRDefault="00FE013C" w:rsidP="004C16FF">
      <w:pPr>
        <w:pStyle w:val="Heading2"/>
        <w:rPr>
          <w:color w:val="auto"/>
        </w:rPr>
      </w:pPr>
      <w:r>
        <w:rPr>
          <w:color w:val="auto"/>
        </w:rPr>
        <w:lastRenderedPageBreak/>
        <w:t>6.2. Transient Stability and Grid Dynamics</w:t>
      </w:r>
    </w:p>
    <w:p w14:paraId="7A8C313E" w14:textId="4BA3A706" w:rsidR="00FE013C" w:rsidRPr="0070515F" w:rsidRDefault="00FE013C" w:rsidP="001B74A6">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rsidR="001B74A6">
        <w:instrText xml:space="preserve"> ADDIN ZOTERO_ITEM CSL_CITATION {"citationID":"EnZx5jNZ","properties":{"unsorted":false,"formattedCitation":"[18], [135]","plainCitation":"[18], [135]","noteIndex":0},"citationItems":[{"id":1927,"uris":["http://zotero.org/users/9870935/items/PZK7R79L"],"itemData":{"id":1927,"type":"article-journal","abstract":"The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001B74A6" w:rsidRPr="001B74A6">
        <w:t>[18], [134]</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rsidR="001B74A6">
        <w:instrText xml:space="preserve"> ADDIN ZOTERO_ITEM CSL_CITATION {"citationID":"AdxixQhk","properties":{"unsorted":false,"formattedCitation":"[136]","plainCitation":"[136]","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001B74A6" w:rsidRPr="001B74A6">
        <w:t>[135]</w:t>
      </w:r>
      <w:r>
        <w:fldChar w:fldCharType="end"/>
      </w:r>
      <w:r w:rsidRPr="0070515F">
        <w:t>.</w:t>
      </w:r>
    </w:p>
    <w:p w14:paraId="6F4A14BA" w14:textId="576128F7" w:rsidR="00FE013C" w:rsidRPr="0070515F" w:rsidRDefault="00FE013C" w:rsidP="001B74A6">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rsidR="001B74A6">
        <w:instrText xml:space="preserve"> ADDIN ZOTERO_ITEM CSL_CITATION {"citationID":"nNqJkW4n","properties":{"unsorted":false,"formattedCitation":"[137]","plainCitation":"[137]","noteIndex":0},"citationItems":[{"id":2097,"uris":["http://zotero.org/users/9870935/items/KGQXJHH9"],"itemData":{"id":2097,"type":"article-journal","container-title":"IEEE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001B74A6" w:rsidRPr="001B74A6">
        <w:t>[136]</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rsidR="001B74A6">
        <w:instrText xml:space="preserve"> ADDIN ZOTERO_ITEM CSL_CITATION {"citationID":"VvGA3otY","properties":{"unsorted":false,"formattedCitation":"[138]","plainCitation":"[138]","noteIndex":0},"citationItems":[{"id":2100,"uris":["http://zotero.org/users/9870935/items/CW9DIYPL"],"itemData":{"id":2100,"type":"document","title":"Inverter-Based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001B74A6" w:rsidRPr="001B74A6">
        <w:t>[137]</w:t>
      </w:r>
      <w:r>
        <w:fldChar w:fldCharType="end"/>
      </w:r>
      <w:r w:rsidRPr="0070515F">
        <w:t>.</w:t>
      </w:r>
    </w:p>
    <w:p w14:paraId="080A117E" w14:textId="77777777" w:rsidR="00FE013C" w:rsidRDefault="00FE013C" w:rsidP="004C16FF">
      <w:pPr>
        <w:pStyle w:val="Heading2"/>
        <w:rPr>
          <w:color w:val="auto"/>
        </w:rPr>
      </w:pPr>
      <w:r>
        <w:rPr>
          <w:color w:val="auto"/>
        </w:rPr>
        <w:t>6.3. Harmonic Analysis and Power Quality</w:t>
      </w:r>
    </w:p>
    <w:p w14:paraId="054DD43C" w14:textId="40F11B2E" w:rsidR="00FE013C" w:rsidRPr="00637E25" w:rsidRDefault="00FE013C" w:rsidP="000B0F03">
      <w:pPr>
        <w:spacing w:after="120"/>
        <w:ind w:firstLine="480"/>
      </w:pPr>
      <w:r w:rsidRPr="00637E25">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Frequency-domain analysis techniques such as Fourier decomposition and harmonic impedance scanning are employed to detect resonance conditions which could increase the level of specific harmonic orders</w:t>
      </w:r>
      <w:r>
        <w:fldChar w:fldCharType="begin"/>
      </w:r>
      <w:r w:rsidR="000B0F03">
        <w:instrText xml:space="preserve"> ADDIN ZOTERO_ITEM CSL_CITATION {"citationID":"9pAXEXox","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0B0F03" w:rsidRPr="000B0F03">
        <w:t>[61]</w:t>
      </w:r>
      <w:r>
        <w:fldChar w:fldCharType="end"/>
      </w:r>
      <w:r w:rsidRPr="00637E25">
        <w:t>.</w:t>
      </w:r>
    </w:p>
    <w:p w14:paraId="15D3C3E3" w14:textId="1FD0727E" w:rsidR="00FE013C" w:rsidRPr="00637E25" w:rsidRDefault="00FE013C" w:rsidP="001B74A6">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rsidR="000B0F03">
        <w:instrText xml:space="preserve"> ADDIN ZOTERO_ITEM CSL_CITATION {"citationID":"mqXTld0r","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0B0F03" w:rsidRPr="000B0F03">
        <w:t>[61]</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rsidR="001B74A6">
        <w:instrText xml:space="preserve"> ADDIN ZOTERO_ITEM CSL_CITATION {"citationID":"dBxza6Dz","properties":{"unsorted":false,"formattedCitation":"[139]","plainCitation":"[139]","noteIndex":0},"citationItems":[{"id":2102,"uris":["http://zotero.org/users/9870935/items/V6QTZZ73"],"itemData":{"id":2102,"type":"article-journal","abstract":"Power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001B74A6" w:rsidRPr="001B74A6">
        <w:t>[138]</w:t>
      </w:r>
      <w:r>
        <w:fldChar w:fldCharType="end"/>
      </w:r>
      <w:r w:rsidRPr="00637E25">
        <w:t>.</w:t>
      </w:r>
    </w:p>
    <w:p w14:paraId="780E96E1" w14:textId="77777777" w:rsidR="00FE013C" w:rsidRDefault="00FE013C" w:rsidP="004C16FF">
      <w:pPr>
        <w:pStyle w:val="Heading2"/>
        <w:rPr>
          <w:color w:val="auto"/>
        </w:rPr>
      </w:pPr>
      <w:r>
        <w:rPr>
          <w:color w:val="auto"/>
        </w:rPr>
        <w:t>6.4. Microgrid Modeling Frameworks</w:t>
      </w:r>
    </w:p>
    <w:p w14:paraId="62BF3783" w14:textId="7BB6BBF4" w:rsidR="00FE013C" w:rsidRPr="0014185D" w:rsidRDefault="00FE013C" w:rsidP="001B74A6">
      <w:pPr>
        <w:spacing w:after="120"/>
        <w:ind w:firstLine="480"/>
      </w:pPr>
      <w:r w:rsidRPr="0014185D">
        <w:t xml:space="preserve">There are a variety of software packages for microgrid modelling and simulation, ranging in fidelity and efficiency. HOMER (Hybrid Optimization Model for Electric Renewables), developed by NREL and Modeled by UL Solutions, is a dispatch simulation that combines economic </w:t>
      </w:r>
      <w:r w:rsidR="00580BAE" w:rsidRPr="0014185D">
        <w:t>optimization</w:t>
      </w:r>
      <w:r w:rsidRPr="0014185D">
        <w:t xml:space="preserve"> and is particularly useful for sizing applications and comparison of technologies</w:t>
      </w:r>
      <w:r>
        <w:fldChar w:fldCharType="begin"/>
      </w:r>
      <w:r w:rsidR="001B74A6">
        <w:instrText xml:space="preserve"> ADDIN ZOTERO_ITEM CSL_CITATION {"citationID":"TEOEDiB7","properties":{"unsorted":false,"formattedCitation":"[140]","plainCitation":"[140]","noteIndex":0},"citationItems":[{"id":2104,"uris":["http://zotero.org/users/9870935/items/VUEBTNAU"],"itemData":{"id":2104,"type":"post-weblog","title":"Microgrid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001B74A6" w:rsidRPr="001B74A6">
        <w:t>[139]</w:t>
      </w:r>
      <w:r>
        <w:fldChar w:fldCharType="end"/>
      </w:r>
      <w:r w:rsidRPr="0014185D">
        <w:t>. HOMER Pro has built-in component models of solar PV, wind turbines, batteries, generators, and grid interconnection, and sensitivity analysis to explore parameter uncertainty. However, HOMER’s hourly time resolution may not be adequate for sub-hourly phenomena, such as frequency regulation and voltage transients.</w:t>
      </w:r>
    </w:p>
    <w:p w14:paraId="5CC18D81" w14:textId="6519062A" w:rsidR="00FE013C" w:rsidRPr="0014185D" w:rsidRDefault="00FE013C" w:rsidP="001B74A6">
      <w:pPr>
        <w:spacing w:after="120"/>
        <w:ind w:firstLine="480"/>
      </w:pPr>
      <w:r w:rsidRPr="0014185D">
        <w:t xml:space="preserve">For detailed electromagnetic transient simulations, MATLAB Simulink with the </w:t>
      </w:r>
      <w:proofErr w:type="spellStart"/>
      <w:r w:rsidRPr="0014185D">
        <w:t>Simscape</w:t>
      </w:r>
      <w:proofErr w:type="spellEnd"/>
      <w:r w:rsidRPr="0014185D">
        <w:t xml:space="preserve"> Electrical toolbox delivers analysis of the dynamics of inverter control, protection system co-ordination, and fast-switching power electronics. Several open-source tools are available, such as </w:t>
      </w:r>
      <w:proofErr w:type="spellStart"/>
      <w:r w:rsidRPr="0014185D">
        <w:lastRenderedPageBreak/>
        <w:t>Pandapower</w:t>
      </w:r>
      <w:proofErr w:type="spellEnd"/>
      <w:r w:rsidRPr="0014185D">
        <w:t xml:space="preserve"> (Python power flow), </w:t>
      </w:r>
      <w:r w:rsidRPr="002A1323">
        <w:t>PYPOWER (a Python port of the MATPOWER optimal power flow toolbox)</w:t>
      </w:r>
      <w:r w:rsidRPr="0014185D">
        <w:t xml:space="preserve">, and </w:t>
      </w:r>
      <w:proofErr w:type="spellStart"/>
      <w:r w:rsidRPr="0014185D">
        <w:t>OpenModelica</w:t>
      </w:r>
      <w:proofErr w:type="spellEnd"/>
      <w:r w:rsidRPr="0014185D">
        <w:t xml:space="preserve"> (equation-based modelling) for research and preliminary engineering studies</w:t>
      </w:r>
      <w:r>
        <w:fldChar w:fldCharType="begin"/>
      </w:r>
      <w:r w:rsidR="000B0F03">
        <w:instrText xml:space="preserve"> ADDIN ZOTERO_ITEM CSL_CITATION {"citationID":"9MlNjf5g","properties":{"unsorted":false,"formattedCitation":"[61]","plainCitation":"[61]","noteIndex":0},"citationItems":[{"id":2090,"uris":["http://zotero.org/users/9870935/items/MW6JYBRT"],"itemData":{"id":2090,"type":"article-journal","container-title":"IEEE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0B0F03" w:rsidRPr="000B0F03">
        <w:t>[60]</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rsidR="001B74A6">
        <w:instrText xml:space="preserve"> ADDIN ZOTERO_ITEM CSL_CITATION {"citationID":"B1rst5wh","properties":{"unsorted":false,"formattedCitation":"[141]","plainCitation":"[141]","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001B74A6" w:rsidRPr="001B74A6">
        <w:t>[140]</w:t>
      </w:r>
      <w:r>
        <w:fldChar w:fldCharType="end"/>
      </w:r>
      <w:r w:rsidRPr="0014185D">
        <w:t>.</w:t>
      </w:r>
    </w:p>
    <w:p w14:paraId="085E83CE" w14:textId="77777777" w:rsidR="00FE013C" w:rsidRDefault="00FE013C" w:rsidP="004C16FF">
      <w:pPr>
        <w:pStyle w:val="Heading2"/>
        <w:rPr>
          <w:color w:val="auto"/>
        </w:rPr>
      </w:pPr>
      <w:r>
        <w:rPr>
          <w:color w:val="auto"/>
        </w:rPr>
        <w:t>6.5. Time-Series Simulation and Forecasting</w:t>
      </w:r>
    </w:p>
    <w:p w14:paraId="2CF32591" w14:textId="32AACBF1" w:rsidR="00FE013C" w:rsidRPr="00AA52FF" w:rsidRDefault="00FE013C" w:rsidP="001B74A6">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rsidR="001B74A6">
        <w:instrText xml:space="preserve"> ADDIN ZOTERO_ITEM CSL_CITATION {"citationID":"bPQv1yvI","properties":{"unsorted":false,"formattedCitation":"[142]","plainCitation":"[142]","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001B74A6" w:rsidRPr="001B74A6">
        <w:t>[141]</w:t>
      </w:r>
      <w:r>
        <w:fldChar w:fldCharType="end"/>
      </w:r>
      <w:r w:rsidRPr="00AA52FF">
        <w:t>. At 5–15-min resolution, sub-hourly simulation can capture the rapid transients from cloud transients, wind gusts, and load steps, which impact power quality and frequency regulation.</w:t>
      </w:r>
    </w:p>
    <w:p w14:paraId="06F4FA34" w14:textId="3CD88B50" w:rsidR="00FE013C" w:rsidRPr="00AA52FF" w:rsidRDefault="00FE013C" w:rsidP="001B74A6">
      <w:pPr>
        <w:spacing w:after="120"/>
        <w:ind w:firstLine="480"/>
      </w:pPr>
      <w:r w:rsidRPr="00AA52FF">
        <w:t xml:space="preserve">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rsidR="001B74A6">
        <w:instrText xml:space="preserve"> ADDIN ZOTERO_ITEM CSL_CITATION {"citationID":"axvHbxNa","properties":{"unsorted":false,"formattedCitation":"[123]","plainCitation":"[123]","noteIndex":0},"citationItems":[{"id":2110,"uris":["http://zotero.org/users/9870935/items/WXV5HE5P"],"itemData":{"id":2110,"type":"book","abstract":"This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001B74A6" w:rsidRPr="001B74A6">
        <w:t>[122]</w:t>
      </w:r>
      <w:r>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rsidR="001B74A6">
        <w:instrText xml:space="preserve"> ADDIN ZOTERO_ITEM CSL_CITATION {"citationID":"ExCX3b0d","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1B74A6" w:rsidRPr="001B74A6">
        <w:t>[142]</w:t>
      </w:r>
      <w:r>
        <w:fldChar w:fldCharType="end"/>
      </w:r>
      <w:r w:rsidRPr="00AA52FF">
        <w:t>.</w:t>
      </w:r>
    </w:p>
    <w:p w14:paraId="7F2F5E26" w14:textId="77777777" w:rsidR="00FE013C" w:rsidRDefault="00FE013C" w:rsidP="004C16FF">
      <w:pPr>
        <w:pStyle w:val="Heading2"/>
        <w:rPr>
          <w:color w:val="auto"/>
        </w:rPr>
      </w:pPr>
      <w:r>
        <w:rPr>
          <w:color w:val="auto"/>
        </w:rPr>
        <w:t>6.6. Machine Learning for Control and Forecasting</w:t>
      </w:r>
    </w:p>
    <w:p w14:paraId="573BE006" w14:textId="4F6D24E1" w:rsidR="00FE013C" w:rsidRPr="00D67F5B" w:rsidRDefault="00FE013C" w:rsidP="001B74A6">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convolutional neural networks (CNN), and attention-based transformer models, can enhance the accuracy of solar and wind power forecasts by 15–25</w:t>
      </w:r>
      <w:r>
        <w:t>%</w:t>
      </w:r>
      <w:r w:rsidRPr="00D67F5B">
        <w:t xml:space="preserve"> over traditional numerical weather prediction techniques</w:t>
      </w:r>
      <w:r>
        <w:fldChar w:fldCharType="begin"/>
      </w:r>
      <w:r w:rsidR="001B74A6">
        <w:instrText xml:space="preserve"> ADDIN ZOTERO_ITEM CSL_CITATION {"citationID":"aXxbu5p8","properties":{"unsorted":false,"formattedCitation":"[144]","plainCitation":"[144]","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fldChar w:fldCharType="separate"/>
      </w:r>
      <w:r w:rsidR="001B74A6" w:rsidRPr="001B74A6">
        <w:t>[143]</w:t>
      </w:r>
      <w:r>
        <w:fldChar w:fldCharType="end"/>
      </w:r>
      <w:r w:rsidRPr="00D67F5B">
        <w:t xml:space="preserve">. Deep reinforcement learning (DRL) has been proposed as a viable method to </w:t>
      </w:r>
      <w:r w:rsidR="00580BAE" w:rsidRPr="00D67F5B">
        <w:t>optimize</w:t>
      </w:r>
      <w:r w:rsidRPr="00D67F5B">
        <w:t xml:space="preserve"> dispatching policies for controlling a microgrid, in which an agent learns from an interaction with a simulated environment to find the optimal dispatching policy</w:t>
      </w:r>
      <w:r>
        <w:fldChar w:fldCharType="begin"/>
      </w:r>
      <w:r w:rsidR="001B74A6">
        <w:instrText xml:space="preserve"> ADDIN ZOTERO_ITEM CSL_CITATION {"citationID":"PKZO0BUq","properties":{"unsorted":false,"formattedCitation":"[145]","plainCitation":"[145]","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fldChar w:fldCharType="separate"/>
      </w:r>
      <w:r w:rsidR="001B74A6" w:rsidRPr="001B74A6">
        <w:t>[144]</w:t>
      </w:r>
      <w:r>
        <w:fldChar w:fldCharType="end"/>
      </w:r>
      <w:r w:rsidRPr="00D67F5B">
        <w:t>.</w:t>
      </w:r>
    </w:p>
    <w:p w14:paraId="2F0E28B6" w14:textId="13D56F9C" w:rsidR="00FE013C" w:rsidRDefault="00FE013C" w:rsidP="001B74A6">
      <w:pPr>
        <w:spacing w:after="120"/>
        <w:ind w:firstLine="480"/>
      </w:pPr>
      <w:r w:rsidRPr="00D67F5B">
        <w:t xml:space="preserve">Digital twin concepts, which involve virtual copies of physical systems that are continuously updated with sensor data, can facilitate predictive control strategies that can anticipate and proactively adjust to varying conditions. A digital twin of a data </w:t>
      </w:r>
      <w:r w:rsidR="00580BAE">
        <w:t>center</w:t>
      </w:r>
      <w:r w:rsidRPr="00D67F5B">
        <w:t xml:space="preserve"> microgrid can simulate the effect of renewable generation prediction on battery dispatch, define the most suitable load scheduling periods, and predict equipment degradation</w:t>
      </w:r>
      <w:r>
        <w:fldChar w:fldCharType="begin"/>
      </w:r>
      <w:r w:rsidR="001B74A6">
        <w:instrText xml:space="preserve"> ADDIN ZOTERO_ITEM CSL_CITATION {"citationID":"atzHcWL3","properties":{"unsorted":false,"formattedCitation":"[146]","plainCitation":"[146]","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fldChar w:fldCharType="separate"/>
      </w:r>
      <w:r w:rsidR="001B74A6" w:rsidRPr="001B74A6">
        <w:t>[145]</w:t>
      </w:r>
      <w:r>
        <w:fldChar w:fldCharType="end"/>
      </w:r>
      <w:r w:rsidRPr="00D67F5B">
        <w:t xml:space="preserve">. There are still difficulties in ensuring the </w:t>
      </w:r>
      <w:r w:rsidR="00580BAE" w:rsidRPr="00D67F5B">
        <w:t>generalizability</w:t>
      </w:r>
      <w:r w:rsidRPr="00D67F5B">
        <w:t xml:space="preserve"> of machine learning models beyond the boundaries of the training data, especially for edge cases and extreme weather conditions that may have been underrepresented in the historical datasets</w:t>
      </w:r>
      <w:r>
        <w:fldChar w:fldCharType="begin"/>
      </w:r>
      <w:r w:rsidR="001B74A6">
        <w:instrText xml:space="preserve"> ADDIN ZOTERO_ITEM CSL_CITATION {"citationID":"jbAPFFwd","properties":{"unsorted":false,"formattedCitation":"[147]","plainCitation":"[147]","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fldChar w:fldCharType="separate"/>
      </w:r>
      <w:r w:rsidR="001B74A6" w:rsidRPr="001B74A6">
        <w:t>[146]</w:t>
      </w:r>
      <w:r>
        <w:fldChar w:fldCharType="end"/>
      </w:r>
      <w:r w:rsidRPr="00D67F5B">
        <w:t>.</w:t>
      </w:r>
    </w:p>
    <w:p w14:paraId="05522F7C" w14:textId="7C2AA669" w:rsidR="003A3C82" w:rsidRPr="003A3C82" w:rsidRDefault="003A3C82" w:rsidP="003A3C82">
      <w:pPr>
        <w:spacing w:after="120"/>
        <w:ind w:firstLine="480"/>
        <w:rPr>
          <w:lang w:val="en-CA"/>
        </w:rPr>
      </w:pPr>
      <w:r w:rsidRPr="00357DE5">
        <w:rPr>
          <w:highlight w:val="yellow"/>
          <w:lang w:val="en-CA"/>
        </w:rPr>
        <w:t xml:space="preserve">Because different engineering questions require different modelling approaches, no single method is sufficient to evaluate all aspects of renewable-powered AI data-center design and operation. Table 4 summarizes the recommended modelling approach, time resolution, input-data requirements, and </w:t>
      </w:r>
      <w:r w:rsidRPr="00357DE5">
        <w:rPr>
          <w:highlight w:val="yellow"/>
          <w:lang w:val="en-CA"/>
        </w:rPr>
        <w:lastRenderedPageBreak/>
        <w:t>primary limitations associated with the most common engineering and operational questions addressed in this review.</w:t>
      </w:r>
    </w:p>
    <w:p w14:paraId="7C1F80D4" w14:textId="10AC0308" w:rsidR="003A3C82" w:rsidRDefault="003A3C82" w:rsidP="003A3C82">
      <w:pPr>
        <w:pStyle w:val="Caption"/>
        <w:keepNext/>
      </w:pPr>
      <w:r w:rsidRPr="00357DE5">
        <w:rPr>
          <w:highlight w:val="yellow"/>
        </w:rPr>
        <w:t xml:space="preserve">Table </w:t>
      </w:r>
      <w:r w:rsidRPr="00357DE5">
        <w:rPr>
          <w:highlight w:val="yellow"/>
        </w:rPr>
        <w:fldChar w:fldCharType="begin"/>
      </w:r>
      <w:r w:rsidRPr="00357DE5">
        <w:rPr>
          <w:highlight w:val="yellow"/>
        </w:rPr>
        <w:instrText xml:space="preserve"> SEQ Table \* ARABIC </w:instrText>
      </w:r>
      <w:r w:rsidRPr="00357DE5">
        <w:rPr>
          <w:highlight w:val="yellow"/>
        </w:rPr>
        <w:fldChar w:fldCharType="separate"/>
      </w:r>
      <w:r w:rsidR="003A45CA">
        <w:rPr>
          <w:noProof/>
          <w:highlight w:val="yellow"/>
        </w:rPr>
        <w:t>4</w:t>
      </w:r>
      <w:r w:rsidRPr="00357DE5">
        <w:rPr>
          <w:highlight w:val="yellow"/>
        </w:rPr>
        <w:fldChar w:fldCharType="end"/>
      </w:r>
      <w:r w:rsidRPr="00357DE5">
        <w:rPr>
          <w:highlight w:val="yellow"/>
        </w:rPr>
        <w:t xml:space="preserve"> Recommended Modeling Approaches for Renewable-Powered AI Data Centers</w:t>
      </w:r>
    </w:p>
    <w:tbl>
      <w:tblPr>
        <w:tblStyle w:val="Mdeck5tablebodythreelines"/>
        <w:tblW w:w="5000" w:type="pct"/>
        <w:tblLook w:val="04A0" w:firstRow="1" w:lastRow="0" w:firstColumn="1" w:lastColumn="0" w:noHBand="0" w:noVBand="1"/>
      </w:tblPr>
      <w:tblGrid>
        <w:gridCol w:w="2180"/>
        <w:gridCol w:w="2161"/>
        <w:gridCol w:w="1831"/>
        <w:gridCol w:w="1910"/>
        <w:gridCol w:w="1670"/>
      </w:tblGrid>
      <w:tr w:rsidR="00C3472F" w:rsidRPr="00C3472F" w14:paraId="0A32EC07" w14:textId="77777777" w:rsidTr="00C3472F">
        <w:trPr>
          <w:cnfStyle w:val="100000000000" w:firstRow="1" w:lastRow="0" w:firstColumn="0" w:lastColumn="0" w:oddVBand="0" w:evenVBand="0" w:oddHBand="0" w:evenHBand="0" w:firstRowFirstColumn="0" w:firstRowLastColumn="0" w:lastRowFirstColumn="0" w:lastRowLastColumn="0"/>
        </w:trPr>
        <w:tc>
          <w:tcPr>
            <w:tcW w:w="0" w:type="auto"/>
            <w:hideMark/>
          </w:tcPr>
          <w:p w14:paraId="717BD62A" w14:textId="77777777" w:rsidR="00C3472F" w:rsidRPr="00C3472F" w:rsidRDefault="00C3472F" w:rsidP="00C3472F">
            <w:pPr>
              <w:spacing w:after="120"/>
              <w:ind w:firstLine="480"/>
              <w:rPr>
                <w:b/>
                <w:bCs/>
                <w:sz w:val="18"/>
                <w:szCs w:val="18"/>
                <w:lang w:val="en-CA"/>
              </w:rPr>
            </w:pPr>
            <w:r w:rsidRPr="00C3472F">
              <w:rPr>
                <w:b/>
                <w:bCs/>
                <w:sz w:val="18"/>
                <w:szCs w:val="18"/>
                <w:lang w:val="en-CA"/>
              </w:rPr>
              <w:t>Engineering Question</w:t>
            </w:r>
          </w:p>
        </w:tc>
        <w:tc>
          <w:tcPr>
            <w:tcW w:w="0" w:type="auto"/>
            <w:hideMark/>
          </w:tcPr>
          <w:p w14:paraId="36D40EC8" w14:textId="77777777" w:rsidR="00C3472F" w:rsidRPr="00C3472F" w:rsidRDefault="00C3472F" w:rsidP="00C3472F">
            <w:pPr>
              <w:spacing w:after="120"/>
              <w:ind w:firstLine="480"/>
              <w:rPr>
                <w:b/>
                <w:bCs/>
                <w:sz w:val="18"/>
                <w:szCs w:val="18"/>
                <w:lang w:val="en-CA"/>
              </w:rPr>
            </w:pPr>
            <w:r w:rsidRPr="00C3472F">
              <w:rPr>
                <w:b/>
                <w:bCs/>
                <w:sz w:val="18"/>
                <w:szCs w:val="18"/>
                <w:lang w:val="en-CA"/>
              </w:rPr>
              <w:t>Recommended Method</w:t>
            </w:r>
          </w:p>
        </w:tc>
        <w:tc>
          <w:tcPr>
            <w:tcW w:w="0" w:type="auto"/>
            <w:hideMark/>
          </w:tcPr>
          <w:p w14:paraId="0047DC83" w14:textId="77777777" w:rsidR="00C3472F" w:rsidRPr="00C3472F" w:rsidRDefault="00C3472F" w:rsidP="00C3472F">
            <w:pPr>
              <w:spacing w:after="120"/>
              <w:ind w:firstLine="480"/>
              <w:rPr>
                <w:b/>
                <w:bCs/>
                <w:sz w:val="18"/>
                <w:szCs w:val="18"/>
                <w:lang w:val="en-CA"/>
              </w:rPr>
            </w:pPr>
            <w:r w:rsidRPr="00C3472F">
              <w:rPr>
                <w:b/>
                <w:bCs/>
                <w:sz w:val="18"/>
                <w:szCs w:val="18"/>
                <w:lang w:val="en-CA"/>
              </w:rPr>
              <w:t>Typical Time Resolution</w:t>
            </w:r>
          </w:p>
        </w:tc>
        <w:tc>
          <w:tcPr>
            <w:tcW w:w="0" w:type="auto"/>
            <w:hideMark/>
          </w:tcPr>
          <w:p w14:paraId="5FE33680" w14:textId="77777777" w:rsidR="00C3472F" w:rsidRPr="00C3472F" w:rsidRDefault="00C3472F" w:rsidP="00C3472F">
            <w:pPr>
              <w:spacing w:after="120"/>
              <w:ind w:firstLine="480"/>
              <w:rPr>
                <w:b/>
                <w:bCs/>
                <w:sz w:val="18"/>
                <w:szCs w:val="18"/>
                <w:lang w:val="en-CA"/>
              </w:rPr>
            </w:pPr>
            <w:r w:rsidRPr="00C3472F">
              <w:rPr>
                <w:b/>
                <w:bCs/>
                <w:sz w:val="18"/>
                <w:szCs w:val="18"/>
                <w:lang w:val="en-CA"/>
              </w:rPr>
              <w:t>Required Inputs</w:t>
            </w:r>
          </w:p>
        </w:tc>
        <w:tc>
          <w:tcPr>
            <w:tcW w:w="0" w:type="auto"/>
            <w:hideMark/>
          </w:tcPr>
          <w:p w14:paraId="2AAEAD16" w14:textId="77777777" w:rsidR="00C3472F" w:rsidRPr="00C3472F" w:rsidRDefault="00C3472F" w:rsidP="00C3472F">
            <w:pPr>
              <w:spacing w:after="120"/>
              <w:ind w:firstLine="480"/>
              <w:rPr>
                <w:b/>
                <w:bCs/>
                <w:sz w:val="18"/>
                <w:szCs w:val="18"/>
                <w:lang w:val="en-CA"/>
              </w:rPr>
            </w:pPr>
            <w:r w:rsidRPr="00C3472F">
              <w:rPr>
                <w:b/>
                <w:bCs/>
                <w:sz w:val="18"/>
                <w:szCs w:val="18"/>
                <w:lang w:val="en-CA"/>
              </w:rPr>
              <w:t>Primary Limitation</w:t>
            </w:r>
          </w:p>
        </w:tc>
      </w:tr>
      <w:tr w:rsidR="00C3472F" w:rsidRPr="00C3472F" w14:paraId="0D2B9448" w14:textId="77777777" w:rsidTr="00C3472F">
        <w:tc>
          <w:tcPr>
            <w:tcW w:w="0" w:type="auto"/>
            <w:hideMark/>
          </w:tcPr>
          <w:p w14:paraId="5E958383" w14:textId="77777777" w:rsidR="00C3472F" w:rsidRPr="00C3472F" w:rsidRDefault="00C3472F" w:rsidP="00C3472F">
            <w:pPr>
              <w:spacing w:after="120"/>
              <w:ind w:firstLine="480"/>
              <w:rPr>
                <w:sz w:val="18"/>
                <w:szCs w:val="18"/>
                <w:lang w:val="en-CA"/>
              </w:rPr>
            </w:pPr>
            <w:r w:rsidRPr="00C3472F">
              <w:rPr>
                <w:sz w:val="18"/>
                <w:szCs w:val="18"/>
                <w:lang w:val="en-CA"/>
              </w:rPr>
              <w:t>Power-flow analysis, voltage profile assessment, line loading, and loss estimation</w:t>
            </w:r>
          </w:p>
        </w:tc>
        <w:tc>
          <w:tcPr>
            <w:tcW w:w="0" w:type="auto"/>
            <w:hideMark/>
          </w:tcPr>
          <w:p w14:paraId="28E3108F" w14:textId="77777777" w:rsidR="00C3472F" w:rsidRPr="00C3472F" w:rsidRDefault="00C3472F" w:rsidP="00C3472F">
            <w:pPr>
              <w:spacing w:after="120"/>
              <w:ind w:firstLine="480"/>
              <w:rPr>
                <w:sz w:val="18"/>
                <w:szCs w:val="18"/>
                <w:lang w:val="en-CA"/>
              </w:rPr>
            </w:pPr>
            <w:r w:rsidRPr="00C3472F">
              <w:rPr>
                <w:sz w:val="18"/>
                <w:szCs w:val="18"/>
                <w:lang w:val="en-CA"/>
              </w:rPr>
              <w:t>AC Power Flow</w:t>
            </w:r>
          </w:p>
        </w:tc>
        <w:tc>
          <w:tcPr>
            <w:tcW w:w="0" w:type="auto"/>
            <w:hideMark/>
          </w:tcPr>
          <w:p w14:paraId="29FEFADE" w14:textId="77777777" w:rsidR="00C3472F" w:rsidRPr="00C3472F" w:rsidRDefault="00C3472F" w:rsidP="00C3472F">
            <w:pPr>
              <w:spacing w:after="120"/>
              <w:ind w:firstLine="480"/>
              <w:rPr>
                <w:sz w:val="18"/>
                <w:szCs w:val="18"/>
                <w:lang w:val="en-CA"/>
              </w:rPr>
            </w:pPr>
            <w:proofErr w:type="gramStart"/>
            <w:r w:rsidRPr="00C3472F">
              <w:rPr>
                <w:sz w:val="18"/>
                <w:szCs w:val="18"/>
                <w:lang w:val="en-CA"/>
              </w:rPr>
              <w:t>Steady-state</w:t>
            </w:r>
            <w:proofErr w:type="gramEnd"/>
          </w:p>
        </w:tc>
        <w:tc>
          <w:tcPr>
            <w:tcW w:w="0" w:type="auto"/>
            <w:hideMark/>
          </w:tcPr>
          <w:p w14:paraId="35EAE3FA" w14:textId="77777777" w:rsidR="00C3472F" w:rsidRPr="00C3472F" w:rsidRDefault="00C3472F" w:rsidP="00C3472F">
            <w:pPr>
              <w:spacing w:after="120"/>
              <w:ind w:firstLine="480"/>
              <w:rPr>
                <w:sz w:val="18"/>
                <w:szCs w:val="18"/>
                <w:lang w:val="en-CA"/>
              </w:rPr>
            </w:pPr>
            <w:r w:rsidRPr="00C3472F">
              <w:rPr>
                <w:sz w:val="18"/>
                <w:szCs w:val="18"/>
                <w:lang w:val="en-CA"/>
              </w:rPr>
              <w:t>Network topology, line impedances, load data</w:t>
            </w:r>
          </w:p>
        </w:tc>
        <w:tc>
          <w:tcPr>
            <w:tcW w:w="0" w:type="auto"/>
            <w:hideMark/>
          </w:tcPr>
          <w:p w14:paraId="0F38B2AF" w14:textId="77777777" w:rsidR="00C3472F" w:rsidRPr="00C3472F" w:rsidRDefault="00C3472F" w:rsidP="00C3472F">
            <w:pPr>
              <w:spacing w:after="120"/>
              <w:ind w:firstLine="480"/>
              <w:rPr>
                <w:sz w:val="18"/>
                <w:szCs w:val="18"/>
                <w:lang w:val="en-CA"/>
              </w:rPr>
            </w:pPr>
            <w:r w:rsidRPr="00C3472F">
              <w:rPr>
                <w:sz w:val="18"/>
                <w:szCs w:val="18"/>
                <w:lang w:val="en-CA"/>
              </w:rPr>
              <w:t>Does not capture dynamic behaviour</w:t>
            </w:r>
          </w:p>
        </w:tc>
      </w:tr>
      <w:tr w:rsidR="00C3472F" w:rsidRPr="00C3472F" w14:paraId="6B9092CC" w14:textId="77777777" w:rsidTr="00C3472F">
        <w:tc>
          <w:tcPr>
            <w:tcW w:w="0" w:type="auto"/>
            <w:hideMark/>
          </w:tcPr>
          <w:p w14:paraId="5BE4442E" w14:textId="77777777" w:rsidR="00C3472F" w:rsidRPr="00C3472F" w:rsidRDefault="00C3472F" w:rsidP="00C3472F">
            <w:pPr>
              <w:spacing w:after="120"/>
              <w:ind w:firstLine="480"/>
              <w:rPr>
                <w:sz w:val="18"/>
                <w:szCs w:val="18"/>
                <w:lang w:val="en-CA"/>
              </w:rPr>
            </w:pPr>
            <w:r w:rsidRPr="00C3472F">
              <w:rPr>
                <w:sz w:val="18"/>
                <w:szCs w:val="18"/>
                <w:lang w:val="en-CA"/>
              </w:rPr>
              <w:t>Large-scale transmission screening studies</w:t>
            </w:r>
          </w:p>
        </w:tc>
        <w:tc>
          <w:tcPr>
            <w:tcW w:w="0" w:type="auto"/>
            <w:hideMark/>
          </w:tcPr>
          <w:p w14:paraId="5F187120" w14:textId="77777777" w:rsidR="00C3472F" w:rsidRPr="00C3472F" w:rsidRDefault="00C3472F" w:rsidP="00C3472F">
            <w:pPr>
              <w:spacing w:after="120"/>
              <w:ind w:firstLine="480"/>
              <w:rPr>
                <w:sz w:val="18"/>
                <w:szCs w:val="18"/>
                <w:lang w:val="en-CA"/>
              </w:rPr>
            </w:pPr>
            <w:r w:rsidRPr="00C3472F">
              <w:rPr>
                <w:sz w:val="18"/>
                <w:szCs w:val="18"/>
                <w:lang w:val="en-CA"/>
              </w:rPr>
              <w:t>DC Power Flow</w:t>
            </w:r>
          </w:p>
        </w:tc>
        <w:tc>
          <w:tcPr>
            <w:tcW w:w="0" w:type="auto"/>
            <w:hideMark/>
          </w:tcPr>
          <w:p w14:paraId="47B8BF5A" w14:textId="77777777" w:rsidR="00C3472F" w:rsidRPr="00C3472F" w:rsidRDefault="00C3472F" w:rsidP="00C3472F">
            <w:pPr>
              <w:spacing w:after="120"/>
              <w:ind w:firstLine="480"/>
              <w:rPr>
                <w:sz w:val="18"/>
                <w:szCs w:val="18"/>
                <w:lang w:val="en-CA"/>
              </w:rPr>
            </w:pPr>
            <w:proofErr w:type="gramStart"/>
            <w:r w:rsidRPr="00C3472F">
              <w:rPr>
                <w:sz w:val="18"/>
                <w:szCs w:val="18"/>
                <w:lang w:val="en-CA"/>
              </w:rPr>
              <w:t>Steady-state</w:t>
            </w:r>
            <w:proofErr w:type="gramEnd"/>
          </w:p>
        </w:tc>
        <w:tc>
          <w:tcPr>
            <w:tcW w:w="0" w:type="auto"/>
            <w:hideMark/>
          </w:tcPr>
          <w:p w14:paraId="1591BAA9" w14:textId="77777777" w:rsidR="00C3472F" w:rsidRPr="00C3472F" w:rsidRDefault="00C3472F" w:rsidP="00C3472F">
            <w:pPr>
              <w:spacing w:after="120"/>
              <w:ind w:firstLine="480"/>
              <w:rPr>
                <w:sz w:val="18"/>
                <w:szCs w:val="18"/>
                <w:lang w:val="en-CA"/>
              </w:rPr>
            </w:pPr>
            <w:r w:rsidRPr="00C3472F">
              <w:rPr>
                <w:sz w:val="18"/>
                <w:szCs w:val="18"/>
                <w:lang w:val="en-CA"/>
              </w:rPr>
              <w:t>Network topology and active-power data</w:t>
            </w:r>
          </w:p>
        </w:tc>
        <w:tc>
          <w:tcPr>
            <w:tcW w:w="0" w:type="auto"/>
            <w:hideMark/>
          </w:tcPr>
          <w:p w14:paraId="12B2AC81" w14:textId="77777777" w:rsidR="00C3472F" w:rsidRPr="00C3472F" w:rsidRDefault="00C3472F" w:rsidP="00C3472F">
            <w:pPr>
              <w:spacing w:after="120"/>
              <w:ind w:firstLine="480"/>
              <w:rPr>
                <w:sz w:val="18"/>
                <w:szCs w:val="18"/>
                <w:lang w:val="en-CA"/>
              </w:rPr>
            </w:pPr>
            <w:r w:rsidRPr="00C3472F">
              <w:rPr>
                <w:sz w:val="18"/>
                <w:szCs w:val="18"/>
                <w:lang w:val="en-CA"/>
              </w:rPr>
              <w:t>Ignores reactive power and voltage constraints</w:t>
            </w:r>
          </w:p>
        </w:tc>
      </w:tr>
      <w:tr w:rsidR="00C3472F" w:rsidRPr="00C3472F" w14:paraId="7EF239CA" w14:textId="77777777" w:rsidTr="00C3472F">
        <w:tc>
          <w:tcPr>
            <w:tcW w:w="0" w:type="auto"/>
            <w:hideMark/>
          </w:tcPr>
          <w:p w14:paraId="245C9652" w14:textId="77777777" w:rsidR="00C3472F" w:rsidRPr="00C3472F" w:rsidRDefault="00C3472F" w:rsidP="00C3472F">
            <w:pPr>
              <w:spacing w:after="120"/>
              <w:ind w:firstLine="480"/>
              <w:rPr>
                <w:sz w:val="18"/>
                <w:szCs w:val="18"/>
                <w:lang w:val="en-CA"/>
              </w:rPr>
            </w:pPr>
            <w:r w:rsidRPr="00C3472F">
              <w:rPr>
                <w:sz w:val="18"/>
                <w:szCs w:val="18"/>
                <w:lang w:val="en-CA"/>
              </w:rPr>
              <w:t>Harmonic compliance and filter design</w:t>
            </w:r>
          </w:p>
        </w:tc>
        <w:tc>
          <w:tcPr>
            <w:tcW w:w="0" w:type="auto"/>
            <w:hideMark/>
          </w:tcPr>
          <w:p w14:paraId="0EFF8529" w14:textId="77777777" w:rsidR="00C3472F" w:rsidRPr="00C3472F" w:rsidRDefault="00C3472F" w:rsidP="00C3472F">
            <w:pPr>
              <w:spacing w:after="120"/>
              <w:ind w:firstLine="480"/>
              <w:rPr>
                <w:sz w:val="18"/>
                <w:szCs w:val="18"/>
                <w:lang w:val="en-CA"/>
              </w:rPr>
            </w:pPr>
            <w:r w:rsidRPr="00C3472F">
              <w:rPr>
                <w:sz w:val="18"/>
                <w:szCs w:val="18"/>
                <w:lang w:val="en-CA"/>
              </w:rPr>
              <w:t>Harmonic Analysis / Frequency-Domain Simulation</w:t>
            </w:r>
          </w:p>
        </w:tc>
        <w:tc>
          <w:tcPr>
            <w:tcW w:w="0" w:type="auto"/>
            <w:hideMark/>
          </w:tcPr>
          <w:p w14:paraId="7BA4204D" w14:textId="77777777" w:rsidR="00C3472F" w:rsidRPr="00C3472F" w:rsidRDefault="00C3472F" w:rsidP="00C3472F">
            <w:pPr>
              <w:spacing w:after="120"/>
              <w:ind w:firstLine="480"/>
              <w:rPr>
                <w:sz w:val="18"/>
                <w:szCs w:val="18"/>
                <w:lang w:val="en-CA"/>
              </w:rPr>
            </w:pPr>
            <w:r w:rsidRPr="00C3472F">
              <w:rPr>
                <w:sz w:val="18"/>
                <w:szCs w:val="18"/>
                <w:lang w:val="en-CA"/>
              </w:rPr>
              <w:t>Frequency domain</w:t>
            </w:r>
          </w:p>
        </w:tc>
        <w:tc>
          <w:tcPr>
            <w:tcW w:w="0" w:type="auto"/>
            <w:hideMark/>
          </w:tcPr>
          <w:p w14:paraId="627822D5" w14:textId="77777777" w:rsidR="00C3472F" w:rsidRPr="00C3472F" w:rsidRDefault="00C3472F" w:rsidP="00C3472F">
            <w:pPr>
              <w:spacing w:after="120"/>
              <w:ind w:firstLine="480"/>
              <w:rPr>
                <w:sz w:val="18"/>
                <w:szCs w:val="18"/>
                <w:lang w:val="en-CA"/>
              </w:rPr>
            </w:pPr>
            <w:r w:rsidRPr="00C3472F">
              <w:rPr>
                <w:sz w:val="18"/>
                <w:szCs w:val="18"/>
                <w:lang w:val="en-CA"/>
              </w:rPr>
              <w:t>Harmonic spectra, network impedance data</w:t>
            </w:r>
          </w:p>
        </w:tc>
        <w:tc>
          <w:tcPr>
            <w:tcW w:w="0" w:type="auto"/>
            <w:hideMark/>
          </w:tcPr>
          <w:p w14:paraId="35DD1EC5" w14:textId="77777777" w:rsidR="00C3472F" w:rsidRPr="00C3472F" w:rsidRDefault="00C3472F" w:rsidP="00C3472F">
            <w:pPr>
              <w:spacing w:after="120"/>
              <w:ind w:firstLine="480"/>
              <w:rPr>
                <w:sz w:val="18"/>
                <w:szCs w:val="18"/>
                <w:lang w:val="en-CA"/>
              </w:rPr>
            </w:pPr>
            <w:r w:rsidRPr="00C3472F">
              <w:rPr>
                <w:sz w:val="18"/>
                <w:szCs w:val="18"/>
                <w:lang w:val="en-CA"/>
              </w:rPr>
              <w:t>Limited representation of transient behaviour</w:t>
            </w:r>
          </w:p>
        </w:tc>
      </w:tr>
      <w:tr w:rsidR="00C3472F" w:rsidRPr="00C3472F" w14:paraId="3685A29D" w14:textId="77777777" w:rsidTr="00C3472F">
        <w:tc>
          <w:tcPr>
            <w:tcW w:w="0" w:type="auto"/>
            <w:hideMark/>
          </w:tcPr>
          <w:p w14:paraId="2D9FEC80" w14:textId="77777777" w:rsidR="00C3472F" w:rsidRPr="00C3472F" w:rsidRDefault="00C3472F" w:rsidP="00C3472F">
            <w:pPr>
              <w:spacing w:after="120"/>
              <w:ind w:firstLine="480"/>
              <w:rPr>
                <w:sz w:val="18"/>
                <w:szCs w:val="18"/>
                <w:lang w:val="en-CA"/>
              </w:rPr>
            </w:pPr>
            <w:r w:rsidRPr="00C3472F">
              <w:rPr>
                <w:sz w:val="18"/>
                <w:szCs w:val="18"/>
                <w:lang w:val="en-CA"/>
              </w:rPr>
              <w:t>Inverter interactions, protection studies, and transient stability assessment</w:t>
            </w:r>
          </w:p>
        </w:tc>
        <w:tc>
          <w:tcPr>
            <w:tcW w:w="0" w:type="auto"/>
            <w:hideMark/>
          </w:tcPr>
          <w:p w14:paraId="6B40B68D" w14:textId="77777777" w:rsidR="00C3472F" w:rsidRPr="00C3472F" w:rsidRDefault="00C3472F" w:rsidP="00C3472F">
            <w:pPr>
              <w:spacing w:after="120"/>
              <w:ind w:firstLine="480"/>
              <w:rPr>
                <w:sz w:val="18"/>
                <w:szCs w:val="18"/>
                <w:lang w:val="en-CA"/>
              </w:rPr>
            </w:pPr>
            <w:r w:rsidRPr="00C3472F">
              <w:rPr>
                <w:sz w:val="18"/>
                <w:szCs w:val="18"/>
                <w:lang w:val="en-CA"/>
              </w:rPr>
              <w:t>Electromagnetic Transient (EMT) Simulation</w:t>
            </w:r>
          </w:p>
        </w:tc>
        <w:tc>
          <w:tcPr>
            <w:tcW w:w="0" w:type="auto"/>
            <w:hideMark/>
          </w:tcPr>
          <w:p w14:paraId="2CA82713" w14:textId="77777777" w:rsidR="00C3472F" w:rsidRPr="00C3472F" w:rsidRDefault="00C3472F" w:rsidP="00C3472F">
            <w:pPr>
              <w:spacing w:after="120"/>
              <w:ind w:firstLine="480"/>
              <w:rPr>
                <w:sz w:val="18"/>
                <w:szCs w:val="18"/>
                <w:lang w:val="en-CA"/>
              </w:rPr>
            </w:pPr>
            <w:r w:rsidRPr="00C3472F">
              <w:rPr>
                <w:sz w:val="18"/>
                <w:szCs w:val="18"/>
                <w:lang w:val="en-CA"/>
              </w:rPr>
              <w:t>Microseconds to milliseconds</w:t>
            </w:r>
          </w:p>
        </w:tc>
        <w:tc>
          <w:tcPr>
            <w:tcW w:w="0" w:type="auto"/>
            <w:hideMark/>
          </w:tcPr>
          <w:p w14:paraId="49EFD473" w14:textId="77777777" w:rsidR="00C3472F" w:rsidRPr="00C3472F" w:rsidRDefault="00C3472F" w:rsidP="00C3472F">
            <w:pPr>
              <w:spacing w:after="120"/>
              <w:ind w:firstLine="480"/>
              <w:rPr>
                <w:sz w:val="18"/>
                <w:szCs w:val="18"/>
                <w:lang w:val="en-CA"/>
              </w:rPr>
            </w:pPr>
            <w:r w:rsidRPr="00C3472F">
              <w:rPr>
                <w:sz w:val="18"/>
                <w:szCs w:val="18"/>
                <w:lang w:val="en-CA"/>
              </w:rPr>
              <w:t>Detailed inverter and controller models</w:t>
            </w:r>
          </w:p>
        </w:tc>
        <w:tc>
          <w:tcPr>
            <w:tcW w:w="0" w:type="auto"/>
            <w:hideMark/>
          </w:tcPr>
          <w:p w14:paraId="10B623BC" w14:textId="77777777" w:rsidR="00C3472F" w:rsidRPr="00C3472F" w:rsidRDefault="00C3472F" w:rsidP="00C3472F">
            <w:pPr>
              <w:spacing w:after="120"/>
              <w:ind w:firstLine="480"/>
              <w:rPr>
                <w:sz w:val="18"/>
                <w:szCs w:val="18"/>
                <w:lang w:val="en-CA"/>
              </w:rPr>
            </w:pPr>
            <w:r w:rsidRPr="00C3472F">
              <w:rPr>
                <w:sz w:val="18"/>
                <w:szCs w:val="18"/>
                <w:lang w:val="en-CA"/>
              </w:rPr>
              <w:t>High computational requirements</w:t>
            </w:r>
          </w:p>
        </w:tc>
      </w:tr>
      <w:tr w:rsidR="00C3472F" w:rsidRPr="00C3472F" w14:paraId="1D0C39FD" w14:textId="77777777" w:rsidTr="00C3472F">
        <w:tc>
          <w:tcPr>
            <w:tcW w:w="0" w:type="auto"/>
            <w:hideMark/>
          </w:tcPr>
          <w:p w14:paraId="3FBC272B" w14:textId="77777777" w:rsidR="00C3472F" w:rsidRPr="00C3472F" w:rsidRDefault="00C3472F" w:rsidP="00C3472F">
            <w:pPr>
              <w:spacing w:after="120"/>
              <w:ind w:firstLine="480"/>
              <w:rPr>
                <w:sz w:val="18"/>
                <w:szCs w:val="18"/>
                <w:lang w:val="en-CA"/>
              </w:rPr>
            </w:pPr>
            <w:r w:rsidRPr="00C3472F">
              <w:rPr>
                <w:sz w:val="18"/>
                <w:szCs w:val="18"/>
                <w:lang w:val="en-CA"/>
              </w:rPr>
              <w:t>Renewable-generation and energy-storage sizing</w:t>
            </w:r>
          </w:p>
        </w:tc>
        <w:tc>
          <w:tcPr>
            <w:tcW w:w="0" w:type="auto"/>
            <w:hideMark/>
          </w:tcPr>
          <w:p w14:paraId="30377710" w14:textId="77777777" w:rsidR="00C3472F" w:rsidRPr="00C3472F" w:rsidRDefault="00C3472F" w:rsidP="00C3472F">
            <w:pPr>
              <w:spacing w:after="120"/>
              <w:ind w:firstLine="480"/>
              <w:rPr>
                <w:sz w:val="18"/>
                <w:szCs w:val="18"/>
                <w:lang w:val="en-CA"/>
              </w:rPr>
            </w:pPr>
            <w:r w:rsidRPr="00C3472F">
              <w:rPr>
                <w:sz w:val="18"/>
                <w:szCs w:val="18"/>
                <w:lang w:val="en-CA"/>
              </w:rPr>
              <w:t>Chronological Time-Series Simulation</w:t>
            </w:r>
          </w:p>
        </w:tc>
        <w:tc>
          <w:tcPr>
            <w:tcW w:w="0" w:type="auto"/>
            <w:hideMark/>
          </w:tcPr>
          <w:p w14:paraId="5ADF5D81" w14:textId="77777777" w:rsidR="00C3472F" w:rsidRPr="00C3472F" w:rsidRDefault="00C3472F" w:rsidP="00C3472F">
            <w:pPr>
              <w:spacing w:after="120"/>
              <w:ind w:firstLine="480"/>
              <w:rPr>
                <w:sz w:val="18"/>
                <w:szCs w:val="18"/>
                <w:lang w:val="en-CA"/>
              </w:rPr>
            </w:pPr>
            <w:r w:rsidRPr="00C3472F">
              <w:rPr>
                <w:sz w:val="18"/>
                <w:szCs w:val="18"/>
                <w:lang w:val="en-CA"/>
              </w:rPr>
              <w:t>Hourly or sub-hourly</w:t>
            </w:r>
          </w:p>
        </w:tc>
        <w:tc>
          <w:tcPr>
            <w:tcW w:w="0" w:type="auto"/>
            <w:hideMark/>
          </w:tcPr>
          <w:p w14:paraId="4612FCA6" w14:textId="77777777" w:rsidR="00C3472F" w:rsidRPr="00C3472F" w:rsidRDefault="00C3472F" w:rsidP="00C3472F">
            <w:pPr>
              <w:spacing w:after="120"/>
              <w:ind w:firstLine="480"/>
              <w:rPr>
                <w:sz w:val="18"/>
                <w:szCs w:val="18"/>
                <w:lang w:val="en-CA"/>
              </w:rPr>
            </w:pPr>
            <w:r w:rsidRPr="00C3472F">
              <w:rPr>
                <w:sz w:val="18"/>
                <w:szCs w:val="18"/>
                <w:lang w:val="en-CA"/>
              </w:rPr>
              <w:t>Renewable resource and load profiles</w:t>
            </w:r>
          </w:p>
        </w:tc>
        <w:tc>
          <w:tcPr>
            <w:tcW w:w="0" w:type="auto"/>
            <w:hideMark/>
          </w:tcPr>
          <w:p w14:paraId="61733D86" w14:textId="77777777" w:rsidR="00C3472F" w:rsidRPr="00C3472F" w:rsidRDefault="00C3472F" w:rsidP="00C3472F">
            <w:pPr>
              <w:spacing w:after="120"/>
              <w:ind w:firstLine="480"/>
              <w:rPr>
                <w:sz w:val="18"/>
                <w:szCs w:val="18"/>
                <w:lang w:val="en-CA"/>
              </w:rPr>
            </w:pPr>
            <w:r w:rsidRPr="00C3472F">
              <w:rPr>
                <w:sz w:val="18"/>
                <w:szCs w:val="18"/>
                <w:lang w:val="en-CA"/>
              </w:rPr>
              <w:t>Requires extensive historical data</w:t>
            </w:r>
          </w:p>
        </w:tc>
      </w:tr>
      <w:tr w:rsidR="00C3472F" w:rsidRPr="00C3472F" w14:paraId="35CBFB7D" w14:textId="77777777" w:rsidTr="00C3472F">
        <w:tc>
          <w:tcPr>
            <w:tcW w:w="0" w:type="auto"/>
            <w:hideMark/>
          </w:tcPr>
          <w:p w14:paraId="79195F7F" w14:textId="77777777" w:rsidR="00C3472F" w:rsidRPr="00C3472F" w:rsidRDefault="00C3472F" w:rsidP="00C3472F">
            <w:pPr>
              <w:spacing w:after="120"/>
              <w:ind w:firstLine="480"/>
              <w:rPr>
                <w:sz w:val="18"/>
                <w:szCs w:val="18"/>
                <w:lang w:val="en-CA"/>
              </w:rPr>
            </w:pPr>
            <w:r w:rsidRPr="00C3472F">
              <w:rPr>
                <w:sz w:val="18"/>
                <w:szCs w:val="18"/>
                <w:lang w:val="en-CA"/>
              </w:rPr>
              <w:t>Technology selection and financial assessment</w:t>
            </w:r>
          </w:p>
        </w:tc>
        <w:tc>
          <w:tcPr>
            <w:tcW w:w="0" w:type="auto"/>
            <w:hideMark/>
          </w:tcPr>
          <w:p w14:paraId="5D717B01" w14:textId="77777777" w:rsidR="00C3472F" w:rsidRPr="00C3472F" w:rsidRDefault="00C3472F" w:rsidP="00C3472F">
            <w:pPr>
              <w:spacing w:after="120"/>
              <w:ind w:firstLine="480"/>
              <w:rPr>
                <w:sz w:val="18"/>
                <w:szCs w:val="18"/>
                <w:lang w:val="en-CA"/>
              </w:rPr>
            </w:pPr>
            <w:r w:rsidRPr="00C3472F">
              <w:rPr>
                <w:sz w:val="18"/>
                <w:szCs w:val="18"/>
                <w:lang w:val="en-CA"/>
              </w:rPr>
              <w:t>Lifecycle Cost Analysis / MILP Optimization</w:t>
            </w:r>
          </w:p>
        </w:tc>
        <w:tc>
          <w:tcPr>
            <w:tcW w:w="0" w:type="auto"/>
            <w:hideMark/>
          </w:tcPr>
          <w:p w14:paraId="6588B68B" w14:textId="77777777" w:rsidR="00C3472F" w:rsidRPr="00C3472F" w:rsidRDefault="00C3472F" w:rsidP="00C3472F">
            <w:pPr>
              <w:spacing w:after="120"/>
              <w:ind w:firstLine="480"/>
              <w:rPr>
                <w:sz w:val="18"/>
                <w:szCs w:val="18"/>
                <w:lang w:val="en-CA"/>
              </w:rPr>
            </w:pPr>
            <w:r w:rsidRPr="00C3472F">
              <w:rPr>
                <w:sz w:val="18"/>
                <w:szCs w:val="18"/>
                <w:lang w:val="en-CA"/>
              </w:rPr>
              <w:t>Hourly to annual</w:t>
            </w:r>
          </w:p>
        </w:tc>
        <w:tc>
          <w:tcPr>
            <w:tcW w:w="0" w:type="auto"/>
            <w:hideMark/>
          </w:tcPr>
          <w:p w14:paraId="48CFE2E3" w14:textId="77777777" w:rsidR="00C3472F" w:rsidRPr="00C3472F" w:rsidRDefault="00C3472F" w:rsidP="00C3472F">
            <w:pPr>
              <w:spacing w:after="120"/>
              <w:ind w:firstLine="480"/>
              <w:rPr>
                <w:sz w:val="18"/>
                <w:szCs w:val="18"/>
                <w:lang w:val="en-CA"/>
              </w:rPr>
            </w:pPr>
            <w:r w:rsidRPr="00C3472F">
              <w:rPr>
                <w:sz w:val="18"/>
                <w:szCs w:val="18"/>
                <w:lang w:val="en-CA"/>
              </w:rPr>
              <w:t>Cost, tariff, technology, and resource data</w:t>
            </w:r>
          </w:p>
        </w:tc>
        <w:tc>
          <w:tcPr>
            <w:tcW w:w="0" w:type="auto"/>
            <w:hideMark/>
          </w:tcPr>
          <w:p w14:paraId="6A4009FC" w14:textId="77777777" w:rsidR="00C3472F" w:rsidRPr="00C3472F" w:rsidRDefault="00C3472F" w:rsidP="00C3472F">
            <w:pPr>
              <w:spacing w:after="120"/>
              <w:ind w:firstLine="480"/>
              <w:rPr>
                <w:sz w:val="18"/>
                <w:szCs w:val="18"/>
                <w:lang w:val="en-CA"/>
              </w:rPr>
            </w:pPr>
            <w:r w:rsidRPr="00C3472F">
              <w:rPr>
                <w:sz w:val="18"/>
                <w:szCs w:val="18"/>
                <w:lang w:val="en-CA"/>
              </w:rPr>
              <w:t>Results are sensitive to assumptions</w:t>
            </w:r>
          </w:p>
        </w:tc>
      </w:tr>
      <w:tr w:rsidR="00C3472F" w:rsidRPr="00C3472F" w14:paraId="264307A9" w14:textId="77777777" w:rsidTr="00C3472F">
        <w:tc>
          <w:tcPr>
            <w:tcW w:w="0" w:type="auto"/>
            <w:hideMark/>
          </w:tcPr>
          <w:p w14:paraId="6D7BB64F" w14:textId="77777777" w:rsidR="00C3472F" w:rsidRPr="00C3472F" w:rsidRDefault="00C3472F" w:rsidP="00C3472F">
            <w:pPr>
              <w:spacing w:after="120"/>
              <w:ind w:firstLine="480"/>
              <w:rPr>
                <w:sz w:val="18"/>
                <w:szCs w:val="18"/>
                <w:lang w:val="en-CA"/>
              </w:rPr>
            </w:pPr>
            <w:r w:rsidRPr="00C3472F">
              <w:rPr>
                <w:sz w:val="18"/>
                <w:szCs w:val="18"/>
                <w:lang w:val="en-CA"/>
              </w:rPr>
              <w:t>Real-time operation and dispatch optimization</w:t>
            </w:r>
          </w:p>
        </w:tc>
        <w:tc>
          <w:tcPr>
            <w:tcW w:w="0" w:type="auto"/>
            <w:hideMark/>
          </w:tcPr>
          <w:p w14:paraId="3E0DF4FA" w14:textId="77777777" w:rsidR="00C3472F" w:rsidRPr="00C3472F" w:rsidRDefault="00C3472F" w:rsidP="00C3472F">
            <w:pPr>
              <w:spacing w:after="120"/>
              <w:ind w:firstLine="480"/>
              <w:rPr>
                <w:sz w:val="18"/>
                <w:szCs w:val="18"/>
                <w:lang w:val="en-CA"/>
              </w:rPr>
            </w:pPr>
            <w:r w:rsidRPr="00C3472F">
              <w:rPr>
                <w:sz w:val="18"/>
                <w:szCs w:val="18"/>
                <w:lang w:val="en-CA"/>
              </w:rPr>
              <w:t>Model Predictive Control (MPC)</w:t>
            </w:r>
          </w:p>
        </w:tc>
        <w:tc>
          <w:tcPr>
            <w:tcW w:w="0" w:type="auto"/>
            <w:hideMark/>
          </w:tcPr>
          <w:p w14:paraId="387BF376" w14:textId="77777777" w:rsidR="00C3472F" w:rsidRPr="00C3472F" w:rsidRDefault="00C3472F" w:rsidP="00C3472F">
            <w:pPr>
              <w:spacing w:after="120"/>
              <w:ind w:firstLine="480"/>
              <w:rPr>
                <w:sz w:val="18"/>
                <w:szCs w:val="18"/>
                <w:lang w:val="en-CA"/>
              </w:rPr>
            </w:pPr>
            <w:r w:rsidRPr="00C3472F">
              <w:rPr>
                <w:sz w:val="18"/>
                <w:szCs w:val="18"/>
                <w:lang w:val="en-CA"/>
              </w:rPr>
              <w:t>Minutes to hours</w:t>
            </w:r>
          </w:p>
        </w:tc>
        <w:tc>
          <w:tcPr>
            <w:tcW w:w="0" w:type="auto"/>
            <w:hideMark/>
          </w:tcPr>
          <w:p w14:paraId="0637CB24" w14:textId="77777777" w:rsidR="00C3472F" w:rsidRPr="00C3472F" w:rsidRDefault="00C3472F" w:rsidP="00C3472F">
            <w:pPr>
              <w:spacing w:after="120"/>
              <w:ind w:firstLine="480"/>
              <w:rPr>
                <w:sz w:val="18"/>
                <w:szCs w:val="18"/>
                <w:lang w:val="en-CA"/>
              </w:rPr>
            </w:pPr>
            <w:r w:rsidRPr="00C3472F">
              <w:rPr>
                <w:sz w:val="18"/>
                <w:szCs w:val="18"/>
                <w:lang w:val="en-CA"/>
              </w:rPr>
              <w:t>Forecasts, state variables, operating constraints</w:t>
            </w:r>
          </w:p>
        </w:tc>
        <w:tc>
          <w:tcPr>
            <w:tcW w:w="0" w:type="auto"/>
            <w:hideMark/>
          </w:tcPr>
          <w:p w14:paraId="2578CC51" w14:textId="77777777" w:rsidR="00C3472F" w:rsidRPr="00C3472F" w:rsidRDefault="00C3472F" w:rsidP="00C3472F">
            <w:pPr>
              <w:spacing w:after="120"/>
              <w:ind w:firstLine="480"/>
              <w:rPr>
                <w:sz w:val="18"/>
                <w:szCs w:val="18"/>
                <w:lang w:val="en-CA"/>
              </w:rPr>
            </w:pPr>
            <w:r w:rsidRPr="00C3472F">
              <w:rPr>
                <w:sz w:val="18"/>
                <w:szCs w:val="18"/>
                <w:lang w:val="en-CA"/>
              </w:rPr>
              <w:t>Depends on forecast accuracy</w:t>
            </w:r>
          </w:p>
        </w:tc>
      </w:tr>
      <w:tr w:rsidR="00C3472F" w:rsidRPr="00C3472F" w14:paraId="47CDBBCF" w14:textId="77777777" w:rsidTr="00C3472F">
        <w:tc>
          <w:tcPr>
            <w:tcW w:w="0" w:type="auto"/>
            <w:hideMark/>
          </w:tcPr>
          <w:p w14:paraId="748995C3" w14:textId="77777777" w:rsidR="00C3472F" w:rsidRPr="00C3472F" w:rsidRDefault="00C3472F" w:rsidP="00C3472F">
            <w:pPr>
              <w:spacing w:after="120"/>
              <w:ind w:firstLine="480"/>
              <w:rPr>
                <w:sz w:val="18"/>
                <w:szCs w:val="18"/>
                <w:lang w:val="en-CA"/>
              </w:rPr>
            </w:pPr>
            <w:r w:rsidRPr="00C3472F">
              <w:rPr>
                <w:sz w:val="18"/>
                <w:szCs w:val="18"/>
                <w:lang w:val="en-CA"/>
              </w:rPr>
              <w:t>Workload scheduling and carbon-aware computing</w:t>
            </w:r>
          </w:p>
        </w:tc>
        <w:tc>
          <w:tcPr>
            <w:tcW w:w="0" w:type="auto"/>
            <w:hideMark/>
          </w:tcPr>
          <w:p w14:paraId="5D4362F5" w14:textId="77777777" w:rsidR="00C3472F" w:rsidRPr="00C3472F" w:rsidRDefault="00C3472F" w:rsidP="00C3472F">
            <w:pPr>
              <w:spacing w:after="120"/>
              <w:ind w:firstLine="480"/>
              <w:rPr>
                <w:sz w:val="18"/>
                <w:szCs w:val="18"/>
                <w:lang w:val="en-CA"/>
              </w:rPr>
            </w:pPr>
            <w:r w:rsidRPr="00C3472F">
              <w:rPr>
                <w:sz w:val="18"/>
                <w:szCs w:val="18"/>
                <w:lang w:val="en-CA"/>
              </w:rPr>
              <w:t>Optimization and Scheduling Algorithms</w:t>
            </w:r>
          </w:p>
        </w:tc>
        <w:tc>
          <w:tcPr>
            <w:tcW w:w="0" w:type="auto"/>
            <w:hideMark/>
          </w:tcPr>
          <w:p w14:paraId="7D383A6D" w14:textId="77777777" w:rsidR="00C3472F" w:rsidRPr="00C3472F" w:rsidRDefault="00C3472F" w:rsidP="00C3472F">
            <w:pPr>
              <w:spacing w:after="120"/>
              <w:ind w:firstLine="480"/>
              <w:rPr>
                <w:sz w:val="18"/>
                <w:szCs w:val="18"/>
                <w:lang w:val="en-CA"/>
              </w:rPr>
            </w:pPr>
            <w:r w:rsidRPr="00C3472F">
              <w:rPr>
                <w:sz w:val="18"/>
                <w:szCs w:val="18"/>
                <w:lang w:val="en-CA"/>
              </w:rPr>
              <w:t>Minutes to days</w:t>
            </w:r>
          </w:p>
        </w:tc>
        <w:tc>
          <w:tcPr>
            <w:tcW w:w="0" w:type="auto"/>
            <w:hideMark/>
          </w:tcPr>
          <w:p w14:paraId="7126573D" w14:textId="77777777" w:rsidR="00C3472F" w:rsidRPr="00C3472F" w:rsidRDefault="00C3472F" w:rsidP="00C3472F">
            <w:pPr>
              <w:spacing w:after="120"/>
              <w:ind w:firstLine="480"/>
              <w:rPr>
                <w:sz w:val="18"/>
                <w:szCs w:val="18"/>
                <w:lang w:val="en-CA"/>
              </w:rPr>
            </w:pPr>
            <w:r w:rsidRPr="00C3472F">
              <w:rPr>
                <w:sz w:val="18"/>
                <w:szCs w:val="18"/>
                <w:lang w:val="en-CA"/>
              </w:rPr>
              <w:t>Workload characteristics, renewable forecasts, SLA constraints</w:t>
            </w:r>
          </w:p>
        </w:tc>
        <w:tc>
          <w:tcPr>
            <w:tcW w:w="0" w:type="auto"/>
            <w:hideMark/>
          </w:tcPr>
          <w:p w14:paraId="66EDB1E0" w14:textId="77777777" w:rsidR="00C3472F" w:rsidRPr="00C3472F" w:rsidRDefault="00C3472F" w:rsidP="00C3472F">
            <w:pPr>
              <w:spacing w:after="120"/>
              <w:ind w:firstLine="480"/>
              <w:rPr>
                <w:sz w:val="18"/>
                <w:szCs w:val="18"/>
                <w:lang w:val="en-CA"/>
              </w:rPr>
            </w:pPr>
            <w:r w:rsidRPr="00C3472F">
              <w:rPr>
                <w:sz w:val="18"/>
                <w:szCs w:val="18"/>
                <w:lang w:val="en-CA"/>
              </w:rPr>
              <w:t>Limited by operational and business requirements</w:t>
            </w:r>
          </w:p>
        </w:tc>
      </w:tr>
    </w:tbl>
    <w:p w14:paraId="43030986" w14:textId="0150FF15" w:rsidR="00C3472F" w:rsidRPr="00C3472F" w:rsidRDefault="00C3472F" w:rsidP="00357DE5">
      <w:pPr>
        <w:spacing w:after="120"/>
        <w:ind w:firstLine="480"/>
        <w:rPr>
          <w:lang w:val="en-CA"/>
        </w:rPr>
      </w:pPr>
      <w:r w:rsidRPr="00C3472F">
        <w:rPr>
          <w:lang w:val="en-CA"/>
        </w:rPr>
        <w:br/>
      </w:r>
      <w:r w:rsidR="00357DE5" w:rsidRPr="00357DE5">
        <w:rPr>
          <w:highlight w:val="yellow"/>
          <w:lang w:val="en-CA"/>
        </w:rPr>
        <w:t>The recommended workflow is to begin with site assessment and resource characterization, followed by power-flow and interconnection studies, chronological renewable-generation and storage analysis, lifecycle-cost evaluation, and finally real-time operational optimization. More detailed EMT and harmonic studies should be reserved for final design stages where equipment models and protection requirements are available.</w:t>
      </w:r>
    </w:p>
    <w:p w14:paraId="4D3CA27C" w14:textId="77777777" w:rsidR="00FE013C" w:rsidRDefault="00FE013C" w:rsidP="004C16FF">
      <w:pPr>
        <w:pStyle w:val="Heading1"/>
        <w:jc w:val="both"/>
        <w:rPr>
          <w:color w:val="auto"/>
        </w:rPr>
      </w:pPr>
      <w:r>
        <w:rPr>
          <w:color w:val="auto"/>
          <w:lang w:eastAsia="zh-CN"/>
        </w:rPr>
        <w:t xml:space="preserve">7. </w:t>
      </w:r>
      <w:r>
        <w:rPr>
          <w:color w:val="auto"/>
        </w:rPr>
        <w:t>Framework for Renewable-Powered AI Data Centers</w:t>
      </w:r>
    </w:p>
    <w:p w14:paraId="1B37DF74" w14:textId="5CB56853" w:rsidR="00357DE5" w:rsidRDefault="00357DE5" w:rsidP="00357DE5">
      <w:pPr>
        <w:spacing w:after="120"/>
        <w:ind w:firstLine="480"/>
      </w:pPr>
      <w:r w:rsidRPr="00357DE5">
        <w:lastRenderedPageBreak/>
        <w:t>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14:paraId="692B1B37" w14:textId="77777777" w:rsidR="00FE013C" w:rsidRDefault="00FE013C" w:rsidP="004C16FF">
      <w:pPr>
        <w:pStyle w:val="Heading2"/>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2E8F3E86" w:rsidR="00FE013C" w:rsidRPr="00B4497F" w:rsidRDefault="00FE013C" w:rsidP="004F7EB4">
      <w:pPr>
        <w:spacing w:after="120"/>
        <w:ind w:firstLine="480"/>
      </w:pPr>
      <w:r w:rsidRPr="00B4497F">
        <w:t xml:space="preserve">Site Assessment (Component 1) covers renewable resource availability, grid interconnection feasibility, water and land availability, and climate resilience. Component 2 is called Technology Selection and covers </w:t>
      </w:r>
      <w:r w:rsidR="00580BAE" w:rsidRPr="00B4497F">
        <w:t>optimizing</w:t>
      </w:r>
      <w:r w:rsidRPr="00B4497F">
        <w:t xml:space="preserve">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w:t>
      </w:r>
      <w:r w:rsidR="00EB7BC6" w:rsidRPr="00EB7BC6">
        <w:t>Component 6 establishes consistent cost boundaries and identifies the assumptions required for project-specific lifecycle-cost and financial analysis</w:t>
      </w:r>
      <w:r w:rsidRPr="00B4497F">
        <w:t xml:space="preserve">. Component 7: Resilience and Sustainability </w:t>
      </w:r>
      <w:r w:rsidR="00580BAE" w:rsidRPr="00B4497F">
        <w:t>focus</w:t>
      </w:r>
      <w:r w:rsidRPr="00B4497F">
        <w:t xml:space="preserve"> on reliability measures, carbon </w:t>
      </w:r>
      <w:r w:rsidR="004F7EB4" w:rsidRPr="00B4497F">
        <w:t>foot printing</w:t>
      </w:r>
      <w:r w:rsidRPr="00B4497F">
        <w:t>, and regulatory adherence.</w:t>
      </w:r>
    </w:p>
    <w:p w14:paraId="22384AA7" w14:textId="0BB65908" w:rsidR="00FE013C" w:rsidRDefault="00C31A10" w:rsidP="00CB0ADE">
      <w:pPr>
        <w:spacing w:after="120"/>
        <w:ind w:firstLine="480"/>
      </w:pPr>
      <w:r w:rsidRPr="00C31A10">
        <w:t>The framework considers three principal performance dimensions: delivered-electricity cost, reliability, and operational carbon intensity. These dimensions may conflict and should be evaluated using project-specific data and decision criteria</w:t>
      </w:r>
      <w:r w:rsidR="00CB0ADE">
        <w:t xml:space="preserve">. </w:t>
      </w:r>
      <w:r w:rsidR="00FE013C" w:rsidRPr="00B4497F">
        <w:t xml:space="preserve">The objectives are also frequently conflicting and must be balanced by means of multi-objective </w:t>
      </w:r>
      <w:r w:rsidR="000B7BFE" w:rsidRPr="00B4497F">
        <w:t>optimization</w:t>
      </w:r>
      <w:r w:rsidR="00FE013C" w:rsidRPr="00B4497F">
        <w:t xml:space="preserve"> techniques. The main variables are the capacity factor of renewables, the duration of storage (in hours), the type of backup power, interconnection capacity of the grid, and flexibility parameters of the demand.</w:t>
      </w:r>
      <w:r w:rsidR="00FE013C">
        <w:t xml:space="preserve"> </w:t>
      </w:r>
      <w:r w:rsidR="00FE013C" w:rsidRPr="0073470D">
        <w:t xml:space="preserve">Fig. 6 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00FE013C" w:rsidRPr="0073470D">
        <w:t xml:space="preserve"> to revise technology choices iteratively</w:t>
      </w:r>
      <w:r w:rsidR="00FE013C">
        <w:t>.</w:t>
      </w:r>
    </w:p>
    <w:p w14:paraId="6494B3E5" w14:textId="77777777" w:rsidR="00FE013C" w:rsidRDefault="00FE013C" w:rsidP="004A620F">
      <w:pPr>
        <w:keepNext/>
        <w:jc w:val="center"/>
      </w:pPr>
      <w:r>
        <w:rPr>
          <w:noProof/>
        </w:rPr>
        <w:lastRenderedPageBreak/>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62AD6699" w:rsidR="00FE013C" w:rsidRDefault="00FE013C" w:rsidP="004A620F">
      <w:pPr>
        <w:pStyle w:val="Caption"/>
        <w:jc w:val="center"/>
      </w:pPr>
      <w:r>
        <w:t xml:space="preserve">Figure </w:t>
      </w:r>
      <w:r>
        <w:fldChar w:fldCharType="begin"/>
      </w:r>
      <w:r>
        <w:instrText xml:space="preserve"> SEQ Figure \* ARABIC </w:instrText>
      </w:r>
      <w:r>
        <w:fldChar w:fldCharType="separate"/>
      </w:r>
      <w:r w:rsidR="00807110">
        <w:rPr>
          <w:noProof/>
        </w:rPr>
        <w:t>7</w:t>
      </w:r>
      <w:r>
        <w:rPr>
          <w:noProof/>
        </w:rPr>
        <w:fldChar w:fldCharType="end"/>
      </w:r>
      <w:r>
        <w:t xml:space="preserve"> Seven-component framework architecture for renewable-powered AI data</w:t>
      </w:r>
    </w:p>
    <w:p w14:paraId="4B969644" w14:textId="77777777" w:rsidR="00FE013C" w:rsidRDefault="00FE013C" w:rsidP="004C16FF">
      <w:pPr>
        <w:pStyle w:val="Heading2"/>
        <w:rPr>
          <w:color w:val="auto"/>
        </w:rPr>
      </w:pPr>
      <w:r>
        <w:rPr>
          <w:color w:val="auto"/>
        </w:rPr>
        <w:t>7.2. Site Selection and Resource Assessment</w:t>
      </w:r>
    </w:p>
    <w:p w14:paraId="1D28CBF0" w14:textId="39E2354C" w:rsidR="00957B20" w:rsidRPr="00CA1249" w:rsidRDefault="00957B20" w:rsidP="007D29E8">
      <w:pPr>
        <w:spacing w:after="120"/>
        <w:ind w:firstLine="480"/>
        <w:rPr>
          <w:highlight w:val="yellow"/>
          <w:lang w:val="en-CA"/>
        </w:rPr>
      </w:pPr>
      <w:r w:rsidRPr="009F5B51">
        <w:rPr>
          <w:highlight w:val="yellow"/>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w:t>
      </w:r>
      <w:r w:rsidRPr="009F5B51">
        <w:rPr>
          <w:highlight w:val="yellow"/>
        </w:rPr>
        <w:fldChar w:fldCharType="begin"/>
      </w:r>
      <w:r w:rsidR="007D29E8">
        <w:rPr>
          <w:highlight w:val="yellow"/>
        </w:rPr>
        <w:instrText xml:space="preserve"> ADDIN ZOTERO_ITEM CSL_CITATION {"citationID":"gfAWXcqd","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Pr="009F5B51">
        <w:rPr>
          <w:highlight w:val="yellow"/>
        </w:rPr>
        <w:fldChar w:fldCharType="separate"/>
      </w:r>
      <w:r w:rsidR="007D29E8" w:rsidRPr="007D29E8">
        <w:rPr>
          <w:highlight w:val="yellow"/>
        </w:rPr>
        <w:t>[105]</w:t>
      </w:r>
      <w:r w:rsidRPr="009F5B51">
        <w:rPr>
          <w:highlight w:val="yellow"/>
        </w:rPr>
        <w:fldChar w:fldCharType="end"/>
      </w:r>
      <w:r w:rsidRPr="009F5B51">
        <w:rPr>
          <w:highlight w:val="yellow"/>
        </w:rPr>
        <w:t>.</w:t>
      </w:r>
      <w:r w:rsidR="00AB2F5A" w:rsidRPr="00AB2F5A">
        <w:rPr>
          <w:rFonts w:ascii="Segoe UI" w:hAnsi="Segoe UI" w:cs="Segoe UI"/>
          <w:color w:val="auto"/>
          <w:sz w:val="21"/>
          <w:szCs w:val="21"/>
          <w:lang w:val="en-CA" w:eastAsia="en-CA"/>
        </w:rPr>
        <w:t xml:space="preserve"> </w:t>
      </w:r>
      <w:r w:rsidR="00AB2F5A" w:rsidRPr="00AB2F5A">
        <w:rPr>
          <w:highlight w:val="yellow"/>
          <w:lang w:val="en-CA"/>
        </w:rPr>
        <w:t>Pairwise comparisons are used to derive the criterion weights, and consistency is evaluated using the AHP consistency ratio.</w:t>
      </w:r>
    </w:p>
    <w:p w14:paraId="412469AA" w14:textId="77777777" w:rsidR="00957B20" w:rsidRPr="009F5B51" w:rsidRDefault="00957B20" w:rsidP="00957B20">
      <w:pPr>
        <w:spacing w:after="120"/>
        <w:ind w:firstLine="480"/>
        <w:rPr>
          <w:highlight w:val="yellow"/>
        </w:rPr>
      </w:pPr>
      <w:r w:rsidRPr="009F5B51">
        <w:rPr>
          <w:highlight w:val="yellow"/>
        </w:rPr>
        <w:t>The proposed criteria and illustrative weights are:</w:t>
      </w:r>
    </w:p>
    <w:p w14:paraId="17492423" w14:textId="0C2C1123" w:rsidR="006953CF" w:rsidRDefault="006953CF" w:rsidP="006953CF">
      <w:pPr>
        <w:pStyle w:val="Caption"/>
        <w:keepNext/>
      </w:pPr>
      <w:r>
        <w:t xml:space="preserve">Table </w:t>
      </w:r>
      <w:r>
        <w:fldChar w:fldCharType="begin"/>
      </w:r>
      <w:r>
        <w:instrText xml:space="preserve"> SEQ Table \* ARABIC </w:instrText>
      </w:r>
      <w:r>
        <w:fldChar w:fldCharType="separate"/>
      </w:r>
      <w:r w:rsidR="003A45CA">
        <w:rPr>
          <w:noProof/>
        </w:rPr>
        <w:t>5</w:t>
      </w:r>
      <w:r>
        <w:fldChar w:fldCharType="end"/>
      </w:r>
      <w:r>
        <w:t xml:space="preserve"> Proposed weights for each component</w:t>
      </w:r>
    </w:p>
    <w:tbl>
      <w:tblPr>
        <w:tblStyle w:val="Mdeck5tablebodythreelines"/>
        <w:tblW w:w="4947" w:type="pct"/>
        <w:jc w:val="left"/>
        <w:tblLook w:val="04A0" w:firstRow="1" w:lastRow="0" w:firstColumn="1" w:lastColumn="0" w:noHBand="0" w:noVBand="1"/>
      </w:tblPr>
      <w:tblGrid>
        <w:gridCol w:w="2634"/>
        <w:gridCol w:w="5164"/>
        <w:gridCol w:w="1851"/>
      </w:tblGrid>
      <w:tr w:rsidR="00957B20" w:rsidRPr="00957B20" w14:paraId="3E23FE8D" w14:textId="77777777" w:rsidTr="006953CF">
        <w:trPr>
          <w:cnfStyle w:val="100000000000" w:firstRow="1" w:lastRow="0" w:firstColumn="0" w:lastColumn="0" w:oddVBand="0" w:evenVBand="0" w:oddHBand="0" w:evenHBand="0" w:firstRowFirstColumn="0" w:firstRowLastColumn="0" w:lastRowFirstColumn="0" w:lastRowLastColumn="0"/>
          <w:jc w:val="left"/>
        </w:trPr>
        <w:tc>
          <w:tcPr>
            <w:tcW w:w="1365" w:type="pct"/>
            <w:hideMark/>
          </w:tcPr>
          <w:p w14:paraId="7AB758EF"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Criterion</w:t>
            </w:r>
          </w:p>
        </w:tc>
        <w:tc>
          <w:tcPr>
            <w:tcW w:w="2676" w:type="pct"/>
            <w:hideMark/>
          </w:tcPr>
          <w:p w14:paraId="66DBC354"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Main considerations</w:t>
            </w:r>
          </w:p>
        </w:tc>
        <w:tc>
          <w:tcPr>
            <w:tcW w:w="959" w:type="pct"/>
            <w:hideMark/>
          </w:tcPr>
          <w:p w14:paraId="17E16D1F" w14:textId="77777777" w:rsidR="00957B20" w:rsidRPr="00957B20" w:rsidRDefault="00957B20" w:rsidP="006953CF">
            <w:pPr>
              <w:spacing w:after="120" w:line="240" w:lineRule="auto"/>
              <w:rPr>
                <w:b/>
                <w:bCs/>
                <w:sz w:val="18"/>
                <w:szCs w:val="18"/>
                <w:lang w:val="en-CA"/>
              </w:rPr>
            </w:pPr>
            <w:r w:rsidRPr="00957B20">
              <w:rPr>
                <w:b/>
                <w:bCs/>
                <w:sz w:val="18"/>
                <w:szCs w:val="18"/>
                <w:lang w:val="en-CA"/>
              </w:rPr>
              <w:t>Illustrative weight</w:t>
            </w:r>
          </w:p>
        </w:tc>
      </w:tr>
      <w:tr w:rsidR="00957B20" w:rsidRPr="00957B20" w14:paraId="0D7F911A" w14:textId="77777777" w:rsidTr="006953CF">
        <w:trPr>
          <w:jc w:val="left"/>
        </w:trPr>
        <w:tc>
          <w:tcPr>
            <w:tcW w:w="1365" w:type="pct"/>
            <w:hideMark/>
          </w:tcPr>
          <w:p w14:paraId="05E93B39"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Renewable-resource quality</w:t>
            </w:r>
          </w:p>
        </w:tc>
        <w:tc>
          <w:tcPr>
            <w:tcW w:w="2676" w:type="pct"/>
            <w:hideMark/>
          </w:tcPr>
          <w:p w14:paraId="5F919E92" w14:textId="77777777" w:rsidR="00957B20" w:rsidRPr="00957B20" w:rsidRDefault="00957B20" w:rsidP="006953CF">
            <w:pPr>
              <w:spacing w:after="120" w:line="240" w:lineRule="auto"/>
              <w:ind w:firstLine="480"/>
              <w:rPr>
                <w:sz w:val="18"/>
                <w:szCs w:val="18"/>
                <w:lang w:val="en-CA"/>
              </w:rPr>
            </w:pPr>
            <w:r w:rsidRPr="00957B20">
              <w:rPr>
                <w:sz w:val="18"/>
                <w:szCs w:val="18"/>
                <w:lang w:val="en-CA"/>
              </w:rPr>
              <w:t>Solar capacity factor, wind capacity factor, seasonal complementarity, forecast uncertainty</w:t>
            </w:r>
          </w:p>
        </w:tc>
        <w:tc>
          <w:tcPr>
            <w:tcW w:w="959" w:type="pct"/>
            <w:hideMark/>
          </w:tcPr>
          <w:p w14:paraId="707D2EF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0.30</w:t>
            </w:r>
          </w:p>
        </w:tc>
      </w:tr>
      <w:tr w:rsidR="00957B20" w:rsidRPr="00957B20" w14:paraId="10FE23DE" w14:textId="77777777" w:rsidTr="006953CF">
        <w:trPr>
          <w:jc w:val="left"/>
        </w:trPr>
        <w:tc>
          <w:tcPr>
            <w:tcW w:w="1365" w:type="pct"/>
            <w:hideMark/>
          </w:tcPr>
          <w:p w14:paraId="71EE3E20"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Infrastructure access</w:t>
            </w:r>
          </w:p>
        </w:tc>
        <w:tc>
          <w:tcPr>
            <w:tcW w:w="2676" w:type="pct"/>
            <w:hideMark/>
          </w:tcPr>
          <w:p w14:paraId="5BD24DDB"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Interconnection availability, grid proximity, transmission capacity, water availability, communications</w:t>
            </w:r>
          </w:p>
        </w:tc>
        <w:tc>
          <w:tcPr>
            <w:tcW w:w="959" w:type="pct"/>
            <w:hideMark/>
          </w:tcPr>
          <w:p w14:paraId="2E01AAB1"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0.25</w:t>
            </w:r>
          </w:p>
        </w:tc>
      </w:tr>
      <w:tr w:rsidR="00957B20" w:rsidRPr="00957B20" w14:paraId="0E7E0F0B" w14:textId="77777777" w:rsidTr="006953CF">
        <w:trPr>
          <w:jc w:val="left"/>
        </w:trPr>
        <w:tc>
          <w:tcPr>
            <w:tcW w:w="1365" w:type="pct"/>
            <w:hideMark/>
          </w:tcPr>
          <w:p w14:paraId="00B2ADC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Economic conditions</w:t>
            </w:r>
          </w:p>
        </w:tc>
        <w:tc>
          <w:tcPr>
            <w:tcW w:w="2676" w:type="pct"/>
            <w:hideMark/>
          </w:tcPr>
          <w:p w14:paraId="61C1729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Land cost, electricity tariffs, development cost, incentives, PPA availability</w:t>
            </w:r>
          </w:p>
        </w:tc>
        <w:tc>
          <w:tcPr>
            <w:tcW w:w="959" w:type="pct"/>
            <w:hideMark/>
          </w:tcPr>
          <w:p w14:paraId="55573AF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0.20</w:t>
            </w:r>
          </w:p>
        </w:tc>
      </w:tr>
      <w:tr w:rsidR="00957B20" w:rsidRPr="00957B20" w14:paraId="6BA9F9DE" w14:textId="77777777" w:rsidTr="006953CF">
        <w:trPr>
          <w:jc w:val="left"/>
        </w:trPr>
        <w:tc>
          <w:tcPr>
            <w:tcW w:w="1365" w:type="pct"/>
            <w:hideMark/>
          </w:tcPr>
          <w:p w14:paraId="1513CF6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Environmental and climate exposure</w:t>
            </w:r>
          </w:p>
        </w:tc>
        <w:tc>
          <w:tcPr>
            <w:tcW w:w="2676" w:type="pct"/>
            <w:hideMark/>
          </w:tcPr>
          <w:p w14:paraId="34082A9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Flooding, wildfire, hurricanes, ice, extreme heat, water stress</w:t>
            </w:r>
          </w:p>
        </w:tc>
        <w:tc>
          <w:tcPr>
            <w:tcW w:w="959" w:type="pct"/>
            <w:hideMark/>
          </w:tcPr>
          <w:p w14:paraId="38568E9D"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0.15</w:t>
            </w:r>
          </w:p>
        </w:tc>
      </w:tr>
      <w:tr w:rsidR="00957B20" w:rsidRPr="00957B20" w14:paraId="1A1C55FD" w14:textId="77777777" w:rsidTr="006953CF">
        <w:trPr>
          <w:jc w:val="left"/>
        </w:trPr>
        <w:tc>
          <w:tcPr>
            <w:tcW w:w="1365" w:type="pct"/>
            <w:hideMark/>
          </w:tcPr>
          <w:p w14:paraId="72E3BBD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Regulatory feasibility</w:t>
            </w:r>
          </w:p>
        </w:tc>
        <w:tc>
          <w:tcPr>
            <w:tcW w:w="2676" w:type="pct"/>
            <w:hideMark/>
          </w:tcPr>
          <w:p w14:paraId="25AB4E8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Permitting requirements, grid codes, zoning, renewable-energy policy, approval times</w:t>
            </w:r>
          </w:p>
        </w:tc>
        <w:tc>
          <w:tcPr>
            <w:tcW w:w="959" w:type="pct"/>
            <w:hideMark/>
          </w:tcPr>
          <w:p w14:paraId="37F055E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0.10</w:t>
            </w:r>
          </w:p>
        </w:tc>
      </w:tr>
    </w:tbl>
    <w:p w14:paraId="0FEB30AF" w14:textId="50F928A5" w:rsidR="00FA09B8" w:rsidRDefault="00FA09B8" w:rsidP="00FA09B8">
      <w:pPr>
        <w:spacing w:after="120"/>
        <w:ind w:firstLine="480"/>
        <w:rPr>
          <w:highlight w:val="yellow"/>
        </w:rPr>
      </w:pPr>
      <w:r w:rsidRPr="009F5B51">
        <w:rPr>
          <w:highlight w:val="yellow"/>
        </w:rPr>
        <w:t xml:space="preserve">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ij</m:t>
            </m:r>
          </m:sub>
        </m:sSub>
      </m:oMath>
      <w:r w:rsidRPr="009F5B51">
        <w:rPr>
          <w:highlight w:val="yellow"/>
        </w:rPr>
        <w:t xml:space="preserve">between 0 and 1 for each criterion. The total score for candidate site </w:t>
      </w:r>
      <m:oMath>
        <m:r>
          <w:rPr>
            <w:rFonts w:ascii="Cambria Math" w:hAnsi="Cambria Math"/>
            <w:highlight w:val="yellow"/>
          </w:rPr>
          <m:t>j</m:t>
        </m:r>
      </m:oMath>
      <w:r w:rsidRPr="009F5B51">
        <w:rPr>
          <w:highlight w:val="yellow"/>
        </w:rPr>
        <w:t>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3C6158" w14:paraId="63848827" w14:textId="77777777" w:rsidTr="001D13F4">
        <w:tc>
          <w:tcPr>
            <w:tcW w:w="421" w:type="dxa"/>
          </w:tcPr>
          <w:p w14:paraId="0D0C3B07" w14:textId="77777777" w:rsidR="003C6158" w:rsidRDefault="003C6158" w:rsidP="001E5821">
            <w:pPr>
              <w:rPr>
                <w:color w:val="auto"/>
                <w:szCs w:val="24"/>
                <w:lang w:val="en-CA" w:eastAsia="en-CA"/>
              </w:rPr>
            </w:pPr>
          </w:p>
        </w:tc>
        <w:tc>
          <w:tcPr>
            <w:tcW w:w="7908" w:type="dxa"/>
          </w:tcPr>
          <w:p w14:paraId="294142A7" w14:textId="72BBFA4A" w:rsidR="003C6158" w:rsidRPr="00225E6D" w:rsidRDefault="00000000" w:rsidP="001E5821">
            <w:pPr>
              <w:rPr>
                <w:rFonts w:asciiTheme="majorBidi" w:hAnsiTheme="majorBidi" w:cstheme="majorBidi"/>
                <w:color w:val="auto"/>
                <w:sz w:val="22"/>
                <w:szCs w:val="22"/>
                <w:lang w:val="en-CA" w:eastAsia="en-CA"/>
              </w:rPr>
            </w:pPr>
            <m:oMathPara>
              <m:oMath>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j</m:t>
                    </m:r>
                  </m:sub>
                </m:sSub>
                <m:r>
                  <w:rPr>
                    <w:rFonts w:ascii="Cambria Math" w:hAnsi="Cambria Math"/>
                    <w:color w:val="auto"/>
                    <w:szCs w:val="24"/>
                  </w:rPr>
                  <m:t>=</m:t>
                </m:r>
                <m:nary>
                  <m:naryPr>
                    <m:chr m:val="∑"/>
                    <m:limLoc m:val="undOvr"/>
                    <m:ctrlPr>
                      <w:rPr>
                        <w:rFonts w:ascii="Cambria Math" w:hAnsi="Cambria Math"/>
                        <w:color w:val="auto"/>
                        <w:szCs w:val="24"/>
                      </w:rPr>
                    </m:ctrlPr>
                  </m:naryPr>
                  <m:sub>
                    <m:r>
                      <w:rPr>
                        <w:rFonts w:ascii="Cambria Math" w:hAnsi="Cambria Math"/>
                        <w:color w:val="auto"/>
                        <w:szCs w:val="24"/>
                      </w:rPr>
                      <m:t>i=1</m:t>
                    </m:r>
                  </m:sub>
                  <m:sup>
                    <m:r>
                      <w:rPr>
                        <w:rFonts w:ascii="Cambria Math" w:hAnsi="Cambria Math"/>
                        <w:color w:val="auto"/>
                        <w:szCs w:val="24"/>
                      </w:rPr>
                      <m:t>m</m:t>
                    </m:r>
                  </m:sup>
                  <m:e>
                    <m:sSub>
                      <m:sSubPr>
                        <m:ctrlPr>
                          <w:rPr>
                            <w:rFonts w:ascii="Cambria Math" w:hAnsi="Cambria Math"/>
                            <w:color w:val="auto"/>
                            <w:szCs w:val="24"/>
                          </w:rPr>
                        </m:ctrlPr>
                      </m:sSubPr>
                      <m:e>
                        <m:r>
                          <w:rPr>
                            <w:rFonts w:ascii="Cambria Math" w:hAnsi="Cambria Math"/>
                            <w:color w:val="auto"/>
                            <w:szCs w:val="24"/>
                          </w:rPr>
                          <m:t>w</m:t>
                        </m:r>
                      </m:e>
                      <m:sub>
                        <m:r>
                          <w:rPr>
                            <w:rFonts w:ascii="Cambria Math" w:hAnsi="Cambria Math"/>
                            <w:color w:val="auto"/>
                            <w:szCs w:val="24"/>
                          </w:rPr>
                          <m:t>i</m:t>
                        </m:r>
                      </m:sub>
                    </m:sSub>
                  </m:e>
                </m:nary>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ij</m:t>
                    </m:r>
                  </m:sub>
                </m:sSub>
              </m:oMath>
            </m:oMathPara>
          </w:p>
        </w:tc>
        <w:tc>
          <w:tcPr>
            <w:tcW w:w="616" w:type="dxa"/>
            <w:vAlign w:val="center"/>
          </w:tcPr>
          <w:p w14:paraId="47A6C29B" w14:textId="1CAB0CAB" w:rsidR="003C6158" w:rsidRDefault="003C6158" w:rsidP="001E5821">
            <w:pPr>
              <w:rPr>
                <w:color w:val="auto"/>
                <w:szCs w:val="24"/>
                <w:lang w:val="en-CA" w:eastAsia="en-CA"/>
              </w:rPr>
            </w:pPr>
            <w:r>
              <w:rPr>
                <w:color w:val="auto"/>
                <w:szCs w:val="24"/>
                <w:lang w:val="en-CA" w:eastAsia="en-CA"/>
              </w:rPr>
              <w:t>(1</w:t>
            </w:r>
            <w:r w:rsidR="004E0509">
              <w:rPr>
                <w:color w:val="auto"/>
                <w:szCs w:val="24"/>
                <w:lang w:val="en-CA" w:eastAsia="en-CA"/>
              </w:rPr>
              <w:t>8</w:t>
            </w:r>
            <w:r>
              <w:rPr>
                <w:color w:val="auto"/>
                <w:szCs w:val="24"/>
                <w:lang w:val="en-CA" w:eastAsia="en-CA"/>
              </w:rPr>
              <w:t>)</w:t>
            </w:r>
          </w:p>
        </w:tc>
      </w:tr>
    </w:tbl>
    <w:p w14:paraId="5CCBF018" w14:textId="18CB8D4B" w:rsidR="001D13F4" w:rsidRPr="001D13F4" w:rsidRDefault="001D13F4" w:rsidP="001D13F4">
      <w:pPr>
        <w:spacing w:after="120"/>
        <w:ind w:firstLine="480"/>
        <w:rPr>
          <w:highlight w:val="yellow"/>
          <w:lang w:val="en-CA"/>
        </w:rPr>
      </w:pPr>
      <w:r w:rsidRPr="001D13F4">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w</m:t>
            </m:r>
          </m:e>
          <m:sub>
            <m:r>
              <w:rPr>
                <w:rFonts w:ascii="Cambria Math" w:hAnsi="Cambria Math"/>
                <w:highlight w:val="yellow"/>
                <w:lang w:val="en-CA"/>
              </w:rPr>
              <m:t>i</m:t>
            </m:r>
          </m:sub>
        </m:sSub>
      </m:oMath>
      <w:r w:rsidRPr="001D13F4">
        <w:rPr>
          <w:highlight w:val="yellow"/>
          <w:lang w:val="en-CA"/>
        </w:rPr>
        <w:t xml:space="preserve">is the weight assigned to criterion </w:t>
      </w:r>
      <m:oMath>
        <m:r>
          <w:rPr>
            <w:rFonts w:ascii="Cambria Math" w:hAnsi="Cambria Math"/>
            <w:highlight w:val="yellow"/>
            <w:lang w:val="en-CA"/>
          </w:rPr>
          <m:t>i</m:t>
        </m:r>
      </m:oMath>
      <w:r w:rsidRPr="001D13F4">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ij</m:t>
            </m:r>
          </m:sub>
        </m:sSub>
      </m:oMath>
      <w:r w:rsidRPr="001D13F4">
        <w:rPr>
          <w:highlight w:val="yellow"/>
          <w:lang w:val="en-CA"/>
        </w:rPr>
        <w:t xml:space="preserve">is the normalized performance of candidate site </w:t>
      </w:r>
      <m:oMath>
        <m:r>
          <w:rPr>
            <w:rFonts w:ascii="Cambria Math" w:hAnsi="Cambria Math"/>
            <w:highlight w:val="yellow"/>
            <w:lang w:val="en-CA"/>
          </w:rPr>
          <m:t>j</m:t>
        </m:r>
      </m:oMath>
      <w:r w:rsidRPr="001D13F4">
        <w:rPr>
          <w:highlight w:val="yellow"/>
          <w:lang w:val="en-CA"/>
        </w:rPr>
        <w:t xml:space="preserve">under criterion </w:t>
      </w:r>
      <m:oMath>
        <m:r>
          <w:rPr>
            <w:rFonts w:ascii="Cambria Math" w:hAnsi="Cambria Math"/>
            <w:highlight w:val="yellow"/>
            <w:lang w:val="en-CA"/>
          </w:rPr>
          <m:t>i</m:t>
        </m:r>
      </m:oMath>
      <w:r w:rsidRPr="001D13F4">
        <w:rPr>
          <w:highlight w:val="yellow"/>
          <w:lang w:val="en-CA"/>
        </w:rPr>
        <w:t xml:space="preserve">, and </w:t>
      </w:r>
      <m:oMath>
        <m:r>
          <w:rPr>
            <w:rFonts w:ascii="Cambria Math" w:hAnsi="Cambria Math"/>
            <w:highlight w:val="yellow"/>
            <w:lang w:val="en-CA"/>
          </w:rPr>
          <m:t>m</m:t>
        </m:r>
      </m:oMath>
      <w:r w:rsidRPr="001D13F4">
        <w:rPr>
          <w:highlight w:val="yellow"/>
          <w:lang w:val="en-CA"/>
        </w:rPr>
        <w:t>is the number of criteria.</w:t>
      </w:r>
    </w:p>
    <w:p w14:paraId="61E14B35" w14:textId="6FB87A66" w:rsidR="000028D9" w:rsidRDefault="000028D9" w:rsidP="007D29E8">
      <w:pPr>
        <w:spacing w:after="120"/>
        <w:ind w:firstLine="480"/>
      </w:pPr>
      <w:r w:rsidRPr="009473CB">
        <w:rPr>
          <w:highlight w:val="yellow"/>
        </w:rPr>
        <w:lastRenderedPageBreak/>
        <w:t xml:space="preserve">The ranking of candidate sites should be repeated by changing the weightings assigned to the </w:t>
      </w:r>
      <w:proofErr w:type="gramStart"/>
      <w:r w:rsidRPr="009473CB">
        <w:rPr>
          <w:highlight w:val="yellow"/>
        </w:rPr>
        <w:t>principle</w:t>
      </w:r>
      <w:proofErr w:type="gramEnd"/>
      <w:r w:rsidRPr="009473CB">
        <w:rPr>
          <w:highlight w:val="yellow"/>
        </w:rPr>
        <w:t xml:space="preserve"> criterion, and the results should be recorded in a sensitivity analysis. Sites that move significantly with reasonable variations in weight should be marked for additional scrutiny. This step is required because MCDA outcomes may be prone to personal weighting presumptions. Satellite or ground-measured irradiance corrected for local terrain, shading, temperature, and system losses should be used for solar-resource evaluation. The minimum solar capacity factor is set as an annual value typically greater than 20%, which is a reasonable starting point, but should not be considered a generic project criterion. Likewise, even if a project is within the boundaries of an onshore wind capacity factor greater than ~25%, project development can be based on validated meteorological-mast or LiDAR measurements of sufficient duration</w:t>
      </w:r>
      <w:r w:rsidR="00F91991" w:rsidRPr="009473CB">
        <w:rPr>
          <w:highlight w:val="yellow"/>
        </w:rPr>
        <w:fldChar w:fldCharType="begin"/>
      </w:r>
      <w:r w:rsidR="007D29E8">
        <w:rPr>
          <w:highlight w:val="yellow"/>
        </w:rPr>
        <w:instrText xml:space="preserve"> ADDIN ZOTERO_ITEM CSL_CITATION {"citationID":"XVy3XeZ0","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91991" w:rsidRPr="009473CB">
        <w:rPr>
          <w:highlight w:val="yellow"/>
        </w:rPr>
        <w:fldChar w:fldCharType="separate"/>
      </w:r>
      <w:r w:rsidR="007D29E8" w:rsidRPr="007D29E8">
        <w:rPr>
          <w:highlight w:val="yellow"/>
        </w:rPr>
        <w:t>[105]</w:t>
      </w:r>
      <w:r w:rsidR="00F91991" w:rsidRPr="009473CB">
        <w:rPr>
          <w:highlight w:val="yellow"/>
        </w:rPr>
        <w:fldChar w:fldCharType="end"/>
      </w:r>
      <w:r w:rsidRPr="009473CB">
        <w:rPr>
          <w:highlight w:val="yellow"/>
        </w:rPr>
        <w:t>.</w:t>
      </w:r>
    </w:p>
    <w:p w14:paraId="083DA38F" w14:textId="3D96FC56" w:rsidR="00957B20" w:rsidRPr="002F6018" w:rsidRDefault="000028D9" w:rsidP="001B74A6">
      <w:pPr>
        <w:spacing w:after="120"/>
        <w:ind w:firstLine="480"/>
        <w:rPr>
          <w:highlight w:val="yellow"/>
          <w:lang w:val="en-CA"/>
        </w:rPr>
      </w:pPr>
      <w:r w:rsidRPr="009473CB">
        <w:rPr>
          <w:highlight w:val="yellow"/>
        </w:rPr>
        <w:t>The proposed site may be affected in a significant way by grid-interconnection feasibility. The costs for interconnection vary greatly depending on project size, voltage, network capacity, new protection and substation equipment, transmission reinforcement and utility procedures. Therefore, interconnection costs can be defined based on the study that is relevant to the specific utility or system-operator and not as a universal cost range.</w:t>
      </w:r>
      <w:r w:rsidR="00F73394" w:rsidRPr="009473CB">
        <w:rPr>
          <w:highlight w:val="yellow"/>
        </w:rPr>
        <w:t xml:space="preserve"> </w:t>
      </w:r>
      <w:r w:rsidRPr="009473CB">
        <w:rPr>
          <w:highlight w:val="yellow"/>
        </w:rPr>
        <w:t>Assessments for climate resilience should include hazards that could impact renewable generation, grid supply, cooling performance, or access to the facility</w:t>
      </w:r>
      <w:r w:rsidR="009473CB">
        <w:rPr>
          <w:highlight w:val="yellow"/>
        </w:rPr>
        <w:fldChar w:fldCharType="begin"/>
      </w:r>
      <w:r w:rsidR="001B74A6">
        <w:rPr>
          <w:highlight w:val="yellow"/>
        </w:rPr>
        <w:instrText xml:space="preserve"> ADDIN ZOTERO_ITEM CSL_CITATION {"citationID":"frkHKcY9","properties":{"unsorted":false,"formattedCitation":"[148]","plainCitation":"[148]","noteIndex":0},"citationItems":[{"id":2127,"uris":["http://zotero.org/users/9870935/items/TPD6JBT4"],"itemData":{"id":2127,"type":"article","abstract":"As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9473CB">
        <w:rPr>
          <w:highlight w:val="yellow"/>
        </w:rPr>
        <w:fldChar w:fldCharType="separate"/>
      </w:r>
      <w:r w:rsidR="001B74A6" w:rsidRPr="001B74A6">
        <w:rPr>
          <w:highlight w:val="yellow"/>
        </w:rPr>
        <w:t>[147]</w:t>
      </w:r>
      <w:r w:rsidR="009473CB">
        <w:rPr>
          <w:highlight w:val="yellow"/>
        </w:rPr>
        <w:fldChar w:fldCharType="end"/>
      </w:r>
      <w:r w:rsidRPr="009473CB">
        <w:rPr>
          <w:highlight w:val="yellow"/>
        </w:rPr>
        <w:t>. Higher-risk sites could benefit from raised equipment platforms, additional structural ratings, redundant utility connections, extra backup resources and/ or alternate cooling solutions.</w:t>
      </w:r>
      <w:r w:rsidR="00DF4B39">
        <w:rPr>
          <w:highlight w:val="yellow"/>
        </w:rPr>
        <w:t xml:space="preserve"> </w:t>
      </w:r>
      <w:r w:rsidR="00DF4B39" w:rsidRPr="00DF4B39">
        <w:rPr>
          <w:highlight w:val="yellow"/>
          <w:lang w:val="en-CA"/>
        </w:rPr>
        <w:t>The output of Component 1 is a ranked shortlist of candidate sites, together with supporting renewable-resource profiles, interconnection constraints, water and land limitations, environmental risks, regulatory considerations, and sensitivity results.</w:t>
      </w:r>
    </w:p>
    <w:p w14:paraId="134032C6" w14:textId="48BC6EE2" w:rsidR="00AF4131" w:rsidRPr="00AF4131" w:rsidRDefault="00FE013C" w:rsidP="00AF4131">
      <w:pPr>
        <w:pStyle w:val="Heading2"/>
        <w:rPr>
          <w:color w:val="auto"/>
        </w:rPr>
      </w:pPr>
      <w:r>
        <w:rPr>
          <w:color w:val="auto"/>
        </w:rPr>
        <w:t>7.3. Technology Mix Optimization</w:t>
      </w:r>
    </w:p>
    <w:p w14:paraId="2563CF3F" w14:textId="216B6AAD" w:rsidR="002F6018" w:rsidRPr="002F6018" w:rsidRDefault="002F6018" w:rsidP="002F6018">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0112694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hourly or sub-hourly solar and wind resource profiles;</w:t>
      </w:r>
    </w:p>
    <w:p w14:paraId="3A5D5D8C"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total and critical-load profiles;</w:t>
      </w:r>
    </w:p>
    <w:p w14:paraId="2ADAA9C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workload-flexibility constraints;</w:t>
      </w:r>
    </w:p>
    <w:p w14:paraId="21AF84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renewable-generation capital and operating costs;</w:t>
      </w:r>
    </w:p>
    <w:p w14:paraId="6574EA0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battery pack and installed BESS costs;</w:t>
      </w:r>
    </w:p>
    <w:p w14:paraId="5142E203"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efficiency, degradation, and operating limits;</w:t>
      </w:r>
    </w:p>
    <w:p w14:paraId="0DE5744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 and export limits;</w:t>
      </w:r>
    </w:p>
    <w:p w14:paraId="36AA331D"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electricity tariffs and demand charges;</w:t>
      </w:r>
    </w:p>
    <w:p w14:paraId="3A77B44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availability;</w:t>
      </w:r>
    </w:p>
    <w:p w14:paraId="1D4BF2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reliability objectives;</w:t>
      </w:r>
    </w:p>
    <w:p w14:paraId="059CD8B0"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carbon-intensity data and emissions targets; and</w:t>
      </w:r>
    </w:p>
    <w:p w14:paraId="6D318C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applicable regulatory and physical constraints.</w:t>
      </w:r>
    </w:p>
    <w:p w14:paraId="3746684A" w14:textId="31E45156" w:rsidR="002F6018" w:rsidRPr="00963ECF" w:rsidRDefault="002F6018" w:rsidP="00963ECF">
      <w:pPr>
        <w:spacing w:after="120"/>
        <w:ind w:firstLine="480"/>
        <w:rPr>
          <w:highlight w:val="yellow"/>
        </w:rPr>
      </w:pPr>
      <w:r w:rsidRPr="002F6018">
        <w:rPr>
          <w:highlight w:val="yellow"/>
        </w:rPr>
        <w:t xml:space="preserve">The technology-mix selection process assesses combinations of renewable energy generation, energy storage, grid services and backup resources among a list of competing technologies. Chronological energy-balance analysis and a unified lifecycle-cost framework are used to evaluate each </w:t>
      </w:r>
      <w:proofErr w:type="gramStart"/>
      <w:r w:rsidRPr="002F6018">
        <w:rPr>
          <w:highlight w:val="yellow"/>
        </w:rPr>
        <w:t>candidate</w:t>
      </w:r>
      <w:proofErr w:type="gramEnd"/>
      <w:r w:rsidRPr="002F6018">
        <w:rPr>
          <w:highlight w:val="yellow"/>
        </w:rPr>
        <w:t xml:space="preserve"> configuration. Configurations incompatible with reliability, interconnection, power, energy, or emissions requirements are not considered. The other options are evaluated using lifecycle cost, renewable energy use, emissions, flexibility, implementation risk, and reliance on grid or fuel supply.</w:t>
      </w:r>
      <w:r w:rsidRPr="00963ECF">
        <w:rPr>
          <w:highlight w:val="yellow"/>
        </w:rPr>
        <w:t xml:space="preserve"> If an optimization model is used, the model, data, solver, time resolution, model assumptions </w:t>
      </w:r>
      <w:r w:rsidRPr="00963ECF">
        <w:rPr>
          <w:highlight w:val="yellow"/>
        </w:rPr>
        <w:lastRenderedPageBreak/>
        <w:t>and the output of the model should be documented. The framework does not specify an optimum configuration in general.</w:t>
      </w:r>
    </w:p>
    <w:p w14:paraId="78DDEAA3" w14:textId="3D1AADBA" w:rsidR="002F6018" w:rsidRPr="00BF65C5" w:rsidRDefault="002F6018" w:rsidP="00BF65C5">
      <w:pPr>
        <w:spacing w:after="120"/>
        <w:ind w:firstLine="480"/>
        <w:rPr>
          <w:highlight w:val="yellow"/>
        </w:rPr>
      </w:pPr>
      <w:r w:rsidRPr="00963ECF">
        <w:rPr>
          <w:highlight w:val="yellow"/>
        </w:rPr>
        <w:t>The result is a shortlist of practicable technology options specific to the site, such as:</w:t>
      </w:r>
    </w:p>
    <w:p w14:paraId="747F59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 energy capacity, including solar power, wind power;</w:t>
      </w:r>
    </w:p>
    <w:p w14:paraId="54A0931F" w14:textId="65611EFB"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 xml:space="preserve">Usable </w:t>
      </w:r>
      <w:r w:rsidR="00CB0ADE">
        <w:rPr>
          <w:highlight w:val="yellow"/>
          <w:lang w:val="en-CA"/>
        </w:rPr>
        <w:t>battery-</w:t>
      </w:r>
      <w:r w:rsidRPr="003E1B02">
        <w:rPr>
          <w:highlight w:val="yellow"/>
          <w:lang w:val="en-CA"/>
        </w:rPr>
        <w:t>energy capacity; and</w:t>
      </w:r>
    </w:p>
    <w:p w14:paraId="2F38F28A" w14:textId="7BAA1237" w:rsidR="002F6018" w:rsidRPr="003E1B02" w:rsidRDefault="00F74580" w:rsidP="00BF65C5">
      <w:pPr>
        <w:pStyle w:val="ListParagraph"/>
        <w:numPr>
          <w:ilvl w:val="0"/>
          <w:numId w:val="26"/>
        </w:numPr>
        <w:spacing w:after="120"/>
        <w:rPr>
          <w:highlight w:val="yellow"/>
          <w:lang w:val="en-CA"/>
        </w:rPr>
      </w:pPr>
      <w:r>
        <w:rPr>
          <w:highlight w:val="yellow"/>
          <w:lang w:val="en-CA"/>
        </w:rPr>
        <w:t>S</w:t>
      </w:r>
      <w:r w:rsidR="002F6018" w:rsidRPr="003E1B02">
        <w:rPr>
          <w:highlight w:val="yellow"/>
          <w:lang w:val="en-CA"/>
        </w:rPr>
        <w:t>torage duration;</w:t>
      </w:r>
    </w:p>
    <w:p w14:paraId="36BD6FA6" w14:textId="56E4DC86" w:rsidR="002F6018" w:rsidRPr="003E1B02" w:rsidRDefault="00F74580" w:rsidP="00BF65C5">
      <w:pPr>
        <w:pStyle w:val="ListParagraph"/>
        <w:numPr>
          <w:ilvl w:val="0"/>
          <w:numId w:val="26"/>
        </w:numPr>
        <w:spacing w:after="120"/>
        <w:rPr>
          <w:highlight w:val="yellow"/>
          <w:lang w:val="en-CA"/>
        </w:rPr>
      </w:pPr>
      <w:r>
        <w:rPr>
          <w:highlight w:val="yellow"/>
          <w:lang w:val="en-CA"/>
        </w:rPr>
        <w:t>G</w:t>
      </w:r>
      <w:r w:rsidR="002F6018" w:rsidRPr="003E1B02">
        <w:rPr>
          <w:highlight w:val="yellow"/>
          <w:lang w:val="en-CA"/>
        </w:rPr>
        <w:t>rid-Import/Export capacity;</w:t>
      </w:r>
    </w:p>
    <w:p w14:paraId="1C71132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type and rating;</w:t>
      </w:r>
    </w:p>
    <w:p w14:paraId="38F80BC5" w14:textId="5BA38632" w:rsidR="002F6018" w:rsidRPr="003E1B02" w:rsidRDefault="00A25E8B" w:rsidP="00BF65C5">
      <w:pPr>
        <w:pStyle w:val="ListParagraph"/>
        <w:numPr>
          <w:ilvl w:val="0"/>
          <w:numId w:val="26"/>
        </w:numPr>
        <w:spacing w:after="120"/>
        <w:rPr>
          <w:highlight w:val="yellow"/>
          <w:lang w:val="en-CA"/>
        </w:rPr>
      </w:pPr>
      <w:r>
        <w:rPr>
          <w:highlight w:val="yellow"/>
          <w:lang w:val="en-CA"/>
        </w:rPr>
        <w:t>A</w:t>
      </w:r>
      <w:r w:rsidR="002F6018" w:rsidRPr="003E1B02">
        <w:rPr>
          <w:highlight w:val="yellow"/>
          <w:lang w:val="en-CA"/>
        </w:rPr>
        <w:t>nticipated renewable curtailment;</w:t>
      </w:r>
    </w:p>
    <w:p w14:paraId="1EE8472E" w14:textId="2298CF13" w:rsidR="002F6018" w:rsidRPr="003E1B02" w:rsidRDefault="00A25E8B" w:rsidP="00BF65C5">
      <w:pPr>
        <w:pStyle w:val="ListParagraph"/>
        <w:numPr>
          <w:ilvl w:val="0"/>
          <w:numId w:val="26"/>
        </w:numPr>
        <w:spacing w:after="120"/>
        <w:rPr>
          <w:highlight w:val="yellow"/>
          <w:lang w:val="en-CA"/>
        </w:rPr>
      </w:pPr>
      <w:r>
        <w:rPr>
          <w:highlight w:val="yellow"/>
          <w:lang w:val="en-CA"/>
        </w:rPr>
        <w:t>F</w:t>
      </w:r>
      <w:r w:rsidR="002F6018" w:rsidRPr="003E1B02">
        <w:rPr>
          <w:highlight w:val="yellow"/>
          <w:lang w:val="en-CA"/>
        </w:rPr>
        <w:t>inancial costs and dependability factors; and</w:t>
      </w:r>
    </w:p>
    <w:p w14:paraId="164D3A6D" w14:textId="2C4247CC" w:rsidR="002F6018" w:rsidRPr="003E1B02" w:rsidRDefault="00A25E8B" w:rsidP="00BF65C5">
      <w:pPr>
        <w:pStyle w:val="ListParagraph"/>
        <w:numPr>
          <w:ilvl w:val="0"/>
          <w:numId w:val="26"/>
        </w:numPr>
        <w:spacing w:after="120"/>
        <w:rPr>
          <w:highlight w:val="yellow"/>
          <w:lang w:val="en-CA"/>
        </w:rPr>
      </w:pPr>
      <w:r>
        <w:rPr>
          <w:highlight w:val="yellow"/>
          <w:lang w:val="en-CA"/>
        </w:rPr>
        <w:t>I</w:t>
      </w:r>
      <w:r w:rsidR="002F6018" w:rsidRPr="003E1B02">
        <w:rPr>
          <w:highlight w:val="yellow"/>
          <w:lang w:val="en-CA"/>
        </w:rPr>
        <w:t>mportant implementation risks.</w:t>
      </w:r>
    </w:p>
    <w:p w14:paraId="14406D38" w14:textId="4CE6197A" w:rsidR="002F6018" w:rsidRPr="003218A2" w:rsidRDefault="002F6018" w:rsidP="004F5508">
      <w:pPr>
        <w:spacing w:after="120"/>
        <w:ind w:firstLine="480"/>
        <w:rPr>
          <w:highlight w:val="yellow"/>
        </w:rPr>
      </w:pPr>
      <w:r w:rsidRPr="003218A2">
        <w:rPr>
          <w:highlight w:val="yellow"/>
        </w:rPr>
        <w:t>Various technology-mix selection criteria involve renewable generation, energy storage, grid-interconnection capacity, backup resources, reliability requirements, carbon goals, and lifecycle cost</w:t>
      </w:r>
      <w:r w:rsidR="004F5508" w:rsidRPr="003218A2">
        <w:rPr>
          <w:highlight w:val="yellow"/>
        </w:rPr>
        <w:fldChar w:fldCharType="begin"/>
      </w:r>
      <w:r w:rsidR="004F5508" w:rsidRPr="003218A2">
        <w:rPr>
          <w:highlight w:val="yellow"/>
        </w:rPr>
        <w:instrText xml:space="preserve"> ADDIN ZOTERO_ITEM CSL_CITATION {"citationID":"mWoqWmxf","properties":{"unsorted":false,"formattedCitation":"[48]","plainCitation":"[48]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4F5508" w:rsidRPr="003218A2">
        <w:rPr>
          <w:highlight w:val="yellow"/>
        </w:rPr>
        <w:fldChar w:fldCharType="separate"/>
      </w:r>
      <w:r w:rsidR="004F5508" w:rsidRPr="003218A2">
        <w:rPr>
          <w:highlight w:val="yellow"/>
        </w:rPr>
        <w:t>[48]</w:t>
      </w:r>
      <w:r w:rsidR="004F5508" w:rsidRPr="003218A2">
        <w:rPr>
          <w:highlight w:val="yellow"/>
        </w:rPr>
        <w:fldChar w:fldCharType="end"/>
      </w:r>
      <w:r w:rsidRPr="003218A2">
        <w:rPr>
          <w:highlight w:val="yellow"/>
        </w:rPr>
        <w:t xml:space="preserve">. </w:t>
      </w:r>
    </w:p>
    <w:p w14:paraId="5E201085" w14:textId="326C3330" w:rsidR="002F6018" w:rsidRPr="003218A2" w:rsidRDefault="002F6018" w:rsidP="004F5508">
      <w:pPr>
        <w:spacing w:after="120"/>
        <w:ind w:firstLine="480"/>
        <w:rPr>
          <w:highlight w:val="yellow"/>
        </w:rPr>
      </w:pPr>
      <w:r w:rsidRPr="003218A2">
        <w:rPr>
          <w:highlight w:val="yellow"/>
        </w:rPr>
        <w:t xml:space="preserve">Gaining greater insight into the economics of renewable resources is important as the quality of these resources, measured by the capacity factor of the solar, wind, and other renewable sources, greatly affects the project economics by increasing annual generation and capital utilization. Battery costs are also relevant, but the price of battery packs should be separated from BESS costs once the batteries are installed. </w:t>
      </w:r>
      <w:proofErr w:type="spellStart"/>
      <w:r w:rsidRPr="003218A2">
        <w:rPr>
          <w:highlight w:val="yellow"/>
        </w:rPr>
        <w:t>BloombergNEF</w:t>
      </w:r>
      <w:proofErr w:type="spellEnd"/>
      <w:r w:rsidRPr="003218A2">
        <w:rPr>
          <w:highlight w:val="yellow"/>
        </w:rPr>
        <w:t xml:space="preserve"> forecasted a volume-weighted average price of lithium-ion battery-packs at around USD 108/kWh for 2025 [17]. </w:t>
      </w:r>
      <w:proofErr w:type="gramStart"/>
      <w:r w:rsidRPr="003218A2">
        <w:rPr>
          <w:highlight w:val="yellow"/>
        </w:rPr>
        <w:t>Installed-system</w:t>
      </w:r>
      <w:proofErr w:type="gramEnd"/>
      <w:r w:rsidRPr="003218A2">
        <w:rPr>
          <w:highlight w:val="yellow"/>
        </w:rPr>
        <w:t xml:space="preserve"> costs are more expensive due to power-conversion equipment, thermal management, enclosures, controls, fire protection, engineering, procurement, construction, site development and grid integration.</w:t>
      </w:r>
    </w:p>
    <w:p w14:paraId="0920F398" w14:textId="28A0A88C" w:rsidR="002F6018" w:rsidRPr="003218A2" w:rsidRDefault="002F6018" w:rsidP="00BA07F6">
      <w:pPr>
        <w:spacing w:after="120"/>
        <w:ind w:firstLine="480"/>
        <w:rPr>
          <w:highlight w:val="yellow"/>
        </w:rPr>
      </w:pPr>
      <w:r w:rsidRPr="003218A2">
        <w:rPr>
          <w:highlight w:val="yellow"/>
        </w:rPr>
        <w:t>Electricity prices and tariffs are another factor in the choice of configuration. The economic attractiveness of renewable generation and storage may benefit from higher grid-electricity prices, depending on demand-charges, time-of-use rates, export-compensation, curtailment, storage-losses, and financing-conditions [148].</w:t>
      </w:r>
      <w:r w:rsidR="004F5508" w:rsidRPr="003218A2">
        <w:rPr>
          <w:highlight w:val="yellow"/>
        </w:rPr>
        <w:t xml:space="preserve"> </w:t>
      </w:r>
      <w:r w:rsidRPr="003218A2">
        <w:rPr>
          <w:highlight w:val="yellow"/>
        </w:rPr>
        <w:t>Candidates should be ranked on the common reliability criteria outlined in Section 7.9 and project-specific lifecycle-cost, carbon-reduction and interconnection constraints.</w:t>
      </w:r>
    </w:p>
    <w:p w14:paraId="49599D4A" w14:textId="6F2BBAB6" w:rsidR="002F6018" w:rsidRPr="003218A2" w:rsidRDefault="002F6018" w:rsidP="002F6018">
      <w:pPr>
        <w:spacing w:after="120"/>
        <w:ind w:firstLine="480"/>
        <w:rPr>
          <w:highlight w:val="yellow"/>
        </w:rPr>
      </w:pPr>
      <w:r w:rsidRPr="003218A2">
        <w:rPr>
          <w:highlight w:val="yellow"/>
        </w:rPr>
        <w:t xml:space="preserve">Figure 8. Conceptual technology-mix selection framework illustrating the interactions among renewable capacity, storage duration, grid support, backup resources, lifecycle cost, carbon emissions, and reliability. The number is not a result from a </w:t>
      </w:r>
      <w:proofErr w:type="gramStart"/>
      <w:r w:rsidRPr="003218A2">
        <w:rPr>
          <w:highlight w:val="yellow"/>
        </w:rPr>
        <w:t>site specific</w:t>
      </w:r>
      <w:proofErr w:type="gramEnd"/>
      <w:r w:rsidRPr="003218A2">
        <w:rPr>
          <w:highlight w:val="yellow"/>
        </w:rPr>
        <w:t xml:space="preserve"> optimization model. </w:t>
      </w:r>
    </w:p>
    <w:p w14:paraId="5D775629" w14:textId="77777777" w:rsidR="00AF4131" w:rsidRDefault="00AF4131" w:rsidP="00722717">
      <w:pPr>
        <w:spacing w:after="120"/>
      </w:pPr>
    </w:p>
    <w:p w14:paraId="0CF3D9C2" w14:textId="60CA4AC0" w:rsidR="00C70768" w:rsidRPr="00C70768" w:rsidRDefault="00C70768" w:rsidP="00C70768">
      <w:pPr>
        <w:keepNext/>
        <w:spacing w:after="120"/>
        <w:ind w:firstLine="480"/>
        <w:jc w:val="center"/>
        <w:rPr>
          <w:lang w:val="en-CA"/>
        </w:rPr>
      </w:pPr>
      <w:r w:rsidRPr="00C70768">
        <w:rPr>
          <w:noProof/>
          <w:lang w:val="en-CA"/>
        </w:rPr>
        <w:lastRenderedPageBreak/>
        <w:drawing>
          <wp:inline distT="0" distB="0" distL="0" distR="0" wp14:anchorId="42B09FEB" wp14:editId="15F18276">
            <wp:extent cx="6192520" cy="3760000"/>
            <wp:effectExtent l="0" t="0" r="0" b="0"/>
            <wp:docPr id="556951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917"/>
                    <a:stretch>
                      <a:fillRect/>
                    </a:stretch>
                  </pic:blipFill>
                  <pic:spPr bwMode="auto">
                    <a:xfrm>
                      <a:off x="0" y="0"/>
                      <a:ext cx="6192520" cy="3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225BD9C" w14:textId="2B4F4E2D" w:rsidR="00FE013C" w:rsidRDefault="00FE013C" w:rsidP="00A01CCD">
      <w:pPr>
        <w:keepNext/>
        <w:spacing w:after="120"/>
        <w:ind w:firstLine="480"/>
        <w:jc w:val="center"/>
      </w:pPr>
    </w:p>
    <w:p w14:paraId="7CE7BD72" w14:textId="09A84916" w:rsidR="00FE013C" w:rsidRPr="00B4497F" w:rsidRDefault="00FE013C" w:rsidP="00A01CCD">
      <w:pPr>
        <w:pStyle w:val="Caption"/>
        <w:jc w:val="center"/>
      </w:pPr>
      <w:r w:rsidRPr="00905AA2">
        <w:rPr>
          <w:highlight w:val="yellow"/>
        </w:rPr>
        <w:t xml:space="preserve">Figure </w:t>
      </w:r>
      <w:r w:rsidRPr="00905AA2">
        <w:rPr>
          <w:highlight w:val="yellow"/>
        </w:rPr>
        <w:fldChar w:fldCharType="begin"/>
      </w:r>
      <w:r w:rsidRPr="00905AA2">
        <w:rPr>
          <w:highlight w:val="yellow"/>
        </w:rPr>
        <w:instrText xml:space="preserve"> SEQ Figure \* ARABIC </w:instrText>
      </w:r>
      <w:r w:rsidRPr="00905AA2">
        <w:rPr>
          <w:highlight w:val="yellow"/>
        </w:rPr>
        <w:fldChar w:fldCharType="separate"/>
      </w:r>
      <w:r w:rsidR="00807110" w:rsidRPr="00905AA2">
        <w:rPr>
          <w:noProof/>
          <w:highlight w:val="yellow"/>
        </w:rPr>
        <w:t>8</w:t>
      </w:r>
      <w:r w:rsidRPr="00905AA2">
        <w:rPr>
          <w:noProof/>
          <w:highlight w:val="yellow"/>
        </w:rPr>
        <w:fldChar w:fldCharType="end"/>
      </w:r>
      <w:r w:rsidRPr="00905AA2">
        <w:rPr>
          <w:highlight w:val="yellow"/>
        </w:rPr>
        <w:t xml:space="preserve"> </w:t>
      </w:r>
      <w:r w:rsidR="00AF4131" w:rsidRPr="00905AA2">
        <w:rPr>
          <w:highlight w:val="yellow"/>
        </w:rPr>
        <w:t>Technology-mix Selection Framework</w:t>
      </w:r>
    </w:p>
    <w:p w14:paraId="615BABF6" w14:textId="77777777" w:rsidR="00FE013C" w:rsidRDefault="00FE013C" w:rsidP="004C16FF">
      <w:pPr>
        <w:pStyle w:val="Heading2"/>
        <w:rPr>
          <w:color w:val="auto"/>
        </w:rPr>
      </w:pPr>
      <w:r>
        <w:rPr>
          <w:color w:val="auto"/>
        </w:rPr>
        <w:t>7.4. Electrical Architecture and Integration</w:t>
      </w:r>
    </w:p>
    <w:p w14:paraId="1DB812FD" w14:textId="77777777" w:rsidR="000B7B56" w:rsidRPr="002F6018" w:rsidRDefault="000B7B56" w:rsidP="000B7B56">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3D5E4F50" w14:textId="37C82A8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Capacities </w:t>
      </w:r>
      <w:r w:rsidR="000B7B56" w:rsidRPr="002C1117">
        <w:rPr>
          <w:highlight w:val="yellow"/>
          <w:lang w:val="en-CA"/>
        </w:rPr>
        <w:t xml:space="preserve">selected in Component 2; </w:t>
      </w:r>
    </w:p>
    <w:p w14:paraId="6615888D" w14:textId="3FD02FE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Total </w:t>
      </w:r>
      <w:r w:rsidR="000B7B56" w:rsidRPr="002C1117">
        <w:rPr>
          <w:highlight w:val="yellow"/>
          <w:lang w:val="en-CA"/>
        </w:rPr>
        <w:t xml:space="preserve">peak and critical-load requirements; </w:t>
      </w:r>
    </w:p>
    <w:p w14:paraId="632476EA" w14:textId="1077B41E"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Required </w:t>
      </w:r>
      <w:r w:rsidR="000B7B56" w:rsidRPr="002C1117">
        <w:rPr>
          <w:highlight w:val="yellow"/>
          <w:lang w:val="en-CA"/>
        </w:rPr>
        <w:t xml:space="preserve">redundancy classification; </w:t>
      </w:r>
    </w:p>
    <w:p w14:paraId="08F2EC37" w14:textId="1969FE3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Utility </w:t>
      </w:r>
      <w:r w:rsidR="000B7B56" w:rsidRPr="002C1117">
        <w:rPr>
          <w:highlight w:val="yellow"/>
          <w:lang w:val="en-CA"/>
        </w:rPr>
        <w:t xml:space="preserve">point-of-connection voltage; </w:t>
      </w:r>
    </w:p>
    <w:p w14:paraId="6A5CC176" w14:textId="72F15B4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Transformer </w:t>
      </w:r>
      <w:r w:rsidR="000B7B56" w:rsidRPr="002C1117">
        <w:rPr>
          <w:highlight w:val="yellow"/>
          <w:lang w:val="en-CA"/>
        </w:rPr>
        <w:t xml:space="preserve">and switchgear ratings; </w:t>
      </w:r>
    </w:p>
    <w:p w14:paraId="0376B0A6" w14:textId="732DB430"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Equipment </w:t>
      </w:r>
      <w:r w:rsidR="000B7B56" w:rsidRPr="002C1117">
        <w:rPr>
          <w:highlight w:val="yellow"/>
          <w:lang w:val="en-CA"/>
        </w:rPr>
        <w:t xml:space="preserve">fault-current withstand limits; </w:t>
      </w:r>
    </w:p>
    <w:p w14:paraId="7B638F8A" w14:textId="68AA305B"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Grounding </w:t>
      </w:r>
      <w:r w:rsidR="000B7B56" w:rsidRPr="002C1117">
        <w:rPr>
          <w:highlight w:val="yellow"/>
          <w:lang w:val="en-CA"/>
        </w:rPr>
        <w:t xml:space="preserve">requirements; </w:t>
      </w:r>
    </w:p>
    <w:p w14:paraId="3586AD06" w14:textId="08DAFBFA"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t xml:space="preserve">harmonic spectra; </w:t>
      </w:r>
    </w:p>
    <w:p w14:paraId="0AA89DD1" w14:textId="51307CC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Protection </w:t>
      </w:r>
      <w:r w:rsidR="000B7B56" w:rsidRPr="002C1117">
        <w:rPr>
          <w:highlight w:val="yellow"/>
          <w:lang w:val="en-CA"/>
        </w:rPr>
        <w:t xml:space="preserve">requirements; and </w:t>
      </w:r>
    </w:p>
    <w:p w14:paraId="7C6A7F3F" w14:textId="7BAD34CD" w:rsidR="000B7B56" w:rsidRPr="00496175" w:rsidRDefault="00072A8F" w:rsidP="00496175">
      <w:pPr>
        <w:pStyle w:val="ListParagraph"/>
        <w:numPr>
          <w:ilvl w:val="0"/>
          <w:numId w:val="26"/>
        </w:numPr>
        <w:spacing w:after="120"/>
        <w:rPr>
          <w:highlight w:val="yellow"/>
          <w:lang w:val="en-CA"/>
        </w:rPr>
      </w:pPr>
      <w:r w:rsidRPr="002C1117">
        <w:rPr>
          <w:highlight w:val="yellow"/>
          <w:lang w:val="en-CA"/>
        </w:rPr>
        <w:t xml:space="preserve">Applicable </w:t>
      </w:r>
      <w:r w:rsidR="000B7B56" w:rsidRPr="002C1117">
        <w:rPr>
          <w:highlight w:val="yellow"/>
          <w:lang w:val="en-CA"/>
        </w:rPr>
        <w:t>IEEE, IEC, and utility interconnection standards.</w:t>
      </w:r>
    </w:p>
    <w:p w14:paraId="4EBF6459" w14:textId="3E3EA4A5" w:rsidR="006155BF" w:rsidRDefault="006155BF" w:rsidP="00496175">
      <w:pPr>
        <w:spacing w:after="120"/>
        <w:ind w:firstLine="480"/>
        <w:rPr>
          <w:highlight w:val="yellow"/>
        </w:rPr>
      </w:pPr>
      <w:proofErr w:type="gramStart"/>
      <w:r w:rsidRPr="00B54B37">
        <w:rPr>
          <w:highlight w:val="yellow"/>
        </w:rPr>
        <w:t>The electrical</w:t>
      </w:r>
      <w:proofErr w:type="gramEnd"/>
      <w:r w:rsidRPr="00B54B37">
        <w:rPr>
          <w:highlight w:val="yellow"/>
        </w:rPr>
        <w:t xml:space="preserve"> architecture is evaluated using power-flow, short-circuit, grounding, protection-coordination, reliability, and harmonic-compliance studies. Candidate designs that exceed equipment ratings or violate voltage, protection, grounding, or power-quality requirements are rejected.</w:t>
      </w:r>
      <w:r w:rsidR="00496175" w:rsidRPr="00B54B37">
        <w:rPr>
          <w:highlight w:val="yellow"/>
        </w:rPr>
        <w:t xml:space="preserve"> </w:t>
      </w:r>
      <w:r w:rsidRPr="00B54B37">
        <w:rPr>
          <w:highlight w:val="yellow"/>
        </w:rPr>
        <w:t>The selection between AC and DC distribution should be based on lifecycle efficiency, conversion losses, equipment availability, protection maturity, maintainability, and capital cost rather than on conversion efficiency alone.</w:t>
      </w:r>
    </w:p>
    <w:p w14:paraId="1F7DDE65" w14:textId="43C6A958" w:rsidR="00FF0674" w:rsidRPr="00FF0674" w:rsidRDefault="00FF0674" w:rsidP="00FF0674">
      <w:pPr>
        <w:spacing w:after="120"/>
        <w:ind w:firstLine="480"/>
        <w:rPr>
          <w:highlight w:val="yellow"/>
        </w:rPr>
      </w:pPr>
      <w:r w:rsidRPr="00FF0674">
        <w:rPr>
          <w:highlight w:val="yellow"/>
        </w:rPr>
        <w:t>The output is a preliminary single-line electrical design specifying:</w:t>
      </w:r>
    </w:p>
    <w:p w14:paraId="63F242BC" w14:textId="7EE14587"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Interconnection and distribution voltage levels; </w:t>
      </w:r>
    </w:p>
    <w:p w14:paraId="5FF706E1" w14:textId="4E25655C"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lastRenderedPageBreak/>
        <w:t xml:space="preserve">Transformer and switchgear ratings; </w:t>
      </w:r>
    </w:p>
    <w:p w14:paraId="22CFC4C0" w14:textId="634EDF35"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Ac or </w:t>
      </w:r>
      <w:r w:rsidR="00647293">
        <w:rPr>
          <w:highlight w:val="yellow"/>
          <w:lang w:val="en-CA"/>
        </w:rPr>
        <w:t>DC</w:t>
      </w:r>
      <w:r w:rsidRPr="00064826">
        <w:rPr>
          <w:highlight w:val="yellow"/>
          <w:lang w:val="en-CA"/>
        </w:rPr>
        <w:t xml:space="preserve"> distribution topology; </w:t>
      </w:r>
    </w:p>
    <w:p w14:paraId="17BBB984" w14:textId="3D5F0F9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Renewable-generation and storage connection points; </w:t>
      </w:r>
    </w:p>
    <w:p w14:paraId="17C8C689" w14:textId="223C7FBB"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Redundancy arrangement; </w:t>
      </w:r>
    </w:p>
    <w:p w14:paraId="0C75377C" w14:textId="51166B84"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Protection zones and preliminary settings; </w:t>
      </w:r>
    </w:p>
    <w:p w14:paraId="07DE4EFE" w14:textId="5C846666"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Grounding approach; and </w:t>
      </w:r>
    </w:p>
    <w:p w14:paraId="76890990" w14:textId="1DF21BA9"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Harmonic and power-quality mitigation requirements.</w:t>
      </w:r>
    </w:p>
    <w:p w14:paraId="0BCF019F" w14:textId="333FB88B" w:rsidR="00FF0674" w:rsidRPr="00B80448" w:rsidRDefault="005321C4" w:rsidP="00D81A5B">
      <w:pPr>
        <w:spacing w:after="120"/>
        <w:ind w:firstLine="480"/>
        <w:rPr>
          <w:highlight w:val="yellow"/>
          <w:lang w:val="en-CA"/>
        </w:rPr>
      </w:pPr>
      <w:r w:rsidRPr="00B80448">
        <w:rPr>
          <w:highlight w:val="yellow"/>
          <w:lang w:val="en-CA"/>
        </w:rPr>
        <w:t>There is a compromise involved in the choice of the PRIMARY interconnection voltage, factors being power transfer capability, conductor losses, switchgear cost, utility requirements, fault currents, and complexity of protection</w:t>
      </w:r>
      <w:r w:rsidR="00C9792E" w:rsidRPr="00B80448">
        <w:rPr>
          <w:highlight w:val="yellow"/>
          <w:lang w:val="en-CA"/>
        </w:rPr>
        <w:fldChar w:fldCharType="begin"/>
      </w:r>
      <w:r w:rsidR="00C9792E" w:rsidRPr="00B80448">
        <w:rPr>
          <w:highlight w:val="yellow"/>
          <w:lang w:val="en-CA"/>
        </w:rPr>
        <w:instrText xml:space="preserve"> ADDIN ZOTERO_ITEM CSL_CITATION {"citationID":"AztEawaf","properties":{"unsorted":false,"formattedCitation":"[87]","plainCitation":"[87]","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C9792E" w:rsidRPr="00B80448">
        <w:rPr>
          <w:highlight w:val="yellow"/>
          <w:lang w:val="en-CA"/>
        </w:rPr>
        <w:fldChar w:fldCharType="separate"/>
      </w:r>
      <w:r w:rsidR="00C9792E" w:rsidRPr="00B80448">
        <w:rPr>
          <w:highlight w:val="yellow"/>
          <w:lang w:val="en-CA"/>
        </w:rPr>
        <w:t>[86]</w:t>
      </w:r>
      <w:r w:rsidR="00C9792E" w:rsidRPr="00B80448">
        <w:rPr>
          <w:highlight w:val="yellow"/>
          <w:lang w:val="en-CA"/>
        </w:rPr>
        <w:fldChar w:fldCharType="end"/>
      </w:r>
      <w:r w:rsidRPr="00B80448">
        <w:rPr>
          <w:highlight w:val="yellow"/>
          <w:lang w:val="en-CA"/>
        </w:rPr>
        <w:t xml:space="preserve">. While 13.8 kV and 25 kV medium voltage are </w:t>
      </w:r>
      <w:proofErr w:type="gramStart"/>
      <w:r w:rsidRPr="00B80448">
        <w:rPr>
          <w:highlight w:val="yellow"/>
          <w:lang w:val="en-CA"/>
        </w:rPr>
        <w:t>most commonly utilized</w:t>
      </w:r>
      <w:proofErr w:type="gramEnd"/>
      <w:r w:rsidRPr="00B80448">
        <w:rPr>
          <w:highlight w:val="yellow"/>
          <w:lang w:val="en-CA"/>
        </w:rPr>
        <w:t>, the suitable voltage for the 100 MW can be determined through utility requirements, load distribution, equipment rating, and lifecycle-cost analysis. There should not be a universal voltage configuration. By minimizing a portion of your AC-to-DC and DC-to-AC conversion, DC distribution can offer efficiency benefits when you have a significant amount of DC generation, storage and use in your facility, particularly within the IT sector. The advantages have to be weighed against the costs and availability of DC-rated switchgear, fault interruption, protection systems, maintenance practices, and equipment</w:t>
      </w:r>
      <w:r w:rsidR="00D81A5B" w:rsidRPr="00B80448">
        <w:rPr>
          <w:highlight w:val="yellow"/>
          <w:lang w:val="en-CA"/>
        </w:rPr>
        <w:fldChar w:fldCharType="begin"/>
      </w:r>
      <w:r w:rsidR="00D81A5B" w:rsidRPr="00B80448">
        <w:rPr>
          <w:highlight w:val="yellow"/>
          <w:lang w:val="en-CA"/>
        </w:rPr>
        <w:instrText xml:space="preserve"> ADDIN ZOTERO_ITEM CSL_CITATION {"citationID":"7TsMK3jb","properties":{"unsorted":false,"formattedCitation":"[76]","plainCitation":"[76]","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D81A5B" w:rsidRPr="00B80448">
        <w:rPr>
          <w:highlight w:val="yellow"/>
          <w:lang w:val="en-CA"/>
        </w:rPr>
        <w:fldChar w:fldCharType="separate"/>
      </w:r>
      <w:r w:rsidR="00D81A5B" w:rsidRPr="00B80448">
        <w:rPr>
          <w:highlight w:val="yellow"/>
          <w:lang w:val="en-CA"/>
        </w:rPr>
        <w:t>[75]</w:t>
      </w:r>
      <w:r w:rsidR="00D81A5B" w:rsidRPr="00B80448">
        <w:rPr>
          <w:highlight w:val="yellow"/>
          <w:lang w:val="en-CA"/>
        </w:rPr>
        <w:fldChar w:fldCharType="end"/>
      </w:r>
      <w:r w:rsidRPr="00B80448">
        <w:rPr>
          <w:highlight w:val="yellow"/>
          <w:lang w:val="en-CA"/>
        </w:rPr>
        <w:t>.</w:t>
      </w:r>
    </w:p>
    <w:p w14:paraId="178A00C2" w14:textId="71A85B0A" w:rsidR="00C70768" w:rsidRPr="00C70768" w:rsidRDefault="00FE013C" w:rsidP="00C70768">
      <w:pPr>
        <w:pStyle w:val="Heading2"/>
        <w:rPr>
          <w:color w:val="auto"/>
        </w:rPr>
      </w:pPr>
      <w:r>
        <w:rPr>
          <w:color w:val="auto"/>
        </w:rPr>
        <w:t>7.5. Control and Dispatch Strategies</w:t>
      </w:r>
    </w:p>
    <w:p w14:paraId="0E14E3DA" w14:textId="11D0A287" w:rsidR="00C70768" w:rsidRDefault="00C70768" w:rsidP="00C70768">
      <w:pPr>
        <w:spacing w:after="120"/>
        <w:ind w:firstLine="480"/>
      </w:pPr>
      <w:r w:rsidRPr="00013085">
        <w:rPr>
          <w:highlight w:val="yellow"/>
        </w:rPr>
        <w:t>The necessary inputs are:</w:t>
      </w:r>
    </w:p>
    <w:p w14:paraId="5275EB5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renewable-generation forecasts;</w:t>
      </w:r>
    </w:p>
    <w:p w14:paraId="10D1B3C9"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facility-load forecasts;</w:t>
      </w:r>
    </w:p>
    <w:p w14:paraId="57EAD752"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battery state of charge, and battery operating limits;</w:t>
      </w:r>
    </w:p>
    <w:p w14:paraId="6753528F"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backup-resource availability;</w:t>
      </w:r>
    </w:p>
    <w:p w14:paraId="029315C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grid-energy prices and demand charges;</w:t>
      </w:r>
    </w:p>
    <w:p w14:paraId="5FB69D3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Restrictions on the import and export of grids;</w:t>
      </w:r>
    </w:p>
    <w:p w14:paraId="7BB992AE"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emissions or carbon-intensity signals;</w:t>
      </w:r>
    </w:p>
    <w:p w14:paraId="193D164C"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Reserve requirements for reliability; and</w:t>
      </w:r>
    </w:p>
    <w:p w14:paraId="1065DB69" w14:textId="6807FFE9"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Latency, deferral, and data-residency restrictions at the workload level.</w:t>
      </w:r>
    </w:p>
    <w:p w14:paraId="772D8EB6" w14:textId="77777777" w:rsidR="00B30EEE" w:rsidRPr="00B30EEE" w:rsidRDefault="00C70768" w:rsidP="00B30EEE">
      <w:pPr>
        <w:spacing w:after="120"/>
        <w:ind w:firstLine="480"/>
        <w:rPr>
          <w:highlight w:val="yellow"/>
        </w:rPr>
      </w:pPr>
      <w:r w:rsidRPr="008E212E">
        <w:rPr>
          <w:highlight w:val="yellow"/>
          <w:lang w:val="en-CA"/>
        </w:rPr>
        <w:t xml:space="preserve">A hierarchical controller coordinates resources through three scales of time. The device level controllers are used for responding to voltage and frequency conditions. The energy management system on the facility level manages the programming of renewable generation, storage, grid imports, back-up facilities, and reserves. The controller at the corporate level harmonizes eligible workloads across facilities while honoring latency, service-level, </w:t>
      </w:r>
      <w:r w:rsidR="00D6518A" w:rsidRPr="008E212E">
        <w:rPr>
          <w:highlight w:val="yellow"/>
          <w:lang w:val="en-CA"/>
        </w:rPr>
        <w:t>cybersecurity</w:t>
      </w:r>
      <w:r w:rsidRPr="008E212E">
        <w:rPr>
          <w:highlight w:val="yellow"/>
          <w:lang w:val="en-CA"/>
        </w:rPr>
        <w:t xml:space="preserve"> and data-residency boundaries.</w:t>
      </w:r>
      <w:r w:rsidR="008E212E">
        <w:rPr>
          <w:highlight w:val="yellow"/>
          <w:lang w:val="en-CA"/>
        </w:rPr>
        <w:t xml:space="preserve"> </w:t>
      </w:r>
      <w:r w:rsidR="00B30EEE" w:rsidRPr="00B30EEE">
        <w:rPr>
          <w:highlight w:val="yellow"/>
        </w:rPr>
        <w:t>The operating objective, such as cost, operational emissions, or a weighted combination of both, should be minimized subject to equipment limits, storage constraints, interconnection limits, reserve requirements, reliability criteria, and workload restrictions.</w:t>
      </w:r>
    </w:p>
    <w:p w14:paraId="16236489" w14:textId="29C8C3AB" w:rsidR="00C70768" w:rsidRDefault="00C70768" w:rsidP="00B30EEE">
      <w:pPr>
        <w:spacing w:after="120"/>
        <w:ind w:firstLine="480"/>
      </w:pPr>
      <w:r w:rsidRPr="004426C6">
        <w:rPr>
          <w:highlight w:val="yellow"/>
        </w:rPr>
        <w:t>The result is an operating schedule that contains:</w:t>
      </w:r>
    </w:p>
    <w:p w14:paraId="66D487D3" w14:textId="77777777" w:rsidR="00C70768" w:rsidRPr="00013085" w:rsidRDefault="00C70768" w:rsidP="00013085">
      <w:pPr>
        <w:pStyle w:val="ListParagraph"/>
        <w:numPr>
          <w:ilvl w:val="0"/>
          <w:numId w:val="26"/>
        </w:numPr>
        <w:spacing w:after="120"/>
        <w:rPr>
          <w:highlight w:val="yellow"/>
          <w:lang w:val="en-CA"/>
        </w:rPr>
      </w:pPr>
      <w:r w:rsidRPr="00013085">
        <w:rPr>
          <w:highlight w:val="yellow"/>
          <w:lang w:val="en-CA"/>
        </w:rPr>
        <w:t>Signals for the charging and discharging command;</w:t>
      </w:r>
    </w:p>
    <w:p w14:paraId="026BA25E" w14:textId="26C64FD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Minimum </w:t>
      </w:r>
      <w:r w:rsidR="00C70768" w:rsidRPr="00013085">
        <w:rPr>
          <w:highlight w:val="yellow"/>
          <w:lang w:val="en-CA"/>
        </w:rPr>
        <w:t>storage reserves;</w:t>
      </w:r>
    </w:p>
    <w:p w14:paraId="76409529" w14:textId="52CD005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Grid </w:t>
      </w:r>
      <w:r w:rsidR="00C70768" w:rsidRPr="00013085">
        <w:rPr>
          <w:highlight w:val="yellow"/>
          <w:lang w:val="en-CA"/>
        </w:rPr>
        <w:t>imports and exports;</w:t>
      </w:r>
    </w:p>
    <w:p w14:paraId="26A73BC3" w14:textId="03B3D6A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Backup</w:t>
      </w:r>
      <w:r w:rsidR="00C70768" w:rsidRPr="00013085">
        <w:rPr>
          <w:highlight w:val="yellow"/>
          <w:lang w:val="en-CA"/>
        </w:rPr>
        <w:t>-resource commitment;</w:t>
      </w:r>
    </w:p>
    <w:p w14:paraId="78AC679A" w14:textId="48010C4A"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Renewable </w:t>
      </w:r>
      <w:r w:rsidR="00C70768" w:rsidRPr="00013085">
        <w:rPr>
          <w:highlight w:val="yellow"/>
          <w:lang w:val="en-CA"/>
        </w:rPr>
        <w:t>curtailment;</w:t>
      </w:r>
    </w:p>
    <w:p w14:paraId="090F6EE4" w14:textId="40F8A019"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lastRenderedPageBreak/>
        <w:t>Demand</w:t>
      </w:r>
      <w:r w:rsidR="00C70768" w:rsidRPr="00013085">
        <w:rPr>
          <w:highlight w:val="yellow"/>
          <w:lang w:val="en-CA"/>
        </w:rPr>
        <w:t>-response participation; and</w:t>
      </w:r>
    </w:p>
    <w:p w14:paraId="058E6D2E" w14:textId="54E83605" w:rsidR="00C70768" w:rsidRPr="004426C6" w:rsidRDefault="00013085" w:rsidP="004426C6">
      <w:pPr>
        <w:pStyle w:val="ListParagraph"/>
        <w:numPr>
          <w:ilvl w:val="0"/>
          <w:numId w:val="26"/>
        </w:numPr>
        <w:spacing w:after="120"/>
        <w:rPr>
          <w:highlight w:val="yellow"/>
          <w:lang w:val="en-CA"/>
        </w:rPr>
      </w:pPr>
      <w:r w:rsidRPr="00013085">
        <w:rPr>
          <w:highlight w:val="yellow"/>
          <w:lang w:val="en-CA"/>
        </w:rPr>
        <w:t xml:space="preserve">Workload </w:t>
      </w:r>
      <w:r w:rsidR="00C70768" w:rsidRPr="00013085">
        <w:rPr>
          <w:highlight w:val="yellow"/>
          <w:lang w:val="en-CA"/>
        </w:rPr>
        <w:t>deferral or geographic-routing signals.</w:t>
      </w:r>
    </w:p>
    <w:p w14:paraId="36CC8660" w14:textId="0E455FF7" w:rsidR="00C70768" w:rsidRDefault="00C70768" w:rsidP="001B74A6">
      <w:pPr>
        <w:spacing w:after="120"/>
        <w:ind w:firstLine="480"/>
      </w:pPr>
      <w:r w:rsidRPr="004426C6">
        <w:rPr>
          <w:highlight w:val="yellow"/>
          <w:lang w:val="en-CA"/>
        </w:rPr>
        <w:t xml:space="preserve">The hierarchical control structure has three levels. At level 1, inverter voltage, frequency response, current limits and protection functions are controlled in a time range between millisecond and second. At Level 2 the timescales are minute hour, and the facility EMS is responsible for scheduling renewable generation, storage, grid exchange, and backup resources. The </w:t>
      </w:r>
      <w:r w:rsidR="003340E7" w:rsidRPr="004426C6">
        <w:rPr>
          <w:highlight w:val="yellow"/>
          <w:lang w:val="en-CA"/>
        </w:rPr>
        <w:t>model predictive</w:t>
      </w:r>
      <w:r w:rsidRPr="004426C6">
        <w:rPr>
          <w:highlight w:val="yellow"/>
          <w:lang w:val="en-CA"/>
        </w:rPr>
        <w:t xml:space="preserve"> control can be controlled with a roll-horizon of 24 to 48 hours. Level 3 provides support that spans the timescale of hours to several days and involves guiding the dispatch of work loads to different facilities, as well as coordinating energy procurement and usage</w:t>
      </w:r>
      <w:r w:rsidR="003340E7">
        <w:rPr>
          <w:highlight w:val="yellow"/>
          <w:lang w:val="en-CA"/>
        </w:rPr>
        <w:fldChar w:fldCharType="begin"/>
      </w:r>
      <w:r w:rsidR="003340E7">
        <w:rPr>
          <w:highlight w:val="yellow"/>
          <w:lang w:val="en-CA"/>
        </w:rPr>
        <w:instrText xml:space="preserve"> ADDIN ZOTERO_ITEM CSL_CITATION {"citationID":"n3D9iZyI","properties":{"unsorted":false,"formattedCitation":"[64]","plainCitation":"[64]","noteIndex":0},"citationItems":[{"id":2132,"uris":["http://zotero.org/users/9870935/items/786EAJKN"],"itemData":{"id":2132,"type":"document","title":"Levelized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3340E7">
        <w:rPr>
          <w:highlight w:val="yellow"/>
          <w:lang w:val="en-CA"/>
        </w:rPr>
        <w:fldChar w:fldCharType="separate"/>
      </w:r>
      <w:r w:rsidR="003340E7" w:rsidRPr="003340E7">
        <w:rPr>
          <w:highlight w:val="yellow"/>
          <w:lang w:val="en-CA"/>
        </w:rPr>
        <w:t>[63]</w:t>
      </w:r>
      <w:r w:rsidR="003340E7">
        <w:rPr>
          <w:highlight w:val="yellow"/>
          <w:lang w:val="en-CA"/>
        </w:rPr>
        <w:fldChar w:fldCharType="end"/>
      </w:r>
      <w:r w:rsidRPr="004426C6">
        <w:rPr>
          <w:highlight w:val="yellow"/>
          <w:lang w:val="en-CA"/>
        </w:rPr>
        <w:t>.</w:t>
      </w:r>
      <w:r w:rsidR="005269FF">
        <w:rPr>
          <w:highlight w:val="yellow"/>
          <w:lang w:val="en-CA"/>
        </w:rPr>
        <w:t xml:space="preserve"> </w:t>
      </w:r>
      <w:r w:rsidRPr="00375D05">
        <w:rPr>
          <w:highlight w:val="yellow"/>
          <w:lang w:val="en-CA"/>
        </w:rPr>
        <w:t xml:space="preserve">AI workload scheduling </w:t>
      </w:r>
      <w:proofErr w:type="gramStart"/>
      <w:r w:rsidRPr="00375D05">
        <w:rPr>
          <w:highlight w:val="yellow"/>
          <w:lang w:val="en-CA"/>
        </w:rPr>
        <w:t>actually offers</w:t>
      </w:r>
      <w:proofErr w:type="gramEnd"/>
      <w:r w:rsidRPr="00375D05">
        <w:rPr>
          <w:highlight w:val="yellow"/>
          <w:lang w:val="en-CA"/>
        </w:rPr>
        <w:t xml:space="preserve"> a resource that isn't typically available to traditional workloads. Qualifying training, batch inference, analytics and background work can be run when electricity is relatively cheap, or during times of high renewable electricity generation. Real-time inference and critical services continue to be limited due to strict latency and reliability requirements. The advantages of carbon-aware scheduling as reported at the last study vary depending on workload properties, resource availability, network latency, and carbon intensity in the area</w:t>
      </w:r>
      <w:r w:rsidR="00F357B2">
        <w:rPr>
          <w:highlight w:val="yellow"/>
          <w:lang w:val="en-CA"/>
        </w:rPr>
        <w:fldChar w:fldCharType="begin"/>
      </w:r>
      <w:r w:rsidR="001B74A6">
        <w:rPr>
          <w:highlight w:val="yellow"/>
          <w:lang w:val="en-CA"/>
        </w:rPr>
        <w:instrText xml:space="preserve"> ADDIN ZOTERO_ITEM CSL_CITATION {"citationID":"vmqAwXXb","properties":{"unsorted":false,"formattedCitation":"[149]","plainCitation":"[149]","noteIndex":0},"citationItems":[{"id":2133,"uris":["http://zotero.org/users/9870935/items/DBM7MVTI"],"itemData":{"id":2133,"type":"post-weblog","title":"Summary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F357B2">
        <w:rPr>
          <w:highlight w:val="yellow"/>
          <w:lang w:val="en-CA"/>
        </w:rPr>
        <w:fldChar w:fldCharType="separate"/>
      </w:r>
      <w:r w:rsidR="001B74A6" w:rsidRPr="001B74A6">
        <w:rPr>
          <w:highlight w:val="yellow"/>
          <w:lang w:val="en-CA"/>
        </w:rPr>
        <w:t>[148]</w:t>
      </w:r>
      <w:r w:rsidR="00F357B2">
        <w:rPr>
          <w:highlight w:val="yellow"/>
          <w:lang w:val="en-CA"/>
        </w:rPr>
        <w:fldChar w:fldCharType="end"/>
      </w:r>
      <w:r w:rsidRPr="00375D05">
        <w:rPr>
          <w:highlight w:val="yellow"/>
          <w:lang w:val="en-CA"/>
        </w:rPr>
        <w:t>.</w:t>
      </w:r>
      <w:r w:rsidR="008D6A66">
        <w:rPr>
          <w:lang w:val="en-CA"/>
        </w:rPr>
        <w:t xml:space="preserve"> </w:t>
      </w:r>
      <w:r w:rsidRPr="00F357B2">
        <w:rPr>
          <w:highlight w:val="yellow"/>
        </w:rPr>
        <w:t xml:space="preserve">Figure 9. Device-, facility-, and corporate-level control functions and timescales of a renewable powered data-center microgrid using a hierarchical control architecture. </w:t>
      </w:r>
    </w:p>
    <w:p w14:paraId="0B25BAEA" w14:textId="321EE07C" w:rsidR="00FE013C" w:rsidRPr="004F551C" w:rsidRDefault="004F551C" w:rsidP="004F551C">
      <w:pPr>
        <w:keepNext/>
        <w:spacing w:after="120"/>
        <w:ind w:firstLine="480"/>
        <w:jc w:val="center"/>
        <w:rPr>
          <w:lang w:val="en-CA"/>
        </w:rPr>
      </w:pPr>
      <w:r w:rsidRPr="004F551C">
        <w:rPr>
          <w:noProof/>
          <w:lang w:val="en-CA"/>
        </w:rPr>
        <w:drawing>
          <wp:inline distT="0" distB="0" distL="0" distR="0" wp14:anchorId="5B0CEAF4" wp14:editId="6596C97D">
            <wp:extent cx="6192520" cy="3700624"/>
            <wp:effectExtent l="0" t="0" r="0" b="0"/>
            <wp:docPr id="170987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356"/>
                    <a:stretch>
                      <a:fillRect/>
                    </a:stretch>
                  </pic:blipFill>
                  <pic:spPr bwMode="auto">
                    <a:xfrm>
                      <a:off x="0" y="0"/>
                      <a:ext cx="6192520" cy="3700624"/>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7770C552" w:rsidR="00FE013C" w:rsidRPr="00757408" w:rsidRDefault="00FE013C" w:rsidP="00F722B9">
      <w:pPr>
        <w:pStyle w:val="Caption"/>
        <w:jc w:val="center"/>
        <w:rPr>
          <w:lang w:val="en-CA"/>
        </w:rPr>
      </w:pPr>
      <w:r>
        <w:t xml:space="preserve">Figure </w:t>
      </w:r>
      <w:r>
        <w:fldChar w:fldCharType="begin"/>
      </w:r>
      <w:r>
        <w:instrText xml:space="preserve"> SEQ Figure \* ARABIC </w:instrText>
      </w:r>
      <w:r>
        <w:fldChar w:fldCharType="separate"/>
      </w:r>
      <w:r w:rsidR="00807110">
        <w:rPr>
          <w:noProof/>
        </w:rPr>
        <w:t>9</w:t>
      </w:r>
      <w:r>
        <w:rPr>
          <w:noProof/>
        </w:rPr>
        <w:fldChar w:fldCharType="end"/>
      </w:r>
      <w:r>
        <w:t xml:space="preserve"> </w:t>
      </w:r>
      <w:r w:rsidRPr="00FA4103">
        <w:t xml:space="preserve">Hierarchical control architecture for operation of a data </w:t>
      </w:r>
      <w:r w:rsidR="00580BAE">
        <w:t>center</w:t>
      </w:r>
      <w:r w:rsidRPr="00FA4103">
        <w:t xml:space="preserve"> microgrid.</w:t>
      </w:r>
    </w:p>
    <w:p w14:paraId="72D62C7A" w14:textId="77777777" w:rsidR="00FE013C" w:rsidRDefault="00FE013C" w:rsidP="004C16FF">
      <w:pPr>
        <w:pStyle w:val="Heading2"/>
        <w:rPr>
          <w:color w:val="auto"/>
        </w:rPr>
      </w:pPr>
      <w:r>
        <w:rPr>
          <w:color w:val="auto"/>
        </w:rPr>
        <w:t>7.6. Demand-Side Management and Load Flexibility</w:t>
      </w:r>
    </w:p>
    <w:p w14:paraId="3C33701C" w14:textId="77777777" w:rsidR="006469A4" w:rsidRPr="006469A4" w:rsidRDefault="006469A4" w:rsidP="006469A4">
      <w:pPr>
        <w:spacing w:after="120"/>
        <w:ind w:firstLine="480"/>
        <w:rPr>
          <w:highlight w:val="yellow"/>
        </w:rPr>
      </w:pPr>
      <w:r w:rsidRPr="006469A4">
        <w:rPr>
          <w:highlight w:val="yellow"/>
        </w:rPr>
        <w:t xml:space="preserve">Data-center workloads exhibit different degrees of operational flexibility depending on latency requirements, checkpointing capability, recovery characteristics, service-level agreements (SLAs), data-residency constraints, and business objectives. The classification presented in this section is intended as a qualitative screening framework rather than a universal measure of workload flexibility. The actual degree of flexibility available for a given workload must be evaluated on a project-specific </w:t>
      </w:r>
      <w:r w:rsidRPr="006469A4">
        <w:rPr>
          <w:highlight w:val="yellow"/>
        </w:rPr>
        <w:lastRenderedPageBreak/>
        <w:t>basis. Different organizations may apply substantially different scheduling, operational, and commercial constraints to similar workload categories.</w:t>
      </w:r>
    </w:p>
    <w:p w14:paraId="12D6DFCE" w14:textId="2A2FF153" w:rsidR="00294363" w:rsidRDefault="00F357B2" w:rsidP="000F2A4A">
      <w:pPr>
        <w:spacing w:after="120"/>
        <w:ind w:firstLine="480"/>
        <w:rPr>
          <w:highlight w:val="yellow"/>
          <w:lang w:val="en-CA"/>
        </w:rPr>
      </w:pPr>
      <w:r w:rsidRPr="00F357B2">
        <w:rPr>
          <w:highlight w:val="yellow"/>
          <w:lang w:val="en-CA"/>
        </w:rPr>
        <w:t xml:space="preserve">But workload deferral isn't just technical – it should be seen as a resource, too.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w:t>
      </w:r>
      <w:r w:rsidR="003B1F8C" w:rsidRPr="003B1F8C">
        <w:rPr>
          <w:highlight w:val="yellow"/>
        </w:rPr>
        <w:t>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flexibility classifications presented in Table 6 should be interpreted as potential operational flexibility rather than guaranteed dispatchable flexibility</w:t>
      </w:r>
      <w:r w:rsidR="000F2A4A">
        <w:rPr>
          <w:highlight w:val="yellow"/>
        </w:rPr>
        <w:t xml:space="preserve"> </w:t>
      </w:r>
      <w:r w:rsidR="00CA1249">
        <w:rPr>
          <w:highlight w:val="yellow"/>
          <w:lang w:val="en-CA"/>
        </w:rPr>
        <w:fldChar w:fldCharType="begin"/>
      </w:r>
      <w:r w:rsidR="00CA1249">
        <w:rPr>
          <w:highlight w:val="yellow"/>
          <w:lang w:val="en-CA"/>
        </w:rPr>
        <w:instrText xml:space="preserve"> ADDIN ZOTERO_ITEM CSL_CITATION {"citationID":"fNfsoSAc","properties":{"unsorted":false,"formattedCitation":"[64], [70]","plainCitation":"[64], [70]","noteIndex":0},"citationItems":[{"id":2132,"uris":["http://zotero.org/users/9870935/items/786EAJKN"],"itemData":{"id":2132,"type":"document","title":"Levelized Cost of Energy","URL":"https://www.lazard.com/media/eijnqja3/lazards-lcoeplus-june-2025.pdf","author":[{"family":"Lazard","given":""}]}},{"id":2124,"uris":["http://zotero.org/users/9870935/items/7MUJEUDP"],"itemData":{"id":2124,"type":"paper-conference","container-title":"Proceedings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CA1249">
        <w:rPr>
          <w:highlight w:val="yellow"/>
          <w:lang w:val="en-CA"/>
        </w:rPr>
        <w:fldChar w:fldCharType="separate"/>
      </w:r>
      <w:r w:rsidR="00CA1249" w:rsidRPr="00CA1249">
        <w:rPr>
          <w:highlight w:val="yellow"/>
          <w:lang w:val="en-CA"/>
        </w:rPr>
        <w:t>[63], [69]</w:t>
      </w:r>
      <w:r w:rsidR="00CA1249">
        <w:rPr>
          <w:highlight w:val="yellow"/>
          <w:lang w:val="en-CA"/>
        </w:rPr>
        <w:fldChar w:fldCharType="end"/>
      </w:r>
      <w:r w:rsidRPr="00F357B2">
        <w:rPr>
          <w:highlight w:val="yellow"/>
          <w:lang w:val="en-CA"/>
        </w:rPr>
        <w:t>.</w:t>
      </w:r>
      <w:r>
        <w:rPr>
          <w:highlight w:val="yellow"/>
          <w:lang w:val="en-CA"/>
        </w:rPr>
        <w:t xml:space="preserve"> </w:t>
      </w:r>
    </w:p>
    <w:p w14:paraId="7789125A" w14:textId="0ED79F86" w:rsidR="00A7261B" w:rsidRDefault="00A7261B" w:rsidP="00A7261B">
      <w:pPr>
        <w:pStyle w:val="Caption"/>
        <w:keepNext/>
      </w:pPr>
      <w:r>
        <w:t xml:space="preserve">Table </w:t>
      </w:r>
      <w:r>
        <w:fldChar w:fldCharType="begin"/>
      </w:r>
      <w:r>
        <w:instrText xml:space="preserve"> SEQ Table \* ARABIC </w:instrText>
      </w:r>
      <w:r>
        <w:fldChar w:fldCharType="separate"/>
      </w:r>
      <w:r w:rsidR="003A45CA">
        <w:rPr>
          <w:noProof/>
        </w:rPr>
        <w:t>6</w:t>
      </w:r>
      <w:r>
        <w:fldChar w:fldCharType="end"/>
      </w:r>
      <w:r>
        <w:t xml:space="preserve"> </w:t>
      </w:r>
      <w:r w:rsidRPr="003B4DEC">
        <w:t>Workload-flexibility classification for energy-aware scheduling</w:t>
      </w:r>
    </w:p>
    <w:tbl>
      <w:tblPr>
        <w:tblStyle w:val="MDPI41threelinetable"/>
        <w:tblW w:w="0" w:type="auto"/>
        <w:tblLook w:val="04A0" w:firstRow="1" w:lastRow="0" w:firstColumn="1" w:lastColumn="0" w:noHBand="0" w:noVBand="1"/>
      </w:tblPr>
      <w:tblGrid>
        <w:gridCol w:w="1777"/>
        <w:gridCol w:w="1778"/>
        <w:gridCol w:w="1693"/>
        <w:gridCol w:w="2505"/>
        <w:gridCol w:w="1999"/>
      </w:tblGrid>
      <w:tr w:rsidR="008561B9" w:rsidRPr="003B1F8C" w14:paraId="0F5E935F" w14:textId="77777777" w:rsidTr="007502B3">
        <w:trPr>
          <w:cnfStyle w:val="100000000000" w:firstRow="1" w:lastRow="0" w:firstColumn="0" w:lastColumn="0" w:oddVBand="0" w:evenVBand="0" w:oddHBand="0" w:evenHBand="0" w:firstRowFirstColumn="0" w:firstRowLastColumn="0" w:lastRowFirstColumn="0" w:lastRowLastColumn="0"/>
        </w:trPr>
        <w:tc>
          <w:tcPr>
            <w:tcW w:w="0" w:type="auto"/>
            <w:hideMark/>
          </w:tcPr>
          <w:p w14:paraId="53C61F95" w14:textId="1F61A892"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Workload Type</w:t>
            </w:r>
          </w:p>
        </w:tc>
        <w:tc>
          <w:tcPr>
            <w:tcW w:w="0" w:type="auto"/>
            <w:hideMark/>
          </w:tcPr>
          <w:p w14:paraId="72B67E74" w14:textId="2EAAB6A0"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Typical Latency Requirement</w:t>
            </w:r>
          </w:p>
        </w:tc>
        <w:tc>
          <w:tcPr>
            <w:tcW w:w="0" w:type="auto"/>
            <w:hideMark/>
          </w:tcPr>
          <w:p w14:paraId="5E1E147C" w14:textId="6293CD33"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 Deferral Window</w:t>
            </w:r>
          </w:p>
        </w:tc>
        <w:tc>
          <w:tcPr>
            <w:tcW w:w="0" w:type="auto"/>
            <w:hideMark/>
          </w:tcPr>
          <w:p w14:paraId="4304CC10" w14:textId="75BF2AA2"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 Flexibility (Subject to Operational Constraints)</w:t>
            </w:r>
          </w:p>
        </w:tc>
        <w:tc>
          <w:tcPr>
            <w:tcW w:w="0" w:type="auto"/>
            <w:hideMark/>
          </w:tcPr>
          <w:p w14:paraId="2A1554AF" w14:textId="6AAB165A"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Key Limiting Factors</w:t>
            </w:r>
          </w:p>
        </w:tc>
      </w:tr>
      <w:tr w:rsidR="008561B9" w:rsidRPr="003B1F8C" w14:paraId="32C76942" w14:textId="77777777" w:rsidTr="007502B3">
        <w:tc>
          <w:tcPr>
            <w:tcW w:w="0" w:type="auto"/>
            <w:hideMark/>
          </w:tcPr>
          <w:p w14:paraId="3A48562A" w14:textId="58B7DE88"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Model Training</w:t>
            </w:r>
          </w:p>
        </w:tc>
        <w:tc>
          <w:tcPr>
            <w:tcW w:w="0" w:type="auto"/>
            <w:hideMark/>
          </w:tcPr>
          <w:p w14:paraId="041E5B02" w14:textId="6FFCCABC"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Hours to days</w:t>
            </w:r>
          </w:p>
        </w:tc>
        <w:tc>
          <w:tcPr>
            <w:tcW w:w="0" w:type="auto"/>
            <w:hideMark/>
          </w:tcPr>
          <w:p w14:paraId="1B9615B9" w14:textId="58764AA0"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Hours to days</w:t>
            </w:r>
          </w:p>
        </w:tc>
        <w:tc>
          <w:tcPr>
            <w:tcW w:w="0" w:type="auto"/>
            <w:hideMark/>
          </w:tcPr>
          <w:p w14:paraId="67CC244F" w14:textId="6FA5A80B"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Potentially high, subject to training deadlines, checkpointing capability, compute-resource utilization targets, and commercial requirements</w:t>
            </w:r>
          </w:p>
        </w:tc>
        <w:tc>
          <w:tcPr>
            <w:tcW w:w="0" w:type="auto"/>
            <w:hideMark/>
          </w:tcPr>
          <w:p w14:paraId="1D99DD31" w14:textId="6A8287EE"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Project schedules, GPU utilization targets, contractual commitments</w:t>
            </w:r>
          </w:p>
        </w:tc>
      </w:tr>
      <w:tr w:rsidR="008561B9" w:rsidRPr="003B1F8C" w14:paraId="115BFE4D" w14:textId="77777777" w:rsidTr="007502B3">
        <w:tc>
          <w:tcPr>
            <w:tcW w:w="0" w:type="auto"/>
            <w:hideMark/>
          </w:tcPr>
          <w:p w14:paraId="271DD541" w14:textId="6903D149"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Batch Inference</w:t>
            </w:r>
          </w:p>
        </w:tc>
        <w:tc>
          <w:tcPr>
            <w:tcW w:w="0" w:type="auto"/>
            <w:hideMark/>
          </w:tcPr>
          <w:p w14:paraId="3E8AF502" w14:textId="327F4E22"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Minutes to hours</w:t>
            </w:r>
          </w:p>
        </w:tc>
        <w:tc>
          <w:tcPr>
            <w:tcW w:w="0" w:type="auto"/>
            <w:hideMark/>
          </w:tcPr>
          <w:p w14:paraId="73E611C2" w14:textId="6DE17F0D"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Minutes to hours</w:t>
            </w:r>
          </w:p>
        </w:tc>
        <w:tc>
          <w:tcPr>
            <w:tcW w:w="0" w:type="auto"/>
            <w:hideMark/>
          </w:tcPr>
          <w:p w14:paraId="5C443CFB" w14:textId="25240745"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Potentially high, depending on service requirements</w:t>
            </w:r>
          </w:p>
        </w:tc>
        <w:tc>
          <w:tcPr>
            <w:tcW w:w="0" w:type="auto"/>
            <w:hideMark/>
          </w:tcPr>
          <w:p w14:paraId="40E44C9D" w14:textId="5B033510"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Completion deadlines, data availability</w:t>
            </w:r>
          </w:p>
        </w:tc>
      </w:tr>
      <w:tr w:rsidR="008561B9" w:rsidRPr="003B1F8C" w14:paraId="1E2EFD0F" w14:textId="77777777" w:rsidTr="007502B3">
        <w:tc>
          <w:tcPr>
            <w:tcW w:w="0" w:type="auto"/>
            <w:hideMark/>
          </w:tcPr>
          <w:p w14:paraId="11378C98" w14:textId="116A5B72"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Analytics and Reporting</w:t>
            </w:r>
          </w:p>
        </w:tc>
        <w:tc>
          <w:tcPr>
            <w:tcW w:w="0" w:type="auto"/>
            <w:hideMark/>
          </w:tcPr>
          <w:p w14:paraId="1B1954AD" w14:textId="7AA2B1FE"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Hours to days</w:t>
            </w:r>
          </w:p>
        </w:tc>
        <w:tc>
          <w:tcPr>
            <w:tcW w:w="0" w:type="auto"/>
            <w:hideMark/>
          </w:tcPr>
          <w:p w14:paraId="35D21FD4" w14:textId="05846DEF"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Hours to days</w:t>
            </w:r>
          </w:p>
        </w:tc>
        <w:tc>
          <w:tcPr>
            <w:tcW w:w="0" w:type="auto"/>
            <w:hideMark/>
          </w:tcPr>
          <w:p w14:paraId="591BDD95" w14:textId="1CDF77D8"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Potentially moderate to high</w:t>
            </w:r>
          </w:p>
        </w:tc>
        <w:tc>
          <w:tcPr>
            <w:tcW w:w="0" w:type="auto"/>
            <w:hideMark/>
          </w:tcPr>
          <w:p w14:paraId="1D10879B" w14:textId="1C6DFA2E"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Reporting schedules, business requirements</w:t>
            </w:r>
          </w:p>
        </w:tc>
      </w:tr>
      <w:tr w:rsidR="008561B9" w:rsidRPr="003B1F8C" w14:paraId="1C986CC2" w14:textId="77777777" w:rsidTr="007502B3">
        <w:tc>
          <w:tcPr>
            <w:tcW w:w="0" w:type="auto"/>
            <w:hideMark/>
          </w:tcPr>
          <w:p w14:paraId="0BAEE153" w14:textId="66CF8106"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Real-Time Inference</w:t>
            </w:r>
          </w:p>
        </w:tc>
        <w:tc>
          <w:tcPr>
            <w:tcW w:w="0" w:type="auto"/>
            <w:hideMark/>
          </w:tcPr>
          <w:p w14:paraId="4F06DB75" w14:textId="298F371C"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Milliseconds to seconds</w:t>
            </w:r>
          </w:p>
        </w:tc>
        <w:tc>
          <w:tcPr>
            <w:tcW w:w="0" w:type="auto"/>
            <w:hideMark/>
          </w:tcPr>
          <w:p w14:paraId="551DFB15" w14:textId="5E336E56"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Limited or none</w:t>
            </w:r>
          </w:p>
        </w:tc>
        <w:tc>
          <w:tcPr>
            <w:tcW w:w="0" w:type="auto"/>
            <w:hideMark/>
          </w:tcPr>
          <w:p w14:paraId="7A363DD3" w14:textId="4AB508C2"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Potentially low</w:t>
            </w:r>
          </w:p>
        </w:tc>
        <w:tc>
          <w:tcPr>
            <w:tcW w:w="0" w:type="auto"/>
            <w:hideMark/>
          </w:tcPr>
          <w:p w14:paraId="0DEEC8C2" w14:textId="7C5DD6F4"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Latency requirements, user experience, SLAs</w:t>
            </w:r>
          </w:p>
        </w:tc>
      </w:tr>
      <w:tr w:rsidR="008561B9" w:rsidRPr="003B1F8C" w14:paraId="2E8402C1" w14:textId="77777777" w:rsidTr="007502B3">
        <w:tc>
          <w:tcPr>
            <w:tcW w:w="0" w:type="auto"/>
            <w:hideMark/>
          </w:tcPr>
          <w:p w14:paraId="1E90FD62" w14:textId="6C175EC9"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Background Tasks</w:t>
            </w:r>
          </w:p>
        </w:tc>
        <w:tc>
          <w:tcPr>
            <w:tcW w:w="0" w:type="auto"/>
            <w:hideMark/>
          </w:tcPr>
          <w:p w14:paraId="3B556734" w14:textId="1EAE6930"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Hours to days</w:t>
            </w:r>
          </w:p>
        </w:tc>
        <w:tc>
          <w:tcPr>
            <w:tcW w:w="0" w:type="auto"/>
            <w:hideMark/>
          </w:tcPr>
          <w:p w14:paraId="5664FE1F" w14:textId="1732C21F"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Flexible depending on operational requirements</w:t>
            </w:r>
          </w:p>
        </w:tc>
        <w:tc>
          <w:tcPr>
            <w:tcW w:w="0" w:type="auto"/>
            <w:hideMark/>
          </w:tcPr>
          <w:p w14:paraId="7B75C8FE" w14:textId="73B9B5E3"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Potentially moderate to high</w:t>
            </w:r>
          </w:p>
        </w:tc>
        <w:tc>
          <w:tcPr>
            <w:tcW w:w="0" w:type="auto"/>
            <w:hideMark/>
          </w:tcPr>
          <w:p w14:paraId="70ACC164" w14:textId="767437C3"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Operational priorities and maintenance schedules</w:t>
            </w:r>
          </w:p>
        </w:tc>
      </w:tr>
      <w:tr w:rsidR="008561B9" w:rsidRPr="003B1F8C" w14:paraId="4EE21A7A" w14:textId="77777777" w:rsidTr="007502B3">
        <w:tc>
          <w:tcPr>
            <w:tcW w:w="0" w:type="auto"/>
            <w:hideMark/>
          </w:tcPr>
          <w:p w14:paraId="196A6F79" w14:textId="12AD133B" w:rsidR="008561B9" w:rsidRPr="003B1F8C" w:rsidRDefault="008561B9" w:rsidP="008561B9">
            <w:pPr>
              <w:spacing w:after="120"/>
              <w:ind w:firstLine="480"/>
              <w:rPr>
                <w:b/>
                <w:bCs/>
                <w:color w:val="EE0000"/>
                <w:sz w:val="18"/>
                <w:szCs w:val="18"/>
                <w:highlight w:val="yellow"/>
                <w:lang w:val="en-CA"/>
              </w:rPr>
            </w:pPr>
            <w:r w:rsidRPr="003B1F8C">
              <w:rPr>
                <w:b/>
                <w:bCs/>
                <w:color w:val="EE0000"/>
                <w:sz w:val="18"/>
                <w:szCs w:val="18"/>
              </w:rPr>
              <w:t>Critical Real-Time Services</w:t>
            </w:r>
          </w:p>
        </w:tc>
        <w:tc>
          <w:tcPr>
            <w:tcW w:w="0" w:type="auto"/>
            <w:hideMark/>
          </w:tcPr>
          <w:p w14:paraId="234321C4" w14:textId="413BF6E5"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Milliseconds</w:t>
            </w:r>
          </w:p>
        </w:tc>
        <w:tc>
          <w:tcPr>
            <w:tcW w:w="0" w:type="auto"/>
            <w:hideMark/>
          </w:tcPr>
          <w:p w14:paraId="61732781" w14:textId="03CE97DD"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None</w:t>
            </w:r>
          </w:p>
        </w:tc>
        <w:tc>
          <w:tcPr>
            <w:tcW w:w="0" w:type="auto"/>
            <w:hideMark/>
          </w:tcPr>
          <w:p w14:paraId="19BF6EC3" w14:textId="75141488"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No practical flexibility</w:t>
            </w:r>
          </w:p>
        </w:tc>
        <w:tc>
          <w:tcPr>
            <w:tcW w:w="0" w:type="auto"/>
            <w:hideMark/>
          </w:tcPr>
          <w:p w14:paraId="6008DBB8" w14:textId="16857F99" w:rsidR="008561B9" w:rsidRPr="003B1F8C" w:rsidRDefault="008561B9" w:rsidP="008561B9">
            <w:pPr>
              <w:spacing w:after="120"/>
              <w:ind w:firstLine="480"/>
              <w:rPr>
                <w:color w:val="EE0000"/>
                <w:sz w:val="18"/>
                <w:szCs w:val="18"/>
                <w:highlight w:val="yellow"/>
                <w:lang w:val="en-CA"/>
              </w:rPr>
            </w:pPr>
            <w:r w:rsidRPr="003B1F8C">
              <w:rPr>
                <w:color w:val="EE0000"/>
                <w:sz w:val="18"/>
                <w:szCs w:val="18"/>
              </w:rPr>
              <w:t>Reliability and service-continuity requirements</w:t>
            </w:r>
          </w:p>
        </w:tc>
      </w:tr>
    </w:tbl>
    <w:p w14:paraId="3C3BD4BE" w14:textId="77777777" w:rsidR="00FE013C" w:rsidRDefault="00FE013C" w:rsidP="004C16FF">
      <w:pPr>
        <w:pStyle w:val="Heading2"/>
        <w:rPr>
          <w:color w:val="auto"/>
        </w:rPr>
      </w:pPr>
      <w:r>
        <w:rPr>
          <w:color w:val="auto"/>
        </w:rPr>
        <w:t>7.7. Cooling System Coordination</w:t>
      </w:r>
    </w:p>
    <w:p w14:paraId="6180DAAA" w14:textId="1CE26DDB" w:rsidR="00FA7E58" w:rsidRPr="00966FBB" w:rsidRDefault="00FA7E58" w:rsidP="001B74A6">
      <w:pPr>
        <w:spacing w:after="120"/>
        <w:ind w:firstLine="480"/>
        <w:rPr>
          <w:highlight w:val="yellow"/>
          <w:lang w:val="en-CA"/>
        </w:rPr>
      </w:pPr>
      <w:r w:rsidRPr="00966FBB">
        <w:rPr>
          <w:highlight w:val="yellow"/>
          <w:lang w:val="en-CA"/>
        </w:rPr>
        <w:t>The coordination of cooling systems involves the coupling of thermal and electrical aspects for the reduction of the energy consumption of the facilities and to increase the flexibility of the system. However, thermal energy storage, such as chilled-water and ice-storage systems, can help reduce the need for cooling during peak electricity demand periods or when electricity is not available to cover the need from renewables</w:t>
      </w:r>
      <w:r w:rsidR="00966FBB">
        <w:rPr>
          <w:highlight w:val="yellow"/>
          <w:lang w:val="en-CA"/>
        </w:rPr>
        <w:fldChar w:fldCharType="begin"/>
      </w:r>
      <w:r w:rsidR="00966FBB">
        <w:rPr>
          <w:highlight w:val="yellow"/>
          <w:lang w:val="en-CA"/>
        </w:rPr>
        <w:instrText xml:space="preserve"> ADDIN ZOTERO_ITEM CSL_CITATION {"citationID":"Zrmw4dw0","properties":{"unsorted":false,"formattedCitation":"[101]","plainCitation":"[101]","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966FBB">
        <w:rPr>
          <w:highlight w:val="yellow"/>
          <w:lang w:val="en-CA"/>
        </w:rPr>
        <w:fldChar w:fldCharType="separate"/>
      </w:r>
      <w:r w:rsidR="00966FBB" w:rsidRPr="00966FBB">
        <w:rPr>
          <w:highlight w:val="yellow"/>
          <w:lang w:val="en-CA"/>
        </w:rPr>
        <w:t>[100]</w:t>
      </w:r>
      <w:r w:rsidR="00966FBB">
        <w:rPr>
          <w:highlight w:val="yellow"/>
          <w:lang w:val="en-CA"/>
        </w:rPr>
        <w:fldChar w:fldCharType="end"/>
      </w:r>
      <w:r w:rsidRPr="00966FBB">
        <w:rPr>
          <w:highlight w:val="yellow"/>
          <w:lang w:val="en-CA"/>
        </w:rPr>
        <w:t>. Dynamic temperature and flow setpoints have also been seen to enhance efficiency while keeping equipment operating parameters within limits</w:t>
      </w:r>
      <w:r w:rsidR="00966FBB">
        <w:rPr>
          <w:highlight w:val="yellow"/>
          <w:lang w:val="en-CA"/>
        </w:rPr>
        <w:fldChar w:fldCharType="begin"/>
      </w:r>
      <w:r w:rsidR="001B74A6">
        <w:rPr>
          <w:highlight w:val="yellow"/>
          <w:lang w:val="en-CA"/>
        </w:rPr>
        <w:instrText xml:space="preserve"> ADDIN ZOTERO_ITEM CSL_CITATION {"citationID":"OOBfX6OB","properties":{"unsorted":false,"formattedCitation":"[157]","plainCitation":"[157]","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966FBB">
        <w:rPr>
          <w:highlight w:val="yellow"/>
          <w:lang w:val="en-CA"/>
        </w:rPr>
        <w:fldChar w:fldCharType="separate"/>
      </w:r>
      <w:r w:rsidR="001B74A6" w:rsidRPr="001B74A6">
        <w:rPr>
          <w:highlight w:val="yellow"/>
          <w:lang w:val="en-CA"/>
        </w:rPr>
        <w:t>[156]</w:t>
      </w:r>
      <w:r w:rsidR="00966FBB">
        <w:rPr>
          <w:highlight w:val="yellow"/>
          <w:lang w:val="en-CA"/>
        </w:rPr>
        <w:fldChar w:fldCharType="end"/>
      </w:r>
      <w:r w:rsidRPr="00966FBB">
        <w:rPr>
          <w:highlight w:val="yellow"/>
          <w:lang w:val="en-CA"/>
        </w:rPr>
        <w:t>.</w:t>
      </w:r>
      <w:r w:rsidR="00342674" w:rsidRPr="00966FBB">
        <w:rPr>
          <w:highlight w:val="yellow"/>
          <w:lang w:val="en-CA"/>
        </w:rPr>
        <w:t xml:space="preserve"> </w:t>
      </w:r>
      <w:r w:rsidRPr="00966FBB">
        <w:rPr>
          <w:highlight w:val="yellow"/>
          <w:lang w:val="en-CA"/>
        </w:rPr>
        <w:t>Direct-to-chip liquid cooling can lower cooling electricity demand compared to traditional air cooling, especially for AI accelerators that are arranged in high density. Other energy-system benefits that can be derived from waste-heat recovery include district heating, use in a greenhouse and industrial process heat, but the economic benefit of these applications is a function of the waste-heat temperature, the distance to the receiving load, seasonality and required heat-pump infrastructure</w:t>
      </w:r>
      <w:r w:rsidR="00966FBB">
        <w:rPr>
          <w:highlight w:val="yellow"/>
          <w:lang w:val="en-CA"/>
        </w:rPr>
        <w:fldChar w:fldCharType="begin"/>
      </w:r>
      <w:r w:rsidR="001B74A6">
        <w:rPr>
          <w:highlight w:val="yellow"/>
          <w:lang w:val="en-CA"/>
        </w:rPr>
        <w:instrText xml:space="preserve"> ADDIN ZOTERO_ITEM CSL_CITATION {"citationID":"MfjSJAkp","properties":{"unsorted":false,"formattedCitation":"[158]","plainCitation":"[158]","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966FBB">
        <w:rPr>
          <w:highlight w:val="yellow"/>
          <w:lang w:val="en-CA"/>
        </w:rPr>
        <w:fldChar w:fldCharType="separate"/>
      </w:r>
      <w:r w:rsidR="001B74A6" w:rsidRPr="001B74A6">
        <w:rPr>
          <w:highlight w:val="yellow"/>
          <w:lang w:val="en-CA"/>
        </w:rPr>
        <w:t>[157]</w:t>
      </w:r>
      <w:r w:rsidR="00966FBB">
        <w:rPr>
          <w:highlight w:val="yellow"/>
          <w:lang w:val="en-CA"/>
        </w:rPr>
        <w:fldChar w:fldCharType="end"/>
      </w:r>
      <w:r w:rsidRPr="00966FBB">
        <w:rPr>
          <w:highlight w:val="yellow"/>
          <w:lang w:val="en-CA"/>
        </w:rPr>
        <w:t>.</w:t>
      </w:r>
    </w:p>
    <w:p w14:paraId="5E727AAD" w14:textId="5D3C7AD2" w:rsidR="0059318D" w:rsidRPr="0059318D" w:rsidRDefault="0059318D" w:rsidP="0059318D">
      <w:pPr>
        <w:pStyle w:val="Heading2"/>
        <w:rPr>
          <w:szCs w:val="20"/>
          <w:highlight w:val="yellow"/>
          <w:lang w:val="en-CA"/>
        </w:rPr>
      </w:pPr>
      <w:r w:rsidRPr="0059318D">
        <w:rPr>
          <w:szCs w:val="20"/>
          <w:highlight w:val="yellow"/>
          <w:lang w:val="en-CA"/>
        </w:rPr>
        <w:lastRenderedPageBreak/>
        <w:t>The assessment of cooling-system performance should also consider Water Usage Effectiveness (WUE), which is typically defined as the annual volume of water consumed by the data-center facility divided by the annual IT-equipment energy consumption (L/</w:t>
      </w:r>
      <w:proofErr w:type="spellStart"/>
      <w:r w:rsidRPr="0059318D">
        <w:rPr>
          <w:szCs w:val="20"/>
          <w:highlight w:val="yellow"/>
          <w:lang w:val="en-CA"/>
        </w:rPr>
        <w:t>kWhIT</w:t>
      </w:r>
      <w:proofErr w:type="spellEnd"/>
      <w:r w:rsidRPr="0059318D">
        <w:rPr>
          <w:szCs w:val="20"/>
          <w:highlight w:val="yellow"/>
          <w:lang w:val="en-CA"/>
        </w:rPr>
        <w:t>). WUE primarily captures direct on-site water consumption associated with cooling operations and should be interpreted separately from indirect water consumption associated with electricity generation or broader lifecycle water impacts. Accordingly, three distinct water-related categories are relevant for sustainability assessment:</w:t>
      </w:r>
    </w:p>
    <w:p w14:paraId="6FBC79C2" w14:textId="06D28959" w:rsidR="0059318D" w:rsidRPr="0059318D" w:rsidRDefault="0059318D" w:rsidP="0059318D">
      <w:pPr>
        <w:pStyle w:val="Heading2"/>
        <w:numPr>
          <w:ilvl w:val="0"/>
          <w:numId w:val="31"/>
        </w:numPr>
        <w:spacing w:before="0"/>
        <w:rPr>
          <w:szCs w:val="20"/>
          <w:highlight w:val="yellow"/>
          <w:lang w:val="en-CA"/>
        </w:rPr>
      </w:pPr>
      <w:r w:rsidRPr="0059318D">
        <w:rPr>
          <w:szCs w:val="20"/>
          <w:highlight w:val="yellow"/>
          <w:lang w:val="en-CA"/>
        </w:rPr>
        <w:t>Direct on-site water consumption associated with cooling and facility operations;</w:t>
      </w:r>
    </w:p>
    <w:p w14:paraId="5B102223" w14:textId="55EBC8AA" w:rsidR="0059318D" w:rsidRPr="0059318D" w:rsidRDefault="0059318D" w:rsidP="0059318D">
      <w:pPr>
        <w:pStyle w:val="Heading2"/>
        <w:numPr>
          <w:ilvl w:val="0"/>
          <w:numId w:val="31"/>
        </w:numPr>
        <w:spacing w:before="0"/>
        <w:rPr>
          <w:szCs w:val="20"/>
          <w:highlight w:val="yellow"/>
          <w:lang w:val="en-CA"/>
        </w:rPr>
      </w:pPr>
      <w:r w:rsidRPr="0059318D">
        <w:rPr>
          <w:szCs w:val="20"/>
          <w:highlight w:val="yellow"/>
          <w:lang w:val="en-CA"/>
        </w:rPr>
        <w:t>Indirect water consumption embedded in purchased electricity generation;</w:t>
      </w:r>
    </w:p>
    <w:p w14:paraId="662C2D37" w14:textId="517DF77A" w:rsidR="0059318D" w:rsidRPr="0059318D" w:rsidRDefault="0059318D" w:rsidP="0059318D">
      <w:pPr>
        <w:pStyle w:val="Heading2"/>
        <w:numPr>
          <w:ilvl w:val="0"/>
          <w:numId w:val="31"/>
        </w:numPr>
        <w:spacing w:before="0"/>
        <w:rPr>
          <w:szCs w:val="20"/>
          <w:highlight w:val="yellow"/>
          <w:lang w:val="en-CA"/>
        </w:rPr>
      </w:pPr>
      <w:r w:rsidRPr="0059318D">
        <w:rPr>
          <w:szCs w:val="20"/>
          <w:highlight w:val="yellow"/>
          <w:lang w:val="en-CA"/>
        </w:rPr>
        <w:t>Lifecycle water impacts associated with equipment manufacturing, construction, maintenance, and end-of-life treatment.</w:t>
      </w:r>
    </w:p>
    <w:p w14:paraId="47CF7AC9" w14:textId="77777777" w:rsidR="0059318D" w:rsidRPr="0059318D" w:rsidRDefault="0059318D" w:rsidP="0059318D">
      <w:pPr>
        <w:pStyle w:val="Heading2"/>
        <w:rPr>
          <w:szCs w:val="20"/>
          <w:highlight w:val="yellow"/>
          <w:lang w:val="en-CA"/>
        </w:rPr>
      </w:pPr>
      <w:r w:rsidRPr="0059318D">
        <w:rPr>
          <w:szCs w:val="20"/>
          <w:highlight w:val="yellow"/>
          <w:lang w:val="en-CA"/>
        </w:rPr>
        <w:t>The relative importance of these categories depends on local climate conditions, cooling-system design, electricity-supply characteristics, and project boundaries. Consequently, WUE should be evaluated together with energy-efficiency metrics such as PUE when comparing cooling-system alternatives.</w:t>
      </w:r>
    </w:p>
    <w:p w14:paraId="467ABB68" w14:textId="77777777" w:rsidR="00FE013C" w:rsidRDefault="00FE013C" w:rsidP="004C16FF">
      <w:pPr>
        <w:pStyle w:val="Heading2"/>
        <w:rPr>
          <w:color w:val="auto"/>
        </w:rPr>
      </w:pPr>
      <w:r>
        <w:rPr>
          <w:color w:val="auto"/>
        </w:rPr>
        <w:t xml:space="preserve">7.8. </w:t>
      </w:r>
      <w:r w:rsidRPr="004D516A">
        <w:rPr>
          <w:color w:val="auto"/>
        </w:rPr>
        <w:t>Economic Model and Financial Viability</w:t>
      </w:r>
    </w:p>
    <w:p w14:paraId="53950E43" w14:textId="77777777" w:rsidR="002B7ACC" w:rsidRPr="002B7ACC" w:rsidRDefault="000F6695" w:rsidP="002B7ACC">
      <w:pPr>
        <w:spacing w:after="120"/>
        <w:ind w:firstLine="480"/>
        <w:rPr>
          <w:highlight w:val="yellow"/>
        </w:rPr>
      </w:pPr>
      <w:r w:rsidRPr="002B7ACC">
        <w:rPr>
          <w:highlight w:val="yellow"/>
        </w:rPr>
        <w:t xml:space="preserve">Additional economic evaluation should be based on LCOE, NPV, IRR, discounted payback, or sensitivity analysis as applicable. LCOE is the total discounted cost of building and running an energy asset divided by the total discounted electricity output generated by the asset over its use life [63]. LCOE does not, by itself, account for the value of firm delivery, temporal matching, reliability, or all network costs. Operating and capital assumptions should be based on a standardized technology set. It is important to note that battery-pack costs are different from full BESS installation costs. You should use the relevant grid electricity tariff and not refer to it as a generation LCOE. </w:t>
      </w:r>
      <w:r w:rsidR="002B7ACC" w:rsidRPr="002B7ACC">
        <w:rPr>
          <w:highlight w:val="yellow"/>
        </w:rPr>
        <w:t>A real weighted average cost of capital (WACC) of 7.5% is adopted as a screening assumption for illustrative economic comparisons. This value is not a recommended project-specific discount rate and is retained solely to support consistent comparison among literature-based benchmarks. Sensitivity ranges should be evaluated using project-specific financing assumptions.</w:t>
      </w:r>
    </w:p>
    <w:p w14:paraId="4BDC7C35" w14:textId="18510515" w:rsidR="000F6695" w:rsidRPr="00037346" w:rsidRDefault="000F6695" w:rsidP="001B74A6">
      <w:pPr>
        <w:spacing w:after="120"/>
        <w:ind w:firstLine="480"/>
        <w:rPr>
          <w:highlight w:val="yellow"/>
          <w:lang w:val="en-CA"/>
        </w:rPr>
      </w:pPr>
      <w:r w:rsidRPr="00037346">
        <w:rPr>
          <w:highlight w:val="yellow"/>
          <w:lang w:val="en-CA"/>
        </w:rPr>
        <w:t xml:space="preserve"> Only a real range of 5% - 12% is kept for sensitivity analysis. Real cash flows should be discounted at a real discount rate, nominal cash flows should be discounted at a nominal discount rate, and an explicit inflation assumption is required for nominal rates</w:t>
      </w:r>
      <w:r w:rsidR="003336B9" w:rsidRPr="00037346">
        <w:rPr>
          <w:highlight w:val="yellow"/>
          <w:lang w:val="en-CA"/>
        </w:rPr>
        <w:fldChar w:fldCharType="begin"/>
      </w:r>
      <w:r w:rsidR="001B74A6">
        <w:rPr>
          <w:highlight w:val="yellow"/>
          <w:lang w:val="en-CA"/>
        </w:rPr>
        <w:instrText xml:space="preserve"> ADDIN ZOTERO_ITEM CSL_CITATION {"citationID":"4WnWsrD6","properties":{"unsorted":false,"formattedCitation":"[159]","plainCitation":"[159]","noteIndex":0},"citationItems":[{"id":2143,"uris":["http://zotero.org/users/9870935/items/QQ6IISPJ"],"itemData":{"id":2143,"type":"document","title":"U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3336B9" w:rsidRPr="00037346">
        <w:rPr>
          <w:highlight w:val="yellow"/>
          <w:lang w:val="en-CA"/>
        </w:rPr>
        <w:fldChar w:fldCharType="separate"/>
      </w:r>
      <w:r w:rsidR="001B74A6" w:rsidRPr="001B74A6">
        <w:rPr>
          <w:highlight w:val="yellow"/>
          <w:lang w:val="en-CA"/>
        </w:rPr>
        <w:t>[158]</w:t>
      </w:r>
      <w:r w:rsidR="003336B9" w:rsidRPr="00037346">
        <w:rPr>
          <w:highlight w:val="yellow"/>
          <w:lang w:val="en-CA"/>
        </w:rPr>
        <w:fldChar w:fldCharType="end"/>
      </w:r>
      <w:r w:rsidRPr="00037346">
        <w:rPr>
          <w:highlight w:val="yellow"/>
          <w:lang w:val="en-CA"/>
        </w:rPr>
        <w:t>.</w:t>
      </w:r>
      <w:r w:rsidR="00F3432F" w:rsidRPr="00037346">
        <w:rPr>
          <w:highlight w:val="yellow"/>
          <w:lang w:val="en-CA"/>
        </w:rPr>
        <w:t xml:space="preserve"> </w:t>
      </w:r>
      <w:r w:rsidRPr="00037346">
        <w:rPr>
          <w:highlight w:val="yellow"/>
          <w:lang w:val="en-CA"/>
        </w:rPr>
        <w:t>Project-specific NPV/IRR/payback should be based upon auditable project cash flows with the following:</w:t>
      </w:r>
    </w:p>
    <w:p w14:paraId="6495D6CB" w14:textId="51195C7B"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Initial capital expenditure;</w:t>
      </w:r>
    </w:p>
    <w:p w14:paraId="635E05E8"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The upfront expenses of engineering, development and interconnection;</w:t>
      </w:r>
    </w:p>
    <w:p w14:paraId="29157F28" w14:textId="3B86A36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 xml:space="preserve">Fixed and variable </w:t>
      </w:r>
      <w:r w:rsidR="00037346">
        <w:rPr>
          <w:highlight w:val="yellow"/>
          <w:lang w:val="en-CA"/>
        </w:rPr>
        <w:t>O</w:t>
      </w:r>
      <w:r w:rsidRPr="003336B9">
        <w:rPr>
          <w:highlight w:val="yellow"/>
          <w:lang w:val="en-CA"/>
        </w:rPr>
        <w:t>&amp;</w:t>
      </w:r>
      <w:r w:rsidR="00037346">
        <w:rPr>
          <w:highlight w:val="yellow"/>
          <w:lang w:val="en-CA"/>
        </w:rPr>
        <w:t>M</w:t>
      </w:r>
      <w:r w:rsidRPr="003336B9">
        <w:rPr>
          <w:highlight w:val="yellow"/>
          <w:lang w:val="en-CA"/>
        </w:rPr>
        <w:t>;</w:t>
      </w:r>
    </w:p>
    <w:p w14:paraId="38BBEE42"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Augmentation of batteries and component replacement; and</w:t>
      </w:r>
    </w:p>
    <w:p w14:paraId="1CB033D1" w14:textId="7B363CCC"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Grid-energy and demand charges;</w:t>
      </w:r>
    </w:p>
    <w:p w14:paraId="2EC0AA99"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Losses from curtailment and conversion;</w:t>
      </w:r>
    </w:p>
    <w:p w14:paraId="305D88F9" w14:textId="69216DC5"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P</w:t>
      </w:r>
      <w:r>
        <w:rPr>
          <w:highlight w:val="yellow"/>
          <w:lang w:val="en-CA"/>
        </w:rPr>
        <w:t>PA</w:t>
      </w:r>
      <w:r w:rsidRPr="003336B9">
        <w:rPr>
          <w:highlight w:val="yellow"/>
          <w:lang w:val="en-CA"/>
        </w:rPr>
        <w:t xml:space="preserve"> payments;</w:t>
      </w:r>
    </w:p>
    <w:p w14:paraId="0F5C86AF" w14:textId="579A7A16"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Applicable ancillary-service revenues;</w:t>
      </w:r>
    </w:p>
    <w:p w14:paraId="6BA7B353" w14:textId="2FF25768"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Tax-credit eligibility;</w:t>
      </w:r>
    </w:p>
    <w:p w14:paraId="1B97697F"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Taxes and depreciation; and</w:t>
      </w:r>
    </w:p>
    <w:p w14:paraId="1AB6E7CF" w14:textId="224C8BC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Residual value.</w:t>
      </w:r>
    </w:p>
    <w:p w14:paraId="24562BD3" w14:textId="79082D09" w:rsidR="00FE013C" w:rsidRPr="00300D14" w:rsidRDefault="00FE013C" w:rsidP="00300D14">
      <w:pPr>
        <w:pStyle w:val="Caption"/>
        <w:keepNext/>
        <w:rPr>
          <w:lang w:val="en-CA"/>
        </w:rPr>
      </w:pPr>
      <w:r>
        <w:lastRenderedPageBreak/>
        <w:t xml:space="preserve">Table </w:t>
      </w:r>
      <w:r>
        <w:fldChar w:fldCharType="begin"/>
      </w:r>
      <w:r>
        <w:instrText xml:space="preserve"> SEQ Table \* ARABIC </w:instrText>
      </w:r>
      <w:r>
        <w:fldChar w:fldCharType="separate"/>
      </w:r>
      <w:r w:rsidR="003A45CA">
        <w:rPr>
          <w:noProof/>
        </w:rPr>
        <w:t>7</w:t>
      </w:r>
      <w:r>
        <w:rPr>
          <w:noProof/>
        </w:rPr>
        <w:fldChar w:fldCharType="end"/>
      </w:r>
      <w:r>
        <w:t xml:space="preserve"> </w:t>
      </w:r>
      <w:r w:rsidR="00300D14" w:rsidRPr="00300D14">
        <w:rPr>
          <w:lang w:val="en-CA"/>
        </w:rPr>
        <w:t>Literature-Based Technology Cost and Performance Benchmarks</w:t>
      </w:r>
    </w:p>
    <w:tbl>
      <w:tblPr>
        <w:tblStyle w:val="MDPI41threelinetable"/>
        <w:tblW w:w="0" w:type="auto"/>
        <w:tblLook w:val="04A0" w:firstRow="1" w:lastRow="0" w:firstColumn="1" w:lastColumn="0" w:noHBand="0" w:noVBand="1"/>
      </w:tblPr>
      <w:tblGrid>
        <w:gridCol w:w="1838"/>
        <w:gridCol w:w="1861"/>
        <w:gridCol w:w="1820"/>
        <w:gridCol w:w="2596"/>
        <w:gridCol w:w="1637"/>
      </w:tblGrid>
      <w:tr w:rsidR="003F4BBF" w:rsidRPr="005256BA" w14:paraId="58A73791" w14:textId="77777777" w:rsidTr="003F4BBF">
        <w:trPr>
          <w:cnfStyle w:val="100000000000" w:firstRow="1" w:lastRow="0" w:firstColumn="0" w:lastColumn="0" w:oddVBand="0" w:evenVBand="0" w:oddHBand="0" w:evenHBand="0" w:firstRowFirstColumn="0" w:firstRowLastColumn="0" w:lastRowFirstColumn="0" w:lastRowLastColumn="0"/>
        </w:trPr>
        <w:tc>
          <w:tcPr>
            <w:tcW w:w="0" w:type="auto"/>
            <w:hideMark/>
          </w:tcPr>
          <w:p w14:paraId="2B71BABE" w14:textId="7B82FF7C"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Supply Option</w:t>
            </w:r>
          </w:p>
        </w:tc>
        <w:tc>
          <w:tcPr>
            <w:tcW w:w="0" w:type="auto"/>
            <w:hideMark/>
          </w:tcPr>
          <w:p w14:paraId="4515E709" w14:textId="1574B051" w:rsidR="003F4BBF" w:rsidRPr="005256BA" w:rsidRDefault="003F4BBF" w:rsidP="003F4BBF">
            <w:pPr>
              <w:rPr>
                <w:rFonts w:asciiTheme="majorBidi" w:hAnsiTheme="majorBidi" w:cstheme="majorBidi"/>
                <w:color w:val="EE0000"/>
                <w:sz w:val="18"/>
                <w:szCs w:val="18"/>
                <w:highlight w:val="yellow"/>
                <w:lang w:val="en-CA"/>
              </w:rPr>
            </w:pPr>
            <w:r w:rsidRPr="005256BA">
              <w:rPr>
                <w:sz w:val="18"/>
                <w:szCs w:val="18"/>
              </w:rPr>
              <w:t>Geography / Year / Source</w:t>
            </w:r>
          </w:p>
        </w:tc>
        <w:tc>
          <w:tcPr>
            <w:tcW w:w="0" w:type="auto"/>
            <w:hideMark/>
          </w:tcPr>
          <w:p w14:paraId="744D2034" w14:textId="7039EC97"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Classification</w:t>
            </w:r>
          </w:p>
        </w:tc>
        <w:tc>
          <w:tcPr>
            <w:tcW w:w="0" w:type="auto"/>
            <w:hideMark/>
          </w:tcPr>
          <w:p w14:paraId="4DD96639" w14:textId="32723EAB"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Included Cost Components</w:t>
            </w:r>
          </w:p>
        </w:tc>
        <w:tc>
          <w:tcPr>
            <w:tcW w:w="0" w:type="auto"/>
            <w:hideMark/>
          </w:tcPr>
          <w:p w14:paraId="283371F3" w14:textId="6086B579"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Cost Benchmark</w:t>
            </w:r>
          </w:p>
        </w:tc>
      </w:tr>
      <w:tr w:rsidR="003F4BBF" w:rsidRPr="005256BA" w14:paraId="60045F81" w14:textId="77777777" w:rsidTr="003F4BBF">
        <w:tc>
          <w:tcPr>
            <w:tcW w:w="0" w:type="auto"/>
            <w:hideMark/>
          </w:tcPr>
          <w:p w14:paraId="220B89AC" w14:textId="598093D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solar PV</w:t>
            </w:r>
          </w:p>
        </w:tc>
        <w:tc>
          <w:tcPr>
            <w:tcW w:w="0" w:type="auto"/>
            <w:hideMark/>
          </w:tcPr>
          <w:p w14:paraId="2FAD56B7" w14:textId="14D3F76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7E46C0B" w14:textId="2A1D01A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0111B95E" w14:textId="54D8858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000F6AF" w14:textId="17082A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$43/MWh LCOE</w:t>
            </w:r>
          </w:p>
        </w:tc>
      </w:tr>
      <w:tr w:rsidR="003F4BBF" w:rsidRPr="005256BA" w14:paraId="10BC6082" w14:textId="77777777" w:rsidTr="003F4BBF">
        <w:tc>
          <w:tcPr>
            <w:tcW w:w="0" w:type="auto"/>
            <w:hideMark/>
          </w:tcPr>
          <w:p w14:paraId="22D0CB98" w14:textId="62B31D5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Onshore wind</w:t>
            </w:r>
          </w:p>
        </w:tc>
        <w:tc>
          <w:tcPr>
            <w:tcW w:w="0" w:type="auto"/>
            <w:hideMark/>
          </w:tcPr>
          <w:p w14:paraId="3F1F3B6B" w14:textId="4E4FF84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C37505D" w14:textId="2EF546F5"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6112C71D" w14:textId="031B89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86DA0BE" w14:textId="696E5700"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$34/MWh LCOE</w:t>
            </w:r>
          </w:p>
        </w:tc>
      </w:tr>
      <w:tr w:rsidR="003F4BBF" w:rsidRPr="005256BA" w14:paraId="6982E9FC" w14:textId="77777777" w:rsidTr="003F4BBF">
        <w:tc>
          <w:tcPr>
            <w:tcW w:w="0" w:type="auto"/>
            <w:hideMark/>
          </w:tcPr>
          <w:p w14:paraId="25CF19A5" w14:textId="7EFC417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U.S. solar-plus-storage projects</w:t>
            </w:r>
          </w:p>
        </w:tc>
        <w:tc>
          <w:tcPr>
            <w:tcW w:w="0" w:type="auto"/>
            <w:hideMark/>
          </w:tcPr>
          <w:p w14:paraId="15178E2F" w14:textId="193A3F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United States, 2024 (IRENA portfolio of 17 projects)</w:t>
            </w:r>
          </w:p>
        </w:tc>
        <w:tc>
          <w:tcPr>
            <w:tcW w:w="0" w:type="auto"/>
            <w:hideMark/>
          </w:tcPr>
          <w:p w14:paraId="43B6603D" w14:textId="02C6D82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696E2B8" w14:textId="655547B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Solar generation combined with battery storage; treatment of firming, reserves, and grid support varies by project</w:t>
            </w:r>
          </w:p>
        </w:tc>
        <w:tc>
          <w:tcPr>
            <w:tcW w:w="0" w:type="auto"/>
            <w:hideMark/>
          </w:tcPr>
          <w:p w14:paraId="25848F87" w14:textId="1613631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~$79/MWh LCOE</w:t>
            </w:r>
          </w:p>
        </w:tc>
      </w:tr>
      <w:tr w:rsidR="003F4BBF" w:rsidRPr="005256BA" w14:paraId="4B18EFB0" w14:textId="77777777" w:rsidTr="003F4BBF">
        <w:tc>
          <w:tcPr>
            <w:tcW w:w="0" w:type="auto"/>
            <w:hideMark/>
          </w:tcPr>
          <w:p w14:paraId="5E574E5F" w14:textId="05E156D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Australian renewable-storage hybrid projects</w:t>
            </w:r>
          </w:p>
        </w:tc>
        <w:tc>
          <w:tcPr>
            <w:tcW w:w="0" w:type="auto"/>
            <w:hideMark/>
          </w:tcPr>
          <w:p w14:paraId="56668CF2" w14:textId="2A78BE9A" w:rsidR="003F4BBF" w:rsidRPr="005256BA" w:rsidRDefault="003F4BBF" w:rsidP="003F4BBF">
            <w:pPr>
              <w:ind w:firstLine="480"/>
              <w:rPr>
                <w:rFonts w:asciiTheme="majorBidi" w:hAnsiTheme="majorBidi" w:cstheme="majorBidi"/>
                <w:bCs/>
                <w:color w:val="EE0000"/>
                <w:sz w:val="18"/>
                <w:szCs w:val="18"/>
                <w:highlight w:val="yellow"/>
                <w:lang w:val="pt-BR"/>
              </w:rPr>
            </w:pPr>
            <w:r w:rsidRPr="005256BA">
              <w:rPr>
                <w:bCs/>
                <w:sz w:val="18"/>
                <w:szCs w:val="18"/>
                <w:lang w:val="pt-BR"/>
              </w:rPr>
              <w:t>Australia, 2024 (IRENA portfolio of 8 projects)</w:t>
            </w:r>
          </w:p>
        </w:tc>
        <w:tc>
          <w:tcPr>
            <w:tcW w:w="0" w:type="auto"/>
            <w:hideMark/>
          </w:tcPr>
          <w:p w14:paraId="3739F21C" w14:textId="084D2C3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509FFFA" w14:textId="75A0F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Renewable generation combined with battery storage; project-specific operational assumptions and market structures apply</w:t>
            </w:r>
          </w:p>
        </w:tc>
        <w:tc>
          <w:tcPr>
            <w:tcW w:w="0" w:type="auto"/>
            <w:hideMark/>
          </w:tcPr>
          <w:p w14:paraId="2BADF190" w14:textId="5AD4953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~$51/MWh LCOE</w:t>
            </w:r>
          </w:p>
        </w:tc>
      </w:tr>
      <w:tr w:rsidR="003F4BBF" w:rsidRPr="005256BA" w14:paraId="3B75D150" w14:textId="77777777" w:rsidTr="003F4BBF">
        <w:tc>
          <w:tcPr>
            <w:tcW w:w="0" w:type="auto"/>
            <w:hideMark/>
          </w:tcPr>
          <w:p w14:paraId="16B00CA1" w14:textId="61B06C76"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lithium-ion BESS (4 h)</w:t>
            </w:r>
          </w:p>
        </w:tc>
        <w:tc>
          <w:tcPr>
            <w:tcW w:w="0" w:type="auto"/>
            <w:hideMark/>
          </w:tcPr>
          <w:p w14:paraId="7AE14038" w14:textId="05373F5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benchmark, 2024–2025 (IRENA/NREL)</w:t>
            </w:r>
          </w:p>
        </w:tc>
        <w:tc>
          <w:tcPr>
            <w:tcW w:w="0" w:type="auto"/>
            <w:hideMark/>
          </w:tcPr>
          <w:p w14:paraId="2E69AC57" w14:textId="394134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Storage Service</w:t>
            </w:r>
          </w:p>
        </w:tc>
        <w:tc>
          <w:tcPr>
            <w:tcW w:w="0" w:type="auto"/>
            <w:hideMark/>
          </w:tcPr>
          <w:p w14:paraId="27055328" w14:textId="0DCC4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Battery cells, PCS, thermal management, controls, EPC, BOS, site development, and interconnection infrastructure</w:t>
            </w:r>
          </w:p>
        </w:tc>
        <w:tc>
          <w:tcPr>
            <w:tcW w:w="0" w:type="auto"/>
            <w:hideMark/>
          </w:tcPr>
          <w:p w14:paraId="1253FF4C" w14:textId="7615EA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$80–130/MWh LCOS</w:t>
            </w:r>
            <w:r w:rsidRPr="005256BA">
              <w:rPr>
                <w:bCs/>
                <w:sz w:val="18"/>
                <w:szCs w:val="18"/>
              </w:rPr>
              <w:t>*</w:t>
            </w:r>
          </w:p>
        </w:tc>
      </w:tr>
      <w:tr w:rsidR="003F4BBF" w:rsidRPr="005256BA" w14:paraId="6212C446" w14:textId="77777777" w:rsidTr="003F4BBF">
        <w:tc>
          <w:tcPr>
            <w:tcW w:w="0" w:type="auto"/>
            <w:hideMark/>
          </w:tcPr>
          <w:p w14:paraId="31EBC793" w14:textId="7EF7435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Grid electricity service</w:t>
            </w:r>
          </w:p>
        </w:tc>
        <w:tc>
          <w:tcPr>
            <w:tcW w:w="0" w:type="auto"/>
            <w:hideMark/>
          </w:tcPr>
          <w:p w14:paraId="3D542041" w14:textId="0BD0C8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Market and tariff dependent</w:t>
            </w:r>
          </w:p>
        </w:tc>
        <w:tc>
          <w:tcPr>
            <w:tcW w:w="0" w:type="auto"/>
            <w:hideMark/>
          </w:tcPr>
          <w:p w14:paraId="5F662CE3" w14:textId="4D6F51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Firm Delivered Service</w:t>
            </w:r>
          </w:p>
        </w:tc>
        <w:tc>
          <w:tcPr>
            <w:tcW w:w="0" w:type="auto"/>
            <w:hideMark/>
          </w:tcPr>
          <w:p w14:paraId="6DD4E10C" w14:textId="5DD79A3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Energy, capacity (where applicable), ancillary services, transmission, distribution, demand charges, taxes, and utility fees</w:t>
            </w:r>
          </w:p>
        </w:tc>
        <w:tc>
          <w:tcPr>
            <w:tcW w:w="0" w:type="auto"/>
            <w:hideMark/>
          </w:tcPr>
          <w:p w14:paraId="1ACA685F" w14:textId="39FEBD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Location-specific</w:t>
            </w:r>
          </w:p>
        </w:tc>
      </w:tr>
      <w:tr w:rsidR="003F4BBF" w:rsidRPr="005256BA" w14:paraId="00E38929" w14:textId="77777777" w:rsidTr="003F4BBF">
        <w:tc>
          <w:tcPr>
            <w:tcW w:w="0" w:type="auto"/>
            <w:hideMark/>
          </w:tcPr>
          <w:p w14:paraId="0500A160" w14:textId="55E7A30A" w:rsidR="003F4BBF" w:rsidRPr="005256BA" w:rsidRDefault="003F4BBF" w:rsidP="003F4BBF">
            <w:pPr>
              <w:ind w:firstLine="480"/>
              <w:rPr>
                <w:rFonts w:asciiTheme="majorBidi" w:hAnsiTheme="majorBidi" w:cstheme="majorBidi"/>
                <w:b/>
                <w:color w:val="EE0000"/>
                <w:sz w:val="18"/>
                <w:szCs w:val="18"/>
                <w:highlight w:val="yellow"/>
                <w:lang w:val="en-CA"/>
              </w:rPr>
            </w:pPr>
            <w:r w:rsidRPr="005256BA">
              <w:rPr>
                <w:b/>
                <w:sz w:val="18"/>
                <w:szCs w:val="18"/>
              </w:rPr>
              <w:t>Supply Option</w:t>
            </w:r>
          </w:p>
        </w:tc>
        <w:tc>
          <w:tcPr>
            <w:tcW w:w="0" w:type="auto"/>
            <w:hideMark/>
          </w:tcPr>
          <w:p w14:paraId="043BA197" w14:textId="2428BE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Geography / Year / Source</w:t>
            </w:r>
          </w:p>
        </w:tc>
        <w:tc>
          <w:tcPr>
            <w:tcW w:w="0" w:type="auto"/>
            <w:hideMark/>
          </w:tcPr>
          <w:p w14:paraId="7EB2DCCB" w14:textId="2982DD44"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Classification</w:t>
            </w:r>
          </w:p>
        </w:tc>
        <w:tc>
          <w:tcPr>
            <w:tcW w:w="0" w:type="auto"/>
            <w:hideMark/>
          </w:tcPr>
          <w:p w14:paraId="2ECD47C4" w14:textId="7207F9A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Included Cost Components</w:t>
            </w:r>
          </w:p>
        </w:tc>
        <w:tc>
          <w:tcPr>
            <w:tcW w:w="0" w:type="auto"/>
            <w:hideMark/>
          </w:tcPr>
          <w:p w14:paraId="1446F2F6" w14:textId="4EA3AF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Cost Benchmark</w:t>
            </w:r>
          </w:p>
        </w:tc>
      </w:tr>
    </w:tbl>
    <w:p w14:paraId="2D7BDC31" w14:textId="77777777" w:rsidR="006B6F7A" w:rsidRPr="00134CA9" w:rsidRDefault="006B6F7A" w:rsidP="00F357B2">
      <w:pPr>
        <w:ind w:firstLine="480"/>
        <w:rPr>
          <w:highlight w:val="yellow"/>
        </w:rPr>
      </w:pPr>
    </w:p>
    <w:p w14:paraId="2FA975ED" w14:textId="5C7938F2" w:rsidR="0014319A" w:rsidRPr="0014319A" w:rsidRDefault="0014319A" w:rsidP="0014319A">
      <w:pPr>
        <w:spacing w:after="120"/>
        <w:ind w:firstLine="480"/>
        <w:rPr>
          <w:highlight w:val="yellow"/>
        </w:rPr>
      </w:pPr>
      <w:r w:rsidRPr="0014319A">
        <w:rPr>
          <w:highlight w:val="yellow"/>
        </w:rPr>
        <w:t xml:space="preserve">Do not consider the price of the battery-pack as the cost of the installed battery energy storage system (BESS). Battery-pack prices only include the electrochemical storage part of a BESS system, while the full price of an installed BESS system incorporates the cost of power-conversion equipment, thermal management system, controls, fire protection, engineering, procurement, construction, site-development activities, and grid-interconnection infrastructure. In like manner, the solar PV and onshore wind LCOE values shown in Table 7 are generation costs </w:t>
      </w:r>
      <w:proofErr w:type="gramStart"/>
      <w:r w:rsidRPr="0014319A">
        <w:rPr>
          <w:highlight w:val="yellow"/>
        </w:rPr>
        <w:t>only, and</w:t>
      </w:r>
      <w:proofErr w:type="gramEnd"/>
      <w:r w:rsidRPr="0014319A">
        <w:rPr>
          <w:highlight w:val="yellow"/>
        </w:rPr>
        <w:t xml:space="preserve"> bear no relation to the "whole cost" of sustaining an AI data-center load. Some costs, such as those of energy storage</w:t>
      </w:r>
      <w:proofErr w:type="gramStart"/>
      <w:r w:rsidRPr="0014319A">
        <w:rPr>
          <w:highlight w:val="yellow"/>
        </w:rPr>
        <w:t>, of</w:t>
      </w:r>
      <w:proofErr w:type="gramEnd"/>
      <w:r w:rsidRPr="0014319A">
        <w:rPr>
          <w:highlight w:val="yellow"/>
        </w:rPr>
        <w:t xml:space="preserve"> backup generation</w:t>
      </w:r>
      <w:proofErr w:type="gramStart"/>
      <w:r w:rsidRPr="0014319A">
        <w:rPr>
          <w:highlight w:val="yellow"/>
        </w:rPr>
        <w:t>, of</w:t>
      </w:r>
      <w:proofErr w:type="gramEnd"/>
      <w:r w:rsidRPr="0014319A">
        <w:rPr>
          <w:highlight w:val="yellow"/>
        </w:rPr>
        <w:t xml:space="preserve"> renewable curtailment</w:t>
      </w:r>
      <w:proofErr w:type="gramStart"/>
      <w:r w:rsidRPr="0014319A">
        <w:rPr>
          <w:highlight w:val="yellow"/>
        </w:rPr>
        <w:t>, of</w:t>
      </w:r>
      <w:proofErr w:type="gramEnd"/>
      <w:r w:rsidRPr="0014319A">
        <w:rPr>
          <w:highlight w:val="yellow"/>
        </w:rPr>
        <w:t xml:space="preserve"> transmission</w:t>
      </w:r>
      <w:proofErr w:type="gramStart"/>
      <w:r w:rsidRPr="0014319A">
        <w:rPr>
          <w:highlight w:val="yellow"/>
        </w:rPr>
        <w:t>, of</w:t>
      </w:r>
      <w:proofErr w:type="gramEnd"/>
      <w:r w:rsidRPr="0014319A">
        <w:rPr>
          <w:highlight w:val="yellow"/>
        </w:rPr>
        <w:t xml:space="preserve"> interconnection</w:t>
      </w:r>
      <w:proofErr w:type="gramStart"/>
      <w:r w:rsidRPr="0014319A">
        <w:rPr>
          <w:highlight w:val="yellow"/>
        </w:rPr>
        <w:t>, of</w:t>
      </w:r>
      <w:proofErr w:type="gramEnd"/>
      <w:r w:rsidRPr="0014319A">
        <w:rPr>
          <w:highlight w:val="yellow"/>
        </w:rPr>
        <w:t xml:space="preserve"> reliability requirements</w:t>
      </w:r>
      <w:proofErr w:type="gramStart"/>
      <w:r w:rsidRPr="0014319A">
        <w:rPr>
          <w:highlight w:val="yellow"/>
        </w:rPr>
        <w:t>, of</w:t>
      </w:r>
      <w:proofErr w:type="gramEnd"/>
      <w:r w:rsidRPr="0014319A">
        <w:rPr>
          <w:highlight w:val="yellow"/>
        </w:rPr>
        <w:t xml:space="preserve"> operating reserve </w:t>
      </w:r>
      <w:proofErr w:type="gramStart"/>
      <w:r w:rsidRPr="0014319A">
        <w:rPr>
          <w:highlight w:val="yellow"/>
        </w:rPr>
        <w:t>and of</w:t>
      </w:r>
      <w:proofErr w:type="gramEnd"/>
      <w:r w:rsidRPr="0014319A">
        <w:rPr>
          <w:highlight w:val="yellow"/>
        </w:rPr>
        <w:t xml:space="preserve"> operational flexibility, are not included within the generation-only LCOE metrics.</w:t>
      </w:r>
    </w:p>
    <w:p w14:paraId="7CD0456A" w14:textId="318A7096" w:rsidR="0014319A" w:rsidRPr="0014319A" w:rsidRDefault="0014319A" w:rsidP="0014319A">
      <w:pPr>
        <w:spacing w:after="120"/>
        <w:ind w:firstLine="480"/>
        <w:rPr>
          <w:highlight w:val="yellow"/>
        </w:rPr>
      </w:pPr>
      <w:r w:rsidRPr="0014319A">
        <w:rPr>
          <w:highlight w:val="yellow"/>
        </w:rPr>
        <w:t>The hybrid-project values shown in Table 7 are partially fixed electricity configurations and more useful for data-center application, than generation-only values. These benchmarks should not be considered as the most common costs of electricity supply to firms, however, since the reliability level, storage duration (how long the electricity supply maintains power quality), the need for back up electricity services, and operating assumptions vary significantly across projects.</w:t>
      </w:r>
    </w:p>
    <w:p w14:paraId="7C80F53C" w14:textId="270DF32D" w:rsidR="0014319A" w:rsidRPr="0014319A" w:rsidRDefault="0014319A" w:rsidP="0014319A">
      <w:pPr>
        <w:spacing w:after="120"/>
        <w:ind w:firstLine="480"/>
        <w:rPr>
          <w:highlight w:val="yellow"/>
        </w:rPr>
      </w:pPr>
      <w:r w:rsidRPr="0014319A">
        <w:rPr>
          <w:highlight w:val="yellow"/>
        </w:rPr>
        <w:t xml:space="preserve">The reported values for battery energy storage systems (BESS) are based on illustrative storage-service costs or LCOS (Levelized Cost of Storage), not LCOE, in that power generation is not a function of the battery. The charging-energy cost, cycling frequency, round-trip efficiency, </w:t>
      </w:r>
      <w:r w:rsidRPr="0014319A">
        <w:rPr>
          <w:highlight w:val="yellow"/>
        </w:rPr>
        <w:lastRenderedPageBreak/>
        <w:t>degradation assumptions, replacement schedules, and residual asset value all significantly impact LCOS.</w:t>
      </w:r>
    </w:p>
    <w:p w14:paraId="7891814A" w14:textId="5D36C02A" w:rsidR="0014319A" w:rsidRPr="0014319A" w:rsidRDefault="0014319A" w:rsidP="0014319A">
      <w:pPr>
        <w:spacing w:after="120"/>
        <w:ind w:firstLine="480"/>
        <w:rPr>
          <w:highlight w:val="yellow"/>
        </w:rPr>
      </w:pPr>
      <w:r w:rsidRPr="0014319A">
        <w:rPr>
          <w:highlight w:val="yellow"/>
        </w:rPr>
        <w:t xml:space="preserve">It is important to note that the cost of electricity for the grid is not to be interpreted as a generation LCOE. On the contrary, it's </w:t>
      </w:r>
      <w:proofErr w:type="gramStart"/>
      <w:r w:rsidRPr="0014319A">
        <w:rPr>
          <w:highlight w:val="yellow"/>
        </w:rPr>
        <w:t>actually an</w:t>
      </w:r>
      <w:proofErr w:type="gramEnd"/>
      <w:r w:rsidRPr="0014319A">
        <w:rPr>
          <w:highlight w:val="yellow"/>
        </w:rPr>
        <w:t xml:space="preserve"> electricity service that's delivered and consists of </w:t>
      </w:r>
      <w:proofErr w:type="gramStart"/>
      <w:r w:rsidRPr="0014319A">
        <w:rPr>
          <w:highlight w:val="yellow"/>
        </w:rPr>
        <w:t>various different</w:t>
      </w:r>
      <w:proofErr w:type="gramEnd"/>
      <w:r w:rsidRPr="0014319A">
        <w:rPr>
          <w:highlight w:val="yellow"/>
        </w:rPr>
        <w:t xml:space="preserve"> types of charges, such as the energy charge, capacity charge (if they have it), ancillary services, transmission and distribution charge, demand charge, taxes, and energy-specific charges. </w:t>
      </w:r>
      <w:proofErr w:type="gramStart"/>
      <w:r w:rsidRPr="0014319A">
        <w:rPr>
          <w:highlight w:val="yellow"/>
        </w:rPr>
        <w:t>Therefore</w:t>
      </w:r>
      <w:proofErr w:type="gramEnd"/>
      <w:r w:rsidRPr="0014319A">
        <w:rPr>
          <w:highlight w:val="yellow"/>
        </w:rPr>
        <w:t xml:space="preserve"> caution should be exercised when attempting to make a direct comparison amongst generation-only costs, hybrid-system costs, storage-service costs, and delivered-electricity costs.</w:t>
      </w:r>
    </w:p>
    <w:p w14:paraId="5F232D04" w14:textId="77777777" w:rsidR="00514F59" w:rsidRDefault="0014319A" w:rsidP="0014319A">
      <w:pPr>
        <w:spacing w:after="120"/>
        <w:ind w:firstLine="480"/>
        <w:rPr>
          <w:highlight w:val="yellow"/>
        </w:rPr>
      </w:pPr>
      <w:r w:rsidRPr="0014319A">
        <w:rPr>
          <w:highlight w:val="yellow"/>
        </w:rPr>
        <w:t>The values listed in Table 7 are screening values representative of the literature and designed to provide relative characteristics of the supply options. Do not use these as universal project costs (or investment grade estimates). Evaluations should be conducted on a project-specific basis, reflecting local conditions for renewable resources, electricity rates, results from interconnection studies, financing assumptions, reliability goals and detailed engineering evaluations. Finally, the cost performance of renewable energy infrastructural components for AI data centers should exclusively be assessed per project, based on the sustainable life cycle cost, and not compared with other norms.</w:t>
      </w:r>
    </w:p>
    <w:p w14:paraId="114556A8" w14:textId="4258AE4A" w:rsidR="00A42C11" w:rsidRPr="00514F59" w:rsidRDefault="00FE013C" w:rsidP="00514F59">
      <w:pPr>
        <w:pStyle w:val="Heading2"/>
        <w:rPr>
          <w:color w:val="auto"/>
        </w:rPr>
      </w:pPr>
      <w:r w:rsidRPr="00514F59">
        <w:rPr>
          <w:color w:val="auto"/>
        </w:rPr>
        <w:t>7.9. Reliability and Resilience Metrics</w:t>
      </w:r>
    </w:p>
    <w:p w14:paraId="3D9BCA5D" w14:textId="3C4CD4CD" w:rsidR="00A42C11" w:rsidRPr="00ED2CB2" w:rsidRDefault="00CC60C6" w:rsidP="001B74A6">
      <w:pPr>
        <w:spacing w:after="120"/>
        <w:ind w:firstLine="480"/>
        <w:rPr>
          <w:highlight w:val="yellow"/>
        </w:rPr>
      </w:pPr>
      <w:r w:rsidRPr="00CC60C6">
        <w:rPr>
          <w:highlight w:val="yellow"/>
        </w:rPr>
        <w:t xml:space="preserve">Availability represents the proportion of an assessment period during which the system can supply the defined critical load. For screening purposes, this review uses an illustrative annual availability criterion of 99.99%, corresponding to a maximum shortfall duration of 0.876 h/year, or approximately 52.6 min/year, under a simplified annual-duration relationship. Loss of Load Expectation (LOLE) complements this measure by estimating the expected duration of supply shortfalls over the assessment period. In this framework,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 The 0.876 h/year value is an illustrative system-level screening criterion rather than evidence of actual facility availability. Achieved reliability also depends on electrical topology, equipment redundancy, common-mode failures, protection coordination, maintenance practices, fuel availability, communication systems, weather exposure, and the operational readiness of backup resources </w:t>
      </w:r>
      <w:r w:rsidR="00ED2CB2">
        <w:rPr>
          <w:highlight w:val="yellow"/>
        </w:rPr>
        <w:fldChar w:fldCharType="begin"/>
      </w:r>
      <w:r w:rsidR="001B74A6">
        <w:rPr>
          <w:highlight w:val="yellow"/>
        </w:rPr>
        <w:instrText xml:space="preserve"> ADDIN ZOTERO_ITEM CSL_CITATION {"citationID":"atT0FGcb","properties":{"unsorted":false,"formattedCitation":"[159], [160]","plainCitation":"[159], [160]","noteIndex":0},"citationItems":[{"id":2143,"uris":["http://zotero.org/users/9870935/items/QQ6IISPJ"],"itemData":{"id":2143,"type":"document","title":"U N L O C K I N G FUSION ENERGY","URL":"https://www.adlittle.com/sites/default/files/reports/ADL_Unlocking_fusion_energy_2025%20%281%29.pdf","author":[{"family":"Arthur D. Little","given":""}]}},{"id":217,"uris":["http://zotero.org/users/9870935/items/MST8XCTD"],"itemData":{"id":217,"type":"article-journal","container-title":"IEEE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ED2CB2">
        <w:rPr>
          <w:highlight w:val="yellow"/>
        </w:rPr>
        <w:fldChar w:fldCharType="separate"/>
      </w:r>
      <w:r w:rsidR="001B74A6" w:rsidRPr="001B74A6">
        <w:rPr>
          <w:highlight w:val="yellow"/>
        </w:rPr>
        <w:t>[158], [159]</w:t>
      </w:r>
      <w:r w:rsidR="00ED2CB2">
        <w:rPr>
          <w:highlight w:val="yellow"/>
        </w:rPr>
        <w:fldChar w:fldCharType="end"/>
      </w:r>
      <w:r w:rsidR="00A42C11" w:rsidRPr="00541971">
        <w:rPr>
          <w:highlight w:val="yellow"/>
        </w:rPr>
        <w:t xml:space="preserve">. </w:t>
      </w:r>
    </w:p>
    <w:p w14:paraId="03F90F88" w14:textId="69148602" w:rsidR="00A42C11" w:rsidRPr="004C74D2" w:rsidRDefault="00A42C11" w:rsidP="004C74D2">
      <w:pPr>
        <w:pStyle w:val="Heading2"/>
        <w:rPr>
          <w:color w:val="auto"/>
        </w:rPr>
      </w:pPr>
      <w:r w:rsidRPr="004C74D2">
        <w:rPr>
          <w:color w:val="auto"/>
        </w:rPr>
        <w:t>7.10. Carbon Accounting and Sustainability</w:t>
      </w:r>
    </w:p>
    <w:p w14:paraId="7843DBAC" w14:textId="564CC18A" w:rsidR="00B50FCB" w:rsidRPr="008A22E4" w:rsidRDefault="00B50FCB" w:rsidP="00B50FCB">
      <w:pPr>
        <w:spacing w:after="120"/>
        <w:ind w:firstLine="480"/>
        <w:rPr>
          <w:highlight w:val="yellow"/>
        </w:rPr>
      </w:pPr>
      <w:proofErr w:type="gramStart"/>
      <w:r w:rsidRPr="008A22E4">
        <w:rPr>
          <w:highlight w:val="yellow"/>
        </w:rPr>
        <w:t>Greenhouse-gas</w:t>
      </w:r>
      <w:proofErr w:type="gramEnd"/>
      <w:r w:rsidRPr="008A22E4">
        <w:rPr>
          <w:highlight w:val="yellow"/>
        </w:rPr>
        <w:t xml:space="preserve"> emissions from Scope 1, Scope 2, and relevant Scope 3 GHG emissions should be distinguished in carbon accounting. Direct on-site emissions from generators, fuel cells and combustion processes are part of scope 1. Emissions from purchased electricity are defined as a Scope 2 emission and can be accounted for using both location-based or market-based approaches. Equipment manufacturing, fuel supply, construction, maintenance and end-of-life treatment of the equipment may constitute relevant Scope 3 emissions.</w:t>
      </w:r>
    </w:p>
    <w:p w14:paraId="21D9B23E" w14:textId="52512747" w:rsidR="00B50FCB" w:rsidRPr="008A22E4" w:rsidRDefault="00B50FCB" w:rsidP="00B50FCB">
      <w:pPr>
        <w:spacing w:after="120"/>
        <w:ind w:firstLine="480"/>
        <w:rPr>
          <w:highlight w:val="yellow"/>
        </w:rPr>
      </w:pPr>
      <w:r w:rsidRPr="008A22E4">
        <w:rPr>
          <w:highlight w:val="yellow"/>
        </w:rPr>
        <w:t xml:space="preserve">Annual renewable energy matching is a different concept than physical renewable electricity </w:t>
      </w:r>
      <w:proofErr w:type="gramStart"/>
      <w:r w:rsidRPr="008A22E4">
        <w:rPr>
          <w:highlight w:val="yellow"/>
        </w:rPr>
        <w:t>supply, and</w:t>
      </w:r>
      <w:proofErr w:type="gramEnd"/>
      <w:r w:rsidRPr="008A22E4">
        <w:rPr>
          <w:highlight w:val="yellow"/>
        </w:rPr>
        <w:t xml:space="preserve"> is different from hourly carbon-free energy (CFE) matching. Annual renewable matching is a matching of annual renewable-energy procurement to annual electricity usage. Hourly CFE matching quantifies the amount of "carbon-free energy" that matches electricity demand hour-by-hour. Physical renewable supply is the electricity supplied via the facility's legal and physical power supply </w:t>
      </w:r>
      <w:r w:rsidRPr="008A22E4">
        <w:rPr>
          <w:highlight w:val="yellow"/>
        </w:rPr>
        <w:lastRenderedPageBreak/>
        <w:t xml:space="preserve">contract and can be different from annual or hourly accounts. Sustainability claims and disclosures should thus clearly state the accounting approach used, geographical scope, time frame, treatment of energy attributes, and </w:t>
      </w:r>
      <w:proofErr w:type="gramStart"/>
      <w:r w:rsidRPr="008A22E4">
        <w:rPr>
          <w:highlight w:val="yellow"/>
        </w:rPr>
        <w:t>whether or not</w:t>
      </w:r>
      <w:proofErr w:type="gramEnd"/>
      <w:r w:rsidRPr="008A22E4">
        <w:rPr>
          <w:highlight w:val="yellow"/>
        </w:rPr>
        <w:t xml:space="preserve"> the energy indicator has been </w:t>
      </w:r>
      <w:r w:rsidR="008A22E4" w:rsidRPr="008A22E4">
        <w:rPr>
          <w:highlight w:val="yellow"/>
        </w:rPr>
        <w:t>independent assured</w:t>
      </w:r>
      <w:r w:rsidRPr="008A22E4">
        <w:rPr>
          <w:highlight w:val="yellow"/>
        </w:rPr>
        <w:t>.</w:t>
      </w:r>
    </w:p>
    <w:p w14:paraId="49F8CE7D" w14:textId="28292E06" w:rsidR="00A42C11" w:rsidRPr="00E57EAD" w:rsidRDefault="00B50FCB" w:rsidP="00E57EAD">
      <w:pPr>
        <w:spacing w:after="120"/>
        <w:ind w:firstLine="480"/>
      </w:pPr>
      <w:r w:rsidRPr="008A22E4">
        <w:rPr>
          <w:highlight w:val="yellow"/>
        </w:rPr>
        <w:t xml:space="preserve">There are other factors associated with sustainability assessment that should include power usage effectiveness (PUE), water usage effectiveness (WUE), operating carbon intensity, embodied carbon, land use, biodiversity, equipment circularity and end of life of the equipment. </w:t>
      </w:r>
      <w:r w:rsidR="007446EE" w:rsidRPr="008A22E4">
        <w:rPr>
          <w:highlight w:val="yellow"/>
        </w:rPr>
        <w:t>Corporate metrics that have not been independently assured should be identified as self-reported</w:t>
      </w:r>
      <w:r w:rsidR="00E57EAD" w:rsidRPr="008A22E4">
        <w:rPr>
          <w:highlight w:val="yellow"/>
        </w:rPr>
        <w:t xml:space="preserve"> </w:t>
      </w:r>
      <w:r w:rsidR="004C74D2" w:rsidRPr="008A22E4">
        <w:rPr>
          <w:highlight w:val="yellow"/>
        </w:rPr>
        <w:fldChar w:fldCharType="begin"/>
      </w:r>
      <w:r w:rsidR="001B74A6" w:rsidRPr="008A22E4">
        <w:rPr>
          <w:highlight w:val="yellow"/>
        </w:rPr>
        <w:instrText xml:space="preserve"> ADDIN ZOTERO_ITEM CSL_CITATION {"citationID":"mW0ul4pI","properties":{"unsorted":false,"formattedCitation":"[124]","plainCitation":"[124]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4C74D2" w:rsidRPr="008A22E4">
        <w:rPr>
          <w:highlight w:val="yellow"/>
        </w:rPr>
        <w:fldChar w:fldCharType="separate"/>
      </w:r>
      <w:r w:rsidR="001B74A6" w:rsidRPr="008A22E4">
        <w:rPr>
          <w:highlight w:val="yellow"/>
        </w:rPr>
        <w:t>[123]</w:t>
      </w:r>
      <w:r w:rsidR="004C74D2" w:rsidRPr="008A22E4">
        <w:rPr>
          <w:highlight w:val="yellow"/>
        </w:rPr>
        <w:fldChar w:fldCharType="end"/>
      </w:r>
      <w:r w:rsidR="00A42C11" w:rsidRPr="008A22E4">
        <w:rPr>
          <w:highlight w:val="yellow"/>
        </w:rPr>
        <w:t>.</w:t>
      </w:r>
    </w:p>
    <w:p w14:paraId="0F5C8534" w14:textId="77777777" w:rsidR="00FE013C" w:rsidRDefault="00FE013C" w:rsidP="004C16FF">
      <w:pPr>
        <w:pStyle w:val="Heading1"/>
        <w:jc w:val="both"/>
        <w:rPr>
          <w:color w:val="auto"/>
        </w:rPr>
      </w:pPr>
      <w:r>
        <w:rPr>
          <w:color w:val="auto"/>
          <w:lang w:eastAsia="zh-CN"/>
        </w:rPr>
        <w:t xml:space="preserve">8. </w:t>
      </w:r>
      <w:r>
        <w:rPr>
          <w:color w:val="auto"/>
        </w:rPr>
        <w:t>Case Studies: Real-World Deployments</w:t>
      </w:r>
    </w:p>
    <w:p w14:paraId="64773754" w14:textId="77777777" w:rsidR="00A51060" w:rsidRPr="00A51060" w:rsidRDefault="00A51060" w:rsidP="00A51060">
      <w:pPr>
        <w:spacing w:after="120"/>
        <w:ind w:firstLine="480"/>
        <w:rPr>
          <w:highlight w:val="yellow"/>
        </w:rPr>
      </w:pPr>
      <w:r w:rsidRPr="00A51060">
        <w:rPr>
          <w:highlight w:val="yellow"/>
        </w:rPr>
        <w:t xml:space="preserve">This section reviews publicly reported energy and sustainability practices from Google, Meta, Microsoft, Equinix, and Apple. The case studies are intended to illustrate practices relevant to the proposed seven-component decision framework rather than to experimentally validate the framework. Direct comparison among companies is limited because reporting periods, organizational boundaries, accounting methods, and performance metrics differ. </w:t>
      </w:r>
      <w:proofErr w:type="gramStart"/>
      <w:r w:rsidRPr="00A51060">
        <w:rPr>
          <w:highlight w:val="yellow"/>
        </w:rPr>
        <w:t>In particular, annual</w:t>
      </w:r>
      <w:proofErr w:type="gramEnd"/>
      <w:r w:rsidRPr="00A51060">
        <w:rPr>
          <w:highlight w:val="yellow"/>
        </w:rPr>
        <w:t xml:space="preserve"> renewable-energy matching, hourly carbon-free energy (CFE) matching, procurement coverage, and physical electricity delivery represent distinct concepts and should not be interpreted as equivalent measures. Unless explicitly identified as independently assured, corporate sustainability metrics should be treated as self-reported.</w:t>
      </w:r>
    </w:p>
    <w:p w14:paraId="16694B90" w14:textId="77777777" w:rsidR="00FE013C" w:rsidRPr="000124EB" w:rsidRDefault="00FE013C" w:rsidP="004C16FF">
      <w:pPr>
        <w:pStyle w:val="Heading2"/>
        <w:rPr>
          <w:color w:val="auto"/>
          <w:highlight w:val="yellow"/>
        </w:rPr>
      </w:pPr>
      <w:r w:rsidRPr="000124EB">
        <w:rPr>
          <w:color w:val="auto"/>
          <w:highlight w:val="yellow"/>
        </w:rPr>
        <w:t>8.1. Google Data Centers: Renewable Energy Matching</w:t>
      </w:r>
    </w:p>
    <w:p w14:paraId="7FD6B2FB" w14:textId="0F48AACA" w:rsidR="007D0E74" w:rsidRPr="000124EB" w:rsidRDefault="007D0E74" w:rsidP="007D0E74">
      <w:pPr>
        <w:spacing w:after="120"/>
        <w:ind w:firstLine="480"/>
        <w:rPr>
          <w:highlight w:val="yellow"/>
        </w:rPr>
      </w:pPr>
      <w:r w:rsidRPr="000124EB">
        <w:rPr>
          <w:highlight w:val="yellow"/>
        </w:rPr>
        <w:t>Google's energy use is now 66% carbon-free on average hourly basis for 2024, the company said. Some 2.5 GW of clean-energy projects already under contract came into existence in 2024, and a further 8 GW of clean-energy capacity was signed in that year, the company said. The CFE metric includes the electricity that is directly generated by Google’s green facilities, and the ‘clean energy share' of the local grid and is measured on an hourly basis. Thus, this does not mean that these facilities are physically islanded carbon-free or that it is an annual renewable energy match</w:t>
      </w:r>
      <w:r w:rsidR="009E07E2" w:rsidRPr="000124EB">
        <w:rPr>
          <w:highlight w:val="yellow"/>
        </w:rPr>
        <w:fldChar w:fldCharType="begin"/>
      </w:r>
      <w:r w:rsidR="009E07E2" w:rsidRPr="000124EB">
        <w:rPr>
          <w:highlight w:val="yellow"/>
        </w:rPr>
        <w:instrText xml:space="preserve"> ADDIN ZOTERO_ITEM CSL_CITATION {"citationID":"ic18cWPX","properties":{"unsorted":false,"formattedCitation":"[52]","plainCitation":"[52]","noteIndex":0},"citationItems":[{"id":1995,"uris":["http://zotero.org/users/9870935/items/ZZ4BDIPH"],"itemData":{"id":1995,"type":"post-weblog","title":"Google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9E07E2" w:rsidRPr="000124EB">
        <w:rPr>
          <w:highlight w:val="yellow"/>
        </w:rPr>
        <w:fldChar w:fldCharType="separate"/>
      </w:r>
      <w:r w:rsidR="009E07E2" w:rsidRPr="000124EB">
        <w:rPr>
          <w:highlight w:val="yellow"/>
        </w:rPr>
        <w:t>[52]</w:t>
      </w:r>
      <w:r w:rsidR="009E07E2" w:rsidRPr="000124EB">
        <w:rPr>
          <w:highlight w:val="yellow"/>
        </w:rPr>
        <w:fldChar w:fldCharType="end"/>
      </w:r>
      <w:r w:rsidRPr="000124EB">
        <w:rPr>
          <w:highlight w:val="yellow"/>
        </w:rPr>
        <w:t xml:space="preserve">. </w:t>
      </w:r>
    </w:p>
    <w:p w14:paraId="2E75168A" w14:textId="77777777" w:rsidR="007D0E74" w:rsidRPr="000124EB" w:rsidRDefault="007D0E74" w:rsidP="007D0E74">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2, 4, 5, 6, and 7. </w:t>
      </w:r>
    </w:p>
    <w:p w14:paraId="1EE5882E" w14:textId="6A9D4536" w:rsidR="007D0E74" w:rsidRPr="000124EB" w:rsidRDefault="007D0E74" w:rsidP="007D0E74">
      <w:pPr>
        <w:pStyle w:val="ListParagraph"/>
        <w:numPr>
          <w:ilvl w:val="0"/>
          <w:numId w:val="32"/>
        </w:numPr>
        <w:spacing w:after="120"/>
        <w:rPr>
          <w:highlight w:val="yellow"/>
        </w:rPr>
      </w:pPr>
      <w:r w:rsidRPr="000124EB">
        <w:rPr>
          <w:b/>
          <w:bCs/>
          <w:highlight w:val="yellow"/>
        </w:rPr>
        <w:t>Transferability limitations:</w:t>
      </w:r>
      <w:r w:rsidRPr="000124EB">
        <w:rPr>
          <w:highlight w:val="yellow"/>
        </w:rPr>
        <w:t xml:space="preserve"> This approach relies on having large-scale access to clean energy procurement, participation in multiple electricity markets, long-term contracting, and flexibility of workload mechanisms.</w:t>
      </w:r>
    </w:p>
    <w:p w14:paraId="0BF165A0" w14:textId="77777777" w:rsidR="007D0E74" w:rsidRPr="000124EB" w:rsidRDefault="007D0E74" w:rsidP="00E11FE4">
      <w:pPr>
        <w:spacing w:after="120"/>
        <w:ind w:firstLine="480"/>
        <w:rPr>
          <w:highlight w:val="yellow"/>
        </w:rPr>
      </w:pPr>
    </w:p>
    <w:p w14:paraId="5F182AC4" w14:textId="77777777" w:rsidR="007D0E74" w:rsidRPr="000124EB" w:rsidRDefault="007D0E74" w:rsidP="00E11FE4">
      <w:pPr>
        <w:spacing w:after="120"/>
        <w:ind w:firstLine="480"/>
        <w:rPr>
          <w:highlight w:val="yellow"/>
        </w:rPr>
      </w:pPr>
    </w:p>
    <w:p w14:paraId="6E2DBEBF" w14:textId="2788DC47" w:rsidR="005D72C0" w:rsidRPr="000124EB" w:rsidRDefault="005D72C0" w:rsidP="005D72C0">
      <w:pPr>
        <w:pStyle w:val="Heading2"/>
        <w:rPr>
          <w:color w:val="auto"/>
          <w:highlight w:val="yellow"/>
        </w:rPr>
      </w:pPr>
      <w:r w:rsidRPr="000124EB">
        <w:rPr>
          <w:color w:val="auto"/>
          <w:highlight w:val="yellow"/>
        </w:rPr>
        <w:t xml:space="preserve">8.2. </w:t>
      </w:r>
      <w:r w:rsidR="000F03FB" w:rsidRPr="000124EB">
        <w:rPr>
          <w:color w:val="auto"/>
          <w:highlight w:val="yellow"/>
        </w:rPr>
        <w:t>Meta: Annual Renewable-Energy Matching</w:t>
      </w:r>
    </w:p>
    <w:p w14:paraId="5940B690" w14:textId="1414ACCB" w:rsidR="00287616" w:rsidRPr="000124EB" w:rsidRDefault="00763100" w:rsidP="00763100">
      <w:pPr>
        <w:spacing w:after="120"/>
        <w:ind w:firstLine="480"/>
        <w:rPr>
          <w:highlight w:val="yellow"/>
        </w:rPr>
      </w:pPr>
      <w:r w:rsidRPr="000124EB">
        <w:rPr>
          <w:highlight w:val="yellow"/>
        </w:rPr>
        <w:t>Meta said it kept achieving 100% of its electricity from clean and renewable sources and its portfolio of clean energy has grown to nearly 29 GW worldwide under its support. These reported values are those for annual renewable energy matching and procurement, rather than hourly carbon-free energy accounting. Therefore, they are not active in terms of hourly sufficiency, physical renewability or operation in isolation</w:t>
      </w:r>
      <w:r w:rsidR="0073713D" w:rsidRPr="000124EB">
        <w:rPr>
          <w:highlight w:val="yellow"/>
        </w:rPr>
        <w:t xml:space="preserve"> </w:t>
      </w:r>
      <w:r w:rsidR="0073713D" w:rsidRPr="000124EB">
        <w:rPr>
          <w:highlight w:val="yellow"/>
        </w:rPr>
        <w:fldChar w:fldCharType="begin"/>
      </w:r>
      <w:r w:rsidR="0073713D" w:rsidRPr="000124EB">
        <w:rPr>
          <w:highlight w:val="yellow"/>
        </w:rPr>
        <w:instrText xml:space="preserve"> ADDIN ZOTERO_ITEM CSL_CITATION {"citationID":"bKFO0NJY","properties":{"unsorted":false,"formattedCitation":"[54]","plainCitation":"[54]","noteIndex":0},"citationItems":[{"id":1998,"uris":["http://zotero.org/users/9870935/items/3PR5HCM7"],"itemData":{"id":1998,"type":"post-weblog","title":"2025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73713D" w:rsidRPr="000124EB">
        <w:rPr>
          <w:highlight w:val="yellow"/>
        </w:rPr>
        <w:fldChar w:fldCharType="separate"/>
      </w:r>
      <w:r w:rsidR="0073713D" w:rsidRPr="000124EB">
        <w:rPr>
          <w:highlight w:val="yellow"/>
        </w:rPr>
        <w:t>[54]</w:t>
      </w:r>
      <w:r w:rsidR="0073713D" w:rsidRPr="000124EB">
        <w:rPr>
          <w:highlight w:val="yellow"/>
        </w:rPr>
        <w:fldChar w:fldCharType="end"/>
      </w:r>
      <w:r w:rsidR="0073713D" w:rsidRPr="000124EB">
        <w:rPr>
          <w:highlight w:val="yellow"/>
        </w:rPr>
        <w:t xml:space="preserve">, </w:t>
      </w:r>
      <w:r w:rsidR="0073713D" w:rsidRPr="000124EB">
        <w:rPr>
          <w:highlight w:val="yellow"/>
        </w:rPr>
        <w:fldChar w:fldCharType="begin"/>
      </w:r>
      <w:r w:rsidR="0073713D" w:rsidRPr="000124EB">
        <w:rPr>
          <w:highlight w:val="yellow"/>
        </w:rPr>
        <w:instrText xml:space="preserve"> ADDIN ZOTERO_ITEM CSL_CITATION {"citationID":"afh57Dbe","properties":{"unsorted":false,"formattedCitation":"[161]","plainCitation":"[161]","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3713D" w:rsidRPr="000124EB">
        <w:rPr>
          <w:highlight w:val="yellow"/>
        </w:rPr>
        <w:fldChar w:fldCharType="separate"/>
      </w:r>
      <w:r w:rsidR="0073713D" w:rsidRPr="000124EB">
        <w:rPr>
          <w:highlight w:val="yellow"/>
        </w:rPr>
        <w:t>[160]</w:t>
      </w:r>
      <w:r w:rsidR="0073713D" w:rsidRPr="000124EB">
        <w:rPr>
          <w:highlight w:val="yellow"/>
        </w:rPr>
        <w:fldChar w:fldCharType="end"/>
      </w:r>
      <w:r w:rsidRPr="000124EB">
        <w:rPr>
          <w:highlight w:val="yellow"/>
        </w:rPr>
        <w:t xml:space="preserve">. </w:t>
      </w:r>
    </w:p>
    <w:p w14:paraId="25F4ECA3" w14:textId="6EE4E3F1" w:rsidR="00287616" w:rsidRPr="000124EB" w:rsidRDefault="00287616" w:rsidP="00287616">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w:t>
      </w:r>
      <w:proofErr w:type="gramStart"/>
      <w:r w:rsidRPr="000124EB">
        <w:rPr>
          <w:highlight w:val="yellow"/>
        </w:rPr>
        <w:t>6 ,</w:t>
      </w:r>
      <w:proofErr w:type="gramEnd"/>
      <w:r w:rsidRPr="000124EB">
        <w:rPr>
          <w:highlight w:val="yellow"/>
        </w:rPr>
        <w:t xml:space="preserve"> and 7. </w:t>
      </w:r>
    </w:p>
    <w:p w14:paraId="3466FE12" w14:textId="2695EB28" w:rsidR="005D72C0" w:rsidRPr="000124EB" w:rsidRDefault="00763100" w:rsidP="00ED214C">
      <w:pPr>
        <w:pStyle w:val="ListParagraph"/>
        <w:numPr>
          <w:ilvl w:val="0"/>
          <w:numId w:val="32"/>
        </w:numPr>
        <w:spacing w:after="120"/>
        <w:rPr>
          <w:highlight w:val="yellow"/>
        </w:rPr>
      </w:pPr>
      <w:r w:rsidRPr="000124EB">
        <w:rPr>
          <w:b/>
          <w:bCs/>
          <w:highlight w:val="yellow"/>
        </w:rPr>
        <w:t xml:space="preserve">Transferability </w:t>
      </w:r>
      <w:r w:rsidR="00ED214C" w:rsidRPr="000124EB">
        <w:rPr>
          <w:b/>
          <w:bCs/>
          <w:highlight w:val="yellow"/>
        </w:rPr>
        <w:t>limitation</w:t>
      </w:r>
      <w:r w:rsidRPr="000124EB">
        <w:rPr>
          <w:b/>
          <w:bCs/>
          <w:highlight w:val="yellow"/>
        </w:rPr>
        <w:t>:</w:t>
      </w:r>
      <w:r w:rsidRPr="000124EB">
        <w:rPr>
          <w:highlight w:val="yellow"/>
        </w:rPr>
        <w:t xml:space="preserve"> Regional structures of the electricity market, availability of renewable resources, procurement systems, the scale of projects, and contractual agreements all play a role in the applicability of transferability.</w:t>
      </w:r>
    </w:p>
    <w:p w14:paraId="32326AB0" w14:textId="77777777" w:rsidR="00FE013C" w:rsidRPr="000124EB" w:rsidRDefault="00FE013C" w:rsidP="004C16FF">
      <w:pPr>
        <w:pStyle w:val="Heading2"/>
        <w:rPr>
          <w:color w:val="auto"/>
          <w:highlight w:val="yellow"/>
        </w:rPr>
      </w:pPr>
      <w:r w:rsidRPr="000124EB">
        <w:rPr>
          <w:color w:val="auto"/>
          <w:highlight w:val="yellow"/>
        </w:rPr>
        <w:lastRenderedPageBreak/>
        <w:t>8.3. Microsoft: Modular Design and Nuclear Partnership</w:t>
      </w:r>
    </w:p>
    <w:p w14:paraId="17C70F53" w14:textId="612FDDAF" w:rsidR="00E560E2" w:rsidRPr="000124EB" w:rsidRDefault="00E560E2" w:rsidP="00E560E2">
      <w:pPr>
        <w:spacing w:after="120"/>
        <w:ind w:firstLine="480"/>
        <w:rPr>
          <w:highlight w:val="yellow"/>
        </w:rPr>
      </w:pPr>
      <w:r w:rsidRPr="000124EB">
        <w:rPr>
          <w:highlight w:val="yellow"/>
        </w:rPr>
        <w:t xml:space="preserve">Microsoft's sustainability approach includes both the use of energy efficient techniques and purchasing electricity attesting to zero carbon emissions, innovations within the data </w:t>
      </w:r>
      <w:proofErr w:type="spellStart"/>
      <w:r w:rsidRPr="000124EB">
        <w:rPr>
          <w:highlight w:val="yellow"/>
        </w:rPr>
        <w:t>centre</w:t>
      </w:r>
      <w:proofErr w:type="spellEnd"/>
      <w:r w:rsidRPr="000124EB">
        <w:rPr>
          <w:highlight w:val="yellow"/>
        </w:rPr>
        <w:t xml:space="preserve"> and investments in new low carbon energy-based solutions. Public announcements encompass a long-term power purchase agreement for what is planned for the restart of </w:t>
      </w:r>
      <w:proofErr w:type="gramStart"/>
      <w:r w:rsidRPr="000124EB">
        <w:rPr>
          <w:highlight w:val="yellow"/>
        </w:rPr>
        <w:t>Three Mile</w:t>
      </w:r>
      <w:proofErr w:type="gramEnd"/>
      <w:r w:rsidRPr="000124EB">
        <w:rPr>
          <w:highlight w:val="yellow"/>
        </w:rPr>
        <w:t xml:space="preserve"> Island Unit 1 nuclear facility as well as a proposed agreement with Helion for the company's proposed fusion-energy project. At the same time, Microsoft released some findings on Project Natick: subsea data-center research. However, these projects illustrate a longer-term energy purchase and technology exploration, and not a currently proven on-site energy solution for AI data centers</w:t>
      </w:r>
      <w:r w:rsidR="00674A3B" w:rsidRPr="000124EB">
        <w:rPr>
          <w:highlight w:val="yellow"/>
        </w:rPr>
        <w:t xml:space="preserve"> </w:t>
      </w:r>
      <w:r w:rsidR="00674A3B" w:rsidRPr="000124EB">
        <w:rPr>
          <w:highlight w:val="yellow"/>
        </w:rPr>
        <w:fldChar w:fldCharType="begin"/>
      </w:r>
      <w:r w:rsidR="00674A3B" w:rsidRPr="000124EB">
        <w:rPr>
          <w:highlight w:val="yellow"/>
        </w:rPr>
        <w:instrText xml:space="preserve"> ADDIN ZOTERO_ITEM CSL_CITATION {"citationID":"IW33EuXw","properties":{"unsorted":false,"formattedCitation":"[57]","plainCitation":"[57]","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sidR="00674A3B" w:rsidRPr="000124EB">
        <w:rPr>
          <w:highlight w:val="yellow"/>
        </w:rPr>
        <w:fldChar w:fldCharType="separate"/>
      </w:r>
      <w:r w:rsidR="00674A3B" w:rsidRPr="000124EB">
        <w:rPr>
          <w:highlight w:val="yellow"/>
        </w:rPr>
        <w:t>[57]</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674A3B" w:rsidRPr="000124EB">
        <w:rPr>
          <w:highlight w:val="yellow"/>
        </w:rPr>
        <w:instrText xml:space="preserve"> ADDIN ZOTERO_ITEM CSL_CITATION {"citationID":"r6PHcJZZ","properties":{"unsorted":false,"formattedCitation":"[56]","plainCitation":"[56]","noteIndex":0},"citationItems":[{"id":2005,"uris":["http://zotero.org/users/9870935/items/GPXLWD7A"],"itemData":{"id":2005,"type":"article-journal","abstract":"This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schema":"https://github.com/citation-style-language/schema/raw/master/csl-citation.json"} </w:instrText>
      </w:r>
      <w:r w:rsidR="00674A3B" w:rsidRPr="000124EB">
        <w:rPr>
          <w:highlight w:val="yellow"/>
        </w:rPr>
        <w:fldChar w:fldCharType="separate"/>
      </w:r>
      <w:r w:rsidR="00674A3B" w:rsidRPr="000124EB">
        <w:rPr>
          <w:highlight w:val="yellow"/>
        </w:rPr>
        <w:t>[56]</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674A3B" w:rsidRPr="000124EB">
        <w:rPr>
          <w:highlight w:val="yellow"/>
        </w:rPr>
        <w:instrText xml:space="preserve"> ADDIN ZOTERO_ITEM CSL_CITATION {"citationID":"8f2UmqPT","properties":{"unsorted":false,"formattedCitation":"[159]","plainCitation":"[159]","noteIndex":0},"citationItems":[{"id":2143,"uris":["http://zotero.org/users/9870935/items/QQ6IISPJ"],"itemData":{"id":2143,"type":"document","title":"U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674A3B" w:rsidRPr="000124EB">
        <w:rPr>
          <w:highlight w:val="yellow"/>
        </w:rPr>
        <w:fldChar w:fldCharType="separate"/>
      </w:r>
      <w:r w:rsidR="00674A3B" w:rsidRPr="000124EB">
        <w:rPr>
          <w:highlight w:val="yellow"/>
        </w:rPr>
        <w:t>[158]</w:t>
      </w:r>
      <w:r w:rsidR="00674A3B" w:rsidRPr="000124EB">
        <w:rPr>
          <w:highlight w:val="yellow"/>
        </w:rPr>
        <w:fldChar w:fldCharType="end"/>
      </w:r>
      <w:r w:rsidRPr="000124EB">
        <w:rPr>
          <w:highlight w:val="yellow"/>
        </w:rPr>
        <w:t>.</w:t>
      </w:r>
    </w:p>
    <w:p w14:paraId="1EDF2856" w14:textId="1A20C8BF" w:rsidR="0037359C" w:rsidRPr="000124EB" w:rsidRDefault="0037359C" w:rsidP="001C11F5">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w:t>
      </w:r>
      <w:r w:rsidR="001C11F5" w:rsidRPr="000124EB">
        <w:rPr>
          <w:highlight w:val="yellow"/>
        </w:rPr>
        <w:t>Components 2, 3, 4 and 7.</w:t>
      </w:r>
    </w:p>
    <w:p w14:paraId="3F078752" w14:textId="722F2085" w:rsidR="0037359C" w:rsidRPr="000124EB" w:rsidRDefault="0037359C" w:rsidP="00294D5E">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294D5E" w:rsidRPr="000124EB">
        <w:rPr>
          <w:highlight w:val="yellow"/>
        </w:rPr>
        <w:t>Many projects are still at a point where technology is not mature, regulatory clearance not secured, commercialization timelines are uncertain, and opportunities for large-scale procurement are limited.</w:t>
      </w:r>
    </w:p>
    <w:p w14:paraId="4469E160" w14:textId="77777777" w:rsidR="00FE013C" w:rsidRPr="000124EB" w:rsidRDefault="00FE013C" w:rsidP="004C16FF">
      <w:pPr>
        <w:pStyle w:val="Heading2"/>
        <w:rPr>
          <w:color w:val="auto"/>
          <w:highlight w:val="yellow"/>
        </w:rPr>
      </w:pPr>
      <w:r w:rsidRPr="000124EB">
        <w:rPr>
          <w:color w:val="auto"/>
          <w:highlight w:val="yellow"/>
        </w:rPr>
        <w:t>8.4. Equinix: Distributed Solar PPAs</w:t>
      </w:r>
    </w:p>
    <w:p w14:paraId="09B3B060" w14:textId="671EF1B3" w:rsidR="009775DC" w:rsidRPr="000124EB" w:rsidRDefault="009775DC" w:rsidP="009775DC">
      <w:pPr>
        <w:spacing w:after="120"/>
        <w:ind w:firstLine="480"/>
        <w:rPr>
          <w:highlight w:val="yellow"/>
        </w:rPr>
      </w:pPr>
      <w:r w:rsidRPr="000124EB">
        <w:rPr>
          <w:highlight w:val="yellow"/>
        </w:rPr>
        <w:t>In 2025, Equinix stood out again by achieving a global 96% renewable-energy coverage for its data-center portfolio of retail carriers. This metric measures the percentage of procurement coverage of portfolio of geographically distributed facilities in multiple markets and jurisdictions. Renewable energy does not necessarily mean hourly equal to carbon-free matching, or a continuous physical supply of renewable energy</w:t>
      </w:r>
      <w:r w:rsidR="00381E72" w:rsidRPr="000124EB">
        <w:rPr>
          <w:highlight w:val="yellow"/>
        </w:rPr>
        <w:fldChar w:fldCharType="begin"/>
      </w:r>
      <w:r w:rsidR="00381E72" w:rsidRPr="000124EB">
        <w:rPr>
          <w:highlight w:val="yellow"/>
        </w:rPr>
        <w:instrText xml:space="preserve"> ADDIN ZOTERO_ITEM CSL_CITATION {"citationID":"xSrZql8g","properties":{"unsorted":false,"formattedCitation":"[59]","plainCitation":"[59]","noteIndex":0},"citationItems":[{"id":2007,"uris":["http://zotero.org/users/9870935/items/KHWRQFNN"],"itemData":{"id":2007,"type":"post-weblog","title":"Sustainability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381E72" w:rsidRPr="000124EB">
        <w:rPr>
          <w:highlight w:val="yellow"/>
        </w:rPr>
        <w:fldChar w:fldCharType="separate"/>
      </w:r>
      <w:r w:rsidR="00381E72" w:rsidRPr="000124EB">
        <w:rPr>
          <w:highlight w:val="yellow"/>
        </w:rPr>
        <w:t>[58]</w:t>
      </w:r>
      <w:r w:rsidR="00381E72" w:rsidRPr="000124EB">
        <w:rPr>
          <w:highlight w:val="yellow"/>
        </w:rPr>
        <w:fldChar w:fldCharType="end"/>
      </w:r>
      <w:r w:rsidRPr="000124EB">
        <w:rPr>
          <w:highlight w:val="yellow"/>
        </w:rPr>
        <w:t>.</w:t>
      </w:r>
    </w:p>
    <w:p w14:paraId="6C3C2750" w14:textId="622BD961" w:rsidR="00E72673" w:rsidRPr="000124EB" w:rsidRDefault="00E72673" w:rsidP="00E72673">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5, 6, 7.</w:t>
      </w:r>
    </w:p>
    <w:p w14:paraId="10209D89" w14:textId="286E6C11" w:rsidR="009775DC" w:rsidRPr="000124EB" w:rsidRDefault="00E72673" w:rsidP="009A2F97">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E7DCC" w:rsidRPr="000124EB">
        <w:rPr>
          <w:highlight w:val="yellow"/>
        </w:rPr>
        <w:t>Results are very much dictated by local market conditions, electricity pricing, ownership structures, procurement options, and renewable energy contracts.</w:t>
      </w:r>
    </w:p>
    <w:p w14:paraId="791EAA9D" w14:textId="77777777" w:rsidR="00FE013C" w:rsidRPr="000124EB" w:rsidRDefault="00FE013C" w:rsidP="004C16FF">
      <w:pPr>
        <w:pStyle w:val="Heading2"/>
        <w:rPr>
          <w:color w:val="auto"/>
          <w:highlight w:val="yellow"/>
        </w:rPr>
      </w:pPr>
      <w:r w:rsidRPr="000124EB">
        <w:rPr>
          <w:color w:val="auto"/>
          <w:highlight w:val="yellow"/>
        </w:rPr>
        <w:t>8.5. Apple: 100 Percent Renewable Commitment</w:t>
      </w:r>
    </w:p>
    <w:p w14:paraId="39CBA97F" w14:textId="5D6A543A" w:rsidR="00C60EFF" w:rsidRPr="000124EB" w:rsidRDefault="00C60EFF" w:rsidP="00C60EFF">
      <w:pPr>
        <w:spacing w:after="120"/>
        <w:ind w:firstLine="480"/>
        <w:rPr>
          <w:highlight w:val="yellow"/>
        </w:rPr>
      </w:pPr>
      <w:r w:rsidRPr="000124EB">
        <w:rPr>
          <w:highlight w:val="yellow"/>
        </w:rPr>
        <w:t xml:space="preserve">Since 2018, Apple has been operating its facilities like offices, retail stores, and data centers, entirely on renewable power from across the company. The company also announced that it now has more than 17.8 GW of clean energy suppliers. These figures only account for corporate renewable purchases, but do not necessarily mean continual physical renewable supply to individual data </w:t>
      </w:r>
      <w:proofErr w:type="spellStart"/>
      <w:r w:rsidRPr="000124EB">
        <w:rPr>
          <w:highlight w:val="yellow"/>
        </w:rPr>
        <w:t>centres</w:t>
      </w:r>
      <w:proofErr w:type="spellEnd"/>
      <w:r w:rsidRPr="000124EB">
        <w:rPr>
          <w:highlight w:val="yellow"/>
        </w:rPr>
        <w:fldChar w:fldCharType="begin"/>
      </w:r>
      <w:r w:rsidRPr="000124EB">
        <w:rPr>
          <w:highlight w:val="yellow"/>
        </w:rPr>
        <w:instrText xml:space="preserve"> ADDIN ZOTERO_ITEM CSL_CITATION {"citationID":"7UxY0Xko","properties":{"unsorted":false,"formattedCitation":"[60]","plainCitation":"[60]","noteIndex":0},"citationItems":[{"id":2010,"uris":["http://zotero.org/users/9870935/items/36ZP5SVZ"],"itemData":{"id":2010,"type":"post-weblog","title":"Environmental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Pr="000124EB">
        <w:rPr>
          <w:highlight w:val="yellow"/>
        </w:rPr>
        <w:fldChar w:fldCharType="separate"/>
      </w:r>
      <w:r w:rsidRPr="000124EB">
        <w:rPr>
          <w:highlight w:val="yellow"/>
        </w:rPr>
        <w:t>[59]</w:t>
      </w:r>
      <w:r w:rsidRPr="000124EB">
        <w:rPr>
          <w:highlight w:val="yellow"/>
        </w:rPr>
        <w:fldChar w:fldCharType="end"/>
      </w:r>
      <w:r w:rsidRPr="000124EB">
        <w:rPr>
          <w:highlight w:val="yellow"/>
        </w:rPr>
        <w:t>.</w:t>
      </w:r>
    </w:p>
    <w:p w14:paraId="6D8E4363" w14:textId="620DC058" w:rsidR="00AB34BE" w:rsidRPr="000124EB" w:rsidRDefault="00AB34BE" w:rsidP="00AB34BE">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7.</w:t>
      </w:r>
    </w:p>
    <w:p w14:paraId="05BC1592" w14:textId="4DA09C28" w:rsidR="00AB34BE" w:rsidRPr="000124EB" w:rsidRDefault="00AB34BE" w:rsidP="00F56B71">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56B71" w:rsidRPr="000124EB">
        <w:rPr>
          <w:highlight w:val="yellow"/>
        </w:rPr>
        <w:t>Its transferability relies on the influence of supply chain, the location of facilities, availability of RE procurement process, and financing of long-term clean energy investments.</w:t>
      </w:r>
    </w:p>
    <w:p w14:paraId="46F27C08" w14:textId="77777777" w:rsidR="00FE013C" w:rsidRPr="000124EB" w:rsidRDefault="00FE013C" w:rsidP="004C16FF">
      <w:pPr>
        <w:pStyle w:val="Heading2"/>
        <w:rPr>
          <w:color w:val="auto"/>
          <w:highlight w:val="yellow"/>
        </w:rPr>
      </w:pPr>
      <w:r w:rsidRPr="000124EB">
        <w:rPr>
          <w:color w:val="auto"/>
          <w:highlight w:val="yellow"/>
        </w:rPr>
        <w:t>8.6 Comparative Analysis</w:t>
      </w:r>
    </w:p>
    <w:p w14:paraId="2EDCFDF6" w14:textId="77777777" w:rsidR="00FB2184" w:rsidRPr="000124EB" w:rsidRDefault="00FB2184" w:rsidP="00FB2184">
      <w:pPr>
        <w:spacing w:after="120"/>
        <w:ind w:firstLine="480"/>
        <w:rPr>
          <w:highlight w:val="yellow"/>
        </w:rPr>
      </w:pPr>
      <w:r w:rsidRPr="000124EB">
        <w:rPr>
          <w:highlight w:val="yellow"/>
        </w:rPr>
        <w:t>Table 8 summarizes the accounting basis, publicly reported energy strategy, relevance to the framework, and key transferability limitations associated with each case study. Because annual renewable matching, hourly carbon-free energy matching, procurement coverage, and prospective energy-supply agreements represent fundamentally different measures, they should not be directly compared or ranked on a common basis.</w:t>
      </w:r>
    </w:p>
    <w:p w14:paraId="413ABD3C" w14:textId="111EC38C" w:rsidR="00FE013C" w:rsidRPr="000124EB" w:rsidRDefault="00FE013C" w:rsidP="004C16FF">
      <w:pPr>
        <w:pStyle w:val="Caption"/>
        <w:keepNext/>
        <w:rPr>
          <w:highlight w:val="yellow"/>
        </w:rPr>
      </w:pPr>
      <w:r w:rsidRPr="000124EB">
        <w:rPr>
          <w:highlight w:val="yellow"/>
        </w:rPr>
        <w:t xml:space="preserve">Table </w:t>
      </w:r>
      <w:r w:rsidRPr="000124EB">
        <w:rPr>
          <w:highlight w:val="yellow"/>
        </w:rPr>
        <w:fldChar w:fldCharType="begin"/>
      </w:r>
      <w:r w:rsidRPr="000124EB">
        <w:rPr>
          <w:highlight w:val="yellow"/>
        </w:rPr>
        <w:instrText xml:space="preserve"> SEQ Table \* ARABIC </w:instrText>
      </w:r>
      <w:r w:rsidRPr="000124EB">
        <w:rPr>
          <w:highlight w:val="yellow"/>
        </w:rPr>
        <w:fldChar w:fldCharType="separate"/>
      </w:r>
      <w:r w:rsidR="003A45CA" w:rsidRPr="000124EB">
        <w:rPr>
          <w:noProof/>
          <w:highlight w:val="yellow"/>
        </w:rPr>
        <w:t>8</w:t>
      </w:r>
      <w:r w:rsidRPr="000124EB">
        <w:rPr>
          <w:noProof/>
          <w:highlight w:val="yellow"/>
        </w:rPr>
        <w:fldChar w:fldCharType="end"/>
      </w:r>
      <w:r w:rsidRPr="000124EB">
        <w:rPr>
          <w:highlight w:val="yellow"/>
        </w:rPr>
        <w:t xml:space="preserve"> Comparative analysis of industry case studies</w:t>
      </w:r>
    </w:p>
    <w:tbl>
      <w:tblPr>
        <w:tblStyle w:val="MDPI41threelinetable"/>
        <w:tblW w:w="5000" w:type="pct"/>
        <w:tblLook w:val="04A0" w:firstRow="1" w:lastRow="0" w:firstColumn="1" w:lastColumn="0" w:noHBand="0" w:noVBand="1"/>
      </w:tblPr>
      <w:tblGrid>
        <w:gridCol w:w="1603"/>
        <w:gridCol w:w="1909"/>
        <w:gridCol w:w="1714"/>
        <w:gridCol w:w="1716"/>
        <w:gridCol w:w="1424"/>
        <w:gridCol w:w="1386"/>
      </w:tblGrid>
      <w:tr w:rsidR="00D518D6" w:rsidRPr="000124EB" w14:paraId="75737415" w14:textId="77777777" w:rsidTr="00BC04A7">
        <w:trPr>
          <w:cnfStyle w:val="100000000000" w:firstRow="1" w:lastRow="0" w:firstColumn="0" w:lastColumn="0" w:oddVBand="0" w:evenVBand="0" w:oddHBand="0" w:evenHBand="0" w:firstRowFirstColumn="0" w:firstRowLastColumn="0" w:lastRowFirstColumn="0" w:lastRowLastColumn="0"/>
        </w:trPr>
        <w:tc>
          <w:tcPr>
            <w:tcW w:w="822" w:type="pct"/>
          </w:tcPr>
          <w:p w14:paraId="057A76E6" w14:textId="4275399B" w:rsidR="00D518D6" w:rsidRPr="000124EB" w:rsidRDefault="00D518D6" w:rsidP="00D518D6">
            <w:pPr>
              <w:pStyle w:val="TableBody"/>
              <w:jc w:val="both"/>
              <w:rPr>
                <w:color w:val="auto"/>
                <w:sz w:val="18"/>
                <w:szCs w:val="18"/>
                <w:highlight w:val="yellow"/>
              </w:rPr>
            </w:pPr>
            <w:r w:rsidRPr="000124EB">
              <w:rPr>
                <w:sz w:val="18"/>
                <w:szCs w:val="18"/>
                <w:highlight w:val="yellow"/>
              </w:rPr>
              <w:t>Company</w:t>
            </w:r>
          </w:p>
        </w:tc>
        <w:tc>
          <w:tcPr>
            <w:tcW w:w="979" w:type="pct"/>
          </w:tcPr>
          <w:p w14:paraId="46300FB3" w14:textId="0FBDC594" w:rsidR="00D518D6" w:rsidRPr="000124EB" w:rsidRDefault="00D518D6" w:rsidP="00D518D6">
            <w:pPr>
              <w:pStyle w:val="TableBody"/>
              <w:jc w:val="both"/>
              <w:rPr>
                <w:color w:val="auto"/>
                <w:sz w:val="18"/>
                <w:szCs w:val="18"/>
                <w:highlight w:val="yellow"/>
              </w:rPr>
            </w:pPr>
            <w:r w:rsidRPr="000124EB">
              <w:rPr>
                <w:sz w:val="18"/>
                <w:szCs w:val="18"/>
                <w:highlight w:val="yellow"/>
              </w:rPr>
              <w:t>Reporting Year</w:t>
            </w:r>
          </w:p>
        </w:tc>
        <w:tc>
          <w:tcPr>
            <w:tcW w:w="879" w:type="pct"/>
          </w:tcPr>
          <w:p w14:paraId="3CD71E12" w14:textId="16815BB9" w:rsidR="00D518D6" w:rsidRPr="000124EB" w:rsidRDefault="00D518D6" w:rsidP="00D518D6">
            <w:pPr>
              <w:pStyle w:val="TableBody"/>
              <w:jc w:val="both"/>
              <w:rPr>
                <w:color w:val="auto"/>
                <w:sz w:val="18"/>
                <w:szCs w:val="18"/>
                <w:highlight w:val="yellow"/>
              </w:rPr>
            </w:pPr>
            <w:r w:rsidRPr="000124EB">
              <w:rPr>
                <w:sz w:val="18"/>
                <w:szCs w:val="18"/>
                <w:highlight w:val="yellow"/>
              </w:rPr>
              <w:t>Reported Metric</w:t>
            </w:r>
          </w:p>
        </w:tc>
        <w:tc>
          <w:tcPr>
            <w:tcW w:w="880" w:type="pct"/>
          </w:tcPr>
          <w:p w14:paraId="23A95C6D" w14:textId="0B47271C" w:rsidR="00D518D6" w:rsidRPr="000124EB" w:rsidRDefault="00D518D6" w:rsidP="00D518D6">
            <w:pPr>
              <w:pStyle w:val="TableBody"/>
              <w:jc w:val="both"/>
              <w:rPr>
                <w:color w:val="auto"/>
                <w:sz w:val="18"/>
                <w:szCs w:val="18"/>
                <w:highlight w:val="yellow"/>
              </w:rPr>
            </w:pPr>
            <w:r w:rsidRPr="000124EB">
              <w:rPr>
                <w:sz w:val="18"/>
                <w:szCs w:val="18"/>
                <w:highlight w:val="yellow"/>
              </w:rPr>
              <w:t>Accounting Basis</w:t>
            </w:r>
          </w:p>
        </w:tc>
        <w:tc>
          <w:tcPr>
            <w:tcW w:w="730" w:type="pct"/>
          </w:tcPr>
          <w:p w14:paraId="334B8ACE" w14:textId="6E797BC4" w:rsidR="00D518D6" w:rsidRPr="000124EB" w:rsidRDefault="00D518D6" w:rsidP="00D518D6">
            <w:pPr>
              <w:pStyle w:val="TableBody"/>
              <w:jc w:val="both"/>
              <w:rPr>
                <w:color w:val="auto"/>
                <w:sz w:val="18"/>
                <w:szCs w:val="18"/>
                <w:highlight w:val="yellow"/>
              </w:rPr>
            </w:pPr>
            <w:r w:rsidRPr="000124EB">
              <w:rPr>
                <w:sz w:val="18"/>
                <w:szCs w:val="18"/>
                <w:highlight w:val="yellow"/>
              </w:rPr>
              <w:t>Framework Relevance</w:t>
            </w:r>
          </w:p>
        </w:tc>
        <w:tc>
          <w:tcPr>
            <w:tcW w:w="711" w:type="pct"/>
          </w:tcPr>
          <w:p w14:paraId="7418C611" w14:textId="74D448A6" w:rsidR="00D518D6" w:rsidRPr="000124EB" w:rsidRDefault="00D518D6" w:rsidP="00D518D6">
            <w:pPr>
              <w:pStyle w:val="TableBody"/>
              <w:jc w:val="both"/>
              <w:rPr>
                <w:color w:val="auto"/>
                <w:sz w:val="18"/>
                <w:szCs w:val="18"/>
                <w:highlight w:val="yellow"/>
              </w:rPr>
            </w:pPr>
            <w:r w:rsidRPr="000124EB">
              <w:rPr>
                <w:sz w:val="18"/>
                <w:szCs w:val="18"/>
                <w:highlight w:val="yellow"/>
              </w:rPr>
              <w:t>Transferability Limitations</w:t>
            </w:r>
          </w:p>
        </w:tc>
      </w:tr>
      <w:tr w:rsidR="00D518D6" w:rsidRPr="000124EB" w14:paraId="7B036BF4" w14:textId="77777777" w:rsidTr="00BC04A7">
        <w:tc>
          <w:tcPr>
            <w:tcW w:w="822" w:type="pct"/>
          </w:tcPr>
          <w:p w14:paraId="693937D9" w14:textId="3F903C1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lastRenderedPageBreak/>
              <w:t>Google</w:t>
            </w:r>
          </w:p>
        </w:tc>
        <w:tc>
          <w:tcPr>
            <w:tcW w:w="979" w:type="pct"/>
          </w:tcPr>
          <w:p w14:paraId="5320612A" w14:textId="7B6A08B3"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1C3C603A" w14:textId="04DA1CB5" w:rsidR="00D518D6" w:rsidRPr="000124EB" w:rsidRDefault="00D518D6" w:rsidP="00D518D6">
            <w:pPr>
              <w:pStyle w:val="TableBody"/>
              <w:jc w:val="both"/>
              <w:rPr>
                <w:b/>
                <w:bCs/>
                <w:color w:val="auto"/>
                <w:sz w:val="18"/>
                <w:szCs w:val="18"/>
                <w:highlight w:val="yellow"/>
              </w:rPr>
            </w:pPr>
            <w:r w:rsidRPr="000124EB">
              <w:rPr>
                <w:sz w:val="18"/>
                <w:szCs w:val="18"/>
                <w:highlight w:val="yellow"/>
              </w:rPr>
              <w:t>66% global hourly CFE use</w:t>
            </w:r>
          </w:p>
        </w:tc>
        <w:tc>
          <w:tcPr>
            <w:tcW w:w="880" w:type="pct"/>
          </w:tcPr>
          <w:p w14:paraId="53444DFC" w14:textId="1E07525F" w:rsidR="00D518D6" w:rsidRPr="000124EB" w:rsidRDefault="00D518D6" w:rsidP="00D518D6">
            <w:pPr>
              <w:pStyle w:val="TableBody"/>
              <w:jc w:val="both"/>
              <w:rPr>
                <w:b/>
                <w:bCs/>
                <w:color w:val="auto"/>
                <w:sz w:val="18"/>
                <w:szCs w:val="18"/>
                <w:highlight w:val="yellow"/>
              </w:rPr>
            </w:pPr>
            <w:r w:rsidRPr="000124EB">
              <w:rPr>
                <w:sz w:val="18"/>
                <w:szCs w:val="18"/>
                <w:highlight w:val="yellow"/>
              </w:rPr>
              <w:t>Hourly carbon-free energy matching</w:t>
            </w:r>
          </w:p>
        </w:tc>
        <w:tc>
          <w:tcPr>
            <w:tcW w:w="730" w:type="pct"/>
          </w:tcPr>
          <w:p w14:paraId="7E70B03C" w14:textId="2042A81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2, 4, 5, 6, and 7</w:t>
            </w:r>
          </w:p>
        </w:tc>
        <w:tc>
          <w:tcPr>
            <w:tcW w:w="711" w:type="pct"/>
          </w:tcPr>
          <w:p w14:paraId="4425D905" w14:textId="50FE9502" w:rsidR="00D518D6" w:rsidRPr="000124EB" w:rsidRDefault="00D518D6" w:rsidP="00D518D6">
            <w:pPr>
              <w:pStyle w:val="TableBody"/>
              <w:jc w:val="both"/>
              <w:rPr>
                <w:b/>
                <w:bCs/>
                <w:color w:val="auto"/>
                <w:sz w:val="18"/>
                <w:szCs w:val="18"/>
                <w:highlight w:val="yellow"/>
              </w:rPr>
            </w:pPr>
            <w:r w:rsidRPr="000124EB">
              <w:rPr>
                <w:sz w:val="18"/>
                <w:szCs w:val="18"/>
                <w:highlight w:val="yellow"/>
              </w:rPr>
              <w:t>Requires large-scale procurement, regional market access, and workload flexibility</w:t>
            </w:r>
          </w:p>
        </w:tc>
      </w:tr>
      <w:tr w:rsidR="00D518D6" w:rsidRPr="000124EB" w14:paraId="3EF64DD8" w14:textId="77777777" w:rsidTr="00BC04A7">
        <w:tc>
          <w:tcPr>
            <w:tcW w:w="822" w:type="pct"/>
          </w:tcPr>
          <w:p w14:paraId="4D51795C" w14:textId="18DEBDF2"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Meta</w:t>
            </w:r>
          </w:p>
        </w:tc>
        <w:tc>
          <w:tcPr>
            <w:tcW w:w="979" w:type="pct"/>
          </w:tcPr>
          <w:p w14:paraId="49A992DE" w14:textId="3EA9EF17"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9741D54" w14:textId="56F65E03" w:rsidR="00D518D6" w:rsidRPr="000124EB" w:rsidRDefault="00D518D6" w:rsidP="00D518D6">
            <w:pPr>
              <w:pStyle w:val="TableBody"/>
              <w:jc w:val="both"/>
              <w:rPr>
                <w:b/>
                <w:bCs/>
                <w:color w:val="auto"/>
                <w:sz w:val="18"/>
                <w:szCs w:val="18"/>
                <w:highlight w:val="yellow"/>
              </w:rPr>
            </w:pPr>
            <w:r w:rsidRPr="000124EB">
              <w:rPr>
                <w:sz w:val="18"/>
                <w:szCs w:val="18"/>
                <w:highlight w:val="yellow"/>
              </w:rPr>
              <w:t xml:space="preserve">100% operational electricity </w:t>
            </w:r>
            <w:proofErr w:type="gramStart"/>
            <w:r w:rsidRPr="000124EB">
              <w:rPr>
                <w:sz w:val="18"/>
                <w:szCs w:val="18"/>
                <w:highlight w:val="yellow"/>
              </w:rPr>
              <w:t>matched with</w:t>
            </w:r>
            <w:proofErr w:type="gramEnd"/>
            <w:r w:rsidRPr="000124EB">
              <w:rPr>
                <w:sz w:val="18"/>
                <w:szCs w:val="18"/>
                <w:highlight w:val="yellow"/>
              </w:rPr>
              <w:t xml:space="preserve"> clean and renewable energy</w:t>
            </w:r>
          </w:p>
        </w:tc>
        <w:tc>
          <w:tcPr>
            <w:tcW w:w="880" w:type="pct"/>
          </w:tcPr>
          <w:p w14:paraId="4695C85A" w14:textId="391F5839" w:rsidR="00D518D6" w:rsidRPr="000124EB" w:rsidRDefault="00D518D6" w:rsidP="00D518D6">
            <w:pPr>
              <w:pStyle w:val="TableBody"/>
              <w:jc w:val="both"/>
              <w:rPr>
                <w:b/>
                <w:bCs/>
                <w:color w:val="auto"/>
                <w:sz w:val="18"/>
                <w:szCs w:val="18"/>
                <w:highlight w:val="yellow"/>
              </w:rPr>
            </w:pPr>
            <w:r w:rsidRPr="000124EB">
              <w:rPr>
                <w:sz w:val="18"/>
                <w:szCs w:val="18"/>
                <w:highlight w:val="yellow"/>
              </w:rPr>
              <w:t>Annual renewable-energy matching and procurement coverage</w:t>
            </w:r>
          </w:p>
        </w:tc>
        <w:tc>
          <w:tcPr>
            <w:tcW w:w="730" w:type="pct"/>
          </w:tcPr>
          <w:p w14:paraId="7B33FE4E" w14:textId="437BA23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14AFFFD5" w14:textId="4B2D0221" w:rsidR="00D518D6" w:rsidRPr="000124EB" w:rsidRDefault="00D518D6" w:rsidP="00D518D6">
            <w:pPr>
              <w:pStyle w:val="TableBody"/>
              <w:jc w:val="both"/>
              <w:rPr>
                <w:b/>
                <w:bCs/>
                <w:color w:val="auto"/>
                <w:sz w:val="18"/>
                <w:szCs w:val="18"/>
                <w:highlight w:val="yellow"/>
              </w:rPr>
            </w:pPr>
            <w:r w:rsidRPr="000124EB">
              <w:rPr>
                <w:sz w:val="18"/>
                <w:szCs w:val="18"/>
                <w:highlight w:val="yellow"/>
              </w:rPr>
              <w:t>Does not demonstrate hourly CFE or continuous physical supply</w:t>
            </w:r>
          </w:p>
        </w:tc>
      </w:tr>
      <w:tr w:rsidR="00D518D6" w:rsidRPr="000124EB" w14:paraId="6CC7FCCE" w14:textId="77777777" w:rsidTr="00BC04A7">
        <w:tc>
          <w:tcPr>
            <w:tcW w:w="822" w:type="pct"/>
          </w:tcPr>
          <w:p w14:paraId="0A152B8B" w14:textId="5533D510"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Microsoft</w:t>
            </w:r>
          </w:p>
        </w:tc>
        <w:tc>
          <w:tcPr>
            <w:tcW w:w="979" w:type="pct"/>
          </w:tcPr>
          <w:p w14:paraId="69341F54" w14:textId="4AF995F0"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FA2BD53" w14:textId="09282CCD" w:rsidR="00D518D6" w:rsidRPr="000124EB" w:rsidRDefault="00D518D6" w:rsidP="00D518D6">
            <w:pPr>
              <w:pStyle w:val="TableBody"/>
              <w:jc w:val="both"/>
              <w:rPr>
                <w:b/>
                <w:bCs/>
                <w:color w:val="auto"/>
                <w:sz w:val="18"/>
                <w:szCs w:val="18"/>
                <w:highlight w:val="yellow"/>
              </w:rPr>
            </w:pPr>
            <w:r w:rsidRPr="000124EB">
              <w:rPr>
                <w:sz w:val="18"/>
                <w:szCs w:val="18"/>
                <w:highlight w:val="yellow"/>
              </w:rPr>
              <w:t>Clean-energy procurement and emerging-energy projects</w:t>
            </w:r>
          </w:p>
        </w:tc>
        <w:tc>
          <w:tcPr>
            <w:tcW w:w="880" w:type="pct"/>
          </w:tcPr>
          <w:p w14:paraId="7145CA87" w14:textId="1A1BD8BA"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 sustainability reporting and prospective project-specific agreements</w:t>
            </w:r>
          </w:p>
        </w:tc>
        <w:tc>
          <w:tcPr>
            <w:tcW w:w="730" w:type="pct"/>
          </w:tcPr>
          <w:p w14:paraId="1D7791C9" w14:textId="35EF91A7"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3, 4, and 7</w:t>
            </w:r>
          </w:p>
        </w:tc>
        <w:tc>
          <w:tcPr>
            <w:tcW w:w="711" w:type="pct"/>
          </w:tcPr>
          <w:p w14:paraId="0F207F80" w14:textId="7A9C64AD" w:rsidR="00D518D6" w:rsidRPr="000124EB" w:rsidRDefault="00D518D6" w:rsidP="00D518D6">
            <w:pPr>
              <w:pStyle w:val="TableBody"/>
              <w:jc w:val="both"/>
              <w:rPr>
                <w:b/>
                <w:bCs/>
                <w:color w:val="auto"/>
                <w:sz w:val="18"/>
                <w:szCs w:val="18"/>
                <w:highlight w:val="yellow"/>
              </w:rPr>
            </w:pPr>
            <w:r w:rsidRPr="000124EB">
              <w:rPr>
                <w:sz w:val="18"/>
                <w:szCs w:val="18"/>
                <w:highlight w:val="yellow"/>
              </w:rPr>
              <w:t>Many initiatives remain dependent on commercial maturity and regulatory approval</w:t>
            </w:r>
          </w:p>
        </w:tc>
      </w:tr>
      <w:tr w:rsidR="00D518D6" w:rsidRPr="000124EB" w14:paraId="599B5E34" w14:textId="77777777" w:rsidTr="00BC04A7">
        <w:tc>
          <w:tcPr>
            <w:tcW w:w="822" w:type="pct"/>
          </w:tcPr>
          <w:p w14:paraId="4F3A6A97" w14:textId="136FFEF5"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Equinix</w:t>
            </w:r>
          </w:p>
        </w:tc>
        <w:tc>
          <w:tcPr>
            <w:tcW w:w="979" w:type="pct"/>
          </w:tcPr>
          <w:p w14:paraId="0F17F129" w14:textId="4911A484" w:rsidR="00D518D6" w:rsidRPr="000124EB" w:rsidRDefault="00D518D6" w:rsidP="00D518D6">
            <w:pPr>
              <w:pStyle w:val="TableBody"/>
              <w:jc w:val="both"/>
              <w:rPr>
                <w:b/>
                <w:bCs/>
                <w:color w:val="auto"/>
                <w:sz w:val="18"/>
                <w:szCs w:val="18"/>
                <w:highlight w:val="yellow"/>
              </w:rPr>
            </w:pPr>
            <w:r w:rsidRPr="000124EB">
              <w:rPr>
                <w:sz w:val="18"/>
                <w:szCs w:val="18"/>
                <w:highlight w:val="yellow"/>
              </w:rPr>
              <w:t>2025</w:t>
            </w:r>
          </w:p>
        </w:tc>
        <w:tc>
          <w:tcPr>
            <w:tcW w:w="879" w:type="pct"/>
          </w:tcPr>
          <w:p w14:paraId="248B5E41" w14:textId="0C63FABE" w:rsidR="00D518D6" w:rsidRPr="000124EB" w:rsidRDefault="00D518D6" w:rsidP="00D518D6">
            <w:pPr>
              <w:pStyle w:val="TableBody"/>
              <w:jc w:val="both"/>
              <w:rPr>
                <w:b/>
                <w:bCs/>
                <w:color w:val="auto"/>
                <w:sz w:val="18"/>
                <w:szCs w:val="18"/>
                <w:highlight w:val="yellow"/>
              </w:rPr>
            </w:pPr>
            <w:r w:rsidRPr="000124EB">
              <w:rPr>
                <w:sz w:val="18"/>
                <w:szCs w:val="18"/>
                <w:highlight w:val="yellow"/>
              </w:rPr>
              <w:t>96% renewable-energy coverage</w:t>
            </w:r>
          </w:p>
        </w:tc>
        <w:tc>
          <w:tcPr>
            <w:tcW w:w="880" w:type="pct"/>
          </w:tcPr>
          <w:p w14:paraId="11ABAB79" w14:textId="28A24429" w:rsidR="00D518D6" w:rsidRPr="000124EB" w:rsidRDefault="00D518D6" w:rsidP="00D518D6">
            <w:pPr>
              <w:pStyle w:val="TableBody"/>
              <w:jc w:val="both"/>
              <w:rPr>
                <w:b/>
                <w:bCs/>
                <w:color w:val="auto"/>
                <w:sz w:val="18"/>
                <w:szCs w:val="18"/>
                <w:highlight w:val="yellow"/>
              </w:rPr>
            </w:pPr>
            <w:r w:rsidRPr="000124EB">
              <w:rPr>
                <w:sz w:val="18"/>
                <w:szCs w:val="18"/>
                <w:highlight w:val="yellow"/>
              </w:rPr>
              <w:t>Portfolio-level procurement coverage</w:t>
            </w:r>
          </w:p>
        </w:tc>
        <w:tc>
          <w:tcPr>
            <w:tcW w:w="730" w:type="pct"/>
          </w:tcPr>
          <w:p w14:paraId="01DDFBDB" w14:textId="30DD794D"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5, 6, and 7</w:t>
            </w:r>
          </w:p>
        </w:tc>
        <w:tc>
          <w:tcPr>
            <w:tcW w:w="711" w:type="pct"/>
          </w:tcPr>
          <w:p w14:paraId="3C13AB32" w14:textId="35669E1A"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Renewable-energy coverage is not equivalent to hourly CFE</w:t>
            </w:r>
          </w:p>
        </w:tc>
      </w:tr>
      <w:tr w:rsidR="00D518D6" w14:paraId="6388196F" w14:textId="77777777" w:rsidTr="00BC04A7">
        <w:tc>
          <w:tcPr>
            <w:tcW w:w="822" w:type="pct"/>
          </w:tcPr>
          <w:p w14:paraId="3879D4D9" w14:textId="7E5D779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Apple</w:t>
            </w:r>
          </w:p>
        </w:tc>
        <w:tc>
          <w:tcPr>
            <w:tcW w:w="979" w:type="pct"/>
          </w:tcPr>
          <w:p w14:paraId="34E74826" w14:textId="3A535735"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27C79FF0" w14:textId="430B9CA9"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 energy for corporate facilities and 17.8 GW supplier clean energy</w:t>
            </w:r>
          </w:p>
        </w:tc>
        <w:tc>
          <w:tcPr>
            <w:tcW w:w="880" w:type="pct"/>
          </w:tcPr>
          <w:p w14:paraId="304F94A1" w14:textId="3A3CA361"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Corporate-facility renewable matching and supply-chain procurement</w:t>
            </w:r>
          </w:p>
        </w:tc>
        <w:tc>
          <w:tcPr>
            <w:tcW w:w="730" w:type="pct"/>
          </w:tcPr>
          <w:p w14:paraId="7805A12D" w14:textId="1DB67950"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0B054080" w14:textId="731DAAE9" w:rsidR="00D518D6" w:rsidRPr="00BC04A7" w:rsidRDefault="00D518D6" w:rsidP="00D518D6">
            <w:pPr>
              <w:pStyle w:val="TableBody"/>
              <w:jc w:val="both"/>
              <w:rPr>
                <w:b/>
                <w:bCs/>
                <w:color w:val="auto"/>
                <w:sz w:val="18"/>
                <w:szCs w:val="18"/>
              </w:rPr>
            </w:pPr>
            <w:r w:rsidRPr="000124EB">
              <w:rPr>
                <w:sz w:val="18"/>
                <w:szCs w:val="18"/>
                <w:highlight w:val="yellow"/>
              </w:rPr>
              <w:t>Corporate matching does not demonstrate continuous physical renewable supply</w:t>
            </w:r>
          </w:p>
        </w:tc>
      </w:tr>
    </w:tbl>
    <w:p w14:paraId="7744943B" w14:textId="65D60E89" w:rsidR="00FE013C" w:rsidRDefault="00FE013C" w:rsidP="004C16FF">
      <w:pPr>
        <w:spacing w:after="120"/>
        <w:ind w:firstLine="480"/>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renewable </w:t>
      </w:r>
      <w:r w:rsidR="00030122">
        <w:t>utilization</w:t>
      </w:r>
      <w:r>
        <w:t>;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CF7A4A1" w14:textId="77777777" w:rsidR="00FE013C" w:rsidRDefault="00FE013C" w:rsidP="004C16FF">
      <w:pPr>
        <w:pStyle w:val="Heading1"/>
        <w:jc w:val="both"/>
        <w:rPr>
          <w:color w:val="auto"/>
        </w:rPr>
      </w:pPr>
      <w:r>
        <w:rPr>
          <w:color w:val="auto"/>
          <w:lang w:eastAsia="zh-CN"/>
        </w:rPr>
        <w:t xml:space="preserve">9. </w:t>
      </w:r>
      <w:r>
        <w:rPr>
          <w:color w:val="auto"/>
        </w:rPr>
        <w:t>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2A6586" w:rsidRDefault="00FE013C" w:rsidP="004C16FF">
      <w:pPr>
        <w:pStyle w:val="Heading2"/>
        <w:rPr>
          <w:color w:val="auto"/>
          <w:highlight w:val="yellow"/>
        </w:rPr>
      </w:pPr>
      <w:r w:rsidRPr="002A6586">
        <w:rPr>
          <w:color w:val="auto"/>
          <w:highlight w:val="yellow"/>
        </w:rPr>
        <w:t>9.1 Intermittency and Predictability</w:t>
      </w:r>
    </w:p>
    <w:p w14:paraId="64B116EA" w14:textId="70384C5C" w:rsidR="00044955" w:rsidRPr="002A6586" w:rsidRDefault="00044955" w:rsidP="001B74A6">
      <w:pPr>
        <w:spacing w:after="120"/>
        <w:ind w:firstLine="480"/>
        <w:rPr>
          <w:highlight w:val="yellow"/>
        </w:rPr>
      </w:pPr>
      <w:r w:rsidRPr="002A6586">
        <w:rPr>
          <w:highlight w:val="yellow"/>
        </w:rPr>
        <w:t xml:space="preserve">Solar and wind generation is unpredictable on a range of time levels from seconds and minutes right up to seasons. Forecast error also creates uncertainty in the scheduling and dispatching and this uncertainty needs to be addressed by a mix of flexible demand, storage, grid exchange, backup resources and operating reserves. However, storage duration cannot be determined from a generalized solar-only or wind-only range, as this requirement varies based on chronological resource profile, load characteristics, grid availability, reliability requirements, and operational strategy. For project sizing, </w:t>
      </w:r>
      <w:r w:rsidRPr="002A6586">
        <w:rPr>
          <w:highlight w:val="yellow"/>
        </w:rPr>
        <w:lastRenderedPageBreak/>
        <w:t>multi-year chronological analysis should be used with the temporal resolution relevant to the planning question</w:t>
      </w:r>
      <w:r w:rsidRPr="002A6586">
        <w:rPr>
          <w:highlight w:val="yellow"/>
        </w:rPr>
        <w:fldChar w:fldCharType="begin"/>
      </w:r>
      <w:r w:rsidRPr="002A6586">
        <w:rPr>
          <w:highlight w:val="yellow"/>
        </w:rPr>
        <w:instrText xml:space="preserve"> ADDIN ZOTERO_ITEM CSL_CITATION {"citationID":"AurF55j7","properties":{"unsorted":false,"formattedCitation":"[85]","plainCitation":"[85]","noteIndex":0},"citationItems":[{"id":2031,"uris":["http://zotero.org/users/9870935/items/AC53WR7L"],"itemData":{"id":2031,"type":"article-journal","abstract":"The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Pr="002A6586">
        <w:rPr>
          <w:highlight w:val="yellow"/>
        </w:rPr>
        <w:fldChar w:fldCharType="separate"/>
      </w:r>
      <w:r w:rsidRPr="002A6586">
        <w:rPr>
          <w:highlight w:val="yellow"/>
        </w:rPr>
        <w:t>[84]</w:t>
      </w:r>
      <w:r w:rsidRPr="002A6586">
        <w:rPr>
          <w:highlight w:val="yellow"/>
        </w:rPr>
        <w:fldChar w:fldCharType="end"/>
      </w:r>
      <w:r w:rsidRPr="002A6586">
        <w:rPr>
          <w:highlight w:val="yellow"/>
        </w:rPr>
        <w:t xml:space="preserve">, </w:t>
      </w:r>
      <w:r w:rsidRPr="002A6586">
        <w:rPr>
          <w:highlight w:val="yellow"/>
        </w:rPr>
        <w:fldChar w:fldCharType="begin"/>
      </w:r>
      <w:r w:rsidRPr="002A6586">
        <w:rPr>
          <w:highlight w:val="yellow"/>
        </w:rPr>
        <w:instrText xml:space="preserve"> ADDIN ZOTERO_ITEM CSL_CITATION {"citationID":"B5ImwyE7","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Pr="002A6586">
        <w:rPr>
          <w:highlight w:val="yellow"/>
        </w:rPr>
        <w:fldChar w:fldCharType="separate"/>
      </w:r>
      <w:r w:rsidRPr="002A6586">
        <w:rPr>
          <w:highlight w:val="yellow"/>
        </w:rPr>
        <w:t>[142]</w:t>
      </w:r>
      <w:r w:rsidRPr="002A6586">
        <w:rPr>
          <w:highlight w:val="yellow"/>
        </w:rPr>
        <w:fldChar w:fldCharType="end"/>
      </w:r>
      <w:r w:rsidRPr="002A6586">
        <w:rPr>
          <w:highlight w:val="yellow"/>
        </w:rPr>
        <w:t>.</w:t>
      </w:r>
    </w:p>
    <w:p w14:paraId="12AA3842" w14:textId="2C48BD37" w:rsidR="00FE013C" w:rsidRPr="002A6586" w:rsidRDefault="0000519F" w:rsidP="00604B63">
      <w:pPr>
        <w:spacing w:after="120"/>
        <w:ind w:firstLine="480"/>
        <w:rPr>
          <w:highlight w:val="yellow"/>
        </w:rPr>
      </w:pPr>
      <w:r w:rsidRPr="002A6586">
        <w:rPr>
          <w:highlight w:val="yellow"/>
        </w:rPr>
        <w:t xml:space="preserve">Geographic diversity across multiple facilities can reduce aggregate renewable-generation variability when renewable-resource profiles are not strongly correlated. Published studies have shown that spatial smoothing may improve generation diversity and reduce variability relative to single-site deployments; however, the magnitude of the benefit depends on geographic separation, weather patterns, resource characteristics, transmission availability, and temporal resolution of the analysis </w:t>
      </w:r>
      <w:r w:rsidR="00FE013C" w:rsidRPr="002A6586">
        <w:rPr>
          <w:highlight w:val="yellow"/>
        </w:rPr>
        <w:fldChar w:fldCharType="begin"/>
      </w:r>
      <w:r w:rsidR="007D29E8" w:rsidRPr="002A6586">
        <w:rPr>
          <w:highlight w:val="yellow"/>
        </w:rPr>
        <w:instrText xml:space="preserve"> ADDIN ZOTERO_ITEM CSL_CITATION {"citationID":"ntStXCHv","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E013C" w:rsidRPr="002A6586">
        <w:rPr>
          <w:highlight w:val="yellow"/>
        </w:rPr>
        <w:fldChar w:fldCharType="separate"/>
      </w:r>
      <w:r w:rsidR="007D29E8" w:rsidRPr="002A6586">
        <w:rPr>
          <w:highlight w:val="yellow"/>
        </w:rPr>
        <w:t>[105]</w:t>
      </w:r>
      <w:r w:rsidR="00FE013C" w:rsidRPr="002A6586">
        <w:rPr>
          <w:highlight w:val="yellow"/>
        </w:rPr>
        <w:fldChar w:fldCharType="end"/>
      </w:r>
      <w:r w:rsidR="00FE013C" w:rsidRPr="002A6586">
        <w:rPr>
          <w:highlight w:val="yellow"/>
        </w:rPr>
        <w:t xml:space="preserve">. </w:t>
      </w:r>
      <w:r w:rsidR="00604B63" w:rsidRPr="002A6586">
        <w:rPr>
          <w:highlight w:val="yellow"/>
        </w:rPr>
        <w:t xml:space="preserve">Consequently, any reduction in storage requirements or renewable-generation variability should be quantified using geographically resolved chronological simulations rather than assumed from generalized percentages. For multi-facility operators, geographic diversification may improve system flexibility and renewable-energy utilization while enabling more effective use of shared transmission and grid-interconnection infrastructure </w:t>
      </w:r>
      <w:r w:rsidR="00FE013C" w:rsidRPr="002A6586">
        <w:rPr>
          <w:highlight w:val="yellow"/>
        </w:rPr>
        <w:fldChar w:fldCharType="begin"/>
      </w:r>
      <w:r w:rsidR="001B74A6" w:rsidRPr="002A6586">
        <w:rPr>
          <w:highlight w:val="yellow"/>
        </w:rPr>
        <w:instrText xml:space="preserve"> ADDIN ZOTERO_ITEM CSL_CITATION {"citationID":"0CGGN4om","properties":{"unsorted":false,"formattedCitation":"[160]","plainCitation":"[160]","noteIndex":0},"citationItems":[{"id":217,"uris":["http://zotero.org/users/9870935/items/MST8XCTD"],"itemData":{"id":217,"type":"article-journal","container-title":"IEEE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FE013C" w:rsidRPr="002A6586">
        <w:rPr>
          <w:highlight w:val="yellow"/>
        </w:rPr>
        <w:fldChar w:fldCharType="separate"/>
      </w:r>
      <w:r w:rsidR="001B74A6" w:rsidRPr="002A6586">
        <w:rPr>
          <w:highlight w:val="yellow"/>
        </w:rPr>
        <w:t>[159]</w:t>
      </w:r>
      <w:r w:rsidR="00FE013C" w:rsidRPr="002A6586">
        <w:rPr>
          <w:highlight w:val="yellow"/>
        </w:rPr>
        <w:fldChar w:fldCharType="end"/>
      </w:r>
      <w:r w:rsidR="00FE013C" w:rsidRPr="002A6586">
        <w:rPr>
          <w:highlight w:val="yellow"/>
        </w:rPr>
        <w:t>.</w:t>
      </w:r>
    </w:p>
    <w:p w14:paraId="273CF30D" w14:textId="77777777" w:rsidR="00FE013C" w:rsidRPr="002A6586" w:rsidRDefault="00FE013C" w:rsidP="004C16FF">
      <w:pPr>
        <w:pStyle w:val="Heading2"/>
        <w:rPr>
          <w:color w:val="auto"/>
          <w:highlight w:val="yellow"/>
        </w:rPr>
      </w:pPr>
      <w:r w:rsidRPr="002A6586">
        <w:rPr>
          <w:color w:val="auto"/>
          <w:highlight w:val="yellow"/>
        </w:rPr>
        <w:t>9.2 Grid Stability and Frequency Control</w:t>
      </w:r>
    </w:p>
    <w:p w14:paraId="6845009A" w14:textId="77777777" w:rsidR="00FE013C" w:rsidRPr="002A6586" w:rsidRDefault="00FE013C" w:rsidP="004C16FF">
      <w:pPr>
        <w:spacing w:after="120"/>
        <w:ind w:firstLine="480"/>
        <w:rPr>
          <w:highlight w:val="yellow"/>
        </w:rPr>
      </w:pPr>
      <w:r w:rsidRPr="002A6586">
        <w:rPr>
          <w:highlight w:val="yellow"/>
        </w:rPr>
        <w:t>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 the rate of change of frequency (</w:t>
      </w:r>
      <w:proofErr w:type="spellStart"/>
      <w:r w:rsidRPr="002A6586">
        <w:rPr>
          <w:highlight w:val="yellow"/>
        </w:rPr>
        <w:t>RoCoF</w:t>
      </w:r>
      <w:proofErr w:type="spellEnd"/>
      <w:r w:rsidRPr="002A6586">
        <w:rPr>
          <w:highlight w:val="yellow"/>
        </w:rPr>
        <w:t>)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using control algorithms that replicate the inertial reaction of a synchronous machine</w:t>
      </w:r>
      <w:r w:rsidRPr="002A6586">
        <w:rPr>
          <w:highlight w:val="yellow"/>
        </w:rPr>
        <w:fldChar w:fldCharType="begin"/>
      </w:r>
      <w:r w:rsidRPr="002A6586">
        <w:rPr>
          <w:highlight w:val="yellow"/>
        </w:rP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Pr="002A6586">
        <w:rPr>
          <w:highlight w:val="yellow"/>
        </w:rPr>
        <w:fldChar w:fldCharType="separate"/>
      </w:r>
      <w:r w:rsidRPr="002A6586">
        <w:rPr>
          <w:highlight w:val="yellow"/>
        </w:rPr>
        <w:t>[18]</w:t>
      </w:r>
      <w:r w:rsidRPr="002A6586">
        <w:rPr>
          <w:highlight w:val="yellow"/>
        </w:rPr>
        <w:fldChar w:fldCharType="end"/>
      </w:r>
      <w:r w:rsidRPr="002A6586">
        <w:rPr>
          <w:highlight w:val="yellow"/>
        </w:rPr>
        <w:t>.</w:t>
      </w:r>
    </w:p>
    <w:p w14:paraId="3A350DB4" w14:textId="1C4A2085" w:rsidR="00FE013C" w:rsidRPr="002A6586" w:rsidRDefault="00FE013C" w:rsidP="001B74A6">
      <w:pPr>
        <w:spacing w:after="120"/>
        <w:ind w:firstLine="480"/>
        <w:rPr>
          <w:highlight w:val="yellow"/>
        </w:rPr>
      </w:pPr>
      <w:r w:rsidRPr="002A6586">
        <w:rPr>
          <w:highlight w:val="yellow"/>
        </w:rPr>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rsidRPr="002A6586">
        <w:rPr>
          <w:highlight w:val="yellow"/>
        </w:rPr>
        <w:fldChar w:fldCharType="begin"/>
      </w:r>
      <w:r w:rsidR="001B74A6" w:rsidRPr="002A6586">
        <w:rPr>
          <w:highlight w:val="yellow"/>
        </w:rPr>
        <w:instrText xml:space="preserve"> ADDIN ZOTERO_ITEM CSL_CITATION {"citationID":"MGfld3cH","properties":{"unsorted":false,"formattedCitation":"[162]","plainCitation":"[162]","noteIndex":0},"citationItems":[{"id":1100,"uris":["http://zotero.org/users/9870935/items/E7VUD4ZH"],"itemData":{"id":1100,"type":"article-journal","abstract":"Abstract\n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Pr="002A6586">
        <w:rPr>
          <w:highlight w:val="yellow"/>
        </w:rPr>
        <w:fldChar w:fldCharType="separate"/>
      </w:r>
      <w:r w:rsidR="001B74A6" w:rsidRPr="002A6586">
        <w:rPr>
          <w:highlight w:val="yellow"/>
        </w:rPr>
        <w:t>[161]</w:t>
      </w:r>
      <w:r w:rsidRPr="002A6586">
        <w:rPr>
          <w:highlight w:val="yellow"/>
        </w:rPr>
        <w:fldChar w:fldCharType="end"/>
      </w:r>
      <w:r w:rsidRPr="002A6586">
        <w:rPr>
          <w:highlight w:val="yellow"/>
        </w:rPr>
        <w:t>.</w:t>
      </w:r>
    </w:p>
    <w:p w14:paraId="205B929A" w14:textId="77777777" w:rsidR="00FE013C" w:rsidRPr="002A6586" w:rsidRDefault="00FE013C" w:rsidP="004C16FF">
      <w:pPr>
        <w:pStyle w:val="Heading2"/>
        <w:rPr>
          <w:color w:val="auto"/>
          <w:highlight w:val="yellow"/>
        </w:rPr>
      </w:pPr>
      <w:r w:rsidRPr="002A6586">
        <w:rPr>
          <w:color w:val="auto"/>
          <w:highlight w:val="yellow"/>
        </w:rPr>
        <w:t>9.3. Power Quality and Harmonic Distortion</w:t>
      </w:r>
    </w:p>
    <w:p w14:paraId="7413DA1C" w14:textId="63B80CAB" w:rsidR="00FE013C" w:rsidRPr="002A6586" w:rsidRDefault="00FE013C" w:rsidP="00E11FE4">
      <w:pPr>
        <w:spacing w:after="120"/>
        <w:ind w:firstLine="480"/>
        <w:rPr>
          <w:highlight w:val="yellow"/>
        </w:rPr>
      </w:pPr>
      <w:r w:rsidRPr="002A6586">
        <w:rPr>
          <w:highlight w:val="yellow"/>
        </w:rPr>
        <w:t xml:space="preserve">Data </w:t>
      </w:r>
      <w:r w:rsidR="00580BAE" w:rsidRPr="002A6586">
        <w:rPr>
          <w:highlight w:val="yellow"/>
        </w:rPr>
        <w:t>center</w:t>
      </w:r>
      <w:r w:rsidRPr="002A6586">
        <w:rPr>
          <w:highlight w:val="yellow"/>
        </w:rPr>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 at the POC, especially when the load is light and the harmonic currents are significant portions of the total current</w:t>
      </w:r>
      <w:r w:rsidRPr="002A6586">
        <w:rPr>
          <w:highlight w:val="yellow"/>
        </w:rPr>
        <w:fldChar w:fldCharType="begin"/>
      </w:r>
      <w:r w:rsidR="00E11FE4" w:rsidRPr="002A6586">
        <w:rPr>
          <w:highlight w:val="yellow"/>
        </w:rPr>
        <w:instrText xml:space="preserve"> ADDIN ZOTERO_ITEM CSL_CITATION {"citationID":"UtPmplxF","properties":{"unsorted":false,"formattedCitation":"[51]","plainCitation":"[51]","noteIndex":0},"citationItems":[{"id":1993,"uris":["http://zotero.org/users/9870935/items/2D54TKGT"],"itemData":{"id":1993,"type":"paper-conference","container-title":"2024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Pr="002A6586">
        <w:rPr>
          <w:highlight w:val="yellow"/>
        </w:rPr>
        <w:fldChar w:fldCharType="separate"/>
      </w:r>
      <w:r w:rsidR="00E11FE4" w:rsidRPr="002A6586">
        <w:rPr>
          <w:highlight w:val="yellow"/>
        </w:rPr>
        <w:t>[51]</w:t>
      </w:r>
      <w:r w:rsidRPr="002A6586">
        <w:rPr>
          <w:highlight w:val="yellow"/>
        </w:rPr>
        <w:fldChar w:fldCharType="end"/>
      </w:r>
      <w:r w:rsidRPr="002A6586">
        <w:rPr>
          <w:highlight w:val="yellow"/>
        </w:rPr>
        <w:t>.</w:t>
      </w:r>
    </w:p>
    <w:p w14:paraId="38A35EE8" w14:textId="79CA68F4" w:rsidR="00FE013C" w:rsidRPr="002A6586" w:rsidRDefault="00FE013C" w:rsidP="000B0F03">
      <w:pPr>
        <w:spacing w:after="120"/>
        <w:ind w:firstLine="480"/>
        <w:rPr>
          <w:highlight w:val="yellow"/>
        </w:rPr>
      </w:pPr>
      <w:r w:rsidRPr="002A6586">
        <w:rPr>
          <w:highlight w:val="yellow"/>
        </w:rPr>
        <w:t xml:space="preserve">Active power filters (APFs) continuously monitor harmonic currents and feed the compensating currents into the system, resulting in a reduction of THD down to less than 3%; multi-pulse rectifiers (12-pulse, 18-pulse, or 24-pulse) are a natural solution for cancellation of low-order harmonics through phase-shifting transformer configurations; passive LC filters tuned to the harmonic frequencies are other solutions that are available. In the case of renewable-powered data </w:t>
      </w:r>
      <w:r w:rsidR="00580BAE" w:rsidRPr="002A6586">
        <w:rPr>
          <w:highlight w:val="yellow"/>
        </w:rPr>
        <w:t>center</w:t>
      </w:r>
      <w:r w:rsidRPr="002A6586">
        <w:rPr>
          <w:highlight w:val="yellow"/>
        </w:rPr>
        <w:t xml:space="preserve">s, a combination of inverter harmonics and load harmonics requires system-level analysis using harmonic impedance </w:t>
      </w:r>
      <w:r w:rsidRPr="002A6586">
        <w:rPr>
          <w:highlight w:val="yellow"/>
        </w:rPr>
        <w:lastRenderedPageBreak/>
        <w:t>scanning and frequency-domain simulation to determine the resonance conditions that may amplify harmonics of interest</w:t>
      </w:r>
      <w:r w:rsidRPr="002A6586">
        <w:rPr>
          <w:highlight w:val="yellow"/>
        </w:rPr>
        <w:fldChar w:fldCharType="begin"/>
      </w:r>
      <w:r w:rsidR="000B0F03" w:rsidRPr="002A6586">
        <w:rPr>
          <w:highlight w:val="yellow"/>
        </w:rPr>
        <w:instrText xml:space="preserve"> ADDIN ZOTERO_ITEM CSL_CITATION {"citationID":"NFe4OOQX","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Pr="002A6586">
        <w:rPr>
          <w:highlight w:val="yellow"/>
        </w:rPr>
        <w:fldChar w:fldCharType="separate"/>
      </w:r>
      <w:r w:rsidR="000B0F03" w:rsidRPr="002A6586">
        <w:rPr>
          <w:highlight w:val="yellow"/>
        </w:rPr>
        <w:t>[61]</w:t>
      </w:r>
      <w:r w:rsidRPr="002A6586">
        <w:rPr>
          <w:highlight w:val="yellow"/>
        </w:rPr>
        <w:fldChar w:fldCharType="end"/>
      </w:r>
      <w:r w:rsidRPr="002A6586">
        <w:rPr>
          <w:highlight w:val="yellow"/>
        </w:rPr>
        <w:t>.</w:t>
      </w:r>
    </w:p>
    <w:p w14:paraId="6E7CB223" w14:textId="77777777" w:rsidR="00FE013C" w:rsidRPr="002A6586" w:rsidRDefault="00FE013C" w:rsidP="004C16FF">
      <w:pPr>
        <w:pStyle w:val="Heading2"/>
        <w:rPr>
          <w:color w:val="auto"/>
          <w:highlight w:val="yellow"/>
        </w:rPr>
      </w:pPr>
      <w:r w:rsidRPr="002A6586">
        <w:rPr>
          <w:color w:val="auto"/>
          <w:highlight w:val="yellow"/>
        </w:rPr>
        <w:t>9.4 Grid Interconnection Complexity</w:t>
      </w:r>
    </w:p>
    <w:p w14:paraId="48C784C2" w14:textId="3AE60DE7" w:rsidR="00404B18" w:rsidRPr="002A6586" w:rsidRDefault="00404B18" w:rsidP="00404B18">
      <w:pPr>
        <w:spacing w:after="120"/>
        <w:ind w:firstLine="480"/>
        <w:rPr>
          <w:highlight w:val="yellow"/>
        </w:rPr>
      </w:pPr>
      <w:r w:rsidRPr="002A6586">
        <w:rPr>
          <w:highlight w:val="yellow"/>
        </w:rPr>
        <w:t xml:space="preserve">Interconnection with the grid can become a core limitation for renewable </w:t>
      </w:r>
      <w:proofErr w:type="gramStart"/>
      <w:r w:rsidRPr="002A6586">
        <w:rPr>
          <w:highlight w:val="yellow"/>
        </w:rPr>
        <w:t>energy based</w:t>
      </w:r>
      <w:proofErr w:type="gramEnd"/>
      <w:r w:rsidRPr="002A6586">
        <w:rPr>
          <w:highlight w:val="yellow"/>
        </w:rPr>
        <w:t xml:space="preserve"> data-center development. Some study timelines, application requirements, application deposits, upgrade costs, and construction timing can differ dramatically by applicable system operator, project size, interconnection voltage, network conditions, and requested service. These parameters (generalized queue duration, study cost, and upgrade-cost ranges) should not be considered as general project parameters. Interconnection planning should instead be done using the existing procedures, requirements, and applicable project specific studies by the applicable utility, regional transmission organization (RTO), independent system operator (ISO), or transmission provider</w:t>
      </w:r>
      <w:r w:rsidR="0088199A" w:rsidRPr="002A6586">
        <w:rPr>
          <w:highlight w:val="yellow"/>
        </w:rPr>
        <w:t xml:space="preserve"> </w:t>
      </w:r>
      <w:r w:rsidR="004F3F4A" w:rsidRPr="002A6586">
        <w:rPr>
          <w:highlight w:val="yellow"/>
        </w:rPr>
        <w:fldChar w:fldCharType="begin"/>
      </w:r>
      <w:r w:rsidR="004F3F4A" w:rsidRPr="002A6586">
        <w:rPr>
          <w:highlight w:val="yellow"/>
        </w:rP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4F3F4A" w:rsidRPr="002A6586">
        <w:rPr>
          <w:highlight w:val="yellow"/>
        </w:rPr>
        <w:fldChar w:fldCharType="separate"/>
      </w:r>
      <w:r w:rsidR="004F3F4A" w:rsidRPr="002A6586">
        <w:rPr>
          <w:highlight w:val="yellow"/>
        </w:rPr>
        <w:t>[24]</w:t>
      </w:r>
      <w:r w:rsidR="004F3F4A" w:rsidRPr="002A6586">
        <w:rPr>
          <w:highlight w:val="yellow"/>
        </w:rPr>
        <w:fldChar w:fldCharType="end"/>
      </w:r>
      <w:r w:rsidR="0088199A" w:rsidRPr="002A6586">
        <w:rPr>
          <w:highlight w:val="yellow"/>
        </w:rPr>
        <w:t>.</w:t>
      </w:r>
    </w:p>
    <w:p w14:paraId="1E56E208" w14:textId="39254620" w:rsidR="00404B18" w:rsidRPr="002A6586" w:rsidRDefault="00404B18" w:rsidP="00404B18">
      <w:pPr>
        <w:spacing w:after="120"/>
        <w:ind w:firstLine="480"/>
        <w:rPr>
          <w:highlight w:val="yellow"/>
        </w:rPr>
      </w:pPr>
      <w:r w:rsidRPr="002A6586">
        <w:rPr>
          <w:highlight w:val="yellow"/>
        </w:rPr>
        <w:t xml:space="preserve">In July 2023, FERC issued Order No. 2023, which implemented changes to U.S. generator interconnection procedures, such as for cluster studies, generator readiness, measures to combat study delays, and queue management. The impact of these reforms </w:t>
      </w:r>
      <w:proofErr w:type="gramStart"/>
      <w:r w:rsidRPr="002A6586">
        <w:rPr>
          <w:highlight w:val="yellow"/>
        </w:rPr>
        <w:t>in</w:t>
      </w:r>
      <w:proofErr w:type="gramEnd"/>
      <w:r w:rsidRPr="002A6586">
        <w:rPr>
          <w:highlight w:val="yellow"/>
        </w:rPr>
        <w:t xml:space="preserve"> individual projects, however, varies by region, by utility operations, by project attributes, and by interconnection tariff. Therefore, Order No. 2023 should not be interpreted as fast-tracking or guarantee that interconnection delays or project costs will be lower</w:t>
      </w:r>
      <w:r w:rsidR="003B36C2" w:rsidRPr="002A6586">
        <w:rPr>
          <w:highlight w:val="yellow"/>
        </w:rPr>
        <w:t xml:space="preserve"> </w:t>
      </w:r>
      <w:r w:rsidR="0028021C" w:rsidRPr="002A6586">
        <w:rPr>
          <w:highlight w:val="yellow"/>
        </w:rPr>
        <w:fldChar w:fldCharType="begin"/>
      </w:r>
      <w:r w:rsidR="0028021C" w:rsidRPr="002A6586">
        <w:rPr>
          <w:highlight w:val="yellow"/>
        </w:rP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8021C" w:rsidRPr="002A6586">
        <w:rPr>
          <w:highlight w:val="yellow"/>
        </w:rPr>
        <w:fldChar w:fldCharType="separate"/>
      </w:r>
      <w:r w:rsidR="0028021C" w:rsidRPr="002A6586">
        <w:rPr>
          <w:highlight w:val="yellow"/>
        </w:rPr>
        <w:t>[24]</w:t>
      </w:r>
      <w:r w:rsidR="0028021C" w:rsidRPr="002A6586">
        <w:rPr>
          <w:highlight w:val="yellow"/>
        </w:rPr>
        <w:fldChar w:fldCharType="end"/>
      </w:r>
      <w:r w:rsidRPr="002A6586">
        <w:rPr>
          <w:highlight w:val="yellow"/>
        </w:rPr>
        <w:t xml:space="preserve">, </w:t>
      </w:r>
      <w:r w:rsidR="009449FB" w:rsidRPr="002A6586">
        <w:rPr>
          <w:highlight w:val="yellow"/>
        </w:rPr>
        <w:fldChar w:fldCharType="begin"/>
      </w:r>
      <w:r w:rsidR="009449FB" w:rsidRPr="002A6586">
        <w:rPr>
          <w:highlight w:val="yellow"/>
        </w:rPr>
        <w:instrText xml:space="preserve"> ADDIN ZOTERO_ITEM CSL_CITATION {"citationID":"kbAiY4Ky","properties":{"unsorted":false,"formattedCitation":"[163]","plainCitation":"[163]","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9449FB" w:rsidRPr="002A6586">
        <w:rPr>
          <w:highlight w:val="yellow"/>
        </w:rPr>
        <w:fldChar w:fldCharType="separate"/>
      </w:r>
      <w:r w:rsidR="009449FB" w:rsidRPr="002A6586">
        <w:rPr>
          <w:highlight w:val="yellow"/>
        </w:rPr>
        <w:t>[162]</w:t>
      </w:r>
      <w:r w:rsidR="009449FB" w:rsidRPr="002A6586">
        <w:rPr>
          <w:highlight w:val="yellow"/>
        </w:rPr>
        <w:fldChar w:fldCharType="end"/>
      </w:r>
      <w:r w:rsidR="003B36C2" w:rsidRPr="002A6586">
        <w:rPr>
          <w:highlight w:val="yellow"/>
        </w:rPr>
        <w:t>.</w:t>
      </w:r>
    </w:p>
    <w:p w14:paraId="20EE5620" w14:textId="54E85830" w:rsidR="00404B18" w:rsidRPr="002A6586" w:rsidRDefault="00404B18" w:rsidP="00404B18">
      <w:pPr>
        <w:spacing w:after="120"/>
        <w:ind w:firstLine="480"/>
        <w:rPr>
          <w:highlight w:val="yellow"/>
        </w:rPr>
      </w:pPr>
      <w:r w:rsidRPr="002A6586">
        <w:rPr>
          <w:highlight w:val="yellow"/>
        </w:rPr>
        <w:t xml:space="preserve">The IEEE 1547-2018 specifies technical standards for interconnection and interoperability of distributed energy resources (DERs), such as anti-islanding protection, voltage and frequency ride-through capabilities, and power-quality requirements. These performance requirements are detailed in IEEE 2800-2022 for larger </w:t>
      </w:r>
      <w:proofErr w:type="gramStart"/>
      <w:r w:rsidRPr="002A6586">
        <w:rPr>
          <w:highlight w:val="yellow"/>
        </w:rPr>
        <w:t>inverter based</w:t>
      </w:r>
      <w:proofErr w:type="gramEnd"/>
      <w:r w:rsidRPr="002A6586">
        <w:rPr>
          <w:highlight w:val="yellow"/>
        </w:rPr>
        <w:t xml:space="preserve"> resources (IBRs) at transmission or sub transmission voltage levels that involve system stability, voltage support, frequency response, and disturbance ride-through. The extent that these standards apply will be subject to project size, interconnection voltage, resource aspects, and local utility/system-operator requirements</w:t>
      </w:r>
      <w:r w:rsidR="005B66D3" w:rsidRPr="002A6586">
        <w:rPr>
          <w:highlight w:val="yellow"/>
        </w:rPr>
        <w:fldChar w:fldCharType="begin"/>
      </w:r>
      <w:r w:rsidR="005B66D3" w:rsidRPr="002A6586">
        <w:rPr>
          <w:highlight w:val="yellow"/>
        </w:rPr>
        <w:instrText xml:space="preserve"> ADDIN ZOTERO_ITEM CSL_CITATION {"citationID":"aTXS1liU","properties":{"unsorted":false,"formattedCitation":"[50]","plainCitation":"[50]","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5B66D3" w:rsidRPr="002A6586">
        <w:rPr>
          <w:highlight w:val="yellow"/>
        </w:rPr>
        <w:fldChar w:fldCharType="separate"/>
      </w:r>
      <w:r w:rsidR="005B66D3" w:rsidRPr="002A6586">
        <w:rPr>
          <w:highlight w:val="yellow"/>
        </w:rPr>
        <w:t>[50]</w:t>
      </w:r>
      <w:r w:rsidR="005B66D3" w:rsidRPr="002A6586">
        <w:rPr>
          <w:highlight w:val="yellow"/>
        </w:rPr>
        <w:fldChar w:fldCharType="end"/>
      </w:r>
      <w:r w:rsidR="00F0450C" w:rsidRPr="002A6586">
        <w:rPr>
          <w:highlight w:val="yellow"/>
        </w:rPr>
        <w:t>.</w:t>
      </w:r>
    </w:p>
    <w:p w14:paraId="79DCD748" w14:textId="77777777" w:rsidR="00FE013C" w:rsidRPr="002A6586" w:rsidRDefault="00FE013C" w:rsidP="004C16FF">
      <w:pPr>
        <w:pStyle w:val="Heading2"/>
        <w:rPr>
          <w:color w:val="auto"/>
          <w:highlight w:val="yellow"/>
        </w:rPr>
      </w:pPr>
      <w:r w:rsidRPr="002A6586">
        <w:rPr>
          <w:color w:val="auto"/>
          <w:highlight w:val="yellow"/>
        </w:rPr>
        <w:t>9.5 Demand-side Management and AI Workload Flexibility</w:t>
      </w:r>
    </w:p>
    <w:p w14:paraId="283BD03B" w14:textId="04EC8AB2" w:rsidR="00FE013C" w:rsidRPr="002A6586" w:rsidRDefault="00FE013C" w:rsidP="001B74A6">
      <w:pPr>
        <w:spacing w:after="120"/>
        <w:ind w:firstLine="480"/>
        <w:rPr>
          <w:highlight w:val="yellow"/>
        </w:rPr>
      </w:pPr>
      <w:r w:rsidRPr="002A6586">
        <w:rPr>
          <w:highlight w:val="yellow"/>
        </w:rPr>
        <w:t>AI workload flexibility is a distinct and growing demand-side resource that can substantially decrease the cost and complexity of integrating renewable energy. Training workloads (often hours to weeks to complete, not latency-sensitive) can be deferred to times of low latency demand and high renewable generation</w:t>
      </w:r>
      <w:r w:rsidRPr="002A6586">
        <w:rPr>
          <w:highlight w:val="yellow"/>
        </w:rPr>
        <w:fldChar w:fldCharType="begin"/>
      </w:r>
      <w:r w:rsidR="001B74A6" w:rsidRPr="002A6586">
        <w:rPr>
          <w:highlight w:val="yellow"/>
        </w:rPr>
        <w:instrText xml:space="preserve"> ADDIN ZOTERO_ITEM CSL_CITATION {"citationID":"SNAvsnwi","properties":{"unsorted":false,"formattedCitation":"[164]","plainCitation":"[164]","noteIndex":0},"citationItems":[{"id":2126,"uris":["http://zotero.org/users/9870935/items/5SGD5DQK"],"itemData":{"id":2126,"type":"paper-conference","container-title":"ICC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Pr="002A6586">
        <w:rPr>
          <w:highlight w:val="yellow"/>
        </w:rPr>
        <w:fldChar w:fldCharType="separate"/>
      </w:r>
      <w:r w:rsidR="001B74A6" w:rsidRPr="002A6586">
        <w:rPr>
          <w:highlight w:val="yellow"/>
        </w:rPr>
        <w:t>[163]</w:t>
      </w:r>
      <w:r w:rsidRPr="002A6586">
        <w:rPr>
          <w:highlight w:val="yellow"/>
        </w:rPr>
        <w:fldChar w:fldCharType="end"/>
      </w:r>
      <w:r w:rsidRPr="002A6586">
        <w:rPr>
          <w:highlight w:val="yellow"/>
        </w:rPr>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 within the SLA.</w:t>
      </w:r>
    </w:p>
    <w:p w14:paraId="19B030A4" w14:textId="15E90006" w:rsidR="00FE013C" w:rsidRPr="002A6586" w:rsidRDefault="00E912B6" w:rsidP="00E912B6">
      <w:pPr>
        <w:spacing w:after="120"/>
        <w:ind w:firstLine="480"/>
        <w:rPr>
          <w:highlight w:val="yellow"/>
        </w:rPr>
      </w:pPr>
      <w:r w:rsidRPr="002A6586">
        <w:rPr>
          <w:highlight w:val="yellow"/>
        </w:rPr>
        <w:t xml:space="preserve">Published studies and industry demonstrations suggest that workload scheduling may reduce energy costs and improve renewable-energy utilization under suitable operating conditions. However, the magnitude of the benefit depends on workload characteristics, renewable-resource availability, electricity-market conditions, scheduling flexibility, and organizational constraints. Consequently, no universal savings percentage should be assumed without project-specific analysis </w:t>
      </w:r>
      <w:r w:rsidR="00FE013C" w:rsidRPr="002A6586">
        <w:rPr>
          <w:highlight w:val="yellow"/>
        </w:rPr>
        <w:fldChar w:fldCharType="begin"/>
      </w:r>
      <w:r w:rsidR="001B74A6" w:rsidRPr="002A6586">
        <w:rPr>
          <w:highlight w:val="yellow"/>
        </w:rPr>
        <w:instrText xml:space="preserve"> ADDIN ZOTERO_ITEM CSL_CITATION {"citationID":"0JMNKF3g","properties":{"unsorted":false,"formattedCitation":"[165]","plainCitation":"[165]","noteIndex":0},"citationItems":[{"id":79,"uris":["http://zotero.org/users/9870935/items/FT42XEM5"],"itemData":{"id":79,"type":"article-journal","container-title":"IEEE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E013C" w:rsidRPr="002A6586">
        <w:rPr>
          <w:highlight w:val="yellow"/>
        </w:rPr>
        <w:fldChar w:fldCharType="separate"/>
      </w:r>
      <w:r w:rsidR="001B74A6" w:rsidRPr="002A6586">
        <w:rPr>
          <w:highlight w:val="yellow"/>
        </w:rPr>
        <w:t>[164]</w:t>
      </w:r>
      <w:r w:rsidR="00FE013C" w:rsidRPr="002A6586">
        <w:rPr>
          <w:highlight w:val="yellow"/>
        </w:rPr>
        <w:fldChar w:fldCharType="end"/>
      </w:r>
      <w:r w:rsidR="00FE013C" w:rsidRPr="002A6586">
        <w:rPr>
          <w:highlight w:val="yellow"/>
        </w:rPr>
        <w:t xml:space="preserve">. This requires integration between the workload scheduler (usually Kubernetes-based) and the energy management system, and the renewable availability API delivers 24–48-hour forecasts of renewable generation as a portion of the total load </w:t>
      </w:r>
      <w:r w:rsidR="00FE013C" w:rsidRPr="002A6586">
        <w:rPr>
          <w:highlight w:val="yellow"/>
        </w:rPr>
        <w:fldChar w:fldCharType="begin"/>
      </w:r>
      <w:r w:rsidR="001B74A6" w:rsidRPr="002A6586">
        <w:rPr>
          <w:highlight w:val="yellow"/>
        </w:rPr>
        <w:instrText xml:space="preserve"> ADDIN ZOTERO_ITEM CSL_CITATION {"citationID":"LieaEasU","properties":{"unsorted":false,"formattedCitation":"[164]","plainCitation":"[164]","noteIndex":0},"citationItems":[{"id":2126,"uris":["http://zotero.org/users/9870935/items/5SGD5DQK"],"itemData":{"id":2126,"type":"paper-conference","container-title":"ICC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FE013C" w:rsidRPr="002A6586">
        <w:rPr>
          <w:highlight w:val="yellow"/>
        </w:rPr>
        <w:fldChar w:fldCharType="separate"/>
      </w:r>
      <w:r w:rsidR="001B74A6" w:rsidRPr="002A6586">
        <w:rPr>
          <w:highlight w:val="yellow"/>
        </w:rPr>
        <w:t>[163]</w:t>
      </w:r>
      <w:r w:rsidR="00FE013C" w:rsidRPr="002A6586">
        <w:rPr>
          <w:highlight w:val="yellow"/>
        </w:rPr>
        <w:fldChar w:fldCharType="end"/>
      </w:r>
      <w:r w:rsidR="00FE013C" w:rsidRPr="002A6586">
        <w:rPr>
          <w:highlight w:val="yellow"/>
        </w:rPr>
        <w:t xml:space="preserve">. Some of the major considerations are that the deferral may lead to an increase in latency as experienced by users, the risk of violating SLAs if deferral is performed too </w:t>
      </w:r>
      <w:r w:rsidR="00FE013C" w:rsidRPr="002A6586">
        <w:rPr>
          <w:highlight w:val="yellow"/>
        </w:rPr>
        <w:lastRenderedPageBreak/>
        <w:t>aggressively, and the operational complexity of coordinating workload scheduling across multiple facilities and time zones.</w:t>
      </w:r>
    </w:p>
    <w:p w14:paraId="1746C8D1" w14:textId="77777777" w:rsidR="00FE013C" w:rsidRPr="002A6586" w:rsidRDefault="00FE013C" w:rsidP="004C16FF">
      <w:pPr>
        <w:pStyle w:val="Heading2"/>
        <w:rPr>
          <w:color w:val="auto"/>
          <w:highlight w:val="yellow"/>
        </w:rPr>
      </w:pPr>
      <w:r w:rsidRPr="002A6586">
        <w:rPr>
          <w:color w:val="auto"/>
          <w:highlight w:val="yellow"/>
        </w:rPr>
        <w:t>9.6 Energy Storage Control and Battery Management</w:t>
      </w:r>
    </w:p>
    <w:p w14:paraId="1192A71C" w14:textId="1E81FDED" w:rsidR="00FE013C" w:rsidRPr="002A6586" w:rsidRDefault="00FE013C" w:rsidP="001B74A6">
      <w:pPr>
        <w:spacing w:after="120"/>
        <w:ind w:firstLine="480"/>
        <w:rPr>
          <w:highlight w:val="yellow"/>
        </w:rPr>
      </w:pPr>
      <w:r w:rsidRPr="002A6586">
        <w:rPr>
          <w:highlight w:val="yellow"/>
        </w:rPr>
        <w:t xml:space="preserve">There are several criteria for optimal battery dispatch: most renewable usage, least energy cost, longest battery life, and sufficient reserve for emergency backup. The state-of-charge (SOC) setpoint </w:t>
      </w:r>
      <w:r w:rsidR="00030122" w:rsidRPr="002A6586">
        <w:rPr>
          <w:highlight w:val="yellow"/>
        </w:rPr>
        <w:t>optimization</w:t>
      </w:r>
      <w:r w:rsidRPr="002A6586">
        <w:rPr>
          <w:highlight w:val="yellow"/>
        </w:rPr>
        <w:t xml:space="preserve"> defines the charging and discharging timing according to the current state and future forecasting, where the most advanced approach is model-predictive control (MPC)</w:t>
      </w:r>
      <w:r w:rsidRPr="002A6586">
        <w:rPr>
          <w:highlight w:val="yellow"/>
        </w:rPr>
        <w:fldChar w:fldCharType="begin"/>
      </w:r>
      <w:r w:rsidR="001B74A6" w:rsidRPr="002A6586">
        <w:rPr>
          <w:highlight w:val="yellow"/>
        </w:rPr>
        <w:instrText xml:space="preserve"> ADDIN ZOTERO_ITEM CSL_CITATION {"citationID":"qyaUl6tX","properties":{"unsorted":false,"formattedCitation":"[119]","plainCitation":"[119]","noteIndex":0},"citationItems":[{"id":2086,"uris":["http://zotero.org/users/9870935/items/PSX5T5NE"],"itemData":{"id":2086,"type":"article-journal","abstract":"Renewable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Pr="002A6586">
        <w:rPr>
          <w:highlight w:val="yellow"/>
        </w:rPr>
        <w:fldChar w:fldCharType="separate"/>
      </w:r>
      <w:r w:rsidR="001B74A6" w:rsidRPr="002A6586">
        <w:rPr>
          <w:highlight w:val="yellow"/>
        </w:rPr>
        <w:t>[118]</w:t>
      </w:r>
      <w:r w:rsidRPr="002A6586">
        <w:rPr>
          <w:highlight w:val="yellow"/>
        </w:rPr>
        <w:fldChar w:fldCharType="end"/>
      </w:r>
      <w:r w:rsidRPr="002A6586">
        <w:rPr>
          <w:highlight w:val="yellow"/>
        </w:rPr>
        <w:t xml:space="preserve">. The economic factor of battery ageing: deep cycling (depth of discharge above 80%) decreases battery life, while shallow cycling increases battery life, but at the cost of reduced energy capacity for renewable </w:t>
      </w:r>
      <w:proofErr w:type="gramStart"/>
      <w:r w:rsidRPr="002A6586">
        <w:rPr>
          <w:highlight w:val="yellow"/>
        </w:rPr>
        <w:t>time-shifting</w:t>
      </w:r>
      <w:proofErr w:type="gramEnd"/>
      <w:r w:rsidRPr="002A6586">
        <w:rPr>
          <w:highlight w:val="yellow"/>
        </w:rPr>
        <w:t xml:space="preserve">. Studies have shown that a maximum depth of discharge of 50% can nearly double the cycle life, indicating that appropriately oversizing battery systems may provide better lifetime economics, albeit at higher initial capital costs </w:t>
      </w:r>
      <w:r w:rsidRPr="002A6586">
        <w:rPr>
          <w:highlight w:val="yellow"/>
        </w:rPr>
        <w:fldChar w:fldCharType="begin"/>
      </w:r>
      <w:r w:rsidR="00B73641" w:rsidRPr="002A6586">
        <w:rPr>
          <w:highlight w:val="yellow"/>
        </w:rPr>
        <w:instrText xml:space="preserve"> ADDIN ZOTERO_ITEM CSL_CITATION {"citationID":"QHLWj7wZ","properties":{"unsorted":false,"formattedCitation":"[72]","plainCitation":"[72]","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Pr="002A6586">
        <w:rPr>
          <w:highlight w:val="yellow"/>
        </w:rPr>
        <w:fldChar w:fldCharType="separate"/>
      </w:r>
      <w:r w:rsidR="00B73641" w:rsidRPr="002A6586">
        <w:rPr>
          <w:highlight w:val="yellow"/>
        </w:rPr>
        <w:t>[71]</w:t>
      </w:r>
      <w:r w:rsidRPr="002A6586">
        <w:rPr>
          <w:highlight w:val="yellow"/>
        </w:rPr>
        <w:fldChar w:fldCharType="end"/>
      </w:r>
      <w:r w:rsidRPr="002A6586">
        <w:rPr>
          <w:highlight w:val="yellow"/>
        </w:rPr>
        <w:t>.</w:t>
      </w:r>
    </w:p>
    <w:p w14:paraId="4221A4F4" w14:textId="067CB2EA" w:rsidR="00FE013C" w:rsidRPr="002A6586" w:rsidRDefault="0038749B" w:rsidP="007D29E8">
      <w:pPr>
        <w:spacing w:after="120"/>
        <w:ind w:firstLine="480"/>
        <w:rPr>
          <w:highlight w:val="yellow"/>
          <w:lang w:val="en-CA"/>
        </w:rPr>
      </w:pPr>
      <w:r w:rsidRPr="002A6586">
        <w:rPr>
          <w:highlight w:val="yellow"/>
          <w:lang w:val="en-CA"/>
        </w:rPr>
        <w:t>Participation in frequency-regulation, capacity, and ancillary-service markets may provide additional revenue, but the achievable value depends on market qualification requirements, performance scores, local clearing prices, battery availability, degradation costs, and the facility’s primary reliability obligations. Project-specific market analysis is therefore required</w:t>
      </w:r>
      <w:r w:rsidR="00FE013C" w:rsidRPr="002A6586">
        <w:rPr>
          <w:highlight w:val="yellow"/>
        </w:rPr>
        <w:t xml:space="preserve">. Remaining useful life (RUL) prediction and scheduling of maintenance tasks can be achieved by state-of-health (SOH) monitoring with machine-learning approaches trained on cycling data, which helps to </w:t>
      </w:r>
      <w:r w:rsidR="00030122" w:rsidRPr="002A6586">
        <w:rPr>
          <w:highlight w:val="yellow"/>
        </w:rPr>
        <w:t>minimize</w:t>
      </w:r>
      <w:r w:rsidR="00FE013C" w:rsidRPr="002A6586">
        <w:rPr>
          <w:highlight w:val="yellow"/>
        </w:rPr>
        <w:t xml:space="preserve"> the likelihood of unexpected capacity degradation</w:t>
      </w:r>
      <w:r w:rsidR="00FE013C" w:rsidRPr="002A6586">
        <w:rPr>
          <w:highlight w:val="yellow"/>
        </w:rPr>
        <w:fldChar w:fldCharType="begin"/>
      </w:r>
      <w:r w:rsidR="007D29E8" w:rsidRPr="002A6586">
        <w:rPr>
          <w:highlight w:val="yellow"/>
        </w:rPr>
        <w:instrText xml:space="preserve"> ADDIN ZOTERO_ITEM CSL_CITATION {"citationID":"qxkXnTwN","properties":{"unsorted":false,"formattedCitation":"[166]","plainCitation":"[166]","noteIndex":0},"citationItems":[{"id":2149,"uris":["http://zotero.org/users/9870935/items/9CUAPP72"],"itemData":{"id":2149,"type":"article-journal","abstract":"Abstract\n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E013C" w:rsidRPr="002A6586">
        <w:rPr>
          <w:highlight w:val="yellow"/>
        </w:rPr>
        <w:fldChar w:fldCharType="separate"/>
      </w:r>
      <w:r w:rsidR="007D29E8" w:rsidRPr="002A6586">
        <w:rPr>
          <w:highlight w:val="yellow"/>
        </w:rPr>
        <w:t>[165]</w:t>
      </w:r>
      <w:r w:rsidR="00FE013C" w:rsidRPr="002A6586">
        <w:rPr>
          <w:highlight w:val="yellow"/>
        </w:rPr>
        <w:fldChar w:fldCharType="end"/>
      </w:r>
      <w:r w:rsidR="00FE013C" w:rsidRPr="002A6586">
        <w:rPr>
          <w:highlight w:val="yellow"/>
        </w:rPr>
        <w:t>.</w:t>
      </w:r>
    </w:p>
    <w:p w14:paraId="1FC1FEEE" w14:textId="77777777" w:rsidR="00FE013C" w:rsidRPr="002A6586" w:rsidRDefault="00FE013C" w:rsidP="004C16FF">
      <w:pPr>
        <w:pStyle w:val="Heading2"/>
        <w:rPr>
          <w:color w:val="auto"/>
          <w:highlight w:val="yellow"/>
        </w:rPr>
      </w:pPr>
      <w:r w:rsidRPr="002A6586">
        <w:rPr>
          <w:color w:val="auto"/>
          <w:highlight w:val="yellow"/>
        </w:rPr>
        <w:t>9.7 Hydrogen and Fuel Cell Challenges</w:t>
      </w:r>
    </w:p>
    <w:p w14:paraId="42AECFBD" w14:textId="5161E8AC" w:rsidR="00753C0C" w:rsidRPr="002A6586" w:rsidRDefault="00753C0C" w:rsidP="00753C0C">
      <w:pPr>
        <w:spacing w:after="120"/>
        <w:ind w:firstLine="480"/>
        <w:rPr>
          <w:highlight w:val="yellow"/>
        </w:rPr>
      </w:pPr>
      <w:r w:rsidRPr="002A6586">
        <w:rPr>
          <w:highlight w:val="yellow"/>
        </w:rPr>
        <w:t xml:space="preserve">Hydrogen fuel cells have the theoretical potential to deliver long-duration backup power (48+ hours proven) and produce zero direct emissions, but they are still costly, inefficient, and lack infrastructure. Microsoft's 3 MW demo project at their data center proved </w:t>
      </w:r>
      <w:proofErr w:type="gramStart"/>
      <w:r w:rsidRPr="002A6586">
        <w:rPr>
          <w:highlight w:val="yellow"/>
        </w:rPr>
        <w:t>the technical</w:t>
      </w:r>
      <w:proofErr w:type="gramEnd"/>
      <w:r w:rsidRPr="002A6586">
        <w:rPr>
          <w:highlight w:val="yellow"/>
        </w:rPr>
        <w:t xml:space="preserve"> </w:t>
      </w:r>
      <w:proofErr w:type="gramStart"/>
      <w:r w:rsidRPr="002A6586">
        <w:rPr>
          <w:highlight w:val="yellow"/>
        </w:rPr>
        <w:t>viability, but</w:t>
      </w:r>
      <w:proofErr w:type="gramEnd"/>
      <w:r w:rsidRPr="002A6586">
        <w:rPr>
          <w:highlight w:val="yellow"/>
        </w:rPr>
        <w:t xml:space="preserve"> also pointed to the cost problem: Fuel cell electricity currently costs $150 to $250/MWh, compared to grid electricity or battery storage, which </w:t>
      </w:r>
      <w:proofErr w:type="gramStart"/>
      <w:r w:rsidRPr="002A6586">
        <w:rPr>
          <w:highlight w:val="yellow"/>
        </w:rPr>
        <w:t>cost</w:t>
      </w:r>
      <w:proofErr w:type="gramEnd"/>
      <w:r w:rsidRPr="002A6586">
        <w:rPr>
          <w:highlight w:val="yellow"/>
        </w:rPr>
        <w:t xml:space="preserve"> $50 to $80/MWh at the same time. The CAPEX of the </w:t>
      </w:r>
      <w:proofErr w:type="spellStart"/>
      <w:r w:rsidRPr="002A6586">
        <w:rPr>
          <w:highlight w:val="yellow"/>
        </w:rPr>
        <w:t>electrolyzer</w:t>
      </w:r>
      <w:proofErr w:type="spellEnd"/>
      <w:r w:rsidRPr="002A6586">
        <w:rPr>
          <w:highlight w:val="yellow"/>
        </w:rPr>
        <w:t xml:space="preserve">, which ranges from $1,000–$2,000/kW, is another constraint for on-site green hydrogen production and is decreasing as the size of the plants increases </w:t>
      </w:r>
      <w:r w:rsidRPr="002A6586">
        <w:rPr>
          <w:highlight w:val="yellow"/>
        </w:rPr>
        <w:fldChar w:fldCharType="begin"/>
      </w:r>
      <w:r w:rsidRPr="002A6586">
        <w:rPr>
          <w:highlight w:val="yellow"/>
        </w:rPr>
        <w:instrText xml:space="preserve"> ADDIN ZOTERO_ITEM CSL_CITATION {"citationID":"EK3ZfdLP","properties":{"unsorted":false,"formattedCitation":"[114]","plainCitation":"[114]","noteIndex":0},"citationItems":[{"id":2076,"uris":["http://zotero.org/users/9870935/items/WSZ9BQJG"],"itemData":{"id":2076,"type":"article-journal","abstract":"Abstract\n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2A6586">
        <w:rPr>
          <w:highlight w:val="yellow"/>
        </w:rPr>
        <w:fldChar w:fldCharType="separate"/>
      </w:r>
      <w:r w:rsidRPr="002A6586">
        <w:rPr>
          <w:highlight w:val="yellow"/>
        </w:rPr>
        <w:t>[113]</w:t>
      </w:r>
      <w:r w:rsidRPr="002A6586">
        <w:rPr>
          <w:highlight w:val="yellow"/>
        </w:rPr>
        <w:fldChar w:fldCharType="end"/>
      </w:r>
      <w:r w:rsidRPr="002A6586">
        <w:rPr>
          <w:highlight w:val="yellow"/>
        </w:rPr>
        <w:t xml:space="preserve">, </w:t>
      </w:r>
      <w:r w:rsidRPr="002A6586">
        <w:rPr>
          <w:highlight w:val="yellow"/>
        </w:rPr>
        <w:fldChar w:fldCharType="begin"/>
      </w:r>
      <w:r w:rsidRPr="002A6586">
        <w:rPr>
          <w:highlight w:val="yellow"/>
        </w:rPr>
        <w:instrText xml:space="preserve"> ADDIN ZOTERO_ITEM CSL_CITATION {"citationID":"ONo7xelO","properties":{"unsorted":false,"formattedCitation":"[161]","plainCitation":"[161]","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Pr="002A6586">
        <w:rPr>
          <w:highlight w:val="yellow"/>
        </w:rPr>
        <w:fldChar w:fldCharType="separate"/>
      </w:r>
      <w:r w:rsidRPr="002A6586">
        <w:rPr>
          <w:highlight w:val="yellow"/>
        </w:rPr>
        <w:t>[160]</w:t>
      </w:r>
      <w:r w:rsidRPr="002A6586">
        <w:rPr>
          <w:highlight w:val="yellow"/>
        </w:rPr>
        <w:fldChar w:fldCharType="end"/>
      </w:r>
      <w:r w:rsidRPr="002A6586">
        <w:rPr>
          <w:highlight w:val="yellow"/>
        </w:rPr>
        <w:t>.</w:t>
      </w:r>
    </w:p>
    <w:p w14:paraId="4C0FFEE3" w14:textId="64C4282F" w:rsidR="00313E38" w:rsidRPr="002A6586" w:rsidRDefault="00313E38" w:rsidP="00313E38">
      <w:pPr>
        <w:spacing w:after="120"/>
        <w:ind w:firstLine="480"/>
        <w:rPr>
          <w:highlight w:val="yellow"/>
        </w:rPr>
      </w:pPr>
      <w:r w:rsidRPr="002A6586">
        <w:rPr>
          <w:highlight w:val="yellow"/>
        </w:rPr>
        <w:t xml:space="preserve">Greater fuel cell efficiency occurs at partial load (55–65%) versus full load (40–50%), resulting in an operational compromise </w:t>
      </w:r>
      <w:proofErr w:type="gramStart"/>
      <w:r w:rsidRPr="002A6586">
        <w:rPr>
          <w:highlight w:val="yellow"/>
        </w:rPr>
        <w:t>where</w:t>
      </w:r>
      <w:proofErr w:type="gramEnd"/>
      <w:r w:rsidRPr="002A6586">
        <w:rPr>
          <w:highlight w:val="yellow"/>
        </w:rPr>
        <w:t xml:space="preserve"> running at peak efficiency requires installing a larger, more expensive system to cover max power demands. Safety requirements for hydrogen storage, including pressure vessel certification, leak detection, and ventilation systems, further increase the complexity and cost of fuel cell installations. The IEA expects the cost of green hydrogen to drop to $2 per kg by 2030 and $1 per kg by 2040 under the best of conditions, putting fuel cells in economic competition with data center backup by the mid-2030s</w:t>
      </w:r>
      <w:r w:rsidR="001752D4" w:rsidRPr="002A6586">
        <w:rPr>
          <w:highlight w:val="yellow"/>
        </w:rPr>
        <w:t xml:space="preserve"> </w:t>
      </w:r>
      <w:r w:rsidR="001752D4" w:rsidRPr="002A6586">
        <w:rPr>
          <w:highlight w:val="yellow"/>
        </w:rPr>
        <w:fldChar w:fldCharType="begin"/>
      </w:r>
      <w:r w:rsidR="001752D4" w:rsidRPr="002A6586">
        <w:rPr>
          <w:highlight w:val="yellow"/>
        </w:rPr>
        <w:instrText xml:space="preserve"> ADDIN ZOTERO_ITEM CSL_CITATION {"citationID":"9bTL2YbA","properties":{"unsorted":false,"formattedCitation":"[113]","plainCitation":"[113]","noteIndex":0},"citationItems":[{"id":1987,"uris":["http://zotero.org/users/9870935/items/2TYM8STM"],"itemData":{"id":1987,"type":"article-journal","abstract":"The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1752D4" w:rsidRPr="002A6586">
        <w:rPr>
          <w:highlight w:val="yellow"/>
        </w:rPr>
        <w:fldChar w:fldCharType="separate"/>
      </w:r>
      <w:r w:rsidR="001752D4" w:rsidRPr="002A6586">
        <w:rPr>
          <w:highlight w:val="yellow"/>
        </w:rPr>
        <w:t>[112]</w:t>
      </w:r>
      <w:r w:rsidR="001752D4" w:rsidRPr="002A6586">
        <w:rPr>
          <w:highlight w:val="yellow"/>
        </w:rPr>
        <w:fldChar w:fldCharType="end"/>
      </w:r>
      <w:r w:rsidR="001752D4" w:rsidRPr="002A6586">
        <w:rPr>
          <w:highlight w:val="yellow"/>
        </w:rPr>
        <w:t xml:space="preserve">, </w:t>
      </w:r>
      <w:r w:rsidR="001752D4" w:rsidRPr="002A6586">
        <w:rPr>
          <w:highlight w:val="yellow"/>
        </w:rPr>
        <w:fldChar w:fldCharType="begin"/>
      </w:r>
      <w:r w:rsidR="001752D4" w:rsidRPr="002A6586">
        <w:rPr>
          <w:highlight w:val="yellow"/>
        </w:rPr>
        <w:instrText xml:space="preserve"> ADDIN ZOTERO_ITEM CSL_CITATION {"citationID":"TVLyO4rw","properties":{"unsorted":false,"formattedCitation":"[124]","plainCitation":"[124]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1752D4" w:rsidRPr="002A6586">
        <w:rPr>
          <w:highlight w:val="yellow"/>
        </w:rPr>
        <w:fldChar w:fldCharType="separate"/>
      </w:r>
      <w:r w:rsidR="001752D4" w:rsidRPr="002A6586">
        <w:rPr>
          <w:highlight w:val="yellow"/>
        </w:rPr>
        <w:t>[123]</w:t>
      </w:r>
      <w:r w:rsidR="001752D4" w:rsidRPr="002A6586">
        <w:rPr>
          <w:highlight w:val="yellow"/>
        </w:rPr>
        <w:fldChar w:fldCharType="end"/>
      </w:r>
      <w:r w:rsidRPr="002A6586">
        <w:rPr>
          <w:highlight w:val="yellow"/>
        </w:rPr>
        <w:t>.</w:t>
      </w:r>
    </w:p>
    <w:p w14:paraId="1AF22D4C" w14:textId="77777777" w:rsidR="00FE013C" w:rsidRPr="002A6586" w:rsidRDefault="00FE013C" w:rsidP="004C16FF">
      <w:pPr>
        <w:pStyle w:val="Heading2"/>
        <w:rPr>
          <w:color w:val="auto"/>
          <w:highlight w:val="yellow"/>
        </w:rPr>
      </w:pPr>
      <w:r w:rsidRPr="002A6586">
        <w:rPr>
          <w:color w:val="auto"/>
          <w:highlight w:val="yellow"/>
        </w:rPr>
        <w:t>9.8 Cooling System Integration</w:t>
      </w:r>
    </w:p>
    <w:p w14:paraId="04A6F52E" w14:textId="35EC54F7" w:rsidR="00AB00A3" w:rsidRPr="002A6586" w:rsidRDefault="00AB00A3" w:rsidP="00AB00A3">
      <w:pPr>
        <w:spacing w:after="120"/>
        <w:ind w:firstLine="480"/>
        <w:rPr>
          <w:highlight w:val="yellow"/>
        </w:rPr>
      </w:pPr>
      <w:r w:rsidRPr="002A6586">
        <w:rPr>
          <w:highlight w:val="yellow"/>
        </w:rPr>
        <w:t xml:space="preserve">The coupling of cooling systems to a renewable energy supply demands the synchronized handling of thermal and electric energy flows. Thermal energy storage (TES) can help defer cooling loads into hours when renewable energy is available in abundance or electricity is cheap, such as at night or during peak solar hours. When renewable power generation is higher than needed, chillers freeze water into ice; conversely, when renewable power output drops below demand, the ice is melted to provide cooling without chiller operation. This thermal-electrical coupling provides powerful </w:t>
      </w:r>
      <w:r w:rsidRPr="002A6586">
        <w:rPr>
          <w:highlight w:val="yellow"/>
        </w:rPr>
        <w:lastRenderedPageBreak/>
        <w:t>opportunities for optimization but introduces complexity into the control system, which must simultaneously manage the electrical dispatch state and the thermal storage state</w:t>
      </w:r>
      <w:r w:rsidR="009A7346" w:rsidRPr="002A6586">
        <w:rPr>
          <w:highlight w:val="yellow"/>
        </w:rPr>
        <w:t xml:space="preserve"> </w:t>
      </w:r>
      <w:r w:rsidR="009A7346" w:rsidRPr="002A6586">
        <w:rPr>
          <w:highlight w:val="yellow"/>
        </w:rPr>
        <w:fldChar w:fldCharType="begin"/>
      </w:r>
      <w:r w:rsidR="009A7346" w:rsidRPr="002A6586">
        <w:rPr>
          <w:highlight w:val="yellow"/>
        </w:rPr>
        <w:instrText xml:space="preserve"> ADDIN ZOTERO_ITEM CSL_CITATION {"citationID":"9NU2Bjoq","properties":{"unsorted":false,"formattedCitation":"[95]","plainCitation":"[95]","noteIndex":0},"citationItems":[{"id":2046,"uris":["http://zotero.org/users/9870935/items/P4BXZMCV"],"itemData":{"id":2046,"type":"article","abstract":"Data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9A7346" w:rsidRPr="002A6586">
        <w:rPr>
          <w:highlight w:val="yellow"/>
        </w:rPr>
        <w:fldChar w:fldCharType="separate"/>
      </w:r>
      <w:r w:rsidR="009A7346" w:rsidRPr="002A6586">
        <w:rPr>
          <w:highlight w:val="yellow"/>
        </w:rPr>
        <w:t>[94]</w:t>
      </w:r>
      <w:r w:rsidR="009A7346" w:rsidRPr="002A6586">
        <w:rPr>
          <w:highlight w:val="yellow"/>
        </w:rPr>
        <w:fldChar w:fldCharType="end"/>
      </w:r>
      <w:r w:rsidRPr="002A6586">
        <w:rPr>
          <w:highlight w:val="yellow"/>
        </w:rPr>
        <w:t>.</w:t>
      </w:r>
    </w:p>
    <w:p w14:paraId="0EAB38C2" w14:textId="646C9444" w:rsidR="00AB00A3" w:rsidRPr="002A6586" w:rsidRDefault="00AB00A3" w:rsidP="009A7346">
      <w:pPr>
        <w:spacing w:after="120"/>
        <w:ind w:firstLine="480"/>
        <w:rPr>
          <w:highlight w:val="yellow"/>
        </w:rPr>
      </w:pPr>
      <w:r w:rsidRPr="002A6586">
        <w:rPr>
          <w:highlight w:val="yellow"/>
        </w:rPr>
        <w:t>Another way to reduce cooling energy usage is by leveraging favorable ambient environmental conditions, a method known as free cooling. Free cooling can achieve 3,000 to 6,000 hours of cooling per year in temperate and cold climates, resulting in compressor energy savings of 40 to 70 percent for chillers during these periods. When renewable energy is scarce and cooling demands are energy-intensive, a slight increase in data center inlet temperatures—moving from the traditional 20–22 °C up to 32–35 °C—can be implemented via dynamic setpoint management. This strategy saves 15% to 25% in cooling energy usage, though it requires a minor compromise in accelerated component aging</w:t>
      </w:r>
      <w:r w:rsidR="007515FF" w:rsidRPr="002A6586">
        <w:rPr>
          <w:highlight w:val="yellow"/>
        </w:rPr>
        <w:fldChar w:fldCharType="begin"/>
      </w:r>
      <w:r w:rsidR="007515FF" w:rsidRPr="002A6586">
        <w:rPr>
          <w:highlight w:val="yellow"/>
        </w:rPr>
        <w:instrText xml:space="preserve"> ADDIN ZOTERO_ITEM CSL_CITATION {"citationID":"CuNn0HfJ","properties":{"unsorted":false,"formattedCitation":"[164]","plainCitation":"[164]","noteIndex":0},"citationItems":[{"id":2126,"uris":["http://zotero.org/users/9870935/items/5SGD5DQK"],"itemData":{"id":2126,"type":"paper-conference","container-title":"ICC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515FF" w:rsidRPr="002A6586">
        <w:rPr>
          <w:highlight w:val="yellow"/>
        </w:rPr>
        <w:fldChar w:fldCharType="separate"/>
      </w:r>
      <w:r w:rsidR="007515FF" w:rsidRPr="002A6586">
        <w:rPr>
          <w:highlight w:val="yellow"/>
        </w:rPr>
        <w:t>[163]</w:t>
      </w:r>
      <w:r w:rsidR="007515FF" w:rsidRPr="002A6586">
        <w:rPr>
          <w:highlight w:val="yellow"/>
        </w:rPr>
        <w:fldChar w:fldCharType="end"/>
      </w:r>
      <w:r w:rsidRPr="002A6586">
        <w:rPr>
          <w:highlight w:val="yellow"/>
        </w:rPr>
        <w:t>.</w:t>
      </w:r>
    </w:p>
    <w:p w14:paraId="0438A364" w14:textId="77777777" w:rsidR="00FE013C" w:rsidRPr="002A6586" w:rsidRDefault="00FE013C" w:rsidP="004C16FF">
      <w:pPr>
        <w:pStyle w:val="Heading2"/>
        <w:rPr>
          <w:color w:val="auto"/>
          <w:highlight w:val="yellow"/>
        </w:rPr>
      </w:pPr>
      <w:r w:rsidRPr="002A6586">
        <w:rPr>
          <w:color w:val="auto"/>
          <w:highlight w:val="yellow"/>
        </w:rPr>
        <w:t>9.9 Cybersecurity and Operational Technology</w:t>
      </w:r>
    </w:p>
    <w:p w14:paraId="0BE0E768" w14:textId="762C9A87" w:rsidR="00FE013C" w:rsidRPr="002A6586" w:rsidRDefault="00FE013C" w:rsidP="007D29E8">
      <w:pPr>
        <w:spacing w:after="120"/>
        <w:ind w:firstLine="480"/>
        <w:rPr>
          <w:highlight w:val="yellow"/>
        </w:rPr>
      </w:pPr>
      <w:r w:rsidRPr="002A6586">
        <w:rPr>
          <w:highlight w:val="yellow"/>
        </w:rPr>
        <w:t>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denial-of-service attacks (disrupting communication between components)</w:t>
      </w:r>
      <w:r w:rsidRPr="002A6586">
        <w:rPr>
          <w:highlight w:val="yellow"/>
        </w:rPr>
        <w:fldChar w:fldCharType="begin"/>
      </w:r>
      <w:r w:rsidR="007D29E8" w:rsidRPr="002A6586">
        <w:rPr>
          <w:highlight w:val="yellow"/>
        </w:rPr>
        <w:instrText xml:space="preserve"> ADDIN ZOTERO_ITEM CSL_CITATION {"citationID":"oozQ5wwK","properties":{"unsorted":false,"formattedCitation":"[167]","plainCitation":"[167]","noteIndex":0},"citationItems":[{"id":2151,"uris":["http://zotero.org/users/9870935/items/G8D3K3TM"],"itemData":{"id":2151,"type":"article-journal","abstract":"The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Pr="002A6586">
        <w:rPr>
          <w:highlight w:val="yellow"/>
        </w:rPr>
        <w:fldChar w:fldCharType="separate"/>
      </w:r>
      <w:r w:rsidR="007D29E8" w:rsidRPr="002A6586">
        <w:rPr>
          <w:highlight w:val="yellow"/>
        </w:rPr>
        <w:t>[166]</w:t>
      </w:r>
      <w:r w:rsidRPr="002A6586">
        <w:rPr>
          <w:highlight w:val="yellow"/>
        </w:rPr>
        <w:fldChar w:fldCharType="end"/>
      </w:r>
      <w:r w:rsidRPr="002A6586">
        <w:rPr>
          <w:highlight w:val="yellow"/>
        </w:rPr>
        <w:t xml:space="preserve">. As the IT and OT networks in modern data </w:t>
      </w:r>
      <w:r w:rsidR="00580BAE" w:rsidRPr="002A6586">
        <w:rPr>
          <w:highlight w:val="yellow"/>
        </w:rPr>
        <w:t>center</w:t>
      </w:r>
      <w:r w:rsidRPr="002A6586">
        <w:rPr>
          <w:highlight w:val="yellow"/>
        </w:rPr>
        <w:t>s converge, there are opportunities for cyber threats to spread from enterprise systems to critical power infrastructure.</w:t>
      </w:r>
    </w:p>
    <w:p w14:paraId="4E1A3D79" w14:textId="52C45352" w:rsidR="00FE013C" w:rsidRPr="00BD4B33" w:rsidRDefault="00FE013C" w:rsidP="007D29E8">
      <w:pPr>
        <w:spacing w:after="120"/>
        <w:ind w:firstLine="480"/>
      </w:pPr>
      <w:r w:rsidRPr="002A6586">
        <w:rPr>
          <w:highlight w:val="yellow"/>
        </w:rPr>
        <w:t xml:space="preserve">The following principles are followed to support best practices for OT cybersecurity: air-gapping or VPN-protected control networks, multi-factor authentication of all operator access, role-based access control that </w:t>
      </w:r>
      <w:r w:rsidR="00030122" w:rsidRPr="002A6586">
        <w:rPr>
          <w:highlight w:val="yellow"/>
        </w:rPr>
        <w:t>minimizes</w:t>
      </w:r>
      <w:r w:rsidRPr="002A6586">
        <w:rPr>
          <w:highlight w:val="yellow"/>
        </w:rPr>
        <w:t xml:space="preserve"> the permissions of each user, encrypted communications with TLS 1.3 or its higher versions, and redundant communication paths to ensure control capability for disruptions to the network</w:t>
      </w:r>
      <w:r w:rsidRPr="002A6586">
        <w:rPr>
          <w:highlight w:val="yellow"/>
        </w:rPr>
        <w:fldChar w:fldCharType="begin"/>
      </w:r>
      <w:r w:rsidR="007D29E8" w:rsidRPr="002A6586">
        <w:rPr>
          <w:highlight w:val="yellow"/>
        </w:rPr>
        <w:instrText xml:space="preserve"> ADDIN ZOTERO_ITEM CSL_CITATION {"citationID":"Z3L6Q0Rb","properties":{"unsorted":false,"formattedCitation":"[168]","plainCitation":"[168]","noteIndex":0},"citationItems":[{"id":2153,"uris":["http://zotero.org/users/9870935/items/BM962LGX"],"itemData":{"id":2153,"type":"article-journal","abstract":"Power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Pr="002A6586">
        <w:rPr>
          <w:highlight w:val="yellow"/>
        </w:rPr>
        <w:fldChar w:fldCharType="separate"/>
      </w:r>
      <w:r w:rsidR="007D29E8" w:rsidRPr="002A6586">
        <w:rPr>
          <w:highlight w:val="yellow"/>
        </w:rPr>
        <w:t>[167]</w:t>
      </w:r>
      <w:r w:rsidRPr="002A6586">
        <w:rPr>
          <w:highlight w:val="yellow"/>
        </w:rPr>
        <w:fldChar w:fldCharType="end"/>
      </w:r>
      <w:r w:rsidRPr="002A6586">
        <w:rPr>
          <w:highlight w:val="yellow"/>
        </w:rPr>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Pr="002A6586">
        <w:rPr>
          <w:highlight w:val="yellow"/>
        </w:rPr>
        <w:fldChar w:fldCharType="begin"/>
      </w:r>
      <w:r w:rsidR="007D29E8" w:rsidRPr="002A6586">
        <w:rPr>
          <w:highlight w:val="yellow"/>
        </w:rPr>
        <w:instrText xml:space="preserve"> ADDIN ZOTERO_ITEM CSL_CITATION {"citationID":"WrmxBe2a","properties":{"unsorted":false,"formattedCitation":"[169]","plainCitation":"[169]","noteIndex":0},"citationItems":[{"id":2154,"uris":["http://zotero.org/users/9870935/items/5WIYJKYR"],"itemData":{"id":2154,"type":"article-journal","abstract":"As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Pr="002A6586">
        <w:rPr>
          <w:highlight w:val="yellow"/>
        </w:rPr>
        <w:fldChar w:fldCharType="separate"/>
      </w:r>
      <w:r w:rsidR="007D29E8" w:rsidRPr="002A6586">
        <w:rPr>
          <w:highlight w:val="yellow"/>
        </w:rPr>
        <w:t>[168]</w:t>
      </w:r>
      <w:r w:rsidRPr="002A6586">
        <w:rPr>
          <w:highlight w:val="yellow"/>
        </w:rPr>
        <w:fldChar w:fldCharType="end"/>
      </w:r>
      <w:r w:rsidRPr="002A6586">
        <w:rPr>
          <w:highlight w:val="yellow"/>
        </w:rPr>
        <w:t>.</w:t>
      </w:r>
    </w:p>
    <w:p w14:paraId="5FB529BD" w14:textId="77777777" w:rsidR="00FE013C" w:rsidRDefault="00FE013C" w:rsidP="004C16FF">
      <w:pPr>
        <w:pStyle w:val="Heading1"/>
        <w:keepNext/>
        <w:jc w:val="both"/>
      </w:pPr>
      <w:bookmarkStart w:id="4" w:name="_Toc100067"/>
      <w:r>
        <w:t>10. Economic Analysis and Financial Viability</w:t>
      </w:r>
      <w:bookmarkEnd w:id="4"/>
    </w:p>
    <w:p w14:paraId="5CAC49A2" w14:textId="4B2934CE" w:rsidR="00F77E8E" w:rsidRDefault="00F77E8E" w:rsidP="004C16FF">
      <w:pPr>
        <w:spacing w:after="120"/>
        <w:ind w:firstLine="480"/>
        <w:rPr>
          <w:color w:val="000000" w:themeColor="text1"/>
          <w:szCs w:val="24"/>
          <w:lang w:val="en-CA"/>
        </w:rPr>
      </w:pPr>
      <w:r w:rsidRPr="002D05E1">
        <w:rPr>
          <w:color w:val="000000" w:themeColor="text1"/>
          <w:szCs w:val="24"/>
          <w:highlight w:val="yellow"/>
          <w:lang w:val="en-CA"/>
        </w:rPr>
        <w:t xml:space="preserve">This section reviews the economic features of AI data centers powered by renewables, including capital cost of technologies, operating and maintenance costs, levelized generation costs, firming and grid-integration costs, power purchase agreements (PPAs), financial assumptions, tax incentives and methods for financial evaluation of projects. The comparison is divided into unfirmed renewable generation, firmed renewable systems, and delivered grid electricity, as these are not a like-for-like comparison as they are not the same product and availability is different. Values cited in this section are not the results of an independent project-specific financial </w:t>
      </w:r>
      <w:r w:rsidR="002D05E1" w:rsidRPr="002D05E1">
        <w:rPr>
          <w:color w:val="000000" w:themeColor="text1"/>
          <w:szCs w:val="24"/>
          <w:highlight w:val="yellow"/>
          <w:lang w:val="en-CA"/>
        </w:rPr>
        <w:t>model but</w:t>
      </w:r>
      <w:r w:rsidRPr="002D05E1">
        <w:rPr>
          <w:color w:val="000000" w:themeColor="text1"/>
          <w:szCs w:val="24"/>
          <w:highlight w:val="yellow"/>
          <w:lang w:val="en-CA"/>
        </w:rPr>
        <w:t xml:space="preserve"> are literature-based benchmarks.</w:t>
      </w:r>
    </w:p>
    <w:p w14:paraId="159459D5" w14:textId="77777777" w:rsidR="00FE013C" w:rsidRPr="00EB1FF0" w:rsidRDefault="00FE013C" w:rsidP="004C16FF">
      <w:pPr>
        <w:pStyle w:val="Heading2"/>
        <w:rPr>
          <w:color w:val="auto"/>
        </w:rPr>
      </w:pPr>
      <w:bookmarkStart w:id="5" w:name="_Toc100068"/>
      <w:r w:rsidRPr="00EB1FF0">
        <w:rPr>
          <w:color w:val="auto"/>
        </w:rPr>
        <w:t>10.1 Capital</w:t>
      </w:r>
      <w:r>
        <w:rPr>
          <w:color w:val="auto"/>
        </w:rPr>
        <w:t xml:space="preserve"> and Operational</w:t>
      </w:r>
      <w:r w:rsidRPr="00EB1FF0">
        <w:rPr>
          <w:color w:val="auto"/>
        </w:rPr>
        <w:t xml:space="preserve"> Cost Analysis</w:t>
      </w:r>
      <w:bookmarkEnd w:id="5"/>
    </w:p>
    <w:p w14:paraId="76E4F47C" w14:textId="1F69A2A0" w:rsidR="00D81E2E" w:rsidRPr="00157584" w:rsidRDefault="00D81E2E" w:rsidP="00157584">
      <w:pPr>
        <w:spacing w:after="120"/>
        <w:ind w:firstLine="480"/>
        <w:rPr>
          <w:color w:val="000000" w:themeColor="text1"/>
          <w:szCs w:val="24"/>
          <w:highlight w:val="yellow"/>
        </w:rPr>
      </w:pPr>
      <w:r w:rsidRPr="002814C1">
        <w:rPr>
          <w:color w:val="000000" w:themeColor="text1"/>
          <w:szCs w:val="24"/>
          <w:highlight w:val="yellow"/>
          <w:lang w:val="en-CA"/>
        </w:rPr>
        <w:t xml:space="preserve">Costs for renewable-energy projects tend to be capital-intensive, and most of the cost is in developing and building the project. As a result, the reported capital costs range depending on the geographic location, quality of resources, labor and equipment markets, interconnection needs, permitting process, supply-chain limitations, and financing arrangement. </w:t>
      </w:r>
      <w:r w:rsidR="00A721DF" w:rsidRPr="00A721DF">
        <w:rPr>
          <w:color w:val="000000" w:themeColor="text1"/>
          <w:szCs w:val="24"/>
          <w:highlight w:val="yellow"/>
        </w:rPr>
        <w:t xml:space="preserve">The National Renewable </w:t>
      </w:r>
      <w:r w:rsidR="00A721DF" w:rsidRPr="00A721DF">
        <w:rPr>
          <w:color w:val="000000" w:themeColor="text1"/>
          <w:szCs w:val="24"/>
          <w:highlight w:val="yellow"/>
        </w:rPr>
        <w:lastRenderedPageBreak/>
        <w:t>Energy Laboratory (NREL) Annual Technology Baseline (ATB) provides internally consistent technology-cost and performance assumptions for U.S. electricity-sector analysis, while the International Renewable Energy Agency (IRENA) reports global and regional observations for commissioned projects</w:t>
      </w:r>
      <w:r w:rsidR="00157584">
        <w:rPr>
          <w:color w:val="000000" w:themeColor="text1"/>
          <w:szCs w:val="24"/>
          <w:highlight w:val="yellow"/>
        </w:rPr>
        <w:t xml:space="preserve"> </w:t>
      </w:r>
      <w:r w:rsidR="002814C1">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{"citationID":"TiaPh2yu","properties":{"unsorted":false,"formattedCitation":"[16], [118]","plainCitation":"[16], [118]","noteIndex":0},"citationItems":[{"id":1925,"uris":["http://zotero.org/users/9870935/items/ZT343IZI"],"itemData":{"id":1925,"type":"article-journal","language":"en","source":"Zotero","title":"Renewable power generation costs in 2024","URL":"https://www.rinnovabili.it/wp-content/uploads/2025/07/IRENA-RENEWABLE-POWER-GENERATION-COSTS-IN-2024.pdf"}},{"id":2715,"uris":["http://zotero.org/users/9870935/items/7394XZ5J"],"itemData":{"id":2715,"type":"post-weblog","title":"Annual Technoogy Baseline","URL":"https://atb-archive.nlr.gov/","author":[{"literal":"NREL"}]}}],"schema":"https://github.com/citation-style-language/schema/raw/master/csl-citation.json"} </w:instrText>
      </w:r>
      <w:r w:rsidR="002814C1">
        <w:rPr>
          <w:color w:val="000000" w:themeColor="text1"/>
          <w:szCs w:val="24"/>
          <w:highlight w:val="yellow"/>
          <w:lang w:val="en-CA"/>
        </w:rPr>
        <w:fldChar w:fldCharType="separate"/>
      </w:r>
      <w:r w:rsidR="00286292" w:rsidRPr="00286292">
        <w:rPr>
          <w:highlight w:val="yellow"/>
          <w:lang w:val="en-CA"/>
        </w:rPr>
        <w:t>[16], [117]</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10D1FDD0" w14:textId="24E412B3"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[185]. Additionally, IRENA published the total installed price for battery energy storage systems (BESS) at the utility scale cost at about $192/kWh in 2024</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1l15Jiku","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002DB1DD" w14:textId="165714E9"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 xml:space="preserve">The cost of batteries should be reported regularly. According to </w:t>
      </w:r>
      <w:proofErr w:type="spellStart"/>
      <w:r w:rsidRPr="002814C1">
        <w:rPr>
          <w:color w:val="000000" w:themeColor="text1"/>
          <w:szCs w:val="24"/>
          <w:highlight w:val="yellow"/>
          <w:lang w:val="en-CA"/>
        </w:rPr>
        <w:t>BloombergNEF's</w:t>
      </w:r>
      <w:proofErr w:type="spellEnd"/>
      <w:r w:rsidRPr="002814C1">
        <w:rPr>
          <w:color w:val="000000" w:themeColor="text1"/>
          <w:szCs w:val="24"/>
          <w:highlight w:val="yellow"/>
          <w:lang w:val="en-CA"/>
        </w:rPr>
        <w:t xml:space="preserve"> 2025 survey, the volume-weighted average price of lithium-ion battery-packs for applications dropped to $108/kWh. The average pack price for stationary-storage was about $70/kWh</w:t>
      </w:r>
      <w:r w:rsidR="002814C1">
        <w:rPr>
          <w:color w:val="000000" w:themeColor="text1"/>
          <w:szCs w:val="24"/>
          <w:highlight w:val="yellow"/>
          <w:lang w:val="en-CA"/>
        </w:rPr>
        <w:t xml:space="preserve"> </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{"citationID":"cL5TvLm8","properties":{"unsorted":false,"formattedCitation":"[17]","plainCitation":"[17]","noteIndex":0},"citationItems":[{"id":1923,"uris":["http://zotero.org/users/9870935/items/K5N743Z5"],"itemData":{"id":1923,"type":"post-weblog","title":"BNEF: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[17]</w:t>
      </w:r>
      <w:r w:rsidR="002814C1">
        <w:rPr>
          <w:color w:val="000000" w:themeColor="text1"/>
          <w:szCs w:val="24"/>
          <w:highlight w:val="yellow"/>
          <w:lang w:val="en-CA"/>
        </w:rPr>
        <w:fldChar w:fldCharType="end"/>
      </w:r>
      <w:r w:rsidRPr="002814C1">
        <w:rPr>
          <w:color w:val="000000" w:themeColor="text1"/>
          <w:szCs w:val="24"/>
          <w:highlight w:val="yellow"/>
          <w:lang w:val="en-CA"/>
        </w:rPr>
        <w:t xml:space="preserve">. These values are based on battery-packs and do not cover all costs needed to build an operational battery energy storage system. Other costs included in a complete </w:t>
      </w:r>
      <w:r w:rsidR="002814C1" w:rsidRPr="002814C1">
        <w:rPr>
          <w:color w:val="000000" w:themeColor="text1"/>
          <w:szCs w:val="24"/>
          <w:highlight w:val="yellow"/>
          <w:lang w:val="en-CA"/>
        </w:rPr>
        <w:t>installed system</w:t>
      </w:r>
      <w:r w:rsidRPr="002814C1">
        <w:rPr>
          <w:color w:val="000000" w:themeColor="text1"/>
          <w:szCs w:val="24"/>
          <w:highlight w:val="yellow"/>
          <w:lang w:val="en-CA"/>
        </w:rPr>
        <w:t xml:space="preserve"> include the power-conversion system, the thermal management, battery enclosures, controls, fire protection, engineering, procurement, construction, interconnection equipment and site-development costs. The price of the pack is thus not a viable alternative to the installed BESS cost.</w:t>
      </w:r>
    </w:p>
    <w:p w14:paraId="37AC81A4" w14:textId="25C9E738"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following cost categories are kept for screening-level analysis in this review:</w:t>
      </w:r>
    </w:p>
    <w:p w14:paraId="6FF64ADD" w14:textId="2DB5E5BD" w:rsidR="00D81E2E" w:rsidRPr="002814C1" w:rsidRDefault="00D81E2E" w:rsidP="00286292">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Capital cost of utility-scale solar PV:</w:t>
      </w:r>
      <w:r w:rsidRPr="002814C1">
        <w:rPr>
          <w:color w:val="000000" w:themeColor="text1"/>
          <w:szCs w:val="24"/>
          <w:highlight w:val="yellow"/>
          <w:lang w:val="en-CA"/>
        </w:rPr>
        <w:t xml:space="preserve"> project-specific capital cost from the NREL Annual Technology Baseline or a similar regional engineering estimate</w:t>
      </w:r>
      <w:r w:rsidR="008B3B48">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{"citationID":"0JgMbJWx","properties":{"unsorted":false,"formattedCitation":"[118]","plainCitation":"[118]","noteIndex":0},"citationItems":[{"id":2715,"uris":["http://zotero.org/users/9870935/items/7394XZ5J"],"itemData":{"id":2715,"type":"post-weblog","title":"Annual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286292" w:rsidRPr="00286292">
        <w:rPr>
          <w:highlight w:val="yellow"/>
          <w:lang w:val="en-CA"/>
        </w:rPr>
        <w:t>[117]</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56A2FBC4" w14:textId="26C0BD98" w:rsidR="00D81E2E" w:rsidRPr="002814C1" w:rsidRDefault="00D81E2E" w:rsidP="00286292">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Onshore wind:</w:t>
      </w:r>
      <w:r w:rsidRPr="002814C1">
        <w:rPr>
          <w:color w:val="000000" w:themeColor="text1"/>
          <w:szCs w:val="24"/>
          <w:highlight w:val="yellow"/>
          <w:lang w:val="en-CA"/>
        </w:rPr>
        <w:t xml:space="preserve"> A project-specific capital cost from the NREL Annual Technology Baseline or other regionally available estimate </w:t>
      </w:r>
      <w:r w:rsidR="008B3B48">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{"citationID":"QgPzQghO","properties":{"unsorted":false,"formattedCitation":"[118]","plainCitation":"[118]","noteIndex":0},"citationItems":[{"id":2715,"uris":["http://zotero.org/users/9870935/items/7394XZ5J"],"itemData":{"id":2715,"type":"post-weblog","title":"Annual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286292" w:rsidRPr="00286292">
        <w:rPr>
          <w:highlight w:val="yellow"/>
          <w:lang w:val="en-CA"/>
        </w:rPr>
        <w:t>[117]</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45A1753B" w14:textId="2104934A" w:rsidR="00D81E2E" w:rsidRPr="002814C1"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Lithium-ion battery pack:</w:t>
      </w:r>
      <w:r w:rsidRPr="002814C1">
        <w:rPr>
          <w:color w:val="000000" w:themeColor="text1"/>
          <w:szCs w:val="24"/>
          <w:highlight w:val="yellow"/>
          <w:lang w:val="en-CA"/>
        </w:rPr>
        <w:t xml:space="preserve"> $108/kWh as the 2025 volume-weighted average across applications, with stationary-storage packs averaging $70/kWh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{"citationID":"ly3sI2Ew","properties":{"unsorted":false,"formattedCitation":"[17]","plainCitation":"[17]","noteIndex":0},"citationItems":[{"id":1923,"uris":["http://zotero.org/users/9870935/items/K5N743Z5"],"itemData":{"id":1923,"type":"post-weblog","title":"BNEF: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[17]</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6B74578B" w14:textId="77FB8E97" w:rsidR="00B9300E" w:rsidRPr="00B9300E" w:rsidRDefault="00D81E2E" w:rsidP="00B9300E">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Installed cost of utility-scale BESS:</w:t>
      </w:r>
      <w:r w:rsidRPr="002814C1">
        <w:rPr>
          <w:color w:val="000000" w:themeColor="text1"/>
          <w:szCs w:val="24"/>
          <w:highlight w:val="yellow"/>
          <w:lang w:val="en-CA"/>
        </w:rPr>
        <w:t xml:space="preserve"> global weighted-average 2024 installed cost from IRENA, which could vary across regions and projects, of approximately $192/kWh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oeDt1TSW","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[16]</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1782112C" w14:textId="2701F7DB" w:rsidR="00B9300E" w:rsidRPr="00B9300E" w:rsidRDefault="00B9300E" w:rsidP="00B9300E">
      <w:pPr>
        <w:spacing w:after="120"/>
        <w:ind w:firstLine="480"/>
        <w:rPr>
          <w:color w:val="000000" w:themeColor="text1"/>
          <w:szCs w:val="24"/>
          <w:highlight w:val="yellow"/>
        </w:rPr>
      </w:pPr>
      <w:r w:rsidRPr="00B9300E">
        <w:rPr>
          <w:color w:val="000000" w:themeColor="text1"/>
          <w:szCs w:val="24"/>
          <w:highlight w:val="yellow"/>
        </w:rPr>
        <w:t>Unless otherwise stated, cost values reported in this section are literature-based benchmarks extracted from published sources and are presented in the original reports' currency years. These values have not been normalized to a common base year unless explicitly indicated. Consequently, direct numerical comparisons should be interpreted with caution. Project-specific evaluations should use locally applicable cost data and inflation-adjusted assumptions.</w:t>
      </w:r>
    </w:p>
    <w:p w14:paraId="076ABDA0" w14:textId="4E995590" w:rsidR="00D81E2E" w:rsidRPr="000D42C3" w:rsidRDefault="00D81E2E" w:rsidP="000D42C3">
      <w:pPr>
        <w:spacing w:after="120"/>
        <w:ind w:firstLine="480"/>
        <w:rPr>
          <w:color w:val="000000" w:themeColor="text1"/>
          <w:szCs w:val="24"/>
          <w:highlight w:val="yellow"/>
          <w:lang w:val="en-CA"/>
        </w:rPr>
      </w:pPr>
      <w:r w:rsidRPr="000D42C3">
        <w:rPr>
          <w:color w:val="000000" w:themeColor="text1"/>
          <w:szCs w:val="24"/>
          <w:highlight w:val="yellow"/>
          <w:lang w:val="en-CA"/>
        </w:rPr>
        <w:t xml:space="preserve">Fundamentally, the same technology data set should be used for fixed operation and maintenance costs. Annual fixed O&amp;M can be reported as a percent of initial capital cost for project </w:t>
      </w:r>
      <w:proofErr w:type="gramStart"/>
      <w:r w:rsidRPr="000D42C3">
        <w:rPr>
          <w:color w:val="000000" w:themeColor="text1"/>
          <w:szCs w:val="24"/>
          <w:highlight w:val="yellow"/>
          <w:lang w:val="en-CA"/>
        </w:rPr>
        <w:t>screening, but</w:t>
      </w:r>
      <w:proofErr w:type="gramEnd"/>
      <w:r w:rsidRPr="000D42C3">
        <w:rPr>
          <w:color w:val="000000" w:themeColor="text1"/>
          <w:szCs w:val="24"/>
          <w:highlight w:val="yellow"/>
          <w:lang w:val="en-CA"/>
        </w:rPr>
        <w:t xml:space="preserve"> should be reported as technology-specific dollar per kilowatt per year costs in investment-grade project analysis, and should separately report costs for land leases, insurance and asset management, inverter replacement, battery augmentation, property taxes, and planned component replacement</w:t>
      </w:r>
      <w:r w:rsidR="000D42C3">
        <w:rPr>
          <w:color w:val="000000" w:themeColor="text1"/>
          <w:szCs w:val="24"/>
          <w:highlight w:val="yellow"/>
          <w:lang w:val="en-CA"/>
        </w:rPr>
        <w:t>.</w:t>
      </w:r>
    </w:p>
    <w:p w14:paraId="2E77E158" w14:textId="77777777" w:rsidR="00FE013C" w:rsidRDefault="00FE013C" w:rsidP="004C16FF">
      <w:pPr>
        <w:pStyle w:val="Heading2"/>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019243BB" w14:textId="057FE542" w:rsidR="00044E2C" w:rsidRPr="00880E70" w:rsidRDefault="00044E2C" w:rsidP="00880E70">
      <w:pPr>
        <w:spacing w:after="120"/>
        <w:ind w:firstLine="480"/>
        <w:rPr>
          <w:color w:val="000000" w:themeColor="text1"/>
          <w:szCs w:val="24"/>
          <w:highlight w:val="yellow"/>
          <w:lang w:val="en-CA"/>
        </w:rPr>
      </w:pPr>
      <w:r w:rsidRPr="00044E2C">
        <w:rPr>
          <w:color w:val="000000" w:themeColor="text1"/>
          <w:szCs w:val="24"/>
          <w:highlight w:val="yellow"/>
          <w:lang w:val="en-CA"/>
        </w:rPr>
        <w:t xml:space="preserve">Levelized cost of electricity (LCOE) is the discounted LCOE of constructing and operating a generation asset divided by the discounted lifetime electricity production. While LCOE is useful for comparing generation technologies when the same assumptions are made, it cannot be used to measure </w:t>
      </w:r>
      <w:r w:rsidRPr="00044E2C">
        <w:rPr>
          <w:color w:val="000000" w:themeColor="text1"/>
          <w:szCs w:val="24"/>
          <w:highlight w:val="yellow"/>
          <w:lang w:val="en-CA"/>
        </w:rPr>
        <w:lastRenderedPageBreak/>
        <w:t>the temporal availability, capacity value, transmission requirements, curtailment or the cost of reliably serving a continuous data-center load</w:t>
      </w:r>
      <w:r>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{"citationID":"GxLmBcf8","properties":{"unsorted":false,"formattedCitation":"[16], [170]","plainCitation":"[16], [170]","noteIndex":0},"citationItems":[{"id":1925,"uris":["http://zotero.org/users/9870935/items/ZT343IZI"],"itemData":{"id":1925,"type":"article-journal","language":"en","source":"Zotero","title":"Renewable power generation costs in 2024","URL":"https://www.rinnovabili.it/wp-content/uploads/2025/07/IRENA-RENEWABLE-POWER-GENERATION-COSTS-IN-2024.pdf"}},{"id":2716,"uris":["http://zotero.org/users/9870935/items/QM3FE6TY"],"itemData":{"id":2716,"type":"post-weblog","title":"Lazard’s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Pr>
          <w:color w:val="000000" w:themeColor="text1"/>
          <w:szCs w:val="24"/>
          <w:highlight w:val="yellow"/>
          <w:lang w:val="en-CA"/>
        </w:rPr>
        <w:fldChar w:fldCharType="separate"/>
      </w:r>
      <w:r w:rsidR="00286292" w:rsidRPr="00286292">
        <w:rPr>
          <w:highlight w:val="yellow"/>
          <w:lang w:val="en-CA"/>
        </w:rPr>
        <w:t>[16], [169]</w:t>
      </w:r>
      <w:r>
        <w:rPr>
          <w:color w:val="000000" w:themeColor="text1"/>
          <w:szCs w:val="24"/>
          <w:highlight w:val="yellow"/>
          <w:lang w:val="en-CA"/>
        </w:rPr>
        <w:fldChar w:fldCharType="end"/>
      </w:r>
      <w:r w:rsidRPr="00044E2C">
        <w:rPr>
          <w:color w:val="000000" w:themeColor="text1"/>
          <w:szCs w:val="24"/>
          <w:highlight w:val="yellow"/>
          <w:lang w:val="en-CA"/>
        </w:rPr>
        <w:t>.</w:t>
      </w:r>
    </w:p>
    <w:p w14:paraId="39E4AFB9" w14:textId="48981AF3" w:rsidR="00044E2C" w:rsidRPr="00044E2C" w:rsidRDefault="00044E2C" w:rsidP="00044E2C">
      <w:pPr>
        <w:spacing w:after="120"/>
        <w:ind w:firstLine="480"/>
        <w:rPr>
          <w:color w:val="000000" w:themeColor="text1"/>
          <w:szCs w:val="24"/>
          <w:highlight w:val="yellow"/>
          <w:lang w:val="en-CA"/>
        </w:rPr>
      </w:pPr>
      <w:r w:rsidRPr="00044E2C">
        <w:rPr>
          <w:color w:val="000000" w:themeColor="text1"/>
          <w:szCs w:val="24"/>
          <w:highlight w:val="yellow"/>
          <w:lang w:val="en-CA"/>
        </w:rPr>
        <w:t xml:space="preserve">This is therefore the difference between unfirmed and firmed electricity that is important. Standalone solar PV and wind LCOEs are the cost of variable electricity </w:t>
      </w:r>
      <w:r w:rsidR="00417AAE" w:rsidRPr="00044E2C">
        <w:rPr>
          <w:color w:val="000000" w:themeColor="text1"/>
          <w:szCs w:val="24"/>
          <w:highlight w:val="yellow"/>
          <w:lang w:val="en-CA"/>
        </w:rPr>
        <w:t>if</w:t>
      </w:r>
      <w:r w:rsidRPr="00044E2C">
        <w:rPr>
          <w:color w:val="000000" w:themeColor="text1"/>
          <w:szCs w:val="24"/>
          <w:highlight w:val="yellow"/>
          <w:lang w:val="en-CA"/>
        </w:rPr>
        <w:t xml:space="preserve"> the resource is available. On the other hand, a data center has a high demand for </w:t>
      </w:r>
      <w:r w:rsidR="00417AAE" w:rsidRPr="00044E2C">
        <w:rPr>
          <w:color w:val="000000" w:themeColor="text1"/>
          <w:szCs w:val="24"/>
          <w:highlight w:val="yellow"/>
          <w:lang w:val="en-CA"/>
        </w:rPr>
        <w:t>electricity,</w:t>
      </w:r>
      <w:r w:rsidRPr="00044E2C">
        <w:rPr>
          <w:color w:val="000000" w:themeColor="text1"/>
          <w:szCs w:val="24"/>
          <w:highlight w:val="yellow"/>
          <w:lang w:val="en-CA"/>
        </w:rPr>
        <w:t xml:space="preserve"> and the electricity </w:t>
      </w:r>
      <w:proofErr w:type="gramStart"/>
      <w:r w:rsidRPr="00044E2C">
        <w:rPr>
          <w:color w:val="000000" w:themeColor="text1"/>
          <w:szCs w:val="24"/>
          <w:highlight w:val="yellow"/>
          <w:lang w:val="en-CA"/>
        </w:rPr>
        <w:t>has to</w:t>
      </w:r>
      <w:proofErr w:type="gramEnd"/>
      <w:r w:rsidRPr="00044E2C">
        <w:rPr>
          <w:color w:val="000000" w:themeColor="text1"/>
          <w:szCs w:val="24"/>
          <w:highlight w:val="yellow"/>
          <w:lang w:val="en-CA"/>
        </w:rPr>
        <w:t xml:space="preserve"> be constant, so it needs to increase the demand elasticity or geographic dispersion or use storage, imports, and backup generation to increase the demand stability. Unfirmed solar and wind LCOEs should not be explicitly compared to the all-in cost of firm grid service.</w:t>
      </w:r>
    </w:p>
    <w:p w14:paraId="56F187F7" w14:textId="4BC9651B" w:rsidR="00044E2C" w:rsidRPr="00044E2C" w:rsidRDefault="00044E2C" w:rsidP="00286292">
      <w:pPr>
        <w:spacing w:after="120"/>
        <w:ind w:firstLine="480"/>
        <w:rPr>
          <w:color w:val="000000" w:themeColor="text1"/>
          <w:szCs w:val="24"/>
          <w:highlight w:val="yellow"/>
          <w:lang w:val="en-CA"/>
        </w:rPr>
      </w:pPr>
      <w:r w:rsidRPr="00044E2C">
        <w:rPr>
          <w:color w:val="000000" w:themeColor="text1"/>
          <w:szCs w:val="24"/>
          <w:highlight w:val="yellow"/>
          <w:lang w:val="en-CA"/>
        </w:rPr>
        <w:t>IRENA also listed the weighted-average LCOEs for solar PV and onshore wind for 2024 as $43/MWh and $34/MWh respectively</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OszfCbIt","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 Lazard's 2025 LCOE+ also found utility-scale solar and onshore wind to be cost competitive in the U.S. for new build, and noted that it is benchmarking current markets, not predicting the future</w:t>
      </w:r>
      <w:r w:rsidR="00417AAE">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{"citationID":"DLHqQ4hD","properties":{"unsorted":false,"formattedCitation":"[170]","plainCitation":"[170]","noteIndex":0},"citationItems":[{"id":2716,"uris":["http://zotero.org/users/9870935/items/QM3FE6TY"],"itemData":{"id":2716,"type":"post-weblog","title":"Lazard’s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417AAE">
        <w:rPr>
          <w:color w:val="000000" w:themeColor="text1"/>
          <w:szCs w:val="24"/>
          <w:highlight w:val="yellow"/>
          <w:lang w:val="en-CA"/>
        </w:rPr>
        <w:fldChar w:fldCharType="separate"/>
      </w:r>
      <w:r w:rsidR="00286292" w:rsidRPr="00286292">
        <w:rPr>
          <w:highlight w:val="yellow"/>
          <w:lang w:val="en-CA"/>
        </w:rPr>
        <w:t>[169]</w:t>
      </w:r>
      <w:r w:rsidR="00417AAE">
        <w:rPr>
          <w:color w:val="000000" w:themeColor="text1"/>
          <w:szCs w:val="24"/>
          <w:highlight w:val="yellow"/>
          <w:lang w:val="en-CA"/>
        </w:rPr>
        <w:fldChar w:fldCharType="end"/>
      </w:r>
      <w:r w:rsidRPr="00044E2C">
        <w:rPr>
          <w:color w:val="000000" w:themeColor="text1"/>
          <w:szCs w:val="24"/>
          <w:highlight w:val="yellow"/>
          <w:lang w:val="en-CA"/>
        </w:rPr>
        <w:t>. These values represent only the cost of a generation and do not reflect the full cost of securing supply to a data centre that is continually running.</w:t>
      </w:r>
    </w:p>
    <w:p w14:paraId="741F214F" w14:textId="77777777" w:rsidR="005810CB" w:rsidRPr="005810CB" w:rsidRDefault="005810CB" w:rsidP="005810CB">
      <w:pPr>
        <w:spacing w:after="120"/>
        <w:ind w:firstLine="480"/>
        <w:rPr>
          <w:color w:val="000000" w:themeColor="text1"/>
          <w:szCs w:val="24"/>
          <w:highlight w:val="yellow"/>
        </w:rPr>
      </w:pPr>
      <w:r w:rsidRPr="005810CB">
        <w:rPr>
          <w:color w:val="000000" w:themeColor="text1"/>
          <w:szCs w:val="24"/>
          <w:highlight w:val="yellow"/>
        </w:rPr>
        <w:t>Evidence from operational hybrid renewable-storage projects provides a more relevant comparison for data-center applications because a portion of renewable variability is addressed through storage. IRENA reported a weighted-average LCOE of approximately USD 79/MWh for seventeen utility-scale solar-plus-storage projects commissioned in 2024. This benchmark reflects the specific project portfolio evaluated by IRENA and should not be interpreted as a universal cost for hybrid renewable-energy systems.</w:t>
      </w:r>
    </w:p>
    <w:p w14:paraId="0AA27ACC" w14:textId="2783534B" w:rsidR="00044E2C" w:rsidRDefault="00044E2C" w:rsidP="00417AAE">
      <w:pPr>
        <w:spacing w:after="120"/>
        <w:ind w:firstLine="480"/>
        <w:rPr>
          <w:color w:val="000000" w:themeColor="text1"/>
          <w:szCs w:val="24"/>
          <w:highlight w:val="yellow"/>
          <w:lang w:val="en-CA"/>
        </w:rPr>
      </w:pPr>
      <w:r w:rsidRPr="00044E2C">
        <w:rPr>
          <w:color w:val="000000" w:themeColor="text1"/>
          <w:szCs w:val="24"/>
          <w:highlight w:val="yellow"/>
          <w:lang w:val="en-CA"/>
        </w:rPr>
        <w:t>. IRENA also found that the weighted-average price for eight Australian hybrid renewable-storage projects is around $51/MWh, highlighting the significance of project configuration, market structures, resource quality and location</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t1SBBOEG","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w:t>
      </w:r>
    </w:p>
    <w:p w14:paraId="5BA44890" w14:textId="77777777" w:rsidR="00ED6944" w:rsidRPr="00ED6944" w:rsidRDefault="00ED6944" w:rsidP="00ED6944">
      <w:pPr>
        <w:spacing w:after="120"/>
        <w:ind w:firstLine="480"/>
        <w:rPr>
          <w:color w:val="000000" w:themeColor="text1"/>
          <w:szCs w:val="24"/>
          <w:highlight w:val="yellow"/>
        </w:rPr>
      </w:pPr>
      <w:r w:rsidRPr="00ED6944">
        <w:rPr>
          <w:color w:val="000000" w:themeColor="text1"/>
          <w:szCs w:val="24"/>
          <w:highlight w:val="yellow"/>
        </w:rPr>
        <w:t>For clarity, three cost categories are distinguished throughout this review:</w:t>
      </w:r>
    </w:p>
    <w:p w14:paraId="488090FB"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Unfirmed generation</w:t>
      </w:r>
      <w:r w:rsidRPr="00ED6944">
        <w:rPr>
          <w:color w:val="000000" w:themeColor="text1"/>
          <w:szCs w:val="24"/>
          <w:highlight w:val="yellow"/>
        </w:rPr>
        <w:t xml:space="preserve"> refers to electricity generated from variable renewable resources without storage, backup generation, or contracted firming services.</w:t>
      </w:r>
    </w:p>
    <w:p w14:paraId="0746D0C4"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Partially firmed hybrid supply</w:t>
      </w:r>
      <w:r w:rsidRPr="00ED6944">
        <w:rPr>
          <w:color w:val="000000" w:themeColor="text1"/>
          <w:szCs w:val="24"/>
          <w:highlight w:val="yellow"/>
        </w:rPr>
        <w:t xml:space="preserve"> refers to renewable-generation systems combined with storage and/or grid support that reduce variability but do not independently demonstrate continuous supply at the specified reliability target.</w:t>
      </w:r>
    </w:p>
    <w:p w14:paraId="63A3B8E7" w14:textId="14564E56" w:rsidR="00ED6944" w:rsidRPr="00597C0E" w:rsidRDefault="00ED6944" w:rsidP="00597C0E">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Firm electricity supply</w:t>
      </w:r>
      <w:r w:rsidRPr="00ED6944">
        <w:rPr>
          <w:color w:val="000000" w:themeColor="text1"/>
          <w:szCs w:val="24"/>
          <w:highlight w:val="yellow"/>
        </w:rPr>
        <w:t xml:space="preserve"> refers to electricity service capable of meeting demand continuously through a combination of generation, storage, backup resources, contractual supply arrangements, and network support.</w:t>
      </w:r>
    </w:p>
    <w:p w14:paraId="2A8D6365" w14:textId="716FFBB7" w:rsidR="00FE013C" w:rsidRPr="00417AAE" w:rsidRDefault="00FE013C" w:rsidP="00417AAE">
      <w:pPr>
        <w:pStyle w:val="Caption"/>
        <w:keepNext/>
        <w:rPr>
          <w:lang w:val="en-CA"/>
        </w:rPr>
      </w:pPr>
      <w:r>
        <w:t xml:space="preserve">Table </w:t>
      </w:r>
      <w:r>
        <w:fldChar w:fldCharType="begin"/>
      </w:r>
      <w:r>
        <w:instrText xml:space="preserve"> SEQ Table \* ARABIC </w:instrText>
      </w:r>
      <w:r>
        <w:fldChar w:fldCharType="separate"/>
      </w:r>
      <w:r w:rsidR="003A45CA">
        <w:rPr>
          <w:noProof/>
        </w:rPr>
        <w:t>9</w:t>
      </w:r>
      <w:r>
        <w:rPr>
          <w:noProof/>
        </w:rPr>
        <w:fldChar w:fldCharType="end"/>
      </w:r>
      <w:r>
        <w:t xml:space="preserve"> </w:t>
      </w:r>
      <w:r w:rsidR="00417AAE" w:rsidRPr="00417AAE">
        <w:rPr>
          <w:lang w:val="en-CA"/>
        </w:rPr>
        <w:t>Literature-based electricity-cost benchmarks relevant to AI data centers</w:t>
      </w:r>
    </w:p>
    <w:tbl>
      <w:tblPr>
        <w:tblStyle w:val="MDPI41threelinetable"/>
        <w:tblW w:w="0" w:type="auto"/>
        <w:tblLook w:val="04A0" w:firstRow="1" w:lastRow="0" w:firstColumn="1" w:lastColumn="0" w:noHBand="0" w:noVBand="1"/>
      </w:tblPr>
      <w:tblGrid>
        <w:gridCol w:w="1353"/>
        <w:gridCol w:w="1253"/>
        <w:gridCol w:w="1352"/>
        <w:gridCol w:w="3699"/>
        <w:gridCol w:w="2095"/>
      </w:tblGrid>
      <w:tr w:rsidR="003C5CA7" w:rsidRPr="002651BD" w14:paraId="265CBA4B" w14:textId="77777777" w:rsidTr="003C5CA7">
        <w:trPr>
          <w:cnfStyle w:val="100000000000" w:firstRow="1" w:lastRow="0" w:firstColumn="0" w:lastColumn="0" w:oddVBand="0" w:evenVBand="0" w:oddHBand="0" w:evenHBand="0" w:firstRowFirstColumn="0" w:firstRowLastColumn="0" w:lastRowFirstColumn="0" w:lastRowLastColumn="0"/>
        </w:trPr>
        <w:tc>
          <w:tcPr>
            <w:tcW w:w="0" w:type="auto"/>
            <w:hideMark/>
          </w:tcPr>
          <w:p w14:paraId="7B7B48A6" w14:textId="1CBDB56D"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Supply Option</w:t>
            </w:r>
          </w:p>
        </w:tc>
        <w:tc>
          <w:tcPr>
            <w:tcW w:w="0" w:type="auto"/>
            <w:hideMark/>
          </w:tcPr>
          <w:p w14:paraId="439EEF68" w14:textId="71E745A5"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Cost Benchmark</w:t>
            </w:r>
          </w:p>
        </w:tc>
        <w:tc>
          <w:tcPr>
            <w:tcW w:w="0" w:type="auto"/>
            <w:hideMark/>
          </w:tcPr>
          <w:p w14:paraId="43534039" w14:textId="36EC5328"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Classification</w:t>
            </w:r>
          </w:p>
        </w:tc>
        <w:tc>
          <w:tcPr>
            <w:tcW w:w="0" w:type="auto"/>
            <w:hideMark/>
          </w:tcPr>
          <w:p w14:paraId="6BD3A392" w14:textId="3F317B37"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Interpretation</w:t>
            </w:r>
          </w:p>
        </w:tc>
        <w:tc>
          <w:tcPr>
            <w:tcW w:w="0" w:type="auto"/>
            <w:hideMark/>
          </w:tcPr>
          <w:p w14:paraId="31370237" w14:textId="7D559E8E"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Principal Sensitivity</w:t>
            </w:r>
          </w:p>
        </w:tc>
      </w:tr>
      <w:tr w:rsidR="003C5CA7" w:rsidRPr="002651BD" w14:paraId="38047541" w14:textId="77777777" w:rsidTr="003C5CA7">
        <w:tc>
          <w:tcPr>
            <w:tcW w:w="0" w:type="auto"/>
            <w:hideMark/>
          </w:tcPr>
          <w:p w14:paraId="4E639F92" w14:textId="09F73384"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Utility-Scale</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PV</w:t>
            </w:r>
          </w:p>
        </w:tc>
        <w:tc>
          <w:tcPr>
            <w:tcW w:w="0" w:type="auto"/>
            <w:hideMark/>
          </w:tcPr>
          <w:p w14:paraId="5EED7316" w14:textId="270FBCF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$43/MWh</w:t>
            </w:r>
          </w:p>
        </w:tc>
        <w:tc>
          <w:tcPr>
            <w:tcW w:w="0" w:type="auto"/>
            <w:hideMark/>
          </w:tcPr>
          <w:p w14:paraId="56650508" w14:textId="7A10662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7C7EEF46" w14:textId="52CE2D8E"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utility-scale solar PV projects commissioned in 2024. Represents generation cost only and excludes storage, backup generation, curtailment, transmission, and reliability requirements.</w:t>
            </w:r>
          </w:p>
        </w:tc>
        <w:tc>
          <w:tcPr>
            <w:tcW w:w="0" w:type="auto"/>
            <w:hideMark/>
          </w:tcPr>
          <w:p w14:paraId="2CAE5BCC" w14:textId="56C28AEA" w:rsidR="003C5CA7" w:rsidRPr="002651BD" w:rsidRDefault="003C5CA7" w:rsidP="003C5CA7">
            <w:pPr>
              <w:spacing w:after="120"/>
              <w:rPr>
                <w:color w:val="EE0000"/>
                <w:sz w:val="18"/>
                <w:szCs w:val="18"/>
                <w:highlight w:val="yellow"/>
                <w:lang w:val="en-CA"/>
              </w:rPr>
            </w:pPr>
            <w:r w:rsidRPr="002651BD">
              <w:rPr>
                <w:color w:val="EE0000"/>
                <w:sz w:val="18"/>
                <w:szCs w:val="18"/>
              </w:rPr>
              <w:t>Solar resource quality, financing cost, curtailment, interconnection requirements</w:t>
            </w:r>
          </w:p>
        </w:tc>
      </w:tr>
      <w:tr w:rsidR="003C5CA7" w:rsidRPr="002651BD" w14:paraId="423E6E3D" w14:textId="77777777" w:rsidTr="003C5CA7">
        <w:tc>
          <w:tcPr>
            <w:tcW w:w="0" w:type="auto"/>
            <w:hideMark/>
          </w:tcPr>
          <w:p w14:paraId="1E1317C8" w14:textId="4D508E3C"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Onshore</w:t>
            </w:r>
            <w:r w:rsidRPr="002651BD">
              <w:rPr>
                <w:rStyle w:val="Strong"/>
                <w:color w:val="EE0000"/>
                <w:sz w:val="18"/>
                <w:szCs w:val="18"/>
              </w:rPr>
              <w:t xml:space="preserve"> </w:t>
            </w:r>
            <w:r w:rsidRPr="002651BD">
              <w:rPr>
                <w:rStyle w:val="xxxjie0"/>
                <w:b/>
                <w:bCs/>
                <w:color w:val="EE0000"/>
                <w:sz w:val="18"/>
                <w:szCs w:val="18"/>
              </w:rPr>
              <w:t>Wind</w:t>
            </w:r>
          </w:p>
        </w:tc>
        <w:tc>
          <w:tcPr>
            <w:tcW w:w="0" w:type="auto"/>
            <w:hideMark/>
          </w:tcPr>
          <w:p w14:paraId="5D840CFA" w14:textId="51A068E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$34/MWh</w:t>
            </w:r>
          </w:p>
        </w:tc>
        <w:tc>
          <w:tcPr>
            <w:tcW w:w="0" w:type="auto"/>
            <w:hideMark/>
          </w:tcPr>
          <w:p w14:paraId="2DF2AAF0" w14:textId="36CB40D2"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5194840A" w14:textId="60470384"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onshore wind projects commissioned in 2024. Represents generation cost only and excludes storage, backup generation, transmission, and reliability requirements.</w:t>
            </w:r>
          </w:p>
        </w:tc>
        <w:tc>
          <w:tcPr>
            <w:tcW w:w="0" w:type="auto"/>
            <w:hideMark/>
          </w:tcPr>
          <w:p w14:paraId="499A5F14" w14:textId="10B5EBFB" w:rsidR="003C5CA7" w:rsidRPr="002651BD" w:rsidRDefault="003C5CA7" w:rsidP="003C5CA7">
            <w:pPr>
              <w:spacing w:after="120"/>
              <w:rPr>
                <w:color w:val="EE0000"/>
                <w:sz w:val="18"/>
                <w:szCs w:val="18"/>
                <w:highlight w:val="yellow"/>
                <w:lang w:val="en-CA"/>
              </w:rPr>
            </w:pPr>
            <w:r w:rsidRPr="002651BD">
              <w:rPr>
                <w:color w:val="EE0000"/>
                <w:sz w:val="18"/>
                <w:szCs w:val="18"/>
              </w:rPr>
              <w:t>Wind resource quality, capital cost, financing assumptions, grid access</w:t>
            </w:r>
          </w:p>
        </w:tc>
      </w:tr>
      <w:tr w:rsidR="003C5CA7" w:rsidRPr="002651BD" w14:paraId="09B0EC78" w14:textId="77777777" w:rsidTr="003C5CA7">
        <w:tc>
          <w:tcPr>
            <w:tcW w:w="0" w:type="auto"/>
            <w:hideMark/>
          </w:tcPr>
          <w:p w14:paraId="7017EA2E" w14:textId="37794E5E"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lastRenderedPageBreak/>
              <w:t>U.S.</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w:t>
            </w:r>
            <w:r w:rsidRPr="002651BD">
              <w:rPr>
                <w:rStyle w:val="Strong"/>
                <w:color w:val="EE0000"/>
                <w:sz w:val="18"/>
                <w:szCs w:val="18"/>
              </w:rPr>
              <w:t xml:space="preserve"> </w:t>
            </w:r>
            <w:r w:rsidRPr="002651BD">
              <w:rPr>
                <w:rStyle w:val="xxxjie0"/>
                <w:b/>
                <w:bCs/>
                <w:color w:val="EE0000"/>
                <w:sz w:val="18"/>
                <w:szCs w:val="18"/>
              </w:rPr>
              <w:t>Storage</w:t>
            </w:r>
            <w:r w:rsidRPr="002651BD">
              <w:rPr>
                <w:rStyle w:val="Strong"/>
                <w:color w:val="EE0000"/>
                <w:sz w:val="18"/>
                <w:szCs w:val="18"/>
              </w:rPr>
              <w:t xml:space="preserve"> </w:t>
            </w:r>
            <w:r w:rsidRPr="002651BD">
              <w:rPr>
                <w:rStyle w:val="xxxjie0"/>
                <w:b/>
                <w:bCs/>
                <w:color w:val="EE0000"/>
                <w:sz w:val="18"/>
                <w:szCs w:val="18"/>
              </w:rPr>
              <w:t>Hybrids</w:t>
            </w:r>
          </w:p>
        </w:tc>
        <w:tc>
          <w:tcPr>
            <w:tcW w:w="0" w:type="auto"/>
            <w:hideMark/>
          </w:tcPr>
          <w:p w14:paraId="607FE69D" w14:textId="41E5311C"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$79/MWh</w:t>
            </w:r>
          </w:p>
        </w:tc>
        <w:tc>
          <w:tcPr>
            <w:tcW w:w="0" w:type="auto"/>
            <w:hideMark/>
          </w:tcPr>
          <w:p w14:paraId="25BEF146" w14:textId="77B44A71"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293AD4E9" w14:textId="32BD668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17 operational U.S. solar-plus-storage projects reported by IRENA. Includes a degree of renewable firming but does not necessarily demonstrate continuous supply at a 99.99% reliability target.</w:t>
            </w:r>
          </w:p>
        </w:tc>
        <w:tc>
          <w:tcPr>
            <w:tcW w:w="0" w:type="auto"/>
            <w:hideMark/>
          </w:tcPr>
          <w:p w14:paraId="5106B740" w14:textId="7EAA59D9" w:rsidR="003C5CA7" w:rsidRPr="002651BD" w:rsidRDefault="003C5CA7" w:rsidP="003C5CA7">
            <w:pPr>
              <w:spacing w:after="120"/>
              <w:rPr>
                <w:color w:val="EE0000"/>
                <w:sz w:val="18"/>
                <w:szCs w:val="18"/>
                <w:highlight w:val="yellow"/>
                <w:lang w:val="en-CA"/>
              </w:rPr>
            </w:pPr>
            <w:r w:rsidRPr="002651BD">
              <w:rPr>
                <w:color w:val="EE0000"/>
                <w:sz w:val="18"/>
                <w:szCs w:val="18"/>
              </w:rPr>
              <w:t>Storage duration, battery cycling, charging source, capacity value</w:t>
            </w:r>
          </w:p>
        </w:tc>
      </w:tr>
      <w:tr w:rsidR="003C5CA7" w:rsidRPr="002651BD" w14:paraId="41478744" w14:textId="77777777" w:rsidTr="003C5CA7">
        <w:tc>
          <w:tcPr>
            <w:tcW w:w="0" w:type="auto"/>
            <w:hideMark/>
          </w:tcPr>
          <w:p w14:paraId="636C5F61" w14:textId="5A20C492"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Australian</w:t>
            </w:r>
            <w:r w:rsidRPr="002651BD">
              <w:rPr>
                <w:rStyle w:val="Strong"/>
                <w:color w:val="EE0000"/>
                <w:sz w:val="18"/>
                <w:szCs w:val="18"/>
              </w:rPr>
              <w:t xml:space="preserve"> </w:t>
            </w:r>
            <w:r w:rsidRPr="002651BD">
              <w:rPr>
                <w:rStyle w:val="xxxjie0"/>
                <w:b/>
                <w:bCs/>
                <w:color w:val="EE0000"/>
                <w:sz w:val="18"/>
                <w:szCs w:val="18"/>
              </w:rPr>
              <w:t>Renewable-Storage</w:t>
            </w:r>
          </w:p>
        </w:tc>
        <w:tc>
          <w:tcPr>
            <w:tcW w:w="0" w:type="auto"/>
            <w:hideMark/>
          </w:tcPr>
          <w:p w14:paraId="4F93F763" w14:textId="50B609D0"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$51/MWh</w:t>
            </w:r>
          </w:p>
        </w:tc>
        <w:tc>
          <w:tcPr>
            <w:tcW w:w="0" w:type="auto"/>
            <w:hideMark/>
          </w:tcPr>
          <w:p w14:paraId="7A86610F" w14:textId="7DB1FFD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10468353" w14:textId="1ED9DCA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eight operational renewable-storage hybrid projects reported by IRENA. Project economics reflect local resource quality, market design, and project configuration.</w:t>
            </w:r>
          </w:p>
        </w:tc>
        <w:tc>
          <w:tcPr>
            <w:tcW w:w="0" w:type="auto"/>
            <w:hideMark/>
          </w:tcPr>
          <w:p w14:paraId="7C28B8D4" w14:textId="25BCBD1E" w:rsidR="003C5CA7" w:rsidRPr="002651BD" w:rsidRDefault="003C5CA7" w:rsidP="003C5CA7">
            <w:pPr>
              <w:spacing w:after="120"/>
              <w:rPr>
                <w:color w:val="EE0000"/>
                <w:sz w:val="18"/>
                <w:szCs w:val="18"/>
                <w:highlight w:val="yellow"/>
                <w:lang w:val="en-CA"/>
              </w:rPr>
            </w:pPr>
            <w:r w:rsidRPr="002651BD">
              <w:rPr>
                <w:color w:val="EE0000"/>
                <w:sz w:val="18"/>
                <w:szCs w:val="18"/>
              </w:rPr>
              <w:t>Resource quality, project design, market structure</w:t>
            </w:r>
          </w:p>
        </w:tc>
      </w:tr>
      <w:tr w:rsidR="003C5CA7" w:rsidRPr="002651BD" w14:paraId="424C1BAD" w14:textId="77777777" w:rsidTr="003C5CA7">
        <w:tc>
          <w:tcPr>
            <w:tcW w:w="0" w:type="auto"/>
            <w:hideMark/>
          </w:tcPr>
          <w:p w14:paraId="701D050E" w14:textId="7B5A0E34" w:rsidR="003C5CA7" w:rsidRPr="002651BD" w:rsidRDefault="003C5CA7" w:rsidP="003C5CA7">
            <w:pPr>
              <w:spacing w:after="120"/>
              <w:rPr>
                <w:b/>
                <w:bCs/>
                <w:color w:val="EE0000"/>
                <w:sz w:val="18"/>
                <w:szCs w:val="18"/>
                <w:highlight w:val="yellow"/>
                <w:lang w:val="en-CA"/>
              </w:rPr>
            </w:pPr>
            <w:r w:rsidRPr="002651BD">
              <w:rPr>
                <w:rStyle w:val="xxxjie0"/>
                <w:b/>
                <w:bCs/>
                <w:color w:val="EE0000"/>
                <w:sz w:val="18"/>
                <w:szCs w:val="18"/>
              </w:rPr>
              <w:t>Grid</w:t>
            </w:r>
            <w:r w:rsidRPr="002651BD">
              <w:rPr>
                <w:rStyle w:val="Strong"/>
                <w:color w:val="EE0000"/>
                <w:sz w:val="18"/>
                <w:szCs w:val="18"/>
              </w:rPr>
              <w:t xml:space="preserve"> </w:t>
            </w:r>
            <w:r w:rsidRPr="002651BD">
              <w:rPr>
                <w:rStyle w:val="xxxjie0"/>
                <w:b/>
                <w:bCs/>
                <w:color w:val="EE0000"/>
                <w:sz w:val="18"/>
                <w:szCs w:val="18"/>
              </w:rPr>
              <w:t>Electricity</w:t>
            </w:r>
            <w:r w:rsidRPr="002651BD">
              <w:rPr>
                <w:rStyle w:val="Strong"/>
                <w:color w:val="EE0000"/>
                <w:sz w:val="18"/>
                <w:szCs w:val="18"/>
              </w:rPr>
              <w:t xml:space="preserve"> </w:t>
            </w:r>
            <w:r w:rsidRPr="002651BD">
              <w:rPr>
                <w:rStyle w:val="xxxjie0"/>
                <w:b/>
                <w:bCs/>
                <w:color w:val="EE0000"/>
                <w:sz w:val="18"/>
                <w:szCs w:val="18"/>
              </w:rPr>
              <w:t>Supply</w:t>
            </w:r>
          </w:p>
        </w:tc>
        <w:tc>
          <w:tcPr>
            <w:tcW w:w="0" w:type="auto"/>
            <w:hideMark/>
          </w:tcPr>
          <w:p w14:paraId="2457E39F" w14:textId="514F3615"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Region- and Tariff-Specific</w:t>
            </w:r>
          </w:p>
        </w:tc>
        <w:tc>
          <w:tcPr>
            <w:tcW w:w="0" w:type="auto"/>
            <w:hideMark/>
          </w:tcPr>
          <w:p w14:paraId="5AC41637" w14:textId="6AFA803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Firm Delivered Service</w:t>
            </w:r>
          </w:p>
        </w:tc>
        <w:tc>
          <w:tcPr>
            <w:tcW w:w="0" w:type="auto"/>
            <w:hideMark/>
          </w:tcPr>
          <w:p w14:paraId="2F951273" w14:textId="0F6BEF56" w:rsidR="003C5CA7" w:rsidRPr="002651BD" w:rsidRDefault="003C5CA7" w:rsidP="003C5CA7">
            <w:pPr>
              <w:spacing w:after="120"/>
              <w:rPr>
                <w:color w:val="EE0000"/>
                <w:sz w:val="18"/>
                <w:szCs w:val="18"/>
                <w:highlight w:val="yellow"/>
                <w:lang w:val="en-CA"/>
              </w:rPr>
            </w:pPr>
            <w:r w:rsidRPr="002651BD">
              <w:rPr>
                <w:color w:val="EE0000"/>
                <w:sz w:val="18"/>
                <w:szCs w:val="18"/>
              </w:rPr>
              <w:t>Delivered electricity service that includes energy charges, capacity charges (where applicable), ancillary services, transmission, distribution, demand charges, taxes, and utility fees. This is not an LCOE value.</w:t>
            </w:r>
          </w:p>
        </w:tc>
        <w:tc>
          <w:tcPr>
            <w:tcW w:w="0" w:type="auto"/>
            <w:hideMark/>
          </w:tcPr>
          <w:p w14:paraId="04F190C9" w14:textId="5A31BD4D" w:rsidR="003C5CA7" w:rsidRPr="002651BD" w:rsidRDefault="003C5CA7" w:rsidP="003C5CA7">
            <w:pPr>
              <w:spacing w:after="120"/>
              <w:rPr>
                <w:color w:val="EE0000"/>
                <w:sz w:val="18"/>
                <w:szCs w:val="18"/>
                <w:highlight w:val="yellow"/>
                <w:lang w:val="en-CA"/>
              </w:rPr>
            </w:pPr>
            <w:r w:rsidRPr="002651BD">
              <w:rPr>
                <w:color w:val="EE0000"/>
                <w:sz w:val="18"/>
                <w:szCs w:val="18"/>
              </w:rPr>
              <w:t>Tariff structure, load factor, demand profile, market conditions</w:t>
            </w:r>
          </w:p>
        </w:tc>
      </w:tr>
    </w:tbl>
    <w:p w14:paraId="3C220C6C" w14:textId="77777777" w:rsidR="00417AAE" w:rsidRDefault="00417AAE" w:rsidP="004C16FF">
      <w:pPr>
        <w:spacing w:after="120"/>
        <w:rPr>
          <w:szCs w:val="24"/>
          <w:lang w:val="en-CA"/>
        </w:rPr>
      </w:pPr>
    </w:p>
    <w:p w14:paraId="7F7DADC9" w14:textId="574FCA0B" w:rsidR="00F416AE" w:rsidRPr="00F416AE" w:rsidRDefault="00F416AE" w:rsidP="00F416AE">
      <w:pPr>
        <w:spacing w:after="120"/>
        <w:ind w:firstLine="480"/>
        <w:rPr>
          <w:color w:val="000000" w:themeColor="text1"/>
          <w:szCs w:val="24"/>
          <w:highlight w:val="yellow"/>
          <w:lang w:val="en-CA"/>
        </w:rPr>
      </w:pPr>
      <w:r w:rsidRPr="00F416AE">
        <w:rPr>
          <w:color w:val="000000" w:themeColor="text1"/>
          <w:szCs w:val="24"/>
          <w:highlight w:val="yellow"/>
          <w:lang w:val="en-CA"/>
        </w:rPr>
        <w:t>Unfirmed generation cost values for standalone solar PV and onshore wind are maintained as resource-cost value-only only. These values are data-center load values that exclude storage, backup generation, grid imports, curtailment, transmission and varying operational flexibility as required to support a continuous data-center load. The question therefore should not be compared directly with the firm delivered-grid service.</w:t>
      </w:r>
      <w:r>
        <w:rPr>
          <w:color w:val="000000" w:themeColor="text1"/>
          <w:szCs w:val="24"/>
          <w:highlight w:val="yellow"/>
          <w:lang w:val="en-CA"/>
        </w:rPr>
        <w:t xml:space="preserve"> </w:t>
      </w:r>
      <w:r w:rsidRPr="00F416AE">
        <w:rPr>
          <w:color w:val="000000" w:themeColor="text1"/>
          <w:szCs w:val="24"/>
          <w:highlight w:val="yellow"/>
          <w:lang w:val="en-CA"/>
        </w:rPr>
        <w:t xml:space="preserve">Renewable-storage hybrid benchmarks are more relevant, in that they will consider a minimum part of the cost of a change in variable renewable generation. </w:t>
      </w:r>
      <w:proofErr w:type="gramStart"/>
      <w:r w:rsidRPr="00F416AE">
        <w:rPr>
          <w:color w:val="000000" w:themeColor="text1"/>
          <w:szCs w:val="24"/>
          <w:highlight w:val="yellow"/>
          <w:lang w:val="en-CA"/>
        </w:rPr>
        <w:t>However</w:t>
      </w:r>
      <w:proofErr w:type="gramEnd"/>
      <w:r w:rsidR="00F149F2">
        <w:rPr>
          <w:color w:val="000000" w:themeColor="text1"/>
          <w:szCs w:val="24"/>
          <w:highlight w:val="yellow"/>
          <w:lang w:val="en-CA"/>
        </w:rPr>
        <w:t xml:space="preserve"> </w:t>
      </w:r>
      <w:r w:rsidRPr="00F416AE">
        <w:rPr>
          <w:color w:val="000000" w:themeColor="text1"/>
          <w:szCs w:val="24"/>
          <w:highlight w:val="yellow"/>
          <w:lang w:val="en-CA"/>
        </w:rPr>
        <w:t>the hybrid renewable/firm storage must be treated as full firm storage until it has been proven over an extended period by chronological reliability analysis. Other grid support, back-up generation, redundancy or demand flexibility may still be needed to meet the requirement of 99.99% availability of the framework.</w:t>
      </w:r>
    </w:p>
    <w:p w14:paraId="031ABA0B" w14:textId="77777777" w:rsidR="00F416AE"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Solar and wind values are global weighted averages for newly commissioned projects and should not be interpreted as site-specific US data-center electricity costs. Hybrid values represent observed project portfolios with different designs and do not guarantee 99.99% facility-level power availability without additional grid, backup, or redundancy provisions. Grid supply is not an LCOE and should be evaluated using the applicable utility tariff or retail supply agreement. The grid-supply row is deliberately not assigned a universal LCOE. </w:t>
      </w:r>
    </w:p>
    <w:p w14:paraId="71E90D41" w14:textId="461A8986"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The all-in cost of grid electricity consists of several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AC4E47" w:rsidRPr="00100329" w14:paraId="60A8C724" w14:textId="77777777" w:rsidTr="00AC4E47">
        <w:tc>
          <w:tcPr>
            <w:tcW w:w="421" w:type="dxa"/>
          </w:tcPr>
          <w:p w14:paraId="300300D7" w14:textId="77777777" w:rsidR="00AC4E47" w:rsidRPr="00100329" w:rsidRDefault="00AC4E47" w:rsidP="001E5821">
            <w:pPr>
              <w:rPr>
                <w:color w:val="auto"/>
                <w:szCs w:val="24"/>
                <w:highlight w:val="yellow"/>
                <w:lang w:val="en-CA" w:eastAsia="en-CA"/>
              </w:rPr>
            </w:pPr>
          </w:p>
        </w:tc>
        <w:tc>
          <w:tcPr>
            <w:tcW w:w="7908" w:type="dxa"/>
          </w:tcPr>
          <w:p w14:paraId="7E43F5C5" w14:textId="554A89AE" w:rsidR="00AC4E47"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grid, delivered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energy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ancillary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transmission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distribution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demand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taxes and fees</m:t>
                    </m:r>
                  </m:sub>
                </m:sSub>
              </m:oMath>
            </m:oMathPara>
          </w:p>
        </w:tc>
        <w:tc>
          <w:tcPr>
            <w:tcW w:w="616" w:type="dxa"/>
            <w:vAlign w:val="center"/>
          </w:tcPr>
          <w:p w14:paraId="10387337" w14:textId="48AA906F" w:rsidR="00AC4E47" w:rsidRPr="00100329" w:rsidRDefault="00AC4E47" w:rsidP="001E5821">
            <w:pPr>
              <w:rPr>
                <w:color w:val="auto"/>
                <w:szCs w:val="24"/>
                <w:highlight w:val="yellow"/>
                <w:lang w:val="en-CA" w:eastAsia="en-CA"/>
              </w:rPr>
            </w:pPr>
            <w:r w:rsidRPr="00100329">
              <w:rPr>
                <w:color w:val="auto"/>
                <w:szCs w:val="24"/>
                <w:highlight w:val="yellow"/>
                <w:lang w:val="en-CA" w:eastAsia="en-CA"/>
              </w:rPr>
              <w:t>(1</w:t>
            </w:r>
            <w:r w:rsidR="00966EE7">
              <w:rPr>
                <w:color w:val="auto"/>
                <w:szCs w:val="24"/>
                <w:highlight w:val="yellow"/>
                <w:lang w:val="en-CA" w:eastAsia="en-CA"/>
              </w:rPr>
              <w:t>9</w:t>
            </w:r>
            <w:r w:rsidRPr="00100329">
              <w:rPr>
                <w:color w:val="auto"/>
                <w:szCs w:val="24"/>
                <w:highlight w:val="yellow"/>
                <w:lang w:val="en-CA" w:eastAsia="en-CA"/>
              </w:rPr>
              <w:t>)</w:t>
            </w:r>
          </w:p>
        </w:tc>
      </w:tr>
    </w:tbl>
    <w:p w14:paraId="41EBFE3A" w14:textId="469D33C7"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Wholesale-energy prices are generally reported in dollars per megawatt-hour, whereas capacity-market prices may be reported in dollars per megawatt-day. A capacity price must therefore be converted before it is combined with an energy price. For an illustrative load factor </w:t>
      </w:r>
      <m:oMath>
        <m:r>
          <w:rPr>
            <w:rFonts w:ascii="Cambria Math" w:hAnsi="Cambria Math"/>
            <w:color w:val="000000" w:themeColor="text1"/>
            <w:szCs w:val="24"/>
            <w:highlight w:val="yellow"/>
            <w:lang w:val="en-CA"/>
          </w:rPr>
          <m:t>LF</m:t>
        </m:r>
      </m:oMath>
      <w:r w:rsidRPr="00100329">
        <w:rPr>
          <w:color w:val="000000" w:themeColor="text1"/>
          <w:szCs w:val="24"/>
          <w:highlight w:val="yellow"/>
          <w:lang w:val="en-CA"/>
        </w:rPr>
        <w:t>, the equivalent capacity-cost adder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677594" w:rsidRPr="00100329" w14:paraId="325959B8" w14:textId="77777777" w:rsidTr="001E5821">
        <w:tc>
          <w:tcPr>
            <w:tcW w:w="421" w:type="dxa"/>
          </w:tcPr>
          <w:p w14:paraId="16A1EE11" w14:textId="77777777" w:rsidR="00677594" w:rsidRPr="00100329" w:rsidRDefault="00677594" w:rsidP="001E5821">
            <w:pPr>
              <w:rPr>
                <w:color w:val="auto"/>
                <w:szCs w:val="24"/>
                <w:highlight w:val="yellow"/>
                <w:lang w:val="en-CA" w:eastAsia="en-CA"/>
              </w:rPr>
            </w:pPr>
          </w:p>
        </w:tc>
        <w:tc>
          <w:tcPr>
            <w:tcW w:w="7908" w:type="dxa"/>
          </w:tcPr>
          <w:p w14:paraId="5D36BCB1" w14:textId="75D8519C" w:rsidR="00677594"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capacity,equivalent</m:t>
                    </m:r>
                  </m:sub>
                </m:sSub>
                <m:r>
                  <w:rPr>
                    <w:rFonts w:ascii="Cambria Math" w:hAnsi="Cambria Math"/>
                    <w:color w:val="auto"/>
                    <w:sz w:val="18"/>
                    <w:szCs w:val="18"/>
                    <w:highlight w:val="yellow"/>
                  </w:rPr>
                  <m:t>=</m:t>
                </m:r>
                <m:f>
                  <m:fPr>
                    <m:ctrlPr>
                      <w:rPr>
                        <w:rFonts w:ascii="Cambria Math" w:hAnsi="Cambria Math"/>
                        <w:color w:val="auto"/>
                        <w:sz w:val="18"/>
                        <w:szCs w:val="18"/>
                        <w:highlight w:val="yellow"/>
                      </w:rPr>
                    </m:ctrlPr>
                  </m:fPr>
                  <m:num>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π</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×365</m:t>
                    </m:r>
                  </m:num>
                  <m:den>
                    <m:r>
                      <w:rPr>
                        <w:rFonts w:ascii="Cambria Math" w:hAnsi="Cambria Math"/>
                        <w:color w:val="auto"/>
                        <w:sz w:val="18"/>
                        <w:szCs w:val="18"/>
                        <w:highlight w:val="yellow"/>
                      </w:rPr>
                      <m:t>8760×LF</m:t>
                    </m:r>
                  </m:den>
                </m:f>
              </m:oMath>
            </m:oMathPara>
          </w:p>
        </w:tc>
        <w:tc>
          <w:tcPr>
            <w:tcW w:w="616" w:type="dxa"/>
            <w:vAlign w:val="center"/>
          </w:tcPr>
          <w:p w14:paraId="17F1CD30" w14:textId="7F1A9E43" w:rsidR="00677594" w:rsidRPr="00100329" w:rsidRDefault="00677594" w:rsidP="001E5821">
            <w:pPr>
              <w:rPr>
                <w:color w:val="auto"/>
                <w:szCs w:val="24"/>
                <w:highlight w:val="yellow"/>
                <w:lang w:val="en-CA" w:eastAsia="en-CA"/>
              </w:rPr>
            </w:pPr>
            <w:r w:rsidRPr="00100329">
              <w:rPr>
                <w:color w:val="auto"/>
                <w:szCs w:val="24"/>
                <w:highlight w:val="yellow"/>
                <w:lang w:val="en-CA" w:eastAsia="en-CA"/>
              </w:rPr>
              <w:t>(</w:t>
            </w:r>
            <w:r w:rsidR="00966EE7">
              <w:rPr>
                <w:color w:val="auto"/>
                <w:szCs w:val="24"/>
                <w:highlight w:val="yellow"/>
                <w:lang w:val="en-CA" w:eastAsia="en-CA"/>
              </w:rPr>
              <w:t>20</w:t>
            </w:r>
            <w:r w:rsidRPr="00100329">
              <w:rPr>
                <w:color w:val="auto"/>
                <w:szCs w:val="24"/>
                <w:highlight w:val="yellow"/>
                <w:lang w:val="en-CA" w:eastAsia="en-CA"/>
              </w:rPr>
              <w:t>)</w:t>
            </w:r>
          </w:p>
        </w:tc>
      </w:tr>
    </w:tbl>
    <w:p w14:paraId="3BD21833" w14:textId="77777777" w:rsidR="009F5D08" w:rsidRPr="009F5D08" w:rsidRDefault="009F5D08" w:rsidP="009F5D08">
      <w:pPr>
        <w:spacing w:after="120"/>
        <w:ind w:firstLine="480"/>
        <w:rPr>
          <w:szCs w:val="24"/>
          <w:highlight w:val="yellow"/>
          <w:lang w:val="en-CA"/>
        </w:rPr>
      </w:pPr>
      <w:r w:rsidRPr="009F5D08">
        <w:rPr>
          <w:szCs w:val="24"/>
          <w:highlight w:val="yellow"/>
          <w:lang w:val="en-CA"/>
        </w:rPr>
        <w:t>where:</w:t>
      </w:r>
    </w:p>
    <w:p w14:paraId="05F73B04" w14:textId="44E4F9AF"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C</m:t>
            </m:r>
          </m:e>
          <m:sub>
            <m:r>
              <m:rPr>
                <m:sty m:val="p"/>
              </m:rPr>
              <w:rPr>
                <w:rFonts w:ascii="Cambria Math" w:hAnsi="Cambria Math"/>
                <w:szCs w:val="24"/>
                <w:highlight w:val="yellow"/>
                <w:lang w:val="en-CA"/>
              </w:rPr>
              <m:t>capacity</m:t>
            </m:r>
            <m:r>
              <w:rPr>
                <w:rFonts w:ascii="Cambria Math" w:hAnsi="Cambria Math"/>
                <w:szCs w:val="24"/>
                <w:highlight w:val="yellow"/>
                <w:lang w:val="en-CA"/>
              </w:rPr>
              <m:t>,</m:t>
            </m:r>
            <m:r>
              <m:rPr>
                <m:sty m:val="p"/>
              </m:rPr>
              <w:rPr>
                <w:rFonts w:ascii="Cambria Math" w:hAnsi="Cambria Math"/>
                <w:szCs w:val="24"/>
                <w:highlight w:val="yellow"/>
                <w:lang w:val="en-CA"/>
              </w:rPr>
              <m:t>equivalent</m:t>
            </m:r>
          </m:sub>
        </m:sSub>
      </m:oMath>
      <w:r w:rsidR="009F5D08" w:rsidRPr="009F5D08">
        <w:rPr>
          <w:szCs w:val="24"/>
          <w:highlight w:val="yellow"/>
          <w:lang w:val="en-CA"/>
        </w:rPr>
        <w:t>= equivalent capacity-cost contribution (USD/MWh)</w:t>
      </w:r>
    </w:p>
    <w:p w14:paraId="789FBDCD" w14:textId="4F6674DC"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π</m:t>
            </m:r>
          </m:e>
          <m:sub>
            <m:r>
              <m:rPr>
                <m:sty m:val="p"/>
              </m:rPr>
              <w:rPr>
                <w:rFonts w:ascii="Cambria Math" w:hAnsi="Cambria Math"/>
                <w:szCs w:val="24"/>
                <w:highlight w:val="yellow"/>
                <w:lang w:val="en-CA"/>
              </w:rPr>
              <m:t>capacity</m:t>
            </m:r>
          </m:sub>
        </m:sSub>
      </m:oMath>
      <w:r w:rsidR="009F5D08" w:rsidRPr="009F5D08">
        <w:rPr>
          <w:szCs w:val="24"/>
          <w:highlight w:val="yellow"/>
          <w:lang w:val="en-CA"/>
        </w:rPr>
        <w:t>= capacity-market clearing price (USD/MW-day)</w:t>
      </w:r>
    </w:p>
    <w:p w14:paraId="234147E7" w14:textId="4EEA0B83" w:rsidR="009F5D08" w:rsidRPr="009F5D08" w:rsidRDefault="009F5D08" w:rsidP="009F5D08">
      <w:pPr>
        <w:numPr>
          <w:ilvl w:val="0"/>
          <w:numId w:val="28"/>
        </w:numPr>
        <w:spacing w:after="120"/>
        <w:rPr>
          <w:szCs w:val="24"/>
          <w:highlight w:val="yellow"/>
          <w:lang w:val="en-CA"/>
        </w:rPr>
      </w:pPr>
      <m:oMath>
        <m:r>
          <w:rPr>
            <w:rFonts w:ascii="Cambria Math" w:hAnsi="Cambria Math"/>
            <w:szCs w:val="24"/>
            <w:highlight w:val="yellow"/>
            <w:lang w:val="en-CA"/>
          </w:rPr>
          <m:t>LF</m:t>
        </m:r>
      </m:oMath>
      <w:r w:rsidRPr="009F5D08">
        <w:rPr>
          <w:szCs w:val="24"/>
          <w:highlight w:val="yellow"/>
          <w:lang w:val="en-CA"/>
        </w:rPr>
        <w:t>= annual load factor (dimensionless)</w:t>
      </w:r>
    </w:p>
    <w:p w14:paraId="1A702816"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365 = days per year</w:t>
      </w:r>
    </w:p>
    <w:p w14:paraId="5BBE8C30"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lastRenderedPageBreak/>
        <w:t>8,760 = hours per year</w:t>
      </w:r>
    </w:p>
    <w:p w14:paraId="51339625" w14:textId="6232E3BE" w:rsidR="00100329" w:rsidRPr="00100329" w:rsidRDefault="00100329" w:rsidP="00286292">
      <w:pPr>
        <w:spacing w:after="120"/>
        <w:ind w:firstLine="480"/>
        <w:rPr>
          <w:color w:val="000000" w:themeColor="text1"/>
          <w:szCs w:val="24"/>
          <w:highlight w:val="yellow"/>
          <w:lang w:val="en-CA"/>
        </w:rPr>
      </w:pPr>
      <w:r w:rsidRPr="00100329">
        <w:rPr>
          <w:color w:val="000000" w:themeColor="text1"/>
          <w:szCs w:val="24"/>
          <w:highlight w:val="yellow"/>
          <w:lang w:val="en-CA"/>
        </w:rPr>
        <w:t>For example, PJM’s 2026/2027 Base Residual Auction cleared at $329.17/MW-day</w:t>
      </w:r>
      <w:r>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{"citationID":"6FlDxlFD","properties":{"unsorted":false,"formattedCitation":"[171]","plainCitation":"[171]","noteIndex":0},"citationItems":[{"id":2717,"uris":["http://zotero.org/users/9870935/items/MQIRHM6M"],"itemData":{"id":2717,"type":"post-weblog","title":"PJM Markets Support Efficiency and Resource Adequacy","URL":"https://services.pjm.com/annualreport2025/markets/","author":[{"literal":"Markets"}]}}],"schema":"https://github.com/citation-style-language/schema/raw/master/csl-citation.json"} </w:instrText>
      </w:r>
      <w:r>
        <w:rPr>
          <w:color w:val="000000" w:themeColor="text1"/>
          <w:szCs w:val="24"/>
          <w:highlight w:val="yellow"/>
          <w:lang w:val="en-CA"/>
        </w:rPr>
        <w:fldChar w:fldCharType="separate"/>
      </w:r>
      <w:r w:rsidR="00286292" w:rsidRPr="00286292">
        <w:rPr>
          <w:highlight w:val="yellow"/>
          <w:lang w:val="en-CA"/>
        </w:rPr>
        <w:t>[170]</w:t>
      </w:r>
      <w:r>
        <w:rPr>
          <w:color w:val="000000" w:themeColor="text1"/>
          <w:szCs w:val="24"/>
          <w:highlight w:val="yellow"/>
          <w:lang w:val="en-CA"/>
        </w:rPr>
        <w:fldChar w:fldCharType="end"/>
      </w:r>
      <w:r w:rsidRPr="00100329">
        <w:rPr>
          <w:color w:val="000000" w:themeColor="text1"/>
          <w:szCs w:val="24"/>
          <w:highlight w:val="yellow"/>
          <w:lang w:val="en-CA"/>
        </w:rPr>
        <w:t>.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As for energy and capacity, PJM's separate report on YTD load-weighted average locational marginal price (</w:t>
      </w:r>
      <w:r w:rsidR="00453135">
        <w:rPr>
          <w:color w:val="000000" w:themeColor="text1"/>
          <w:szCs w:val="24"/>
          <w:highlight w:val="yellow"/>
          <w:lang w:val="en-CA"/>
        </w:rPr>
        <w:t>LMP</w:t>
      </w:r>
      <w:r w:rsidRPr="00100329">
        <w:rPr>
          <w:color w:val="000000" w:themeColor="text1"/>
          <w:szCs w:val="24"/>
          <w:highlight w:val="yellow"/>
          <w:lang w:val="en-CA"/>
        </w:rPr>
        <w:t>) through October 2025 shows it to be about $50.53/MWh for 2025</w:t>
      </w:r>
      <w:r w:rsidR="005D447E">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{"citationID":"58h5ye89","properties":{"unsorted":false,"formattedCitation":"[172]","plainCitation":"[172]","noteIndex":0},"citationItems":[{"id":2735,"uris":["http://zotero.org/users/9870935/items/WFERDGP5"],"itemData":{"id":2735,"type":"document","title":"Markets Report","URL":"https://www.pjm.com/-/media/DotCom/committees-groups/committees/mc/2025/20251120/20251120-item-04a---1-pjm-market-operations-report---presentation.pdf","author":[{"literal":"PJM"}]}}],"schema":"https://github.com/citation-style-language/schema/raw/master/csl-citation.json"} </w:instrText>
      </w:r>
      <w:r w:rsidR="005D447E">
        <w:rPr>
          <w:color w:val="000000" w:themeColor="text1"/>
          <w:szCs w:val="24"/>
          <w:highlight w:val="yellow"/>
          <w:lang w:val="en-CA"/>
        </w:rPr>
        <w:fldChar w:fldCharType="separate"/>
      </w:r>
      <w:r w:rsidR="00286292" w:rsidRPr="00286292">
        <w:rPr>
          <w:highlight w:val="yellow"/>
          <w:lang w:val="en-CA"/>
        </w:rPr>
        <w:t>[171]</w:t>
      </w:r>
      <w:r w:rsidR="005D447E">
        <w:rPr>
          <w:color w:val="000000" w:themeColor="text1"/>
          <w:szCs w:val="24"/>
          <w:highlight w:val="yellow"/>
          <w:lang w:val="en-CA"/>
        </w:rPr>
        <w:fldChar w:fldCharType="end"/>
      </w:r>
      <w:r w:rsidRPr="00100329">
        <w:rPr>
          <w:color w:val="000000" w:themeColor="text1"/>
          <w:szCs w:val="24"/>
          <w:highlight w:val="yellow"/>
          <w:lang w:val="en-CA"/>
        </w:rPr>
        <w:t>.</w:t>
      </w:r>
    </w:p>
    <w:p w14:paraId="744689C8" w14:textId="27408DF7" w:rsidR="00AC4E47" w:rsidRDefault="00100329" w:rsidP="00100329">
      <w:pPr>
        <w:spacing w:after="120"/>
        <w:ind w:firstLine="480"/>
        <w:rPr>
          <w:color w:val="000000" w:themeColor="text1"/>
          <w:szCs w:val="24"/>
          <w:highlight w:val="yellow"/>
          <w:lang w:val="en-CA"/>
        </w:rPr>
      </w:pPr>
      <w:r w:rsidRPr="00100329">
        <w:rPr>
          <w:color w:val="000000" w:themeColor="text1"/>
          <w:szCs w:val="24"/>
          <w:highlight w:val="yellow"/>
          <w:lang w:val="en-CA"/>
        </w:rPr>
        <w:t>Therefore, the previous comment that PJM, CAISO, and ERCOT had “grid-only LCOEs” of $110/MWh, $95/MWh and $85/MWh, respectively, has been deleted. There are significant differences between these markets, and ERCOT does not have a PJM-style centralized forward-capacity market. The grid comparison should include a facility load profile, applicable regional energy price, applicable capacity mechanism, applicable ancillary-service charges, applicable transmission charges and applicable utility tariff, all of which should be reproducible.</w:t>
      </w:r>
      <w:r>
        <w:rPr>
          <w:color w:val="000000" w:themeColor="text1"/>
          <w:szCs w:val="24"/>
          <w:highlight w:val="yellow"/>
          <w:lang w:val="en-CA"/>
        </w:rPr>
        <w:t xml:space="preserve"> </w:t>
      </w:r>
      <w:r w:rsidRPr="00100329">
        <w:rPr>
          <w:color w:val="000000" w:themeColor="text1"/>
          <w:szCs w:val="24"/>
          <w:highlight w:val="yellow"/>
          <w:lang w:val="en-CA"/>
        </w:rPr>
        <w:t xml:space="preserve">An important shortcoming of the economic comparison is that neither generation-only LCOE nor a regional wholesale-market average is the ultimate price the data-center operator </w:t>
      </w:r>
      <w:proofErr w:type="gramStart"/>
      <w:r w:rsidRPr="00100329">
        <w:rPr>
          <w:color w:val="000000" w:themeColor="text1"/>
          <w:szCs w:val="24"/>
          <w:highlight w:val="yellow"/>
          <w:lang w:val="en-CA"/>
        </w:rPr>
        <w:t>has to</w:t>
      </w:r>
      <w:proofErr w:type="gramEnd"/>
      <w:r w:rsidRPr="00100329">
        <w:rPr>
          <w:color w:val="000000" w:themeColor="text1"/>
          <w:szCs w:val="24"/>
          <w:highlight w:val="yellow"/>
          <w:lang w:val="en-CA"/>
        </w:rPr>
        <w:t xml:space="preserve"> pay for electricity. LCOE represents the cost of </w:t>
      </w:r>
      <w:proofErr w:type="gramStart"/>
      <w:r w:rsidRPr="00100329">
        <w:rPr>
          <w:color w:val="000000" w:themeColor="text1"/>
          <w:szCs w:val="24"/>
          <w:highlight w:val="yellow"/>
          <w:lang w:val="en-CA"/>
        </w:rPr>
        <w:t>generation</w:t>
      </w:r>
      <w:proofErr w:type="gramEnd"/>
      <w:r w:rsidRPr="00100329">
        <w:rPr>
          <w:color w:val="000000" w:themeColor="text1"/>
          <w:szCs w:val="24"/>
          <w:highlight w:val="yellow"/>
          <w:lang w:val="en-CA"/>
        </w:rPr>
        <w:t xml:space="preserve"> and a retail / delivered-grid price also includes network and market-service costs. Therefore, it is important to recognize that Table 7 represents a series of literature benchmarks and is not intended to state that all hybrid renewable systems are more cost-efficient than grid service.</w:t>
      </w:r>
    </w:p>
    <w:p w14:paraId="4515981F" w14:textId="77777777" w:rsidR="00807110" w:rsidRDefault="00807110" w:rsidP="00807110">
      <w:pPr>
        <w:keepNext/>
        <w:spacing w:after="120"/>
        <w:ind w:firstLine="480"/>
        <w:jc w:val="center"/>
      </w:pPr>
      <w:r w:rsidRPr="00807110">
        <w:rPr>
          <w:noProof/>
          <w:color w:val="000000" w:themeColor="text1"/>
          <w:szCs w:val="24"/>
          <w:highlight w:val="yellow"/>
          <w:lang w:val="en-CA"/>
        </w:rPr>
        <w:drawing>
          <wp:inline distT="0" distB="0" distL="0" distR="0" wp14:anchorId="0D4FD4DD" wp14:editId="0D8C7E35">
            <wp:extent cx="4191990" cy="1753144"/>
            <wp:effectExtent l="0" t="0" r="0" b="0"/>
            <wp:docPr id="100124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038" b="28227"/>
                    <a:stretch>
                      <a:fillRect/>
                    </a:stretch>
                  </pic:blipFill>
                  <pic:spPr bwMode="auto">
                    <a:xfrm>
                      <a:off x="0" y="0"/>
                      <a:ext cx="4205499" cy="1758794"/>
                    </a:xfrm>
                    <a:prstGeom prst="rect">
                      <a:avLst/>
                    </a:prstGeom>
                    <a:noFill/>
                    <a:ln>
                      <a:noFill/>
                    </a:ln>
                    <a:extLst>
                      <a:ext uri="{53640926-AAD7-44D8-BBD7-CCE9431645EC}">
                        <a14:shadowObscured xmlns:a14="http://schemas.microsoft.com/office/drawing/2010/main"/>
                      </a:ext>
                    </a:extLst>
                  </pic:spPr>
                </pic:pic>
              </a:graphicData>
            </a:graphic>
          </wp:inline>
        </w:drawing>
      </w:r>
    </w:p>
    <w:p w14:paraId="4AA5D60F" w14:textId="1FB56911" w:rsidR="00807110" w:rsidRPr="00807110" w:rsidRDefault="00807110" w:rsidP="00807110">
      <w:pPr>
        <w:pStyle w:val="Caption"/>
        <w:jc w:val="center"/>
        <w:rPr>
          <w:color w:val="000000" w:themeColor="text1"/>
          <w:szCs w:val="24"/>
          <w:highlight w:val="yellow"/>
          <w:lang w:val="en-CA"/>
        </w:rPr>
      </w:pPr>
      <w:r>
        <w:t xml:space="preserve">Figure </w:t>
      </w:r>
      <w:r>
        <w:fldChar w:fldCharType="begin"/>
      </w:r>
      <w:r>
        <w:instrText xml:space="preserve"> SEQ Figure \* ARABIC </w:instrText>
      </w:r>
      <w:r>
        <w:fldChar w:fldCharType="separate"/>
      </w:r>
      <w:r>
        <w:rPr>
          <w:noProof/>
        </w:rPr>
        <w:t>10</w:t>
      </w:r>
      <w:r>
        <w:fldChar w:fldCharType="end"/>
      </w:r>
      <w:r>
        <w:t xml:space="preserve"> Literature-Based Electricity-Cost Benchmarks</w:t>
      </w:r>
    </w:p>
    <w:p w14:paraId="2AFE6F6E" w14:textId="77777777" w:rsidR="00807110" w:rsidRPr="00100329" w:rsidRDefault="00807110" w:rsidP="00100329">
      <w:pPr>
        <w:spacing w:after="120"/>
        <w:ind w:firstLine="480"/>
        <w:rPr>
          <w:color w:val="000000" w:themeColor="text1"/>
          <w:szCs w:val="24"/>
          <w:highlight w:val="yellow"/>
          <w:lang w:val="en-CA"/>
        </w:rPr>
      </w:pPr>
    </w:p>
    <w:p w14:paraId="76DA58C6" w14:textId="77777777" w:rsidR="00FE013C" w:rsidRDefault="00FE013C" w:rsidP="004C16FF">
      <w:pPr>
        <w:pStyle w:val="Heading2"/>
        <w:rPr>
          <w:color w:val="auto"/>
        </w:rPr>
      </w:pPr>
      <w:r w:rsidRPr="00807110">
        <w:rPr>
          <w:color w:val="auto"/>
          <w:highlight w:val="yellow"/>
        </w:rPr>
        <w:t>10.3 Power Purchase Agreements (PPAs)</w:t>
      </w:r>
    </w:p>
    <w:p w14:paraId="67E2BF33" w14:textId="75D85732" w:rsidR="00E16731" w:rsidRPr="00E16731" w:rsidRDefault="00E16731" w:rsidP="00E16731">
      <w:pPr>
        <w:spacing w:after="120"/>
        <w:ind w:firstLine="480"/>
        <w:rPr>
          <w:color w:val="000000" w:themeColor="text1"/>
          <w:szCs w:val="24"/>
          <w:highlight w:val="yellow"/>
          <w:lang w:val="en-CA"/>
        </w:rPr>
      </w:pPr>
      <w:r w:rsidRPr="00E16731">
        <w:rPr>
          <w:color w:val="000000" w:themeColor="text1"/>
          <w:szCs w:val="24"/>
          <w:highlight w:val="yellow"/>
          <w:lang w:val="en-CA"/>
        </w:rPr>
        <w:t>PPAs still play a significant role in data center procurement strategy as they offer long-term price transparency, enable financing of fresh RE investments, and enable corporations to achieve their clean energy goals. Note that the PPA price is not the same as the delivered retail electricity price, however</w:t>
      </w:r>
      <w:r>
        <w:rPr>
          <w:color w:val="000000" w:themeColor="text1"/>
          <w:szCs w:val="24"/>
          <w:highlight w:val="yellow"/>
          <w:lang w:val="en-CA"/>
        </w:rPr>
        <w:t>,</w:t>
      </w:r>
      <w:r w:rsidRPr="00E16731">
        <w:rPr>
          <w:color w:val="000000" w:themeColor="text1"/>
          <w:szCs w:val="24"/>
          <w:highlight w:val="yellow"/>
          <w:lang w:val="en-CA"/>
        </w:rPr>
        <w:t xml:space="preserve"> </w:t>
      </w:r>
      <w:r>
        <w:rPr>
          <w:color w:val="000000" w:themeColor="text1"/>
          <w:szCs w:val="24"/>
          <w:highlight w:val="yellow"/>
          <w:lang w:val="en-CA"/>
        </w:rPr>
        <w:t>t</w:t>
      </w:r>
      <w:r w:rsidRPr="00E16731">
        <w:rPr>
          <w:color w:val="000000" w:themeColor="text1"/>
          <w:szCs w:val="24"/>
          <w:highlight w:val="yellow"/>
          <w:lang w:val="en-CA"/>
        </w:rPr>
        <w:t>he buyer could be subject to basis risk, shape risk, balancing risk, congestion risk, curtailment risk, transmission risk as well as the gap between the contracted electricity production of the renewables plant and the plant's electricity consumption.</w:t>
      </w:r>
    </w:p>
    <w:p w14:paraId="77E966AF" w14:textId="1D0242F3" w:rsidR="00E16731" w:rsidRPr="00E16731" w:rsidRDefault="00291195" w:rsidP="000B0F03">
      <w:pPr>
        <w:spacing w:after="120"/>
        <w:ind w:firstLine="480"/>
        <w:rPr>
          <w:color w:val="000000" w:themeColor="text1"/>
          <w:szCs w:val="24"/>
          <w:highlight w:val="yellow"/>
          <w:lang w:val="en-CA"/>
        </w:rPr>
      </w:pPr>
      <w:proofErr w:type="spellStart"/>
      <w:r w:rsidRPr="00291195">
        <w:rPr>
          <w:color w:val="000000" w:themeColor="text1"/>
          <w:szCs w:val="24"/>
          <w:highlight w:val="yellow"/>
          <w:lang w:val="en-CA"/>
        </w:rPr>
        <w:t>LevelTen</w:t>
      </w:r>
      <w:proofErr w:type="spellEnd"/>
      <w:r w:rsidRPr="00291195">
        <w:rPr>
          <w:color w:val="000000" w:themeColor="text1"/>
          <w:szCs w:val="24"/>
          <w:highlight w:val="yellow"/>
          <w:lang w:val="en-CA"/>
        </w:rPr>
        <w:t xml:space="preserve"> Energy’s North American PPA Price Index reported continued upward pressure on renewable-energy procurement costs during the first quarter of 2026. Market-averaged P25 solar PPA prices increased by 4.6% during the quarter and by more than 13% year over year, while corresponding </w:t>
      </w:r>
      <w:r w:rsidRPr="00291195">
        <w:rPr>
          <w:color w:val="000000" w:themeColor="text1"/>
          <w:szCs w:val="24"/>
          <w:highlight w:val="yellow"/>
          <w:lang w:val="en-CA"/>
        </w:rPr>
        <w:lastRenderedPageBreak/>
        <w:t xml:space="preserve">wind PPA prices increased by nearly 8% during the quarter and approximately 24% relative to the same period in the previous year. Average North American PPA offer prices were reported at approximately USD 64.49/MWh for solar and USD 79.40/MWh for wind </w:t>
      </w:r>
      <w:r w:rsidR="00E16731">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5HLOw4Iq","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E16731">
        <w:rPr>
          <w:color w:val="000000" w:themeColor="text1"/>
          <w:szCs w:val="24"/>
          <w:highlight w:val="yellow"/>
          <w:lang w:val="en-CA"/>
        </w:rPr>
        <w:fldChar w:fldCharType="separate"/>
      </w:r>
      <w:r w:rsidR="000B0F03" w:rsidRPr="000B0F03">
        <w:rPr>
          <w:highlight w:val="yellow"/>
          <w:lang w:val="en-CA"/>
        </w:rPr>
        <w:t>[65]</w:t>
      </w:r>
      <w:r w:rsidR="00E16731">
        <w:rPr>
          <w:color w:val="000000" w:themeColor="text1"/>
          <w:szCs w:val="24"/>
          <w:highlight w:val="yellow"/>
          <w:lang w:val="en-CA"/>
        </w:rPr>
        <w:fldChar w:fldCharType="end"/>
      </w:r>
      <w:r w:rsidR="00E16731" w:rsidRPr="00E16731">
        <w:rPr>
          <w:color w:val="000000" w:themeColor="text1"/>
          <w:szCs w:val="24"/>
          <w:highlight w:val="yellow"/>
          <w:lang w:val="en-CA"/>
        </w:rPr>
        <w:t>.</w:t>
      </w:r>
    </w:p>
    <w:p w14:paraId="5B331D38" w14:textId="7A0BE281" w:rsidR="00E16731" w:rsidRPr="00E16731" w:rsidRDefault="00E16731" w:rsidP="000B0F03">
      <w:pPr>
        <w:spacing w:after="120"/>
        <w:ind w:firstLine="480"/>
        <w:rPr>
          <w:color w:val="000000" w:themeColor="text1"/>
          <w:szCs w:val="24"/>
          <w:highlight w:val="yellow"/>
          <w:lang w:val="en-CA"/>
        </w:rPr>
      </w:pPr>
      <w:r w:rsidRPr="00E16731">
        <w:rPr>
          <w:color w:val="000000" w:themeColor="text1"/>
          <w:szCs w:val="24"/>
          <w:highlight w:val="yellow"/>
          <w:lang w:val="en-CA"/>
        </w:rPr>
        <w:t xml:space="preserve">The rise was linked to the high electricity demand, permitting delays, equipment tariffs, labor shortage, rising insurance rates, and other development constraints </w:t>
      </w:r>
      <w:r w:rsidR="00B37D51">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YxxwLXnf","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B37D51">
        <w:rPr>
          <w:color w:val="000000" w:themeColor="text1"/>
          <w:szCs w:val="24"/>
          <w:highlight w:val="yellow"/>
          <w:lang w:val="en-CA"/>
        </w:rPr>
        <w:fldChar w:fldCharType="separate"/>
      </w:r>
      <w:r w:rsidR="000B0F03" w:rsidRPr="000B0F03">
        <w:rPr>
          <w:highlight w:val="yellow"/>
          <w:lang w:val="en-CA"/>
        </w:rPr>
        <w:t>[65]</w:t>
      </w:r>
      <w:r w:rsidR="00B37D51">
        <w:rPr>
          <w:color w:val="000000" w:themeColor="text1"/>
          <w:szCs w:val="24"/>
          <w:highlight w:val="yellow"/>
          <w:lang w:val="en-CA"/>
        </w:rPr>
        <w:fldChar w:fldCharType="end"/>
      </w:r>
      <w:r w:rsidRPr="00E16731">
        <w:rPr>
          <w:color w:val="000000" w:themeColor="text1"/>
          <w:szCs w:val="24"/>
          <w:highlight w:val="yellow"/>
          <w:lang w:val="en-CA"/>
        </w:rPr>
        <w:t>. The prices listed in these offers are not indicative of single contract prices due to the following: PPA pricing is dependent on market location, commercial operation date, project maturity, contract tenor, settlement point, escalation provisions, environmental attributes, credit terms and risk allocation.</w:t>
      </w:r>
    </w:p>
    <w:p w14:paraId="761CDC7B" w14:textId="63F57256" w:rsidR="00807110" w:rsidRDefault="00E16731" w:rsidP="000B0F03">
      <w:pPr>
        <w:spacing w:after="120"/>
        <w:ind w:firstLine="480"/>
        <w:rPr>
          <w:color w:val="000000" w:themeColor="text1"/>
          <w:szCs w:val="24"/>
          <w:highlight w:val="yellow"/>
          <w:lang w:val="en-CA"/>
        </w:rPr>
      </w:pPr>
      <w:r w:rsidRPr="00E16731">
        <w:rPr>
          <w:color w:val="000000" w:themeColor="text1"/>
          <w:szCs w:val="24"/>
          <w:highlight w:val="yellow"/>
          <w:lang w:val="en-CA"/>
        </w:rPr>
        <w:t xml:space="preserve">So, for data centers, a PPA should be considered as part of the overall portfolio of electricity-procurement options. Having a PPA with annual energy matching does not guarantee that the electricity will be carbon-free or physically reliable on an hourly basis. To handle the </w:t>
      </w:r>
      <w:proofErr w:type="gramStart"/>
      <w:r w:rsidRPr="00E16731">
        <w:rPr>
          <w:color w:val="000000" w:themeColor="text1"/>
          <w:szCs w:val="24"/>
          <w:highlight w:val="yellow"/>
          <w:lang w:val="en-CA"/>
        </w:rPr>
        <w:t>time</w:t>
      </w:r>
      <w:proofErr w:type="gramEnd"/>
      <w:r w:rsidRPr="00E16731">
        <w:rPr>
          <w:color w:val="000000" w:themeColor="text1"/>
          <w:szCs w:val="24"/>
          <w:highlight w:val="yellow"/>
          <w:lang w:val="en-CA"/>
        </w:rPr>
        <w:t xml:space="preserve"> shift between electricity production and consumption, a data center could need a mix of a PPA, grid service, storage, backup generation and workload flexibility. While basis and settlement risk may be present with PPAs, it can be minimized by project generation and facility demand being at different locations or at different times </w:t>
      </w:r>
      <w:r w:rsidR="00962957">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hPcVMlIH","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962957">
        <w:rPr>
          <w:color w:val="000000" w:themeColor="text1"/>
          <w:szCs w:val="24"/>
          <w:highlight w:val="yellow"/>
          <w:lang w:val="en-CA"/>
        </w:rPr>
        <w:fldChar w:fldCharType="separate"/>
      </w:r>
      <w:r w:rsidR="000B0F03" w:rsidRPr="000B0F03">
        <w:rPr>
          <w:highlight w:val="yellow"/>
          <w:lang w:val="en-CA"/>
        </w:rPr>
        <w:t>[65]</w:t>
      </w:r>
      <w:r w:rsidR="00962957">
        <w:rPr>
          <w:color w:val="000000" w:themeColor="text1"/>
          <w:szCs w:val="24"/>
          <w:highlight w:val="yellow"/>
          <w:lang w:val="en-CA"/>
        </w:rPr>
        <w:fldChar w:fldCharType="end"/>
      </w:r>
      <w:r w:rsidRPr="00E16731">
        <w:rPr>
          <w:color w:val="000000" w:themeColor="text1"/>
          <w:szCs w:val="24"/>
          <w:highlight w:val="yellow"/>
          <w:lang w:val="en-CA"/>
        </w:rPr>
        <w:t>.</w:t>
      </w:r>
    </w:p>
    <w:p w14:paraId="7C5BF444" w14:textId="3C6E7F77" w:rsidR="00FE013C" w:rsidRPr="00807110" w:rsidRDefault="00FE013C" w:rsidP="00807110">
      <w:pPr>
        <w:pStyle w:val="Heading2"/>
        <w:rPr>
          <w:color w:val="auto"/>
          <w:highlight w:val="yellow"/>
        </w:rPr>
      </w:pPr>
      <w:r w:rsidRPr="00807110">
        <w:rPr>
          <w:color w:val="auto"/>
          <w:highlight w:val="yellow"/>
        </w:rPr>
        <w:t>10.4 Financial Modeling: NPV and IRR</w:t>
      </w:r>
    </w:p>
    <w:p w14:paraId="6E3DE7F1" w14:textId="77777777"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Project-specific financial viability should be evaluated using net present value (NPV), internal rate of return (IRR), discounted payback period, and sensitivity analysis. These metrics require an auditable cash-flow model rather than applying assumed return ranges to generic project configurations.</w:t>
      </w:r>
    </w:p>
    <w:p w14:paraId="2459874A" w14:textId="036884D3"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 xml:space="preserve">For a project lifetime of </w:t>
      </w:r>
      <m:oMath>
        <m:r>
          <w:rPr>
            <w:rFonts w:ascii="Cambria Math" w:hAnsi="Cambria Math"/>
            <w:color w:val="000000" w:themeColor="text1"/>
            <w:szCs w:val="24"/>
            <w:highlight w:val="yellow"/>
            <w:lang w:val="en-CA"/>
          </w:rPr>
          <m:t>N</m:t>
        </m:r>
      </m:oMath>
      <w:r w:rsidRPr="005810F9">
        <w:rPr>
          <w:color w:val="000000" w:themeColor="text1"/>
          <w:szCs w:val="24"/>
          <w:highlight w:val="yellow"/>
          <w:lang w:val="en-CA"/>
        </w:rPr>
        <w:t>years, NPV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96AEE" w:rsidRPr="00100329" w14:paraId="5B31A178" w14:textId="77777777" w:rsidTr="001E5821">
        <w:tc>
          <w:tcPr>
            <w:tcW w:w="421" w:type="dxa"/>
          </w:tcPr>
          <w:p w14:paraId="4A8B1FBF" w14:textId="77777777" w:rsidR="00C96AEE" w:rsidRPr="00100329" w:rsidRDefault="00C96AEE" w:rsidP="001E5821">
            <w:pPr>
              <w:rPr>
                <w:color w:val="auto"/>
                <w:szCs w:val="24"/>
                <w:highlight w:val="yellow"/>
                <w:lang w:val="en-CA" w:eastAsia="en-CA"/>
              </w:rPr>
            </w:pPr>
          </w:p>
        </w:tc>
        <w:tc>
          <w:tcPr>
            <w:tcW w:w="7908" w:type="dxa"/>
          </w:tcPr>
          <w:p w14:paraId="564DB089" w14:textId="5F6FAF82" w:rsidR="00C96AEE" w:rsidRPr="00100329" w:rsidRDefault="00C96AEE" w:rsidP="001E5821">
            <w:pPr>
              <w:rPr>
                <w:rFonts w:asciiTheme="majorBidi" w:hAnsiTheme="majorBidi" w:cstheme="majorBidi"/>
                <w:color w:val="auto"/>
                <w:sz w:val="18"/>
                <w:szCs w:val="18"/>
                <w:highlight w:val="yellow"/>
                <w:lang w:val="en-CA" w:eastAsia="en-CA"/>
              </w:rPr>
            </w:pPr>
            <m:oMathPara>
              <m:oMath>
                <m:r>
                  <m:rPr>
                    <m:nor/>
                  </m:rPr>
                  <w:rPr>
                    <w:rFonts w:ascii="Cambria Math" w:hAnsi="Cambria Math"/>
                    <w:color w:val="auto"/>
                    <w:sz w:val="18"/>
                    <w:szCs w:val="18"/>
                  </w:rPr>
                  <m:t>NPV</m:t>
                </m:r>
                <m:r>
                  <w:rPr>
                    <w:rFonts w:ascii="Cambria Math" w:hAnsi="Cambria Math"/>
                    <w:color w:val="auto"/>
                    <w:sz w:val="18"/>
                    <w:szCs w:val="18"/>
                  </w:rPr>
                  <m:t>=-</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N</m:t>
                        </m:r>
                      </m:sup>
                    </m:sSup>
                  </m:den>
                </m:f>
              </m:oMath>
            </m:oMathPara>
          </w:p>
        </w:tc>
        <w:tc>
          <w:tcPr>
            <w:tcW w:w="616" w:type="dxa"/>
            <w:vAlign w:val="center"/>
          </w:tcPr>
          <w:p w14:paraId="7D7A62EA" w14:textId="4114CD2E" w:rsidR="00C96AEE" w:rsidRPr="00100329" w:rsidRDefault="00C96AEE"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21</w:t>
            </w:r>
            <w:r w:rsidRPr="00100329">
              <w:rPr>
                <w:color w:val="auto"/>
                <w:szCs w:val="24"/>
                <w:highlight w:val="yellow"/>
                <w:lang w:val="en-CA" w:eastAsia="en-CA"/>
              </w:rPr>
              <w:t>)</w:t>
            </w:r>
          </w:p>
        </w:tc>
      </w:tr>
    </w:tbl>
    <w:p w14:paraId="49A81060" w14:textId="7D29D3F8" w:rsidR="00A50C22" w:rsidRPr="00A50C22" w:rsidRDefault="00A50C22" w:rsidP="00A50C22">
      <w:pPr>
        <w:spacing w:after="120"/>
        <w:ind w:firstLine="480"/>
        <w:rPr>
          <w:color w:val="000000" w:themeColor="text1"/>
          <w:szCs w:val="24"/>
          <w:highlight w:val="yellow"/>
          <w:lang w:val="en-CA"/>
        </w:rPr>
      </w:pPr>
      <w:r w:rsidRPr="00A50C22">
        <w:rPr>
          <w:color w:val="000000" w:themeColor="text1"/>
          <w:szCs w:val="24"/>
          <w:highlight w:val="yellow"/>
          <w:lang w:val="en-CA"/>
        </w:rPr>
        <w:t xml:space="preserve">where </w:t>
      </w:r>
      <m:oMath>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I</m:t>
            </m:r>
          </m:e>
          <m:sub>
            <m:r>
              <m:rPr>
                <m:sty m:val="p"/>
              </m:rPr>
              <w:rPr>
                <w:rFonts w:ascii="Cambria Math" w:hAnsi="Cambria Math"/>
                <w:color w:val="000000" w:themeColor="text1"/>
                <w:szCs w:val="24"/>
                <w:highlight w:val="yellow"/>
                <w:lang w:val="en-CA"/>
              </w:rPr>
              <m:t>0</m:t>
            </m:r>
          </m:sub>
        </m:sSub>
      </m:oMath>
      <w:r w:rsidRPr="00A50C22">
        <w:rPr>
          <w:color w:val="000000" w:themeColor="text1"/>
          <w:szCs w:val="24"/>
          <w:highlight w:val="yellow"/>
          <w:lang w:val="en-CA"/>
        </w:rPr>
        <w:t xml:space="preserve">is the initial investment, </w:t>
      </w:r>
      <m:oMath>
        <m:r>
          <w:rPr>
            <w:rFonts w:ascii="Cambria Math" w:hAnsi="Cambria Math"/>
            <w:color w:val="000000" w:themeColor="text1"/>
            <w:szCs w:val="24"/>
            <w:highlight w:val="yellow"/>
            <w:lang w:val="en-CA"/>
          </w:rPr>
          <m:t>C</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F</m:t>
            </m:r>
          </m:e>
          <m:sub>
            <m:r>
              <w:rPr>
                <w:rFonts w:ascii="Cambria Math" w:hAnsi="Cambria Math"/>
                <w:color w:val="000000" w:themeColor="text1"/>
                <w:szCs w:val="24"/>
                <w:highlight w:val="yellow"/>
                <w:lang w:val="en-CA"/>
              </w:rPr>
              <m:t>t</m:t>
            </m:r>
          </m:sub>
        </m:sSub>
      </m:oMath>
      <w:r w:rsidRPr="00A50C22">
        <w:rPr>
          <w:color w:val="000000" w:themeColor="text1"/>
          <w:szCs w:val="24"/>
          <w:highlight w:val="yellow"/>
          <w:lang w:val="en-CA"/>
        </w:rPr>
        <w:t xml:space="preserve">is the net cash flow in year </w:t>
      </w:r>
      <m:oMath>
        <m:r>
          <w:rPr>
            <w:rFonts w:ascii="Cambria Math" w:hAnsi="Cambria Math"/>
            <w:color w:val="000000" w:themeColor="text1"/>
            <w:szCs w:val="24"/>
            <w:highlight w:val="yellow"/>
            <w:lang w:val="en-CA"/>
          </w:rPr>
          <m:t>t</m:t>
        </m:r>
      </m:oMath>
      <w:r w:rsidRPr="00A50C22">
        <w:rPr>
          <w:color w:val="000000" w:themeColor="text1"/>
          <w:szCs w:val="24"/>
          <w:highlight w:val="yellow"/>
          <w:lang w:val="en-CA"/>
        </w:rPr>
        <w:t xml:space="preserve">, </w:t>
      </w:r>
      <m:oMath>
        <m:r>
          <w:rPr>
            <w:rFonts w:ascii="Cambria Math" w:hAnsi="Cambria Math"/>
            <w:color w:val="000000" w:themeColor="text1"/>
            <w:szCs w:val="24"/>
            <w:highlight w:val="yellow"/>
            <w:lang w:val="en-CA"/>
          </w:rPr>
          <m:t>r</m:t>
        </m:r>
      </m:oMath>
      <w:r w:rsidRPr="00A50C22">
        <w:rPr>
          <w:color w:val="000000" w:themeColor="text1"/>
          <w:szCs w:val="24"/>
          <w:highlight w:val="yellow"/>
          <w:lang w:val="en-CA"/>
        </w:rPr>
        <w:t xml:space="preserve">is the real discount rate, and </w:t>
      </w:r>
      <m:oMath>
        <m:r>
          <w:rPr>
            <w:rFonts w:ascii="Cambria Math" w:hAnsi="Cambria Math"/>
            <w:color w:val="000000" w:themeColor="text1"/>
            <w:szCs w:val="24"/>
            <w:highlight w:val="yellow"/>
            <w:lang w:val="en-CA"/>
          </w:rPr>
          <m:t>R</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V</m:t>
            </m:r>
          </m:e>
          <m:sub>
            <m:r>
              <w:rPr>
                <w:rFonts w:ascii="Cambria Math" w:hAnsi="Cambria Math"/>
                <w:color w:val="000000" w:themeColor="text1"/>
                <w:szCs w:val="24"/>
                <w:highlight w:val="yellow"/>
                <w:lang w:val="en-CA"/>
              </w:rPr>
              <m:t>N</m:t>
            </m:r>
          </m:sub>
        </m:sSub>
      </m:oMath>
      <w:r w:rsidRPr="00A50C22">
        <w:rPr>
          <w:color w:val="000000" w:themeColor="text1"/>
          <w:szCs w:val="24"/>
          <w:highlight w:val="yellow"/>
          <w:lang w:val="en-CA"/>
        </w:rPr>
        <w:t>is the residual value at the end of the analysis period.</w:t>
      </w:r>
    </w:p>
    <w:p w14:paraId="5E8F04A7" w14:textId="77777777" w:rsidR="00833AA9" w:rsidRPr="00A52AC2" w:rsidRDefault="00833AA9"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IRR is the discount rate that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833AA9" w:rsidRPr="00100329" w14:paraId="5164CB15" w14:textId="77777777" w:rsidTr="001E5821">
        <w:tc>
          <w:tcPr>
            <w:tcW w:w="421" w:type="dxa"/>
          </w:tcPr>
          <w:p w14:paraId="67E7A95A" w14:textId="77777777" w:rsidR="00833AA9" w:rsidRPr="00100329" w:rsidRDefault="00833AA9" w:rsidP="001E5821">
            <w:pPr>
              <w:rPr>
                <w:color w:val="auto"/>
                <w:szCs w:val="24"/>
                <w:highlight w:val="yellow"/>
                <w:lang w:val="en-CA" w:eastAsia="en-CA"/>
              </w:rPr>
            </w:pPr>
          </w:p>
        </w:tc>
        <w:tc>
          <w:tcPr>
            <w:tcW w:w="7908" w:type="dxa"/>
          </w:tcPr>
          <w:p w14:paraId="3D58E01A" w14:textId="35E3FDE6" w:rsidR="00833AA9" w:rsidRPr="00100329" w:rsidRDefault="00833AA9" w:rsidP="001E5821">
            <w:pPr>
              <w:rPr>
                <w:rFonts w:asciiTheme="majorBidi" w:hAnsiTheme="majorBidi" w:cstheme="majorBidi"/>
                <w:color w:val="auto"/>
                <w:sz w:val="18"/>
                <w:szCs w:val="18"/>
                <w:highlight w:val="yellow"/>
                <w:lang w:val="en-CA" w:eastAsia="en-CA"/>
              </w:rPr>
            </w:pPr>
            <m:oMathPara>
              <m:oMath>
                <m:r>
                  <w:rPr>
                    <w:rFonts w:ascii="Cambria Math" w:hAnsi="Cambria Math"/>
                    <w:color w:val="auto"/>
                    <w:sz w:val="18"/>
                    <w:szCs w:val="18"/>
                  </w:rPr>
                  <m:t>0=-</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n</m:t>
                        </m:r>
                      </m:sup>
                    </m:sSup>
                  </m:den>
                </m:f>
              </m:oMath>
            </m:oMathPara>
          </w:p>
        </w:tc>
        <w:tc>
          <w:tcPr>
            <w:tcW w:w="616" w:type="dxa"/>
            <w:vAlign w:val="center"/>
          </w:tcPr>
          <w:p w14:paraId="159A0955" w14:textId="6D5C7E41" w:rsidR="00833AA9" w:rsidRPr="00100329" w:rsidRDefault="00833AA9"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22</w:t>
            </w:r>
            <w:r w:rsidRPr="00100329">
              <w:rPr>
                <w:color w:val="auto"/>
                <w:szCs w:val="24"/>
                <w:highlight w:val="yellow"/>
                <w:lang w:val="en-CA" w:eastAsia="en-CA"/>
              </w:rPr>
              <w:t>)</w:t>
            </w:r>
          </w:p>
        </w:tc>
      </w:tr>
    </w:tbl>
    <w:p w14:paraId="5AF900CC" w14:textId="77777777" w:rsidR="00E028BC" w:rsidRPr="00E028BC" w:rsidRDefault="00E028BC" w:rsidP="00E028BC">
      <w:pPr>
        <w:spacing w:after="120"/>
        <w:ind w:firstLine="480"/>
        <w:rPr>
          <w:color w:val="000000" w:themeColor="text1"/>
          <w:szCs w:val="24"/>
          <w:highlight w:val="yellow"/>
        </w:rPr>
      </w:pPr>
      <w:r w:rsidRPr="00E028BC">
        <w:rPr>
          <w:color w:val="000000" w:themeColor="text1"/>
          <w:szCs w:val="24"/>
          <w:highlight w:val="yellow"/>
        </w:rPr>
        <w:t>A real WACC of 7.5% may be used as an illustrative screening assumption, with a real discount-rate range of 5%–12% considered in sensitivity analysis. This assumption is not a finding or a recommended project-specific financing rate. Investment-grade analysis should derive the discount rate from the actual capital structure, technology and market risks, ownership arrangement, and contractual allocation of risk. Real cash flows should be discounted using a real rate, while nominal cash flows require a nominal rate and explicit treatment of inflation.</w:t>
      </w:r>
    </w:p>
    <w:p w14:paraId="67C01547" w14:textId="22A6C24B"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A good project cash-flow model will contain:</w:t>
      </w:r>
    </w:p>
    <w:p w14:paraId="5CEC7440" w14:textId="12D824B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Capital costs for renewable generation, BESS, backup power, interconnection, and electrical infrastructure.</w:t>
      </w:r>
    </w:p>
    <w:p w14:paraId="76349BFB" w14:textId="74F03DE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Engineering, procurement, construction, development, financing, and contingency costs.</w:t>
      </w:r>
    </w:p>
    <w:p w14:paraId="5B50D921" w14:textId="62F48AC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Fixed and variable operation and maintenance costs.</w:t>
      </w:r>
    </w:p>
    <w:p w14:paraId="47A6A506" w14:textId="6F966EAC"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Battery augmentation and replacement costs.</w:t>
      </w:r>
    </w:p>
    <w:p w14:paraId="5F15AF72" w14:textId="6E76CE6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Replacement of major equipment, including inverters, transformers, and control systems.</w:t>
      </w:r>
    </w:p>
    <w:p w14:paraId="5DF88134" w14:textId="6AEB913F"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lastRenderedPageBreak/>
        <w:t>Grid-energy purchases, capacity charges, demand charges, and tariff escalation.</w:t>
      </w:r>
    </w:p>
    <w:p w14:paraId="21818B19" w14:textId="6ECCB4B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Avoided electricity-purchase and demand-charge costs.</w:t>
      </w:r>
    </w:p>
    <w:p w14:paraId="01C20472" w14:textId="07554CD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PPA settlements and payments, where applicable.</w:t>
      </w:r>
    </w:p>
    <w:p w14:paraId="0B312C09" w14:textId="3C27FE29"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Ancillary-service or demand-response revenues, where applicable and demonstrable.</w:t>
      </w:r>
    </w:p>
    <w:p w14:paraId="78730599" w14:textId="6219B466"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Outage-related costs, conversion losses, equipment degradation, and renewable curtailment.</w:t>
      </w:r>
    </w:p>
    <w:p w14:paraId="6FAAB57B" w14:textId="3045A17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Applicable taxes, incentives, depreciation, and residual value.</w:t>
      </w:r>
    </w:p>
    <w:p w14:paraId="54D4C2B9" w14:textId="4BE29B70" w:rsidR="00305DE9" w:rsidRPr="00305DE9" w:rsidRDefault="00305DE9" w:rsidP="00F72348">
      <w:pPr>
        <w:spacing w:after="120"/>
        <w:ind w:firstLine="480"/>
        <w:rPr>
          <w:color w:val="000000" w:themeColor="text1"/>
          <w:szCs w:val="24"/>
          <w:highlight w:val="yellow"/>
        </w:rPr>
      </w:pPr>
      <w:r w:rsidRPr="00305DE9">
        <w:rPr>
          <w:color w:val="000000" w:themeColor="text1"/>
          <w:szCs w:val="24"/>
          <w:highlight w:val="yellow"/>
        </w:rPr>
        <w:t>Federal incentive eligibility is highly dependent on the applicable regulatory framework, project commissioning date, ownership structure, technology type, domestic-content requirements, and jurisdiction-specific implementation rules. Because renewable-energy incentive programs continue to evolve, project developers should verify eligibility using current legislation, regulatory guidance, and professional tax advice. The discussion presented here is intended only as contextual information and should not be interpreted as investment or tax guidance</w:t>
      </w:r>
      <w:r w:rsidR="004775FE">
        <w:rPr>
          <w:color w:val="000000" w:themeColor="text1"/>
          <w:szCs w:val="24"/>
          <w:highlight w:val="yellow"/>
          <w:lang w:val="en-CA"/>
        </w:rPr>
        <w:fldChar w:fldCharType="begin"/>
      </w:r>
      <w:r w:rsidR="004775FE">
        <w:rPr>
          <w:color w:val="000000" w:themeColor="text1"/>
          <w:szCs w:val="24"/>
          <w:highlight w:val="yellow"/>
          <w:lang w:val="en-CA"/>
        </w:rPr>
        <w:instrText xml:space="preserve"> ADDIN ZOTERO_ITEM CSL_CITATION {"citationID":"t87KCa5e","properties":{"unsorted":false,"formattedCitation":"[173]","plainCitation":"[173]","noteIndex":0},"citationItems":[{"id":2719,"uris":["http://zotero.org/users/9870935/items/MKVPUMBA"],"itemData":{"id":2719,"type":"document","title":"What’s News in Tax Analysis that matters from Washington National Tax","URL":"https://kpmg.com/kpmg-us/content/dam/kpmg/taxnewsflash/pdf/2026/01/tnf-wnit-energy-credits-jan-12-2026.pdf","author":[{"literal":"KPMG"}]}}],"schema":"https://github.com/citation-style-language/schema/raw/master/csl-citation.json"} </w:instrText>
      </w:r>
      <w:r w:rsidR="004775FE">
        <w:rPr>
          <w:color w:val="000000" w:themeColor="text1"/>
          <w:szCs w:val="24"/>
          <w:highlight w:val="yellow"/>
          <w:lang w:val="en-CA"/>
        </w:rPr>
        <w:fldChar w:fldCharType="separate"/>
      </w:r>
      <w:r w:rsidR="004775FE" w:rsidRPr="00286292">
        <w:rPr>
          <w:highlight w:val="yellow"/>
          <w:lang w:val="en-CA"/>
        </w:rPr>
        <w:t>[172]</w:t>
      </w:r>
      <w:r w:rsidR="004775FE">
        <w:rPr>
          <w:color w:val="000000" w:themeColor="text1"/>
          <w:szCs w:val="24"/>
          <w:highlight w:val="yellow"/>
          <w:lang w:val="en-CA"/>
        </w:rPr>
        <w:fldChar w:fldCharType="end"/>
      </w:r>
      <w:r w:rsidRPr="00305DE9">
        <w:rPr>
          <w:color w:val="000000" w:themeColor="text1"/>
          <w:szCs w:val="24"/>
          <w:highlight w:val="yellow"/>
        </w:rPr>
        <w:t>.</w:t>
      </w:r>
    </w:p>
    <w:p w14:paraId="4DB0D478" w14:textId="184C856B" w:rsidR="00A52AC2" w:rsidRDefault="00A52AC2" w:rsidP="00A52AC2">
      <w:pPr>
        <w:pStyle w:val="Heading2"/>
        <w:rPr>
          <w:color w:val="auto"/>
          <w:highlight w:val="yellow"/>
        </w:rPr>
      </w:pPr>
      <w:r w:rsidRPr="00807110">
        <w:rPr>
          <w:color w:val="auto"/>
          <w:highlight w:val="yellow"/>
        </w:rPr>
        <w:t>10.</w:t>
      </w:r>
      <w:r>
        <w:rPr>
          <w:color w:val="auto"/>
          <w:highlight w:val="yellow"/>
        </w:rPr>
        <w:t>5</w:t>
      </w:r>
      <w:r w:rsidRPr="00807110">
        <w:rPr>
          <w:color w:val="auto"/>
          <w:highlight w:val="yellow"/>
        </w:rPr>
        <w:t xml:space="preserve"> </w:t>
      </w:r>
      <w:r>
        <w:rPr>
          <w:color w:val="auto"/>
          <w:highlight w:val="yellow"/>
        </w:rPr>
        <w:t>Business Case and Critical Appraisal</w:t>
      </w:r>
    </w:p>
    <w:p w14:paraId="0C111F3D" w14:textId="7CF04783" w:rsidR="003342AC" w:rsidRPr="003342AC" w:rsidRDefault="003342AC" w:rsidP="003342AC">
      <w:pPr>
        <w:spacing w:after="120"/>
        <w:ind w:firstLine="480"/>
        <w:rPr>
          <w:color w:val="000000" w:themeColor="text1"/>
          <w:szCs w:val="24"/>
          <w:highlight w:val="yellow"/>
          <w:lang w:val="en-CA"/>
        </w:rPr>
      </w:pPr>
      <w:r w:rsidRPr="003342AC">
        <w:rPr>
          <w:color w:val="000000" w:themeColor="text1"/>
          <w:szCs w:val="24"/>
          <w:highlight w:val="yellow"/>
          <w:lang w:val="en-CA"/>
        </w:rPr>
        <w:t>There are four interconnected factors that support the business viability of AI data centers that use renewable energy.</w:t>
      </w:r>
    </w:p>
    <w:p w14:paraId="6CCEA258" w14:textId="09509CB5" w:rsidR="003342AC" w:rsidRPr="003342AC" w:rsidRDefault="003342AC" w:rsidP="00286292">
      <w:pPr>
        <w:spacing w:after="120"/>
        <w:ind w:firstLine="480"/>
        <w:rPr>
          <w:color w:val="000000" w:themeColor="text1"/>
          <w:szCs w:val="24"/>
          <w:highlight w:val="yellow"/>
          <w:lang w:val="en-CA"/>
        </w:rPr>
      </w:pPr>
      <w:r w:rsidRPr="003342AC">
        <w:rPr>
          <w:b/>
          <w:bCs/>
          <w:color w:val="000000" w:themeColor="text1"/>
          <w:szCs w:val="24"/>
          <w:highlight w:val="yellow"/>
          <w:lang w:val="en-CA"/>
        </w:rPr>
        <w:t xml:space="preserve">Energy-cost </w:t>
      </w:r>
      <w:r>
        <w:rPr>
          <w:b/>
          <w:bCs/>
          <w:color w:val="000000" w:themeColor="text1"/>
          <w:szCs w:val="24"/>
          <w:highlight w:val="yellow"/>
          <w:lang w:val="en-CA"/>
        </w:rPr>
        <w:t>M</w:t>
      </w:r>
      <w:r w:rsidRPr="003342AC">
        <w:rPr>
          <w:b/>
          <w:bCs/>
          <w:color w:val="000000" w:themeColor="text1"/>
          <w:szCs w:val="24"/>
          <w:highlight w:val="yellow"/>
          <w:lang w:val="en-CA"/>
        </w:rPr>
        <w:t>anagement</w:t>
      </w:r>
      <w:r>
        <w:rPr>
          <w:b/>
          <w:bCs/>
          <w:color w:val="000000" w:themeColor="text1"/>
          <w:szCs w:val="24"/>
          <w:highlight w:val="yellow"/>
          <w:lang w:val="en-CA"/>
        </w:rPr>
        <w:t>:</w:t>
      </w:r>
      <w:r w:rsidRPr="003342AC">
        <w:rPr>
          <w:color w:val="000000" w:themeColor="text1"/>
          <w:szCs w:val="24"/>
          <w:highlight w:val="yellow"/>
          <w:lang w:val="en-CA"/>
        </w:rPr>
        <w:t xml:space="preserve"> The cost of new solar and onshore wind are still competitive, and existing hybrid schemes show the cost of renewable electricity with battery storage can match the cost of conventional electricity generation in some markets</w:t>
      </w:r>
      <w:r w:rsidR="003511DA">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{"citationID":"oYKlJ3go","properties":{"unsorted":false,"formattedCitation":"[170]","plainCitation":"[170]","noteIndex":0},"citationItems":[{"id":2716,"uris":["http://zotero.org/users/9870935/items/QM3FE6TY"],"itemData":{"id":2716,"type":"post-weblog","title":"Lazard’s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3511DA">
        <w:rPr>
          <w:color w:val="000000" w:themeColor="text1"/>
          <w:szCs w:val="24"/>
          <w:highlight w:val="yellow"/>
          <w:lang w:val="en-CA"/>
        </w:rPr>
        <w:fldChar w:fldCharType="separate"/>
      </w:r>
      <w:r w:rsidR="00286292" w:rsidRPr="00286292">
        <w:rPr>
          <w:highlight w:val="yellow"/>
          <w:lang w:val="en-CA"/>
        </w:rPr>
        <w:t>[169]</w:t>
      </w:r>
      <w:r w:rsidR="003511DA">
        <w:rPr>
          <w:color w:val="000000" w:themeColor="text1"/>
          <w:szCs w:val="24"/>
          <w:highlight w:val="yellow"/>
          <w:lang w:val="en-CA"/>
        </w:rPr>
        <w:fldChar w:fldCharType="end"/>
      </w:r>
      <w:r w:rsidRPr="003342AC">
        <w:rPr>
          <w:color w:val="000000" w:themeColor="text1"/>
          <w:szCs w:val="24"/>
          <w:highlight w:val="yellow"/>
          <w:lang w:val="en-CA"/>
        </w:rPr>
        <w:t>,</w:t>
      </w:r>
      <w:r w:rsidR="003511DA">
        <w:rPr>
          <w:color w:val="000000" w:themeColor="text1"/>
          <w:szCs w:val="24"/>
          <w:highlight w:val="yellow"/>
          <w:lang w:val="en-CA"/>
        </w:rPr>
        <w:fldChar w:fldCharType="begin"/>
      </w:r>
      <w:r w:rsidR="003511DA">
        <w:rPr>
          <w:color w:val="000000" w:themeColor="text1"/>
          <w:szCs w:val="24"/>
          <w:highlight w:val="yellow"/>
          <w:lang w:val="en-CA"/>
        </w:rPr>
        <w:instrText xml:space="preserve"> ADDIN ZOTERO_ITEM CSL_CITATION {"citationID":"wYIdAcMN","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3511DA">
        <w:rPr>
          <w:color w:val="000000" w:themeColor="text1"/>
          <w:szCs w:val="24"/>
          <w:highlight w:val="yellow"/>
          <w:lang w:val="en-CA"/>
        </w:rPr>
        <w:fldChar w:fldCharType="separate"/>
      </w:r>
      <w:r w:rsidR="003511DA" w:rsidRPr="003511DA">
        <w:rPr>
          <w:highlight w:val="yellow"/>
          <w:lang w:val="en-CA"/>
        </w:rPr>
        <w:t>[16]</w:t>
      </w:r>
      <w:r w:rsidR="003511DA">
        <w:rPr>
          <w:color w:val="000000" w:themeColor="text1"/>
          <w:szCs w:val="24"/>
          <w:highlight w:val="yellow"/>
          <w:lang w:val="en-CA"/>
        </w:rPr>
        <w:fldChar w:fldCharType="end"/>
      </w:r>
      <w:r w:rsidRPr="003342AC">
        <w:rPr>
          <w:color w:val="000000" w:themeColor="text1"/>
          <w:szCs w:val="24"/>
          <w:highlight w:val="yellow"/>
          <w:lang w:val="en-CA"/>
        </w:rPr>
        <w:t>. However, viability of the project is subject to resource quality, project financing, firming requirements, grid access, curtailment, and interconnection costs. Cost of the continuous data center service should not be estimated as Generation-only LCOE.</w:t>
      </w:r>
    </w:p>
    <w:p w14:paraId="2D9FCD90" w14:textId="5CEAC543" w:rsidR="003342AC" w:rsidRPr="003342AC" w:rsidRDefault="003342AC" w:rsidP="003342AC">
      <w:pPr>
        <w:spacing w:after="120"/>
        <w:ind w:firstLine="480"/>
        <w:rPr>
          <w:color w:val="000000" w:themeColor="text1"/>
          <w:szCs w:val="24"/>
          <w:highlight w:val="yellow"/>
          <w:lang w:val="en-CA"/>
        </w:rPr>
      </w:pPr>
      <w:r w:rsidRPr="00CA7AD5">
        <w:rPr>
          <w:b/>
          <w:bCs/>
          <w:color w:val="000000" w:themeColor="text1"/>
          <w:szCs w:val="24"/>
          <w:highlight w:val="yellow"/>
          <w:lang w:val="en-CA"/>
        </w:rPr>
        <w:t xml:space="preserve">Reliability and </w:t>
      </w:r>
      <w:r w:rsidR="00CA7AD5">
        <w:rPr>
          <w:b/>
          <w:bCs/>
          <w:color w:val="000000" w:themeColor="text1"/>
          <w:szCs w:val="24"/>
          <w:highlight w:val="yellow"/>
          <w:lang w:val="en-CA"/>
        </w:rPr>
        <w:t>R</w:t>
      </w:r>
      <w:r w:rsidRPr="00CA7AD5">
        <w:rPr>
          <w:b/>
          <w:bCs/>
          <w:color w:val="000000" w:themeColor="text1"/>
          <w:szCs w:val="24"/>
          <w:highlight w:val="yellow"/>
          <w:lang w:val="en-CA"/>
        </w:rPr>
        <w:t>esilience</w:t>
      </w:r>
      <w:r w:rsidR="00CA7AD5" w:rsidRPr="00EE49A4">
        <w:rPr>
          <w:b/>
          <w:bCs/>
          <w:color w:val="000000" w:themeColor="text1"/>
          <w:szCs w:val="24"/>
          <w:highlight w:val="yellow"/>
          <w:lang w:val="en-CA"/>
        </w:rPr>
        <w:t>:</w:t>
      </w:r>
      <w:r w:rsidRPr="003342AC">
        <w:rPr>
          <w:color w:val="000000" w:themeColor="text1"/>
          <w:szCs w:val="24"/>
          <w:highlight w:val="yellow"/>
          <w:lang w:val="en-CA"/>
        </w:rPr>
        <w:t xml:space="preserve"> On-site generation and storage can minimize exposure to some of the disturbances in the grid, offer short duration ride-through capability, and enable control of transitions to a backup supply. These resources are not sufficient, however, to ensure outage risk is eliminated, as reliability is also dependent upon distribution topology, protection coordination, common-mode failure, fuel availability, control systems and maintenance practices. The Uptime Institute also provides distribution of outage costs without setting a universal cost of $500,000 per hour for training clusters of </w:t>
      </w:r>
      <w:proofErr w:type="gramStart"/>
      <w:r w:rsidRPr="003342AC">
        <w:rPr>
          <w:color w:val="000000" w:themeColor="text1"/>
          <w:szCs w:val="24"/>
          <w:highlight w:val="yellow"/>
          <w:lang w:val="en-CA"/>
        </w:rPr>
        <w:t>AI</w:t>
      </w:r>
      <w:proofErr w:type="gramEnd"/>
      <w:r w:rsidRPr="003342AC">
        <w:rPr>
          <w:color w:val="000000" w:themeColor="text1"/>
          <w:szCs w:val="24"/>
          <w:highlight w:val="yellow"/>
          <w:lang w:val="en-CA"/>
        </w:rPr>
        <w:t>. The previous per-hour downtime value has been thus eliminated. Downtime costs for a project model should be based on the IT capacity and workload values of the affected facility, the time required for recovery, contractual penalties, and lost utilization.</w:t>
      </w:r>
    </w:p>
    <w:p w14:paraId="4F35DD51" w14:textId="08CC6A87" w:rsidR="003342AC" w:rsidRPr="003342AC" w:rsidRDefault="003342AC" w:rsidP="000B0F03">
      <w:pPr>
        <w:spacing w:after="120"/>
        <w:ind w:firstLine="480"/>
        <w:rPr>
          <w:color w:val="000000" w:themeColor="text1"/>
          <w:szCs w:val="24"/>
          <w:highlight w:val="yellow"/>
          <w:lang w:val="en-CA"/>
        </w:rPr>
      </w:pPr>
      <w:r w:rsidRPr="001F3982">
        <w:rPr>
          <w:b/>
          <w:bCs/>
          <w:color w:val="000000" w:themeColor="text1"/>
          <w:szCs w:val="24"/>
          <w:highlight w:val="yellow"/>
          <w:lang w:val="en-CA"/>
        </w:rPr>
        <w:t xml:space="preserve">Sustainability and </w:t>
      </w:r>
      <w:r w:rsidR="001F3982">
        <w:rPr>
          <w:b/>
          <w:bCs/>
          <w:color w:val="000000" w:themeColor="text1"/>
          <w:szCs w:val="24"/>
          <w:highlight w:val="yellow"/>
          <w:lang w:val="en-CA"/>
        </w:rPr>
        <w:t>C</w:t>
      </w:r>
      <w:r w:rsidRPr="001F3982">
        <w:rPr>
          <w:b/>
          <w:bCs/>
          <w:color w:val="000000" w:themeColor="text1"/>
          <w:szCs w:val="24"/>
          <w:highlight w:val="yellow"/>
          <w:lang w:val="en-CA"/>
        </w:rPr>
        <w:t xml:space="preserve">ompliance with </w:t>
      </w:r>
      <w:r w:rsidR="001F3982">
        <w:rPr>
          <w:b/>
          <w:bCs/>
          <w:color w:val="000000" w:themeColor="text1"/>
          <w:szCs w:val="24"/>
          <w:highlight w:val="yellow"/>
          <w:lang w:val="en-CA"/>
        </w:rPr>
        <w:t>R</w:t>
      </w:r>
      <w:r w:rsidRPr="001F3982">
        <w:rPr>
          <w:b/>
          <w:bCs/>
          <w:color w:val="000000" w:themeColor="text1"/>
          <w:szCs w:val="24"/>
          <w:highlight w:val="yellow"/>
          <w:lang w:val="en-CA"/>
        </w:rPr>
        <w:t>egulations</w:t>
      </w:r>
      <w:r w:rsidR="001F3982" w:rsidRPr="001F3982">
        <w:rPr>
          <w:b/>
          <w:bCs/>
          <w:color w:val="000000" w:themeColor="text1"/>
          <w:szCs w:val="24"/>
          <w:highlight w:val="yellow"/>
          <w:lang w:val="en-CA"/>
        </w:rPr>
        <w:t>:</w:t>
      </w:r>
      <w:r w:rsidRPr="003342AC">
        <w:rPr>
          <w:color w:val="000000" w:themeColor="text1"/>
          <w:szCs w:val="24"/>
          <w:highlight w:val="yellow"/>
          <w:lang w:val="en-CA"/>
        </w:rPr>
        <w:t xml:space="preserve"> Market-based Scope 2 emissions can be reduced through renewable </w:t>
      </w:r>
      <w:r w:rsidR="003511DA" w:rsidRPr="003342AC">
        <w:rPr>
          <w:color w:val="000000" w:themeColor="text1"/>
          <w:szCs w:val="24"/>
          <w:highlight w:val="yellow"/>
          <w:lang w:val="en-CA"/>
        </w:rPr>
        <w:t>procurement and</w:t>
      </w:r>
      <w:r w:rsidRPr="003342AC">
        <w:rPr>
          <w:color w:val="000000" w:themeColor="text1"/>
          <w:szCs w:val="24"/>
          <w:highlight w:val="yellow"/>
          <w:lang w:val="en-CA"/>
        </w:rPr>
        <w:t xml:space="preserve"> can help companies meet their clean energy goals. The monetary benefit of these advantages varies on reporting conditions, structures of the electricity contract, characteristics of renewable energy, relevant carbon prices and customer needs. Purchasing corporate sustainability claims based on PPAs or renewable-energy certificates should be separated from actual physical delivery on an hourly basis, as well as from 24/7 carbon-free energy matching</w:t>
      </w:r>
      <w:r w:rsidR="003511DA">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{"citationID":"xwziHGBm","properties":{"unsorted":false,"formattedCitation":"[68], [69]","plainCitation":"[68], [69]","noteIndex":0},"citationItems":[{"id":2720,"uris":["http://zotero.org/users/9870935/items/HK3R4MRM"],"itemData":{"id":2720,"type":"document","title":"GHG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3511DA">
        <w:rPr>
          <w:color w:val="000000" w:themeColor="text1"/>
          <w:szCs w:val="24"/>
          <w:highlight w:val="yellow"/>
          <w:lang w:val="en-CA"/>
        </w:rPr>
        <w:fldChar w:fldCharType="separate"/>
      </w:r>
      <w:r w:rsidR="000B0F03" w:rsidRPr="000B0F03">
        <w:rPr>
          <w:highlight w:val="yellow"/>
          <w:lang w:val="en-CA"/>
        </w:rPr>
        <w:t>[67], [68]</w:t>
      </w:r>
      <w:r w:rsidR="003511DA">
        <w:rPr>
          <w:color w:val="000000" w:themeColor="text1"/>
          <w:szCs w:val="24"/>
          <w:highlight w:val="yellow"/>
          <w:lang w:val="en-CA"/>
        </w:rPr>
        <w:fldChar w:fldCharType="end"/>
      </w:r>
      <w:r w:rsidRPr="003342AC">
        <w:rPr>
          <w:color w:val="000000" w:themeColor="text1"/>
          <w:szCs w:val="24"/>
          <w:highlight w:val="yellow"/>
          <w:lang w:val="en-CA"/>
        </w:rPr>
        <w:t>.</w:t>
      </w:r>
    </w:p>
    <w:p w14:paraId="04B027E6" w14:textId="022AECF5" w:rsidR="003342AC" w:rsidRPr="003342AC" w:rsidRDefault="003342AC" w:rsidP="00286292">
      <w:pPr>
        <w:spacing w:after="120"/>
        <w:ind w:firstLine="480"/>
        <w:rPr>
          <w:color w:val="000000" w:themeColor="text1"/>
          <w:szCs w:val="24"/>
          <w:highlight w:val="yellow"/>
          <w:lang w:val="en-CA"/>
        </w:rPr>
      </w:pPr>
      <w:r w:rsidRPr="003511DA">
        <w:rPr>
          <w:b/>
          <w:bCs/>
          <w:color w:val="000000" w:themeColor="text1"/>
          <w:szCs w:val="24"/>
          <w:highlight w:val="yellow"/>
          <w:lang w:val="en-CA"/>
        </w:rPr>
        <w:t xml:space="preserve">Long-term </w:t>
      </w:r>
      <w:r w:rsidR="003511DA">
        <w:rPr>
          <w:b/>
          <w:bCs/>
          <w:color w:val="000000" w:themeColor="text1"/>
          <w:szCs w:val="24"/>
          <w:highlight w:val="yellow"/>
          <w:lang w:val="en-CA"/>
        </w:rPr>
        <w:t>R</w:t>
      </w:r>
      <w:r w:rsidRPr="003511DA">
        <w:rPr>
          <w:b/>
          <w:bCs/>
          <w:color w:val="000000" w:themeColor="text1"/>
          <w:szCs w:val="24"/>
          <w:highlight w:val="yellow"/>
          <w:lang w:val="en-CA"/>
        </w:rPr>
        <w:t xml:space="preserve">isk </w:t>
      </w:r>
      <w:r w:rsidR="003511DA">
        <w:rPr>
          <w:b/>
          <w:bCs/>
          <w:color w:val="000000" w:themeColor="text1"/>
          <w:szCs w:val="24"/>
          <w:highlight w:val="yellow"/>
          <w:lang w:val="en-CA"/>
        </w:rPr>
        <w:t>M</w:t>
      </w:r>
      <w:r w:rsidRPr="003511DA">
        <w:rPr>
          <w:b/>
          <w:bCs/>
          <w:color w:val="000000" w:themeColor="text1"/>
          <w:szCs w:val="24"/>
          <w:highlight w:val="yellow"/>
          <w:lang w:val="en-CA"/>
        </w:rPr>
        <w:t>anagement</w:t>
      </w:r>
      <w:r w:rsidR="003511DA">
        <w:rPr>
          <w:b/>
          <w:bCs/>
          <w:color w:val="000000" w:themeColor="text1"/>
          <w:szCs w:val="24"/>
          <w:highlight w:val="yellow"/>
          <w:lang w:val="en-CA"/>
        </w:rPr>
        <w:t>:</w:t>
      </w:r>
      <w:r w:rsidRPr="003342AC">
        <w:rPr>
          <w:color w:val="000000" w:themeColor="text1"/>
          <w:szCs w:val="24"/>
          <w:highlight w:val="yellow"/>
          <w:lang w:val="en-CA"/>
        </w:rPr>
        <w:t xml:space="preserve"> Long-term PPAs can mitigate some types of fuel and wholesale electricity price risk, but also pose settlement, counterparty, basis, curtailment and shape risks. The merits of PPA should therefore be considered in conjunction with the grid tariff, storage needs, flexibility and the load profile of the purchaser</w:t>
      </w:r>
      <w:r w:rsidR="003511DA">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{"citationID":"pGf1JNIH","properties":{"unsorted":false,"formattedCitation":"[174], [175]","plainCitation":"[174], [175]","noteIndex":0},"citationItems":[{"id":2722,"uris":["http://zotero.org/users/9870935/items/5SC4PJND"],"itemData":{"id":2722,"type":"article-journal","container-title":"International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exposure","volume":"103","author":[{"family":"Duppati","given":"Geeta"}],"issued":{"date-parts":[["2025",10]]}}},{"id":2724,"uris":["http://zotero.org/users/9870935/items/U7SXPGAB"],"itemData":{"id":2724,"type":"document","title":"Risk Structure and Financial Hedging in Nodal Electricity Markets","URL":"https://www.oxfordenergy.org/wpcms/wp-content/uploads/2026/01/EL-61-Risk-Structure-and-Financial-Hedging.pdf","author":[{"literal":"Oxford"}]}}],"schema":"https://github.com/citation-style-language/schema/raw/master/csl-citation.json"} </w:instrText>
      </w:r>
      <w:r w:rsidR="003511DA">
        <w:rPr>
          <w:color w:val="000000" w:themeColor="text1"/>
          <w:szCs w:val="24"/>
          <w:highlight w:val="yellow"/>
          <w:lang w:val="en-CA"/>
        </w:rPr>
        <w:fldChar w:fldCharType="separate"/>
      </w:r>
      <w:r w:rsidR="00286292" w:rsidRPr="00286292">
        <w:rPr>
          <w:highlight w:val="yellow"/>
          <w:lang w:val="en-CA"/>
        </w:rPr>
        <w:t>[173], [174]</w:t>
      </w:r>
      <w:r w:rsidR="003511DA">
        <w:rPr>
          <w:color w:val="000000" w:themeColor="text1"/>
          <w:szCs w:val="24"/>
          <w:highlight w:val="yellow"/>
          <w:lang w:val="en-CA"/>
        </w:rPr>
        <w:fldChar w:fldCharType="end"/>
      </w:r>
      <w:r w:rsidR="003511DA">
        <w:rPr>
          <w:color w:val="000000" w:themeColor="text1"/>
          <w:szCs w:val="24"/>
          <w:highlight w:val="yellow"/>
          <w:lang w:val="en-CA"/>
        </w:rPr>
        <w:t>.</w:t>
      </w:r>
    </w:p>
    <w:p w14:paraId="7952092B" w14:textId="4ECD06E0" w:rsidR="000E7A56" w:rsidRPr="00C46C72" w:rsidRDefault="003342AC" w:rsidP="00C46C72">
      <w:pPr>
        <w:spacing w:after="120"/>
        <w:ind w:firstLine="480"/>
        <w:rPr>
          <w:color w:val="000000" w:themeColor="text1"/>
          <w:szCs w:val="24"/>
          <w:highlight w:val="yellow"/>
        </w:rPr>
      </w:pPr>
      <w:r w:rsidRPr="003342AC">
        <w:rPr>
          <w:color w:val="000000" w:themeColor="text1"/>
          <w:szCs w:val="24"/>
          <w:highlight w:val="yellow"/>
          <w:lang w:val="en-CA"/>
        </w:rPr>
        <w:lastRenderedPageBreak/>
        <w:t xml:space="preserve">While </w:t>
      </w:r>
      <w:r w:rsidR="00C46C72" w:rsidRPr="00C46C72">
        <w:rPr>
          <w:color w:val="000000" w:themeColor="text1"/>
          <w:szCs w:val="24"/>
          <w:highlight w:val="yellow"/>
        </w:rPr>
        <w:t>there is insufficient evidence for universal cost parity</w:t>
      </w:r>
      <w:r w:rsidRPr="003342AC">
        <w:rPr>
          <w:color w:val="000000" w:themeColor="text1"/>
          <w:szCs w:val="24"/>
          <w:highlight w:val="yellow"/>
          <w:lang w:val="en-CA"/>
        </w:rPr>
        <w:t xml:space="preserve">, a critical reading of the evidence would temper such sweeping claims. The cost benchmarks reported are from projects with varying locations, commissioning years, financing requirements, resource quality, tax treatment, storage time, and market structure. Case studies from companies are frequently company-provided and commercial cost surveys do not necessarily identify </w:t>
      </w:r>
      <w:proofErr w:type="gramStart"/>
      <w:r w:rsidRPr="003342AC">
        <w:rPr>
          <w:color w:val="000000" w:themeColor="text1"/>
          <w:szCs w:val="24"/>
          <w:highlight w:val="yellow"/>
          <w:lang w:val="en-CA"/>
        </w:rPr>
        <w:t>all of</w:t>
      </w:r>
      <w:proofErr w:type="gramEnd"/>
      <w:r w:rsidRPr="003342AC">
        <w:rPr>
          <w:color w:val="000000" w:themeColor="text1"/>
          <w:szCs w:val="24"/>
          <w:highlight w:val="yellow"/>
          <w:lang w:val="en-CA"/>
        </w:rPr>
        <w:t xml:space="preserve"> the assumptions made at project level. Moreover, there is no proof of 99.99% availability for comparisons. The results should therefore be read as a demonstration that renewable and hybrid systems can be cost competitive, not as a demonstration that each AI data center that uses renewable energy will be more cost effective than the grid. A site-specific, reproducible model must be developed for investment decisions based on existing load, resource, tariff, interconnection, reliability and financing information.</w:t>
      </w:r>
    </w:p>
    <w:p w14:paraId="1D05BDAA" w14:textId="77777777" w:rsidR="00FE013C" w:rsidRDefault="00FE013C" w:rsidP="004C16FF">
      <w:pPr>
        <w:pStyle w:val="Heading1"/>
        <w:keepNext/>
        <w:jc w:val="both"/>
      </w:pPr>
      <w:r>
        <w:t>11. Operational Strategies and Demand-Side Integration</w:t>
      </w:r>
    </w:p>
    <w:p w14:paraId="0049E287" w14:textId="6929574B" w:rsidR="00FE013C" w:rsidRDefault="00FE013C" w:rsidP="004C16FF">
      <w:pPr>
        <w:spacing w:after="120"/>
        <w:ind w:firstLine="480"/>
      </w:pPr>
      <w:r>
        <w:t xml:space="preserve">This section examines operational strategies that </w:t>
      </w:r>
      <w:proofErr w:type="spellStart"/>
      <w:r>
        <w:t>maximise</w:t>
      </w:r>
      <w:proofErr w:type="spellEnd"/>
      <w:r>
        <w:t xml:space="preserve"> renewable energy </w:t>
      </w:r>
      <w:proofErr w:type="spellStart"/>
      <w:r>
        <w:t>utilisation</w:t>
      </w:r>
      <w:proofErr w:type="spellEnd"/>
      <w:r>
        <w:t xml:space="preserve">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71B069C5" w:rsidR="00FE013C" w:rsidRDefault="00FE013C" w:rsidP="001B74A6">
      <w:pPr>
        <w:spacing w:after="120"/>
        <w:ind w:firstLine="480"/>
      </w:pPr>
      <w:r w:rsidRPr="00F72FC8">
        <w:t>Accurate forecasting of renewable energy supplies is the key to implementing 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rsidR="001B74A6">
        <w:instrText xml:space="preserve"> ADDIN ZOTERO_ITEM CSL_CITATION {"citationID":"JrzmaHyH","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1B74A6" w:rsidRPr="001B74A6">
        <w:t>[142]</w:t>
      </w:r>
      <w:r>
        <w:fldChar w:fldCharType="end"/>
      </w:r>
      <w:r w:rsidRPr="00F72FC8">
        <w:t>.</w:t>
      </w:r>
    </w:p>
    <w:p w14:paraId="0754BA6A" w14:textId="696561E5" w:rsidR="00FE013C" w:rsidRPr="00F72FC8" w:rsidRDefault="00FE013C" w:rsidP="004C16FF">
      <w:pPr>
        <w:spacing w:after="120"/>
        <w:ind w:firstLine="480"/>
      </w:pPr>
      <w:r w:rsidRPr="00F914E9">
        <w:t xml:space="preserve">Uncertainty also flows through the dispatch </w:t>
      </w:r>
      <w:r w:rsidR="00030122" w:rsidRPr="00F914E9">
        <w:t>optimization</w:t>
      </w:r>
      <w:r w:rsidRPr="00F914E9">
        <w:t xml:space="preserve"> process, and the control system must have reserves to accommodate forecast errors. Non-conservative dispatch strategies, such as planning for an optimistic energy supply, can lead to sub-optimal economic results but maintain reliability. Stochastic </w:t>
      </w:r>
      <w:r w:rsidR="00030122" w:rsidRPr="00F914E9">
        <w:t>optimization</w:t>
      </w:r>
      <w:r w:rsidRPr="00F914E9">
        <w:t xml:space="preserve"> methods explicitly capture the uncertainty in the forecasting process by incorporating probability distributions into the </w:t>
      </w:r>
      <w:r w:rsidR="00030122" w:rsidRPr="00F914E9">
        <w:t>optimization</w:t>
      </w:r>
      <w:r w:rsidRPr="00F914E9">
        <w:t>, offering a more delicate trade-off between economic efficiency and reliability. Considering the uncertainty in forecasting and increased grid volatility, the framework suggests maintaining a minimum reserve margin of 15–20</w:t>
      </w:r>
      <w:r>
        <w:t xml:space="preserve">% </w:t>
      </w:r>
      <w:r w:rsidRPr="00F914E9">
        <w:t xml:space="preserve">above the forecast of renewable shortfall </w:t>
      </w:r>
      <w:r w:rsidRPr="000812E0">
        <w:t>[176]</w:t>
      </w:r>
      <w:r w:rsidRPr="00F914E9">
        <w:t>.</w:t>
      </w:r>
    </w:p>
    <w:p w14:paraId="5880395E" w14:textId="77777777" w:rsidR="00FE013C" w:rsidRPr="00F914E9" w:rsidRDefault="00FE013C" w:rsidP="004C16FF">
      <w:pPr>
        <w:pStyle w:val="Heading2"/>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6E1B76EA" w:rsidR="00FE013C" w:rsidRPr="00CF3F57" w:rsidRDefault="00CF3F57" w:rsidP="00CF3F57">
      <w:pPr>
        <w:spacing w:after="120"/>
        <w:ind w:firstLine="480"/>
        <w:rPr>
          <w:highlight w:val="yellow"/>
        </w:rPr>
      </w:pPr>
      <w:r w:rsidRPr="00CF3F57">
        <w:rPr>
          <w:highlight w:val="yellow"/>
        </w:rPr>
        <w:t>AI workload scheduling represents one of the most important demand-side flexibility mechanisms available in renewable-powered AI data centers</w:t>
      </w:r>
      <w:r w:rsidR="00FE013C" w:rsidRPr="00CF3F57">
        <w:rPr>
          <w:highlight w:val="yellow"/>
        </w:rPr>
        <w:t xml:space="preserve">. </w:t>
      </w:r>
      <w:r w:rsidR="00A5344E" w:rsidRPr="00CF3F57">
        <w:rPr>
          <w:highlight w:val="yellow"/>
        </w:rPr>
        <w:t xml:space="preserve">Training workloads are often considered among the most flexible data-center loads because many training processes can be checkpointed and resumed. However, the degree of achievable flexibility depends on model-development schedules, GPU-resource utilization targets, contractual commitments, service-level agreements, and business </w:t>
      </w:r>
      <w:r w:rsidR="00A5344E" w:rsidRPr="00CF3F57">
        <w:rPr>
          <w:highlight w:val="yellow"/>
        </w:rPr>
        <w:lastRenderedPageBreak/>
        <w:t>priorities. Consequently, not all training workloads can be deferred without operational consequences</w:t>
      </w:r>
      <w:r w:rsidR="00FE013C" w:rsidRPr="00CF3F57">
        <w:rPr>
          <w:highlight w:val="yellow"/>
        </w:rPr>
        <w:fldChar w:fldCharType="begin"/>
      </w:r>
      <w:r w:rsidR="00286292" w:rsidRPr="00CF3F57">
        <w:rPr>
          <w:highlight w:val="yellow"/>
        </w:rPr>
        <w:instrText xml:space="preserve"> ADDIN ZOTERO_ITEM CSL_CITATION {"citationID":"PsWoDqZ3","properties":{"unsorted":false,"formattedCitation":"[176]","plainCitation":"[176]","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rsidR="00FE013C" w:rsidRPr="00CF3F57">
        <w:rPr>
          <w:highlight w:val="yellow"/>
        </w:rPr>
        <w:fldChar w:fldCharType="separate"/>
      </w:r>
      <w:r w:rsidR="00286292" w:rsidRPr="00CF3F57">
        <w:rPr>
          <w:highlight w:val="yellow"/>
        </w:rPr>
        <w:t>[175]</w:t>
      </w:r>
      <w:r w:rsidR="00FE013C" w:rsidRPr="00CF3F57">
        <w:rPr>
          <w:highlight w:val="yellow"/>
        </w:rPr>
        <w:fldChar w:fldCharType="end"/>
      </w:r>
      <w:r w:rsidR="00FE013C" w:rsidRPr="00CF3F57">
        <w:rPr>
          <w:highlight w:val="yellow"/>
        </w:rPr>
        <w:t>.</w:t>
      </w:r>
      <w:r w:rsidR="00FE013C" w:rsidRPr="00F914E9">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
        <w:rPr>
          <w:color w:val="auto"/>
        </w:rPr>
      </w:pPr>
      <w:bookmarkStart w:id="6" w:name="_Toc100078"/>
      <w:r w:rsidRPr="00E75DCC">
        <w:rPr>
          <w:color w:val="auto"/>
        </w:rPr>
        <w:t>11.3 Multi-Facility Load Balancing and Geographic Diversity</w:t>
      </w:r>
      <w:bookmarkEnd w:id="6"/>
    </w:p>
    <w:p w14:paraId="51E7AA66" w14:textId="35B2876C" w:rsidR="007D29E8" w:rsidRPr="007D29E8" w:rsidRDefault="007D29E8" w:rsidP="007D29E8">
      <w:pPr>
        <w:spacing w:after="120"/>
        <w:ind w:firstLine="480"/>
        <w:rPr>
          <w:highlight w:val="yellow"/>
        </w:rPr>
      </w:pPr>
      <w:r w:rsidRPr="007D29E8">
        <w:rPr>
          <w:highlight w:val="yellow"/>
        </w:rPr>
        <w:t>Multi-facility load balancing may exploit differences in renewable-resource availability across geographically distributed data centers. Geographic diversification can reduce aggregate renewable-generation variability when renewable-production profiles are weakly correlated; however, the magnitude of the benefit depends on geographic separation, weather systems, transmission availability, workload portability, network latency, and temporal resolution. Consequently, any reduction in storage requirements or renewable-generation variability must be quantified through geographically resolved chronological analysis rather than assumed from a universal percentage</w:t>
      </w:r>
      <w:r>
        <w:rPr>
          <w:highlight w:val="yellow"/>
        </w:rPr>
        <w:fldChar w:fldCharType="begin"/>
      </w:r>
      <w:r>
        <w:rPr>
          <w:highlight w:val="yellow"/>
        </w:rPr>
        <w:instrText xml:space="preserve"> ADDIN ZOTERO_ITEM CSL_CITATION {"citationID":"knd2GV6A","properties":{"unsorted":false,"formattedCitation":"[20],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Pr>
          <w:highlight w:val="yellow"/>
        </w:rPr>
        <w:fldChar w:fldCharType="separate"/>
      </w:r>
      <w:r w:rsidRPr="007D29E8">
        <w:rPr>
          <w:highlight w:val="yellow"/>
        </w:rPr>
        <w:t>[20], [105], [106]</w:t>
      </w:r>
      <w:r>
        <w:rPr>
          <w:highlight w:val="yellow"/>
        </w:rPr>
        <w:fldChar w:fldCharType="end"/>
      </w:r>
    </w:p>
    <w:p w14:paraId="4ECB9782" w14:textId="4F43046F" w:rsidR="007D29E8" w:rsidRPr="007D29E8" w:rsidRDefault="007D29E8" w:rsidP="007D29E8">
      <w:pPr>
        <w:spacing w:after="120"/>
        <w:ind w:firstLine="480"/>
        <w:rPr>
          <w:highlight w:val="yellow"/>
        </w:rPr>
      </w:pPr>
      <w:r w:rsidRPr="007D29E8">
        <w:rPr>
          <w:highlight w:val="yellow"/>
        </w:rPr>
        <w:t>A practical application of this concept involves operators with facilities located in different climatic regions and electricity markets. Differences in weather conditions, renewable-resource availability, electricity prices, and time zones may create opportunities to schedule eligible workloads at locations with more favorable operating conditions. However, the effectiveness of such strategies depends on the operational characteristics of the workload and the ability to transfer computational tasks among facilities without violating technical or commercial constraints.</w:t>
      </w:r>
    </w:p>
    <w:p w14:paraId="1AC60B10" w14:textId="465BEA94" w:rsidR="007D29E8" w:rsidRPr="007D29E8" w:rsidRDefault="007D29E8" w:rsidP="007D29E8">
      <w:pPr>
        <w:spacing w:after="120"/>
        <w:ind w:firstLine="480"/>
        <w:rPr>
          <w:highlight w:val="yellow"/>
        </w:rPr>
      </w:pPr>
      <w:r w:rsidRPr="007D29E8">
        <w:rPr>
          <w:highlight w:val="yellow"/>
        </w:rPr>
        <w:t>Technical constraints on multi-facility workload balancing include network latency, which may limit the geographic relocation of latency-sensitive applications, data-residency requirements that mandate processing within specific jurisdictions, inter-facility communication bandwidth, cybersecurity requirements, and the cost of transferring large datasets between regions. Consequently, not all workloads are suitable for geographic distribution.</w:t>
      </w:r>
    </w:p>
    <w:p w14:paraId="5B19B28C" w14:textId="0D2CE5A4" w:rsidR="007D29E8" w:rsidRPr="007D29E8" w:rsidRDefault="007D29E8" w:rsidP="007D29E8">
      <w:pPr>
        <w:spacing w:after="120"/>
        <w:ind w:firstLine="480"/>
        <w:rPr>
          <w:highlight w:val="yellow"/>
        </w:rPr>
      </w:pPr>
      <w:r w:rsidRPr="007D29E8">
        <w:rPr>
          <w:highlight w:val="yellow"/>
        </w:rPr>
        <w:t>Workloads most compatible with geographic balancing typically include model-training tasks, batch-processing applications, selected analytics workloads, and other computational processes that can tolerate delayed execution or limited geographic relocation. In contrast, real-time inference services and latency-sensitive applications generally require local execution and are therefore less suitable for large-scale geographic shifting. Successful implementation of multi-facility balancing strategies requires coordination among workload schedulers, renewable-generation forecasts, electricity-market signals, network availability, and service-level agreement requirements.</w:t>
      </w:r>
    </w:p>
    <w:p w14:paraId="0A1CD979" w14:textId="0029DF04" w:rsidR="007D29E8" w:rsidRPr="007D29E8" w:rsidRDefault="00FE013C" w:rsidP="007D29E8">
      <w:pPr>
        <w:pStyle w:val="Heading2"/>
        <w:rPr>
          <w:color w:val="auto"/>
        </w:rPr>
      </w:pPr>
      <w:r w:rsidRPr="00E75DCC">
        <w:rPr>
          <w:color w:val="auto"/>
        </w:rPr>
        <w:lastRenderedPageBreak/>
        <w:t>11.</w:t>
      </w:r>
      <w:r>
        <w:rPr>
          <w:color w:val="auto"/>
        </w:rPr>
        <w:t>4</w:t>
      </w:r>
      <w:r w:rsidRPr="00E75DCC">
        <w:rPr>
          <w:color w:val="auto"/>
        </w:rPr>
        <w:t xml:space="preserve"> </w:t>
      </w:r>
      <w:r w:rsidRPr="00C33AC1">
        <w:rPr>
          <w:color w:val="auto"/>
        </w:rPr>
        <w:t>Real-Time Demand Response and Grid Services</w:t>
      </w:r>
    </w:p>
    <w:p w14:paraId="2BCA6182" w14:textId="3A30A473" w:rsidR="007D29E8" w:rsidRPr="007D29E8" w:rsidRDefault="007D29E8" w:rsidP="00286292">
      <w:pPr>
        <w:spacing w:after="120"/>
        <w:ind w:firstLine="480"/>
        <w:rPr>
          <w:highlight w:val="yellow"/>
        </w:rPr>
      </w:pPr>
      <w:r w:rsidRPr="007D29E8">
        <w:rPr>
          <w:highlight w:val="yellow"/>
        </w:rPr>
        <w:t>Data-center battery systems and flexible computing loads can participate in demand-response and ancillary-service programs where electricity-market rules permit. These services can support grid reliability while potentially creating additional value streams for facility operators. One important application is primary frequency response (PFR), in which battery-storage systems or controllable loads automatically adjust power consumption or injection within seconds following a frequency disturbance. Fast-response resources are increasingly important in power systems with high penetrations of inverter-based renewable generation because they can help compensate for declining synchronous inertia and support system stability</w:t>
      </w:r>
      <w:r>
        <w:rPr>
          <w:highlight w:val="yellow"/>
        </w:rPr>
        <w:fldChar w:fldCharType="begin"/>
      </w:r>
      <w:r w:rsidR="00286292">
        <w:rPr>
          <w:highlight w:val="yellow"/>
        </w:rPr>
        <w:instrText xml:space="preserve"> ADDIN ZOTERO_ITEM CSL_CITATION {"citationID":"EjzMVRkt","properties":{"unsorted":false,"formattedCitation":"[116], [177]","plainCitation":"[116], [177]","noteIndex":0},"citationItems":[{"id":2215,"uris":["http://zotero.org/users/9870935/items/6KYBNJ5X"],"itemData":{"id":2215,"type":"article-journal","abstract":"Abstract\n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Pr>
          <w:highlight w:val="yellow"/>
        </w:rPr>
        <w:fldChar w:fldCharType="separate"/>
      </w:r>
      <w:r w:rsidR="00286292" w:rsidRPr="00286292">
        <w:rPr>
          <w:highlight w:val="yellow"/>
        </w:rPr>
        <w:t>[115], [176]</w:t>
      </w:r>
      <w:r>
        <w:rPr>
          <w:highlight w:val="yellow"/>
        </w:rPr>
        <w:fldChar w:fldCharType="end"/>
      </w:r>
      <w:r w:rsidRPr="007D29E8">
        <w:rPr>
          <w:highlight w:val="yellow"/>
        </w:rPr>
        <w:t>.</w:t>
      </w:r>
    </w:p>
    <w:p w14:paraId="6A5765B8" w14:textId="462E56E1" w:rsidR="007D29E8" w:rsidRPr="007D29E8" w:rsidRDefault="007D29E8" w:rsidP="007D29E8">
      <w:pPr>
        <w:spacing w:after="120"/>
        <w:ind w:firstLine="480"/>
        <w:rPr>
          <w:highlight w:val="yellow"/>
        </w:rPr>
      </w:pPr>
      <w:r w:rsidRPr="007D29E8">
        <w:rPr>
          <w:highlight w:val="yellow"/>
        </w:rPr>
        <w:t>Advanced battery energy storage systems can also provide reserve services, demand-response participation, ramp-rate support, and other balancing functions depending on local market requirements and technical capabilities. Similarly, AI-enabled workload management can act as a flexible demand-side resource by adjusting selected computational workloads in response to grid conditions, electricity prices, or renewable-energy availability</w:t>
      </w:r>
      <w:r>
        <w:rPr>
          <w:highlight w:val="yellow"/>
        </w:rPr>
        <w:fldChar w:fldCharType="begin"/>
      </w:r>
      <w:r>
        <w:rPr>
          <w:highlight w:val="yellow"/>
        </w:rPr>
        <w:instrText xml:space="preserve"> ADDIN ZOTERO_ITEM CSL_CITATION {"citationID":"1kyVFO1r","properties":{"unsorted":false,"formattedCitation":"[63],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Pr="007D29E8">
        <w:rPr>
          <w:highlight w:val="yellow"/>
        </w:rPr>
        <w:t>[62], [115]</w:t>
      </w:r>
      <w:r>
        <w:rPr>
          <w:highlight w:val="yellow"/>
        </w:rPr>
        <w:fldChar w:fldCharType="end"/>
      </w:r>
      <w:r w:rsidRPr="007D29E8">
        <w:rPr>
          <w:highlight w:val="yellow"/>
        </w:rPr>
        <w:t>.</w:t>
      </w:r>
    </w:p>
    <w:p w14:paraId="5CAAFF17" w14:textId="582D3243" w:rsidR="007D29E8" w:rsidRPr="007D29E8" w:rsidRDefault="007D29E8" w:rsidP="007D29E8">
      <w:pPr>
        <w:spacing w:after="120"/>
        <w:ind w:firstLine="480"/>
        <w:rPr>
          <w:highlight w:val="yellow"/>
        </w:rPr>
      </w:pPr>
      <w:r w:rsidRPr="007D29E8">
        <w:rPr>
          <w:highlight w:val="yellow"/>
        </w:rPr>
        <w:t>Voltage-support services represent another potential grid-service application. Grid-forming and voltage-source-control (VSC) inverters can provide reactive-power support and voltage regulation without necessarily affecting active-power production, thereby contributing to power-quality management and local grid stability</w:t>
      </w:r>
      <w:r>
        <w:rPr>
          <w:highlight w:val="yellow"/>
        </w:rPr>
        <w:fldChar w:fldCharType="begin"/>
      </w:r>
      <w:r>
        <w:rPr>
          <w:highlight w:val="yellow"/>
        </w:rPr>
        <w:instrText xml:space="preserve"> ADDIN ZOTERO_ITEM CSL_CITATION {"citationID":"7fApsYgC","properties":{"unsorted":false,"formattedCitation":"[18], [162]","plainCitation":"[18], [162]","noteIndex":0},"citationItems":[{"id":1927,"uris":["http://zotero.org/users/9870935/items/PZK7R79L"],"itemData":{"id":1927,"type":"article-journal","abstract":"The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Pr>
          <w:highlight w:val="yellow"/>
        </w:rPr>
        <w:fldChar w:fldCharType="separate"/>
      </w:r>
      <w:r w:rsidRPr="007D29E8">
        <w:rPr>
          <w:highlight w:val="yellow"/>
        </w:rPr>
        <w:t>[18], [161]</w:t>
      </w:r>
      <w:r>
        <w:rPr>
          <w:highlight w:val="yellow"/>
        </w:rPr>
        <w:fldChar w:fldCharType="end"/>
      </w:r>
      <w:r w:rsidRPr="007D29E8">
        <w:rPr>
          <w:highlight w:val="yellow"/>
        </w:rPr>
        <w:t>. The ability of renewable-generation and storage systems to supply reactive power can be particularly valuable in weak-grid environments where voltage support and dynamic system-strength services are required.</w:t>
      </w:r>
    </w:p>
    <w:p w14:paraId="557A034A" w14:textId="62F6045B" w:rsidR="007D29E8" w:rsidRPr="007D29E8" w:rsidRDefault="007D29E8" w:rsidP="007D29E8">
      <w:pPr>
        <w:spacing w:after="120"/>
        <w:ind w:firstLine="480"/>
      </w:pPr>
      <w:r w:rsidRPr="007D29E8">
        <w:rPr>
          <w:highlight w:val="yellow"/>
        </w:rPr>
        <w:t>Although ancillary-service participation may provide additional economic value, the achievable revenues depend on market structure, qualification requirements, performance obligations, resource availability, battery degradation costs, and locational factors. Consequently, project-specific market analysis is required before assigning economic value to frequency-response, voltage-support, reserve, or demand-response services. Generalized revenue estimates should not be assumed because ancillary-service prices and participation rules vary significantly among electricity markets</w:t>
      </w:r>
      <w:r>
        <w:rPr>
          <w:highlight w:val="yellow"/>
        </w:rPr>
        <w:fldChar w:fldCharType="begin"/>
      </w:r>
      <w:r>
        <w:rPr>
          <w:highlight w:val="yellow"/>
        </w:rPr>
        <w:instrText xml:space="preserve"> ADDIN ZOTERO_ITEM CSL_CITATION {"citationID":"uVx1lzOH","properties":{"unsorted":false,"formattedCitation":"[63],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Pr="007D29E8">
        <w:rPr>
          <w:highlight w:val="yellow"/>
        </w:rPr>
        <w:t>[62], [115]</w:t>
      </w:r>
      <w:r>
        <w:rPr>
          <w:highlight w:val="yellow"/>
        </w:rPr>
        <w:fldChar w:fldCharType="end"/>
      </w:r>
      <w:r w:rsidRPr="007D29E8">
        <w:rPr>
          <w:highlight w:val="yellow"/>
        </w:rPr>
        <w:t>.</w:t>
      </w:r>
    </w:p>
    <w:p w14:paraId="7FB6D186" w14:textId="1BE258EB" w:rsidR="00FE013C" w:rsidRPr="00C34C89" w:rsidRDefault="00FE013C" w:rsidP="004C16FF">
      <w:pPr>
        <w:pStyle w:val="Heading2"/>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286212C1" w:rsidR="00FE013C" w:rsidRDefault="00FE013C" w:rsidP="00286292">
      <w:pPr>
        <w:spacing w:after="120"/>
        <w:ind w:firstLine="480"/>
      </w:pPr>
      <w:r w:rsidRPr="00C34C89">
        <w:t xml:space="preserve">Here, the EMS uses a hierarchical control system architecture with three timescales and varying control objectives. Level 1 (device-level) reacts to changes in frequency and voltage in milliseconds to deliver the primary frequency response and voltage regulation via the inverter/battery controller. With 24-to-48-hour horizons and model predictive control, Level 2 (facility-level) implements dispatch </w:t>
      </w:r>
      <w:r w:rsidR="008F5C4B" w:rsidRPr="00C34C89">
        <w:t>optimization</w:t>
      </w:r>
      <w:r w:rsidRPr="00C34C89">
        <w:t xml:space="preserve"> hours, achieving a balance of </w:t>
      </w:r>
      <w:r w:rsidR="008F5C4B" w:rsidRPr="00C34C89">
        <w:t>minimizing</w:t>
      </w:r>
      <w:r w:rsidRPr="00C34C89">
        <w:t xml:space="preserve"> energy cost/and or carbon emissions while maintaining reliability targets. Level 3 (corporate level) is responsible for the allocation of resources across multiple facilities, routing workloads to facilities whose renewable conditions are most </w:t>
      </w:r>
      <w:r w:rsidR="008F5C4B" w:rsidRPr="00C34C89">
        <w:t>favorable and</w:t>
      </w:r>
      <w:r w:rsidRPr="00C34C89">
        <w:t xml:space="preserve"> coordinating inter-facility energy exchanges.</w:t>
      </w:r>
      <w:r>
        <w:t xml:space="preserve"> </w:t>
      </w:r>
      <w:r w:rsidRPr="00C34C89">
        <w:t xml:space="preserve">The EMS's capabilities encompass forecasting, </w:t>
      </w:r>
      <w:r w:rsidR="008F5C4B" w:rsidRPr="00C34C89">
        <w:t>optimization</w:t>
      </w:r>
      <w:r w:rsidRPr="00C34C89">
        <w:t xml:space="preserve">, monitoring, and cyber security. Forecast modules include solar, wind, and load forecasts over a range of time scales. </w:t>
      </w:r>
      <w:r w:rsidR="008F5C4B" w:rsidRPr="00C34C89">
        <w:t>Optimization</w:t>
      </w:r>
      <w:r w:rsidRPr="00C34C89">
        <w:t xml:space="preserve">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fldChar w:fldCharType="begin"/>
      </w:r>
      <w:r w:rsidR="00286292">
        <w:instrText xml:space="preserve"> ADDIN ZOTERO_ITEM CSL_CITATION {"citationID":"HnuRFse8","properties":{"unsorted":false,"formattedCitation":"[178]","plainCitation":"[178]","noteIndex":0},"citationItems":[{"id":2122,"uris":["http://zotero.org/users/9870935/items/JQYYBKN7"],"itemData":{"id":2122,"type":"article-journal","abstract":"As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00286292" w:rsidRPr="00286292">
        <w:t>[177]</w:t>
      </w:r>
      <w:r>
        <w:fldChar w:fldCharType="end"/>
      </w:r>
      <w:r w:rsidRPr="00C34C89">
        <w:t xml:space="preserve">. </w:t>
      </w:r>
    </w:p>
    <w:p w14:paraId="0CCE4F2E" w14:textId="77777777" w:rsidR="00FE013C" w:rsidRPr="00F56D3B" w:rsidRDefault="00FE013C" w:rsidP="004C16FF">
      <w:pPr>
        <w:pStyle w:val="Heading1"/>
        <w:keepNext/>
        <w:jc w:val="both"/>
        <w:rPr>
          <w:lang w:val="en-US"/>
        </w:rPr>
      </w:pPr>
      <w:r>
        <w:lastRenderedPageBreak/>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
      </w:pPr>
      <w:r w:rsidRPr="00E75DCC">
        <w:rPr>
          <w:color w:val="auto"/>
        </w:rPr>
        <w:t>1</w:t>
      </w:r>
      <w:r>
        <w:rPr>
          <w:color w:val="auto"/>
        </w:rPr>
        <w:t>2.1</w:t>
      </w:r>
      <w:r w:rsidRPr="00E75DCC">
        <w:rPr>
          <w:color w:val="auto"/>
        </w:rPr>
        <w:t xml:space="preserve"> </w:t>
      </w:r>
      <w:r>
        <w:t>Grid Interconnection Standards</w:t>
      </w:r>
    </w:p>
    <w:p w14:paraId="6AB5F1C4" w14:textId="04357F1B" w:rsidR="00FE013C" w:rsidRDefault="00FE013C" w:rsidP="00286292">
      <w:pPr>
        <w:spacing w:after="120"/>
        <w:ind w:firstLine="480"/>
      </w:pPr>
      <w:r w:rsidRPr="00BE55EA">
        <w:t xml:space="preserve">Grid Interconnection Standards are technology and operational criteria that distributed energy resources must abide by </w:t>
      </w:r>
      <w:r w:rsidR="00DB7639" w:rsidRPr="00BE55EA">
        <w:t>getting</w:t>
      </w:r>
      <w:r w:rsidRPr="00BE55EA">
        <w:t xml:space="preserve"> connected to the main power grid. Up to now, the basis of distribution-level interconnections is IEEE 1547. On the data </w:t>
      </w:r>
      <w:r w:rsidR="00580BAE">
        <w:t>center</w:t>
      </w:r>
      <w:r w:rsidRPr="00BE55EA">
        <w:t xml:space="preserve"> scale, which typically involves medium-voltage or transmission-voltage installation with generation capacity ranging from 10 to 100 MW, the relevant standards that apply are IEEE 2800-2022 and Inverter-based resources (IBRs) </w:t>
      </w:r>
      <w:r>
        <w:fldChar w:fldCharType="begin"/>
      </w:r>
      <w:r w:rsidR="00286292">
        <w:instrText xml:space="preserve"> ADDIN ZOTERO_ITEM CSL_CITATION {"citationID":"PikiXW36","properties":{"unsorted":false,"formattedCitation":"[179]","plainCitation":"[179]","noteIndex":0},"citationItems":[{"id":2189,"uris":["http://zotero.org/users/9870935/items/U4Y7SALQ"],"itemData":{"id":2189,"type":"article-journal","abstract":"The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286292" w:rsidRPr="00286292">
        <w:t>[178]</w:t>
      </w:r>
      <w:r>
        <w:fldChar w:fldCharType="end"/>
      </w:r>
      <w:r w:rsidRPr="00BE55EA">
        <w:t xml:space="preserve">. IBRs deployed in low-system-strength zones will soon become increasingly common in data </w:t>
      </w:r>
      <w:r w:rsidR="00580BAE">
        <w:t>center</w:t>
      </w:r>
      <w:r w:rsidRPr="00BE55EA">
        <w:t>s, where the short circuit ratio (SCR) becomes an important measurement of grid stability to guarantee the stability of control</w:t>
      </w:r>
      <w:r>
        <w:fldChar w:fldCharType="begin"/>
      </w:r>
      <w:r w:rsidR="00286292">
        <w:instrText xml:space="preserve"> ADDIN ZOTERO_ITEM CSL_CITATION {"citationID":"XthWHI4E","properties":{"unsorted":false,"formattedCitation":"[137], [180]","plainCitation":"[137], [180]","noteIndex":0},"citationItems":[{"id":2097,"uris":["http://zotero.org/users/9870935/items/KGQXJHH9"],"itemData":{"id":2097,"type":"article-journal","container-title":"IEEE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286292" w:rsidRPr="00286292">
        <w:t>[136], [179]</w:t>
      </w:r>
      <w:r>
        <w:fldChar w:fldCharType="end"/>
      </w:r>
      <w:r w:rsidRPr="00BE55EA">
        <w:t xml:space="preserve">. In today's interconnection studies, IBR fault ride-through and dynamic voltage support during transients are given significant attention. </w:t>
      </w:r>
      <w:r w:rsidRPr="002458A7">
        <w:t xml:space="preserve">FERC Order 2023 (issued July 2023, with implementation ongoing through 2027) represented a major reform </w:t>
      </w:r>
      <w:r w:rsidRPr="00493D72">
        <w:t xml:space="preserve">of transmission interconnection procedures by shifting to cluster studies and </w:t>
      </w:r>
      <w:r w:rsidR="00DB7639" w:rsidRPr="00493D72">
        <w:t>penalizing</w:t>
      </w:r>
      <w:r w:rsidRPr="00493D72">
        <w:t xml:space="preserve"> study delays. However, its implementation across regional transmission operators (RTOs) remains an ongoing challenge; as of the end of 2025, over 2,060 GW of generation and storage capacity was actively stalled in interconnection queues</w:t>
      </w:r>
      <w:r>
        <w:fldChar w:fldCharType="begin"/>
      </w:r>
      <w:r w:rsidR="00286292">
        <w:instrText xml:space="preserve"> ADDIN ZOTERO_ITEM CSL_CITATION {"citationID":"Px6p0cAj","properties":{"unsorted":false,"formattedCitation":"[181]","plainCitation":"[181]","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fldChar w:fldCharType="separate"/>
      </w:r>
      <w:r w:rsidR="00286292" w:rsidRPr="00286292">
        <w:t>[180]</w:t>
      </w:r>
      <w:r>
        <w:fldChar w:fldCharType="end"/>
      </w:r>
      <w:r w:rsidRPr="00493D72">
        <w:t>.</w:t>
      </w:r>
    </w:p>
    <w:p w14:paraId="6108CE48" w14:textId="77777777" w:rsidR="00FE013C" w:rsidRDefault="00FE013C" w:rsidP="004C16FF">
      <w:pPr>
        <w:pStyle w:val="Heading2"/>
      </w:pPr>
      <w:r w:rsidRPr="00E75DCC">
        <w:rPr>
          <w:color w:val="auto"/>
        </w:rPr>
        <w:t>1</w:t>
      </w:r>
      <w:r>
        <w:rPr>
          <w:color w:val="auto"/>
        </w:rPr>
        <w:t>2.2</w:t>
      </w:r>
      <w:r w:rsidRPr="00E75DCC">
        <w:rPr>
          <w:color w:val="auto"/>
        </w:rPr>
        <w:t xml:space="preserve"> </w:t>
      </w:r>
      <w:r>
        <w:t>Renewable Energy Policies and Mandates</w:t>
      </w:r>
    </w:p>
    <w:p w14:paraId="29DE9772" w14:textId="3B63135D" w:rsidR="00FE013C" w:rsidRPr="00EB3CAD" w:rsidRDefault="00FE013C" w:rsidP="00286292">
      <w:pPr>
        <w:spacing w:after="120"/>
        <w:ind w:firstLine="480"/>
      </w:pPr>
      <w:r w:rsidRPr="00EB3CAD">
        <w:t>Renewable Portfolio Standards (RPS) and Clean Energy Standards (CES) require utilities to buy a percentage of electricity from renewables. State-level calls for corporate renewable procurement persist in the United States. However, as AI workloads continue to ramp up at an unprecedented rate, they have rapidly accelerated the shift in procurement moves, projecting up to 945 TWh yearly worldwide by 2030</w:t>
      </w:r>
      <w:r>
        <w:fldChar w:fldCharType="begin"/>
      </w:r>
      <w:r w:rsidR="00286292">
        <w:instrText xml:space="preserve"> ADDIN ZOTERO_ITEM CSL_CITATION {"citationID":"2uQLzaxM","properties":{"unsorted":false,"formattedCitation":"[182]","plainCitation":"[182]","noteIndex":0},"citationItems":[{"id":2191,"uris":["http://zotero.org/users/9870935/items/PGQT4HIW"],"itemData":{"id":2191,"type":"document","title":"ENVIRONMENTAL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286292" w:rsidRPr="00286292">
        <w:t>[181]</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t>RE target in Europe until 2030. This legislation (reported requirements) is now functioning as a catalyst for the creation of direct corporate PPAs and clean generation schemes</w:t>
      </w:r>
      <w:r>
        <w:fldChar w:fldCharType="begin"/>
      </w:r>
      <w:r w:rsidR="00286292">
        <w:instrText xml:space="preserve"> ADDIN ZOTERO_ITEM CSL_CITATION {"citationID":"ufdpjCHf","properties":{"unsorted":false,"formattedCitation":"[183]","plainCitation":"[183]","noteIndex":0},"citationItems":[{"id":2193,"uris":["http://zotero.org/users/9870935/items/VDQUTJZK"],"itemData":{"id":2193,"type":"document","title":"Powering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00286292" w:rsidRPr="00286292">
        <w:t>[182]</w:t>
      </w:r>
      <w:r>
        <w:fldChar w:fldCharType="end"/>
      </w:r>
      <w:r w:rsidRPr="00EB3CAD">
        <w:t>.</w:t>
      </w:r>
    </w:p>
    <w:p w14:paraId="5B64AA7B" w14:textId="77777777" w:rsidR="00FE013C" w:rsidRDefault="00FE013C" w:rsidP="004C16FF">
      <w:pPr>
        <w:pStyle w:val="Heading2"/>
      </w:pPr>
      <w:r w:rsidRPr="00E75DCC">
        <w:rPr>
          <w:color w:val="auto"/>
        </w:rPr>
        <w:t>1</w:t>
      </w:r>
      <w:r>
        <w:rPr>
          <w:color w:val="auto"/>
        </w:rPr>
        <w:t>2.3</w:t>
      </w:r>
      <w:r w:rsidRPr="00E75DCC">
        <w:rPr>
          <w:color w:val="auto"/>
        </w:rPr>
        <w:t xml:space="preserve"> </w:t>
      </w:r>
      <w:r>
        <w:t>Carbon Accounting and Environmental Reporting</w:t>
      </w:r>
    </w:p>
    <w:p w14:paraId="3FED281F" w14:textId="2FE18B2D" w:rsidR="00FE013C" w:rsidRDefault="00FE013C" w:rsidP="000B0F03">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hour of electricity usage with carbon-free electricity generation – has proven to be the new benchmark 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rsidR="000B0F03">
        <w:instrText xml:space="preserve"> ADDIN ZOTERO_ITEM CSL_CITATION {"citationID":"n6iDXFFL","properties":{"unsorted":false,"formattedCitation":"[67]","plainCitation":"[67]","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000B0F03" w:rsidRPr="000B0F03">
        <w:t>[66]</w:t>
      </w:r>
      <w:r>
        <w:fldChar w:fldCharType="end"/>
      </w:r>
      <w:r w:rsidRPr="00AC40BA">
        <w:t>.</w:t>
      </w:r>
    </w:p>
    <w:p w14:paraId="74FFE71C" w14:textId="045E0A7C" w:rsidR="003A45CA" w:rsidRDefault="003A45CA" w:rsidP="003A45CA">
      <w:pPr>
        <w:pStyle w:val="Caption"/>
        <w:keepNext/>
      </w:pPr>
      <w:r>
        <w:t xml:space="preserve">Table </w:t>
      </w:r>
      <w:r>
        <w:fldChar w:fldCharType="begin"/>
      </w:r>
      <w:r>
        <w:instrText xml:space="preserve"> SEQ Table \* ARABIC </w:instrText>
      </w:r>
      <w:r>
        <w:fldChar w:fldCharType="separate"/>
      </w:r>
      <w:r>
        <w:rPr>
          <w:noProof/>
        </w:rPr>
        <w:t>10</w:t>
      </w:r>
      <w:r>
        <w:fldChar w:fldCharType="end"/>
      </w:r>
      <w:r>
        <w:t xml:space="preserve"> </w:t>
      </w:r>
      <w:r w:rsidRPr="003D249D">
        <w:t>Common Sustainability Metrics Used in Renewable-Powered AI Data Centers</w:t>
      </w:r>
    </w:p>
    <w:tbl>
      <w:tblPr>
        <w:tblStyle w:val="MDPI41threelinetable"/>
        <w:tblW w:w="0" w:type="auto"/>
        <w:tblLook w:val="04A0" w:firstRow="1" w:lastRow="0" w:firstColumn="1" w:lastColumn="0" w:noHBand="0" w:noVBand="1"/>
      </w:tblPr>
      <w:tblGrid>
        <w:gridCol w:w="1872"/>
        <w:gridCol w:w="2559"/>
        <w:gridCol w:w="1764"/>
        <w:gridCol w:w="1847"/>
        <w:gridCol w:w="1710"/>
      </w:tblGrid>
      <w:tr w:rsidR="00A2637A" w:rsidRPr="00D14A4D" w14:paraId="59C7E5F8" w14:textId="77777777" w:rsidTr="00A2637A">
        <w:trPr>
          <w:cnfStyle w:val="100000000000" w:firstRow="1" w:lastRow="0" w:firstColumn="0" w:lastColumn="0" w:oddVBand="0" w:evenVBand="0" w:oddHBand="0" w:evenHBand="0" w:firstRowFirstColumn="0" w:firstRowLastColumn="0" w:lastRowFirstColumn="0" w:lastRowLastColumn="0"/>
        </w:trPr>
        <w:tc>
          <w:tcPr>
            <w:tcW w:w="0" w:type="auto"/>
            <w:hideMark/>
          </w:tcPr>
          <w:p w14:paraId="5E8D3A96" w14:textId="77777777" w:rsidR="00A2637A" w:rsidRPr="00D14A4D" w:rsidRDefault="00A2637A" w:rsidP="00A2637A">
            <w:pPr>
              <w:spacing w:after="120"/>
              <w:ind w:firstLine="480"/>
              <w:rPr>
                <w:bCs/>
                <w:color w:val="EE0000"/>
                <w:sz w:val="18"/>
                <w:szCs w:val="18"/>
              </w:rPr>
            </w:pPr>
            <w:r w:rsidRPr="00D14A4D">
              <w:rPr>
                <w:bCs/>
                <w:color w:val="EE0000"/>
                <w:sz w:val="18"/>
                <w:szCs w:val="18"/>
              </w:rPr>
              <w:t>Metric</w:t>
            </w:r>
          </w:p>
        </w:tc>
        <w:tc>
          <w:tcPr>
            <w:tcW w:w="0" w:type="auto"/>
            <w:hideMark/>
          </w:tcPr>
          <w:p w14:paraId="6B0D7C0F" w14:textId="77777777" w:rsidR="00A2637A" w:rsidRPr="00D14A4D" w:rsidRDefault="00A2637A" w:rsidP="00A2637A">
            <w:pPr>
              <w:spacing w:after="120"/>
              <w:ind w:firstLine="480"/>
              <w:rPr>
                <w:bCs/>
                <w:color w:val="EE0000"/>
                <w:sz w:val="18"/>
                <w:szCs w:val="18"/>
              </w:rPr>
            </w:pPr>
            <w:r w:rsidRPr="00D14A4D">
              <w:rPr>
                <w:bCs/>
                <w:color w:val="EE0000"/>
                <w:sz w:val="18"/>
                <w:szCs w:val="18"/>
              </w:rPr>
              <w:t>Definition</w:t>
            </w:r>
          </w:p>
        </w:tc>
        <w:tc>
          <w:tcPr>
            <w:tcW w:w="0" w:type="auto"/>
            <w:hideMark/>
          </w:tcPr>
          <w:p w14:paraId="7F5D370B" w14:textId="77777777" w:rsidR="00A2637A" w:rsidRPr="00D14A4D" w:rsidRDefault="00A2637A" w:rsidP="00A2637A">
            <w:pPr>
              <w:spacing w:after="120"/>
              <w:ind w:firstLine="480"/>
              <w:rPr>
                <w:bCs/>
                <w:color w:val="EE0000"/>
                <w:sz w:val="18"/>
                <w:szCs w:val="18"/>
              </w:rPr>
            </w:pPr>
            <w:r w:rsidRPr="00D14A4D">
              <w:rPr>
                <w:bCs/>
                <w:color w:val="EE0000"/>
                <w:sz w:val="18"/>
                <w:szCs w:val="18"/>
              </w:rPr>
              <w:t>Units</w:t>
            </w:r>
          </w:p>
        </w:tc>
        <w:tc>
          <w:tcPr>
            <w:tcW w:w="0" w:type="auto"/>
            <w:hideMark/>
          </w:tcPr>
          <w:p w14:paraId="36159AE8" w14:textId="77777777" w:rsidR="00A2637A" w:rsidRPr="00D14A4D" w:rsidRDefault="00A2637A" w:rsidP="00A2637A">
            <w:pPr>
              <w:spacing w:after="120"/>
              <w:ind w:firstLine="480"/>
              <w:rPr>
                <w:bCs/>
                <w:color w:val="EE0000"/>
                <w:sz w:val="18"/>
                <w:szCs w:val="18"/>
              </w:rPr>
            </w:pPr>
            <w:r w:rsidRPr="00D14A4D">
              <w:rPr>
                <w:bCs/>
                <w:color w:val="EE0000"/>
                <w:sz w:val="18"/>
                <w:szCs w:val="18"/>
              </w:rPr>
              <w:t>Primary Purpose</w:t>
            </w:r>
          </w:p>
        </w:tc>
        <w:tc>
          <w:tcPr>
            <w:tcW w:w="0" w:type="auto"/>
            <w:hideMark/>
          </w:tcPr>
          <w:p w14:paraId="75E47E22" w14:textId="77777777" w:rsidR="00A2637A" w:rsidRPr="00D14A4D" w:rsidRDefault="00A2637A" w:rsidP="00A2637A">
            <w:pPr>
              <w:spacing w:after="120"/>
              <w:ind w:firstLine="480"/>
              <w:rPr>
                <w:bCs/>
                <w:color w:val="EE0000"/>
                <w:sz w:val="18"/>
                <w:szCs w:val="18"/>
              </w:rPr>
            </w:pPr>
            <w:r w:rsidRPr="00D14A4D">
              <w:rPr>
                <w:bCs/>
                <w:color w:val="EE0000"/>
                <w:sz w:val="18"/>
                <w:szCs w:val="18"/>
              </w:rPr>
              <w:t>Typical Boundary</w:t>
            </w:r>
          </w:p>
        </w:tc>
      </w:tr>
      <w:tr w:rsidR="00A2637A" w:rsidRPr="00D14A4D" w14:paraId="46C3F937" w14:textId="77777777" w:rsidTr="00A2637A">
        <w:tc>
          <w:tcPr>
            <w:tcW w:w="0" w:type="auto"/>
            <w:hideMark/>
          </w:tcPr>
          <w:p w14:paraId="64CE529A" w14:textId="77777777" w:rsidR="00A2637A" w:rsidRPr="00D14A4D" w:rsidRDefault="00A2637A" w:rsidP="00A2637A">
            <w:pPr>
              <w:spacing w:after="120"/>
              <w:ind w:firstLine="480"/>
              <w:rPr>
                <w:color w:val="EE0000"/>
                <w:sz w:val="18"/>
                <w:szCs w:val="18"/>
              </w:rPr>
            </w:pPr>
            <w:r w:rsidRPr="00D14A4D">
              <w:rPr>
                <w:color w:val="EE0000"/>
                <w:sz w:val="18"/>
                <w:szCs w:val="18"/>
              </w:rPr>
              <w:lastRenderedPageBreak/>
              <w:t>PUE (Power Usage Effectiveness)</w:t>
            </w:r>
          </w:p>
        </w:tc>
        <w:tc>
          <w:tcPr>
            <w:tcW w:w="0" w:type="auto"/>
            <w:hideMark/>
          </w:tcPr>
          <w:p w14:paraId="5A43D348" w14:textId="77777777" w:rsidR="00A2637A" w:rsidRPr="00D14A4D" w:rsidRDefault="00A2637A" w:rsidP="00A2637A">
            <w:pPr>
              <w:spacing w:after="120"/>
              <w:ind w:firstLine="480"/>
              <w:rPr>
                <w:color w:val="EE0000"/>
                <w:sz w:val="18"/>
                <w:szCs w:val="18"/>
              </w:rPr>
            </w:pPr>
            <w:r w:rsidRPr="00D14A4D">
              <w:rPr>
                <w:color w:val="EE0000"/>
                <w:sz w:val="18"/>
                <w:szCs w:val="18"/>
              </w:rPr>
              <w:t>Ratio of total facility energy consumption to IT-equipment energy consumption</w:t>
            </w:r>
          </w:p>
        </w:tc>
        <w:tc>
          <w:tcPr>
            <w:tcW w:w="0" w:type="auto"/>
            <w:hideMark/>
          </w:tcPr>
          <w:p w14:paraId="770D5C3A" w14:textId="77777777" w:rsidR="00A2637A" w:rsidRPr="00D14A4D" w:rsidRDefault="00A2637A" w:rsidP="00A2637A">
            <w:pPr>
              <w:spacing w:after="120"/>
              <w:ind w:firstLine="480"/>
              <w:rPr>
                <w:color w:val="EE0000"/>
                <w:sz w:val="18"/>
                <w:szCs w:val="18"/>
              </w:rPr>
            </w:pPr>
            <w:r w:rsidRPr="00D14A4D">
              <w:rPr>
                <w:color w:val="EE0000"/>
                <w:sz w:val="18"/>
                <w:szCs w:val="18"/>
              </w:rPr>
              <w:t>Dimensionless</w:t>
            </w:r>
          </w:p>
        </w:tc>
        <w:tc>
          <w:tcPr>
            <w:tcW w:w="0" w:type="auto"/>
            <w:hideMark/>
          </w:tcPr>
          <w:p w14:paraId="56980C90" w14:textId="77777777" w:rsidR="00A2637A" w:rsidRPr="00D14A4D" w:rsidRDefault="00A2637A" w:rsidP="00A2637A">
            <w:pPr>
              <w:spacing w:after="120"/>
              <w:ind w:firstLine="480"/>
              <w:rPr>
                <w:color w:val="EE0000"/>
                <w:sz w:val="18"/>
                <w:szCs w:val="18"/>
              </w:rPr>
            </w:pPr>
            <w:r w:rsidRPr="00D14A4D">
              <w:rPr>
                <w:color w:val="EE0000"/>
                <w:sz w:val="18"/>
                <w:szCs w:val="18"/>
              </w:rPr>
              <w:t>Energy-efficiency assessment</w:t>
            </w:r>
          </w:p>
        </w:tc>
        <w:tc>
          <w:tcPr>
            <w:tcW w:w="0" w:type="auto"/>
            <w:hideMark/>
          </w:tcPr>
          <w:p w14:paraId="2226D4F1"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2AD2109C" w14:textId="77777777" w:rsidTr="00A2637A">
        <w:tc>
          <w:tcPr>
            <w:tcW w:w="0" w:type="auto"/>
            <w:hideMark/>
          </w:tcPr>
          <w:p w14:paraId="673CA0C0" w14:textId="77777777" w:rsidR="00A2637A" w:rsidRPr="00D14A4D" w:rsidRDefault="00A2637A" w:rsidP="00A2637A">
            <w:pPr>
              <w:spacing w:after="120"/>
              <w:ind w:firstLine="480"/>
              <w:rPr>
                <w:color w:val="EE0000"/>
                <w:sz w:val="18"/>
                <w:szCs w:val="18"/>
              </w:rPr>
            </w:pPr>
            <w:r w:rsidRPr="00D14A4D">
              <w:rPr>
                <w:color w:val="EE0000"/>
                <w:sz w:val="18"/>
                <w:szCs w:val="18"/>
              </w:rPr>
              <w:t>WUE (Water Usage Effectiveness)</w:t>
            </w:r>
          </w:p>
        </w:tc>
        <w:tc>
          <w:tcPr>
            <w:tcW w:w="0" w:type="auto"/>
            <w:hideMark/>
          </w:tcPr>
          <w:p w14:paraId="1BEFC390" w14:textId="77777777" w:rsidR="00A2637A" w:rsidRPr="00D14A4D" w:rsidRDefault="00A2637A" w:rsidP="00A2637A">
            <w:pPr>
              <w:spacing w:after="120"/>
              <w:ind w:firstLine="480"/>
              <w:rPr>
                <w:color w:val="EE0000"/>
                <w:sz w:val="18"/>
                <w:szCs w:val="18"/>
              </w:rPr>
            </w:pPr>
            <w:r w:rsidRPr="00D14A4D">
              <w:rPr>
                <w:color w:val="EE0000"/>
                <w:sz w:val="18"/>
                <w:szCs w:val="18"/>
              </w:rPr>
              <w:t>Annual water consumption divided by IT-equipment energy consumption</w:t>
            </w:r>
          </w:p>
        </w:tc>
        <w:tc>
          <w:tcPr>
            <w:tcW w:w="0" w:type="auto"/>
            <w:hideMark/>
          </w:tcPr>
          <w:p w14:paraId="582E2EAC" w14:textId="77777777" w:rsidR="00A2637A" w:rsidRPr="00D14A4D" w:rsidRDefault="00A2637A" w:rsidP="00A2637A">
            <w:pPr>
              <w:spacing w:after="120"/>
              <w:ind w:firstLine="480"/>
              <w:rPr>
                <w:color w:val="EE0000"/>
                <w:sz w:val="18"/>
                <w:szCs w:val="18"/>
              </w:rPr>
            </w:pPr>
            <w:r w:rsidRPr="00D14A4D">
              <w:rPr>
                <w:color w:val="EE0000"/>
                <w:sz w:val="18"/>
                <w:szCs w:val="18"/>
              </w:rPr>
              <w:t>L/</w:t>
            </w:r>
            <w:proofErr w:type="spellStart"/>
            <w:r w:rsidRPr="00D14A4D">
              <w:rPr>
                <w:color w:val="EE0000"/>
                <w:sz w:val="18"/>
                <w:szCs w:val="18"/>
              </w:rPr>
              <w:t>kWhIT</w:t>
            </w:r>
            <w:proofErr w:type="spellEnd"/>
          </w:p>
        </w:tc>
        <w:tc>
          <w:tcPr>
            <w:tcW w:w="0" w:type="auto"/>
            <w:hideMark/>
          </w:tcPr>
          <w:p w14:paraId="7EC161A2" w14:textId="77777777" w:rsidR="00A2637A" w:rsidRPr="00D14A4D" w:rsidRDefault="00A2637A" w:rsidP="00A2637A">
            <w:pPr>
              <w:spacing w:after="120"/>
              <w:ind w:firstLine="480"/>
              <w:rPr>
                <w:color w:val="EE0000"/>
                <w:sz w:val="18"/>
                <w:szCs w:val="18"/>
              </w:rPr>
            </w:pPr>
            <w:r w:rsidRPr="00D14A4D">
              <w:rPr>
                <w:color w:val="EE0000"/>
                <w:sz w:val="18"/>
                <w:szCs w:val="18"/>
              </w:rPr>
              <w:t>Water-use assessment</w:t>
            </w:r>
          </w:p>
        </w:tc>
        <w:tc>
          <w:tcPr>
            <w:tcW w:w="0" w:type="auto"/>
            <w:hideMark/>
          </w:tcPr>
          <w:p w14:paraId="5BCB8C4B"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0CC03609" w14:textId="77777777" w:rsidTr="00A2637A">
        <w:tc>
          <w:tcPr>
            <w:tcW w:w="0" w:type="auto"/>
            <w:hideMark/>
          </w:tcPr>
          <w:p w14:paraId="57D3F1B5" w14:textId="77777777" w:rsidR="00A2637A" w:rsidRPr="00D14A4D" w:rsidRDefault="00A2637A" w:rsidP="00A2637A">
            <w:pPr>
              <w:spacing w:after="120"/>
              <w:ind w:firstLine="480"/>
              <w:rPr>
                <w:color w:val="EE0000"/>
                <w:sz w:val="18"/>
                <w:szCs w:val="18"/>
              </w:rPr>
            </w:pPr>
            <w:r w:rsidRPr="00D14A4D">
              <w:rPr>
                <w:color w:val="EE0000"/>
                <w:sz w:val="18"/>
                <w:szCs w:val="18"/>
              </w:rPr>
              <w:t>Operational Carbon Intensity (or CUE)</w:t>
            </w:r>
          </w:p>
        </w:tc>
        <w:tc>
          <w:tcPr>
            <w:tcW w:w="0" w:type="auto"/>
            <w:hideMark/>
          </w:tcPr>
          <w:p w14:paraId="78ECA011" w14:textId="77777777" w:rsidR="00A2637A" w:rsidRPr="00D14A4D" w:rsidRDefault="00A2637A" w:rsidP="00A2637A">
            <w:pPr>
              <w:spacing w:after="120"/>
              <w:ind w:firstLine="480"/>
              <w:rPr>
                <w:color w:val="EE0000"/>
                <w:sz w:val="18"/>
                <w:szCs w:val="18"/>
              </w:rPr>
            </w:pPr>
            <w:r w:rsidRPr="00D14A4D">
              <w:rPr>
                <w:color w:val="EE0000"/>
                <w:sz w:val="18"/>
                <w:szCs w:val="18"/>
              </w:rPr>
              <w:t xml:space="preserve">Operational greenhouse-gas emissions </w:t>
            </w:r>
            <w:proofErr w:type="gramStart"/>
            <w:r w:rsidRPr="00D14A4D">
              <w:rPr>
                <w:color w:val="EE0000"/>
                <w:sz w:val="18"/>
                <w:szCs w:val="18"/>
              </w:rPr>
              <w:t>relative</w:t>
            </w:r>
            <w:proofErr w:type="gramEnd"/>
            <w:r w:rsidRPr="00D14A4D">
              <w:rPr>
                <w:color w:val="EE0000"/>
                <w:sz w:val="18"/>
                <w:szCs w:val="18"/>
              </w:rPr>
              <w:t xml:space="preserve"> to electricity consumption</w:t>
            </w:r>
          </w:p>
        </w:tc>
        <w:tc>
          <w:tcPr>
            <w:tcW w:w="0" w:type="auto"/>
            <w:hideMark/>
          </w:tcPr>
          <w:p w14:paraId="28C59AEC" w14:textId="77777777" w:rsidR="00A2637A" w:rsidRPr="00D14A4D" w:rsidRDefault="00A2637A" w:rsidP="00A2637A">
            <w:pPr>
              <w:spacing w:after="120"/>
              <w:ind w:firstLine="480"/>
              <w:rPr>
                <w:color w:val="EE0000"/>
                <w:sz w:val="18"/>
                <w:szCs w:val="18"/>
              </w:rPr>
            </w:pPr>
            <w:r w:rsidRPr="00D14A4D">
              <w:rPr>
                <w:color w:val="EE0000"/>
                <w:sz w:val="18"/>
                <w:szCs w:val="18"/>
              </w:rPr>
              <w:t xml:space="preserve">kg </w:t>
            </w:r>
            <w:proofErr w:type="spellStart"/>
            <w:r w:rsidRPr="00D14A4D">
              <w:rPr>
                <w:color w:val="EE0000"/>
                <w:sz w:val="18"/>
                <w:szCs w:val="18"/>
              </w:rPr>
              <w:t>CO₂e</w:t>
            </w:r>
            <w:proofErr w:type="spellEnd"/>
            <w:r w:rsidRPr="00D14A4D">
              <w:rPr>
                <w:color w:val="EE0000"/>
                <w:sz w:val="18"/>
                <w:szCs w:val="18"/>
              </w:rPr>
              <w:t>/kWh</w:t>
            </w:r>
          </w:p>
        </w:tc>
        <w:tc>
          <w:tcPr>
            <w:tcW w:w="0" w:type="auto"/>
            <w:hideMark/>
          </w:tcPr>
          <w:p w14:paraId="3FD51531" w14:textId="77777777" w:rsidR="00A2637A" w:rsidRPr="00D14A4D" w:rsidRDefault="00A2637A" w:rsidP="00A2637A">
            <w:pPr>
              <w:spacing w:after="120"/>
              <w:ind w:firstLine="480"/>
              <w:rPr>
                <w:color w:val="EE0000"/>
                <w:sz w:val="18"/>
                <w:szCs w:val="18"/>
              </w:rPr>
            </w:pPr>
            <w:r w:rsidRPr="00D14A4D">
              <w:rPr>
                <w:color w:val="EE0000"/>
                <w:sz w:val="18"/>
                <w:szCs w:val="18"/>
              </w:rPr>
              <w:t>Carbon-performance assessment</w:t>
            </w:r>
          </w:p>
        </w:tc>
        <w:tc>
          <w:tcPr>
            <w:tcW w:w="0" w:type="auto"/>
            <w:hideMark/>
          </w:tcPr>
          <w:p w14:paraId="6C9AE140" w14:textId="77777777" w:rsidR="00A2637A" w:rsidRPr="00D14A4D" w:rsidRDefault="00A2637A" w:rsidP="00A2637A">
            <w:pPr>
              <w:spacing w:after="120"/>
              <w:ind w:firstLine="480"/>
              <w:rPr>
                <w:color w:val="EE0000"/>
                <w:sz w:val="18"/>
                <w:szCs w:val="18"/>
              </w:rPr>
            </w:pPr>
            <w:r w:rsidRPr="00D14A4D">
              <w:rPr>
                <w:color w:val="EE0000"/>
                <w:sz w:val="18"/>
                <w:szCs w:val="18"/>
              </w:rPr>
              <w:t>Electricity consumption</w:t>
            </w:r>
          </w:p>
        </w:tc>
      </w:tr>
      <w:tr w:rsidR="00A2637A" w:rsidRPr="00D14A4D" w14:paraId="14FB0BC6" w14:textId="77777777" w:rsidTr="00A2637A">
        <w:tc>
          <w:tcPr>
            <w:tcW w:w="0" w:type="auto"/>
            <w:hideMark/>
          </w:tcPr>
          <w:p w14:paraId="44E5AC65" w14:textId="77777777" w:rsidR="00A2637A" w:rsidRPr="00D14A4D" w:rsidRDefault="00A2637A" w:rsidP="00A2637A">
            <w:pPr>
              <w:spacing w:after="120"/>
              <w:ind w:firstLine="480"/>
              <w:rPr>
                <w:color w:val="EE0000"/>
                <w:sz w:val="18"/>
                <w:szCs w:val="18"/>
              </w:rPr>
            </w:pPr>
            <w:r w:rsidRPr="00D14A4D">
              <w:rPr>
                <w:color w:val="EE0000"/>
                <w:sz w:val="18"/>
                <w:szCs w:val="18"/>
              </w:rPr>
              <w:t>Hourly CFE Score</w:t>
            </w:r>
          </w:p>
        </w:tc>
        <w:tc>
          <w:tcPr>
            <w:tcW w:w="0" w:type="auto"/>
            <w:hideMark/>
          </w:tcPr>
          <w:p w14:paraId="3A137037" w14:textId="77777777" w:rsidR="00A2637A" w:rsidRPr="00D14A4D" w:rsidRDefault="00A2637A" w:rsidP="00A2637A">
            <w:pPr>
              <w:spacing w:after="120"/>
              <w:ind w:firstLine="480"/>
              <w:rPr>
                <w:color w:val="EE0000"/>
                <w:sz w:val="18"/>
                <w:szCs w:val="18"/>
              </w:rPr>
            </w:pPr>
            <w:r w:rsidRPr="00D14A4D">
              <w:rPr>
                <w:color w:val="EE0000"/>
                <w:sz w:val="18"/>
                <w:szCs w:val="18"/>
              </w:rPr>
              <w:t>Fraction of electricity consumption matched hourly by carbon-free energy resources</w:t>
            </w:r>
          </w:p>
        </w:tc>
        <w:tc>
          <w:tcPr>
            <w:tcW w:w="0" w:type="auto"/>
            <w:hideMark/>
          </w:tcPr>
          <w:p w14:paraId="16C4B97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140AADCB" w14:textId="77777777" w:rsidR="00A2637A" w:rsidRPr="00D14A4D" w:rsidRDefault="00A2637A" w:rsidP="00A2637A">
            <w:pPr>
              <w:spacing w:after="120"/>
              <w:ind w:firstLine="480"/>
              <w:rPr>
                <w:color w:val="EE0000"/>
                <w:sz w:val="18"/>
                <w:szCs w:val="18"/>
              </w:rPr>
            </w:pPr>
            <w:r w:rsidRPr="00D14A4D">
              <w:rPr>
                <w:color w:val="EE0000"/>
                <w:sz w:val="18"/>
                <w:szCs w:val="18"/>
              </w:rPr>
              <w:t>Temporal clean-energy matching</w:t>
            </w:r>
          </w:p>
        </w:tc>
        <w:tc>
          <w:tcPr>
            <w:tcW w:w="0" w:type="auto"/>
            <w:hideMark/>
          </w:tcPr>
          <w:p w14:paraId="78BA0FBF" w14:textId="77777777" w:rsidR="00A2637A" w:rsidRPr="00D14A4D" w:rsidRDefault="00A2637A" w:rsidP="00A2637A">
            <w:pPr>
              <w:spacing w:after="120"/>
              <w:ind w:firstLine="480"/>
              <w:rPr>
                <w:color w:val="EE0000"/>
                <w:sz w:val="18"/>
                <w:szCs w:val="18"/>
              </w:rPr>
            </w:pPr>
            <w:r w:rsidRPr="00D14A4D">
              <w:rPr>
                <w:color w:val="EE0000"/>
                <w:sz w:val="18"/>
                <w:szCs w:val="18"/>
              </w:rPr>
              <w:t>Facility or portfolio</w:t>
            </w:r>
          </w:p>
        </w:tc>
      </w:tr>
      <w:tr w:rsidR="00A2637A" w:rsidRPr="00D14A4D" w14:paraId="7A1DDB57" w14:textId="77777777" w:rsidTr="00A2637A">
        <w:tc>
          <w:tcPr>
            <w:tcW w:w="0" w:type="auto"/>
            <w:hideMark/>
          </w:tcPr>
          <w:p w14:paraId="7DFF684B" w14:textId="77777777" w:rsidR="00A2637A" w:rsidRPr="00D14A4D" w:rsidRDefault="00A2637A" w:rsidP="00A2637A">
            <w:pPr>
              <w:spacing w:after="120"/>
              <w:ind w:firstLine="480"/>
              <w:rPr>
                <w:color w:val="EE0000"/>
                <w:sz w:val="18"/>
                <w:szCs w:val="18"/>
              </w:rPr>
            </w:pPr>
            <w:r w:rsidRPr="00D14A4D">
              <w:rPr>
                <w:color w:val="EE0000"/>
                <w:sz w:val="18"/>
                <w:szCs w:val="18"/>
              </w:rPr>
              <w:t>Annual Renewable Matching</w:t>
            </w:r>
          </w:p>
        </w:tc>
        <w:tc>
          <w:tcPr>
            <w:tcW w:w="0" w:type="auto"/>
            <w:hideMark/>
          </w:tcPr>
          <w:p w14:paraId="4A50FC62" w14:textId="77777777" w:rsidR="00A2637A" w:rsidRPr="00D14A4D" w:rsidRDefault="00A2637A" w:rsidP="00A2637A">
            <w:pPr>
              <w:spacing w:after="120"/>
              <w:ind w:firstLine="480"/>
              <w:rPr>
                <w:color w:val="EE0000"/>
                <w:sz w:val="18"/>
                <w:szCs w:val="18"/>
              </w:rPr>
            </w:pPr>
            <w:r w:rsidRPr="00D14A4D">
              <w:rPr>
                <w:color w:val="EE0000"/>
                <w:sz w:val="18"/>
                <w:szCs w:val="18"/>
              </w:rPr>
              <w:t>Annual renewable-energy procurement relative to annual electricity consumption</w:t>
            </w:r>
          </w:p>
        </w:tc>
        <w:tc>
          <w:tcPr>
            <w:tcW w:w="0" w:type="auto"/>
            <w:hideMark/>
          </w:tcPr>
          <w:p w14:paraId="1FEF0E4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31026E24" w14:textId="77777777" w:rsidR="00A2637A" w:rsidRPr="00D14A4D" w:rsidRDefault="00A2637A" w:rsidP="00A2637A">
            <w:pPr>
              <w:spacing w:after="120"/>
              <w:ind w:firstLine="480"/>
              <w:rPr>
                <w:color w:val="EE0000"/>
                <w:sz w:val="18"/>
                <w:szCs w:val="18"/>
              </w:rPr>
            </w:pPr>
            <w:r w:rsidRPr="00D14A4D">
              <w:rPr>
                <w:color w:val="EE0000"/>
                <w:sz w:val="18"/>
                <w:szCs w:val="18"/>
              </w:rPr>
              <w:t>Renewable-procurement assessment</w:t>
            </w:r>
          </w:p>
        </w:tc>
        <w:tc>
          <w:tcPr>
            <w:tcW w:w="0" w:type="auto"/>
            <w:hideMark/>
          </w:tcPr>
          <w:p w14:paraId="45481A18" w14:textId="77777777" w:rsidR="00A2637A" w:rsidRPr="00D14A4D" w:rsidRDefault="00A2637A" w:rsidP="00A2637A">
            <w:pPr>
              <w:spacing w:after="120"/>
              <w:ind w:firstLine="480"/>
              <w:rPr>
                <w:color w:val="EE0000"/>
                <w:sz w:val="18"/>
                <w:szCs w:val="18"/>
              </w:rPr>
            </w:pPr>
            <w:r w:rsidRPr="00D14A4D">
              <w:rPr>
                <w:color w:val="EE0000"/>
                <w:sz w:val="18"/>
                <w:szCs w:val="18"/>
              </w:rPr>
              <w:t>Facility or corporate portfolio</w:t>
            </w:r>
          </w:p>
        </w:tc>
      </w:tr>
      <w:tr w:rsidR="00A2637A" w:rsidRPr="00D14A4D" w14:paraId="78660E94" w14:textId="77777777" w:rsidTr="00A2637A">
        <w:tc>
          <w:tcPr>
            <w:tcW w:w="0" w:type="auto"/>
            <w:hideMark/>
          </w:tcPr>
          <w:p w14:paraId="66748387" w14:textId="77777777" w:rsidR="00A2637A" w:rsidRPr="00D14A4D" w:rsidRDefault="00A2637A" w:rsidP="00A2637A">
            <w:pPr>
              <w:spacing w:after="120"/>
              <w:ind w:firstLine="480"/>
              <w:rPr>
                <w:color w:val="EE0000"/>
                <w:sz w:val="18"/>
                <w:szCs w:val="18"/>
              </w:rPr>
            </w:pPr>
            <w:r w:rsidRPr="00D14A4D">
              <w:rPr>
                <w:color w:val="EE0000"/>
                <w:sz w:val="18"/>
                <w:szCs w:val="18"/>
              </w:rPr>
              <w:t>Embodied Carbon</w:t>
            </w:r>
          </w:p>
        </w:tc>
        <w:tc>
          <w:tcPr>
            <w:tcW w:w="0" w:type="auto"/>
            <w:hideMark/>
          </w:tcPr>
          <w:p w14:paraId="1EE6B3AD" w14:textId="77777777" w:rsidR="00A2637A" w:rsidRPr="00D14A4D" w:rsidRDefault="00A2637A" w:rsidP="00A2637A">
            <w:pPr>
              <w:spacing w:after="120"/>
              <w:ind w:firstLine="480"/>
              <w:rPr>
                <w:color w:val="EE0000"/>
                <w:sz w:val="18"/>
                <w:szCs w:val="18"/>
              </w:rPr>
            </w:pPr>
            <w:r w:rsidRPr="00D14A4D">
              <w:rPr>
                <w:color w:val="EE0000"/>
                <w:sz w:val="18"/>
                <w:szCs w:val="18"/>
              </w:rPr>
              <w:t>Lifecycle greenhouse-gas emissions associated with infrastructure and equipment manufacturing</w:t>
            </w:r>
          </w:p>
        </w:tc>
        <w:tc>
          <w:tcPr>
            <w:tcW w:w="0" w:type="auto"/>
            <w:hideMark/>
          </w:tcPr>
          <w:p w14:paraId="1387C154" w14:textId="77777777" w:rsidR="00A2637A" w:rsidRPr="00D14A4D" w:rsidRDefault="00A2637A" w:rsidP="00A2637A">
            <w:pPr>
              <w:spacing w:after="120"/>
              <w:ind w:firstLine="480"/>
              <w:rPr>
                <w:color w:val="EE0000"/>
                <w:sz w:val="18"/>
                <w:szCs w:val="18"/>
              </w:rPr>
            </w:pPr>
            <w:r w:rsidRPr="00D14A4D">
              <w:rPr>
                <w:color w:val="EE0000"/>
                <w:sz w:val="18"/>
                <w:szCs w:val="18"/>
              </w:rPr>
              <w:t xml:space="preserve">kg </w:t>
            </w:r>
            <w:proofErr w:type="spellStart"/>
            <w:r w:rsidRPr="00D14A4D">
              <w:rPr>
                <w:color w:val="EE0000"/>
                <w:sz w:val="18"/>
                <w:szCs w:val="18"/>
              </w:rPr>
              <w:t>CO₂e</w:t>
            </w:r>
            <w:proofErr w:type="spellEnd"/>
          </w:p>
        </w:tc>
        <w:tc>
          <w:tcPr>
            <w:tcW w:w="0" w:type="auto"/>
            <w:hideMark/>
          </w:tcPr>
          <w:p w14:paraId="5A105FF2" w14:textId="77777777" w:rsidR="00A2637A" w:rsidRPr="00D14A4D" w:rsidRDefault="00A2637A" w:rsidP="00A2637A">
            <w:pPr>
              <w:spacing w:after="120"/>
              <w:ind w:firstLine="480"/>
              <w:rPr>
                <w:color w:val="EE0000"/>
                <w:sz w:val="18"/>
                <w:szCs w:val="18"/>
              </w:rPr>
            </w:pPr>
            <w:r w:rsidRPr="00D14A4D">
              <w:rPr>
                <w:color w:val="EE0000"/>
                <w:sz w:val="18"/>
                <w:szCs w:val="18"/>
              </w:rPr>
              <w:t>Lifecycle assessment</w:t>
            </w:r>
          </w:p>
        </w:tc>
        <w:tc>
          <w:tcPr>
            <w:tcW w:w="0" w:type="auto"/>
            <w:hideMark/>
          </w:tcPr>
          <w:p w14:paraId="413DBC1A" w14:textId="77777777" w:rsidR="00A2637A" w:rsidRPr="00D14A4D" w:rsidRDefault="00A2637A" w:rsidP="00A2637A">
            <w:pPr>
              <w:spacing w:after="120"/>
              <w:ind w:firstLine="480"/>
              <w:rPr>
                <w:color w:val="EE0000"/>
                <w:sz w:val="18"/>
                <w:szCs w:val="18"/>
              </w:rPr>
            </w:pPr>
            <w:r w:rsidRPr="00D14A4D">
              <w:rPr>
                <w:color w:val="EE0000"/>
                <w:sz w:val="18"/>
                <w:szCs w:val="18"/>
              </w:rPr>
              <w:t>Asset lifecycle</w:t>
            </w:r>
          </w:p>
        </w:tc>
      </w:tr>
      <w:tr w:rsidR="00A2637A" w:rsidRPr="00D14A4D" w14:paraId="19BAB44D" w14:textId="77777777" w:rsidTr="00A2637A">
        <w:tc>
          <w:tcPr>
            <w:tcW w:w="0" w:type="auto"/>
            <w:hideMark/>
          </w:tcPr>
          <w:p w14:paraId="7E4A3B7F" w14:textId="77777777" w:rsidR="00A2637A" w:rsidRPr="00D14A4D" w:rsidRDefault="00A2637A" w:rsidP="00A2637A">
            <w:pPr>
              <w:spacing w:after="120"/>
              <w:ind w:firstLine="480"/>
              <w:rPr>
                <w:color w:val="EE0000"/>
                <w:sz w:val="18"/>
                <w:szCs w:val="18"/>
              </w:rPr>
            </w:pPr>
            <w:r w:rsidRPr="00D14A4D">
              <w:rPr>
                <w:color w:val="EE0000"/>
                <w:sz w:val="18"/>
                <w:szCs w:val="18"/>
              </w:rPr>
              <w:t>Circularity / E-Waste Metric</w:t>
            </w:r>
          </w:p>
        </w:tc>
        <w:tc>
          <w:tcPr>
            <w:tcW w:w="0" w:type="auto"/>
            <w:hideMark/>
          </w:tcPr>
          <w:p w14:paraId="00D98189" w14:textId="77777777" w:rsidR="00A2637A" w:rsidRPr="00D14A4D" w:rsidRDefault="00A2637A" w:rsidP="00A2637A">
            <w:pPr>
              <w:spacing w:after="120"/>
              <w:ind w:firstLine="480"/>
              <w:rPr>
                <w:color w:val="EE0000"/>
                <w:sz w:val="18"/>
                <w:szCs w:val="18"/>
              </w:rPr>
            </w:pPr>
            <w:r w:rsidRPr="00D14A4D">
              <w:rPr>
                <w:color w:val="EE0000"/>
                <w:sz w:val="18"/>
                <w:szCs w:val="18"/>
              </w:rPr>
              <w:t>Reuse, recycling, refurbishment, or end-of-life recovery performance</w:t>
            </w:r>
          </w:p>
        </w:tc>
        <w:tc>
          <w:tcPr>
            <w:tcW w:w="0" w:type="auto"/>
            <w:hideMark/>
          </w:tcPr>
          <w:p w14:paraId="334B04C4" w14:textId="77777777" w:rsidR="00A2637A" w:rsidRPr="00D14A4D" w:rsidRDefault="00A2637A" w:rsidP="00A2637A">
            <w:pPr>
              <w:spacing w:after="120"/>
              <w:ind w:firstLine="480"/>
              <w:rPr>
                <w:color w:val="EE0000"/>
                <w:sz w:val="18"/>
                <w:szCs w:val="18"/>
              </w:rPr>
            </w:pPr>
            <w:r w:rsidRPr="00D14A4D">
              <w:rPr>
                <w:color w:val="EE0000"/>
                <w:sz w:val="18"/>
                <w:szCs w:val="18"/>
              </w:rPr>
              <w:t>% or mass/year</w:t>
            </w:r>
          </w:p>
        </w:tc>
        <w:tc>
          <w:tcPr>
            <w:tcW w:w="0" w:type="auto"/>
            <w:hideMark/>
          </w:tcPr>
          <w:p w14:paraId="60029C2F" w14:textId="77777777" w:rsidR="00A2637A" w:rsidRPr="00D14A4D" w:rsidRDefault="00A2637A" w:rsidP="00A2637A">
            <w:pPr>
              <w:spacing w:after="120"/>
              <w:ind w:firstLine="480"/>
              <w:rPr>
                <w:color w:val="EE0000"/>
                <w:sz w:val="18"/>
                <w:szCs w:val="18"/>
              </w:rPr>
            </w:pPr>
            <w:r w:rsidRPr="00D14A4D">
              <w:rPr>
                <w:color w:val="EE0000"/>
                <w:sz w:val="18"/>
                <w:szCs w:val="18"/>
              </w:rPr>
              <w:t>Resource-efficiency assessment</w:t>
            </w:r>
          </w:p>
        </w:tc>
        <w:tc>
          <w:tcPr>
            <w:tcW w:w="0" w:type="auto"/>
            <w:hideMark/>
          </w:tcPr>
          <w:p w14:paraId="5F2E9944" w14:textId="77777777" w:rsidR="00A2637A" w:rsidRPr="00D14A4D" w:rsidRDefault="00A2637A" w:rsidP="00A2637A">
            <w:pPr>
              <w:spacing w:after="120"/>
              <w:ind w:firstLine="480"/>
              <w:rPr>
                <w:color w:val="EE0000"/>
                <w:sz w:val="18"/>
                <w:szCs w:val="18"/>
              </w:rPr>
            </w:pPr>
            <w:r w:rsidRPr="00D14A4D">
              <w:rPr>
                <w:color w:val="EE0000"/>
                <w:sz w:val="18"/>
                <w:szCs w:val="18"/>
              </w:rPr>
              <w:t>Equipment lifecycle</w:t>
            </w:r>
          </w:p>
        </w:tc>
      </w:tr>
    </w:tbl>
    <w:p w14:paraId="4D9A0983" w14:textId="77777777" w:rsidR="00A2637A" w:rsidRDefault="00A2637A" w:rsidP="000B0F03">
      <w:pPr>
        <w:spacing w:after="120"/>
        <w:ind w:firstLine="480"/>
      </w:pPr>
    </w:p>
    <w:p w14:paraId="0828F546" w14:textId="77777777" w:rsidR="00FE013C" w:rsidRDefault="00FE013C" w:rsidP="004C16FF">
      <w:pPr>
        <w:pStyle w:val="Heading2"/>
      </w:pPr>
      <w:r w:rsidRPr="00E75DCC">
        <w:rPr>
          <w:color w:val="auto"/>
        </w:rPr>
        <w:t>1</w:t>
      </w:r>
      <w:r>
        <w:rPr>
          <w:color w:val="auto"/>
        </w:rPr>
        <w:t>2.4</w:t>
      </w:r>
      <w:r w:rsidRPr="00E75DCC">
        <w:rPr>
          <w:color w:val="auto"/>
        </w:rPr>
        <w:t xml:space="preserve"> </w:t>
      </w:r>
      <w:r>
        <w:t>Environmental Impact Assessment</w:t>
      </w:r>
    </w:p>
    <w:p w14:paraId="2A9132E1" w14:textId="0B9A38B6" w:rsidR="0059318D" w:rsidRPr="0059318D" w:rsidRDefault="0059318D" w:rsidP="00645FA3">
      <w:pPr>
        <w:spacing w:after="120"/>
        <w:ind w:firstLine="480"/>
      </w:pPr>
      <w:r w:rsidRPr="00454173">
        <w:rPr>
          <w:highlight w:val="yellow"/>
        </w:rPr>
        <w:t>The environmental impacts associated with AI-data-center infrastructure extend beyond electricity consumption and include water use, land use, material demand, and electronic waste generation. Water consumption is particularly important because cooling-system selection often involves a trade-off between energy efficiency and water use. Air-cooled systems typically minimize direct water consumption but may require higher electrical energy for cooling, whereas evaporative and some liquid-cooling configurations can reduce cooling-energy requirements while increasing water demand.</w:t>
      </w:r>
      <w:r w:rsidR="00645FA3" w:rsidRPr="00454173">
        <w:rPr>
          <w:highlight w:val="yellow"/>
        </w:rPr>
        <w:t xml:space="preserve"> </w:t>
      </w:r>
      <w:r w:rsidRPr="00454173">
        <w:rPr>
          <w:highlight w:val="yellow"/>
        </w:rPr>
        <w:t xml:space="preserve">The environmental significance of water consumption is highly </w:t>
      </w:r>
      <w:proofErr w:type="gramStart"/>
      <w:r w:rsidRPr="00454173">
        <w:rPr>
          <w:highlight w:val="yellow"/>
        </w:rPr>
        <w:t>location-dependent</w:t>
      </w:r>
      <w:proofErr w:type="gramEnd"/>
      <w:r w:rsidRPr="00454173">
        <w:rPr>
          <w:highlight w:val="yellow"/>
        </w:rPr>
        <w:t>. Facilities located in water-stressed regions may face additional sustainability constraints and regulatory scrutiny, even when operating highly efficient cooling systems. Therefore, both energy-related metrics (such as PUE) and water-related metrics (such as WUE) should be considered when evaluating cooling-system alternatives.</w:t>
      </w:r>
      <w:r w:rsidR="00645FA3" w:rsidRPr="00454173">
        <w:rPr>
          <w:highlight w:val="yellow"/>
        </w:rPr>
        <w:t xml:space="preserve"> </w:t>
      </w:r>
      <w:r w:rsidRPr="00454173">
        <w:rPr>
          <w:highlight w:val="yellow"/>
        </w:rPr>
        <w:t>Electronic-waste generation and supply-chain impacts are additional sustainability concerns associated with rapid AI-infrastructure deployment. Although several studies have projected significant increases in AI-related material consumption and equipment turnover, the magnitude of future e-waste generation remains uncertain because it depends on hardware life expectancy, refurbishment practices, recycling rates, technological progress, and future computing architectures</w:t>
      </w:r>
      <w:r w:rsidR="00110E0F" w:rsidRPr="00454173">
        <w:rPr>
          <w:highlight w:val="yellow"/>
        </w:rPr>
        <w:t xml:space="preserve"> </w:t>
      </w:r>
      <w:r w:rsidR="00CE602A" w:rsidRPr="00454173">
        <w:rPr>
          <w:highlight w:val="yellow"/>
        </w:rPr>
        <w:fldChar w:fldCharType="begin"/>
      </w:r>
      <w:r w:rsidR="00CE602A" w:rsidRPr="00454173">
        <w:rPr>
          <w:highlight w:val="yellow"/>
        </w:rP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CE602A" w:rsidRPr="00454173">
        <w:rPr>
          <w:highlight w:val="yellow"/>
        </w:rPr>
        <w:fldChar w:fldCharType="separate"/>
      </w:r>
      <w:r w:rsidR="00CE602A" w:rsidRPr="00454173">
        <w:rPr>
          <w:highlight w:val="yellow"/>
        </w:rPr>
        <w:t>[2]</w:t>
      </w:r>
      <w:r w:rsidR="00CE602A" w:rsidRPr="00454173">
        <w:rPr>
          <w:highlight w:val="yellow"/>
        </w:rPr>
        <w:fldChar w:fldCharType="end"/>
      </w:r>
      <w:r w:rsidR="00CE602A" w:rsidRPr="00454173">
        <w:rPr>
          <w:highlight w:val="yellow"/>
        </w:rPr>
        <w:t xml:space="preserve">, </w:t>
      </w:r>
      <w:r w:rsidR="00110E0F" w:rsidRPr="00454173">
        <w:rPr>
          <w:highlight w:val="yellow"/>
        </w:rPr>
        <w:fldChar w:fldCharType="begin"/>
      </w:r>
      <w:r w:rsidR="00110E0F" w:rsidRPr="00454173">
        <w:rPr>
          <w:highlight w:val="yellow"/>
        </w:rPr>
        <w:instrText xml:space="preserve"> ADDIN ZOTERO_ITEM CSL_CITATION {"citationID":"dmjkCpIF","properties":{"unsorted":false,"formattedCitation":"[182]","plainCitation":"[182]","noteIndex":0},"citationItems":[{"id":2191,"uris":["http://zotero.org/users/9870935/items/PGQT4HIW"],"itemData":{"id":2191,"type":"document","title":"ENVIRONMENTAL COST OF AI'S ENERGY USE","author":[{"family":"UN","given":""}]}}],"schema":"https://github.com/citation-style-language/schema/raw/master/csl-citation.json"} </w:instrText>
      </w:r>
      <w:r w:rsidR="00110E0F" w:rsidRPr="00454173">
        <w:rPr>
          <w:highlight w:val="yellow"/>
        </w:rPr>
        <w:fldChar w:fldCharType="separate"/>
      </w:r>
      <w:r w:rsidR="00110E0F" w:rsidRPr="00454173">
        <w:rPr>
          <w:highlight w:val="yellow"/>
        </w:rPr>
        <w:t>[181]</w:t>
      </w:r>
      <w:r w:rsidR="00110E0F" w:rsidRPr="00454173">
        <w:rPr>
          <w:highlight w:val="yellow"/>
        </w:rPr>
        <w:fldChar w:fldCharType="end"/>
      </w:r>
      <w:r w:rsidRPr="00454173">
        <w:rPr>
          <w:highlight w:val="yellow"/>
        </w:rPr>
        <w:t>.</w:t>
      </w:r>
    </w:p>
    <w:p w14:paraId="5138E04F" w14:textId="77777777" w:rsidR="00FE013C" w:rsidRDefault="00FE013C" w:rsidP="004C16FF">
      <w:pPr>
        <w:pStyle w:val="Heading2"/>
      </w:pPr>
      <w:r w:rsidRPr="00E75DCC">
        <w:rPr>
          <w:color w:val="auto"/>
        </w:rPr>
        <w:t>1</w:t>
      </w:r>
      <w:r>
        <w:rPr>
          <w:color w:val="auto"/>
        </w:rPr>
        <w:t>2.5</w:t>
      </w:r>
      <w:r w:rsidRPr="00E75DCC">
        <w:rPr>
          <w:color w:val="auto"/>
        </w:rPr>
        <w:t xml:space="preserve"> </w:t>
      </w:r>
      <w:r>
        <w:t>Regulatory Barriers and Opportunities</w:t>
      </w:r>
    </w:p>
    <w:p w14:paraId="0E021EDA" w14:textId="520BED26" w:rsidR="00FE013C" w:rsidRDefault="00FE013C" w:rsidP="00286292">
      <w:pPr>
        <w:spacing w:after="120"/>
        <w:ind w:firstLine="480"/>
      </w:pPr>
      <w:r w:rsidRPr="00C57C71">
        <w:t xml:space="preserve">Interconnection queue congestion is a major regulatory barrier for renewable-powered data </w:t>
      </w:r>
      <w:r w:rsidR="00580BAE">
        <w:t>center</w:t>
      </w:r>
      <w:r w:rsidRPr="00C57C71">
        <w:t xml:space="preserve">s today. In the past decade, the number of requests has grown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w:t>
      </w:r>
      <w:r w:rsidRPr="00C57C71">
        <w:lastRenderedPageBreak/>
        <w:t xml:space="preserve">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rsidR="00286292">
        <w:instrText xml:space="preserve"> ADDIN ZOTERO_ITEM CSL_CITATION {"citationID":"3kR8mlfQ","properties":{"unsorted":false,"formattedCitation":"[180], [184]","plainCitation":"[180], [184]","noteIndex":0},"citationItems":[{"id":2175,"uris":["http://zotero.org/users/9870935/items/YE4EN6MK"],"itemData":{"id":2175,"type":"document","title":"2026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286292" w:rsidRPr="00286292">
        <w:t>[179], [183]</w:t>
      </w:r>
      <w:r>
        <w:fldChar w:fldCharType="end"/>
      </w:r>
      <w:r w:rsidRPr="00C57C71">
        <w:t xml:space="preserve">.  </w:t>
      </w:r>
    </w:p>
    <w:p w14:paraId="0266571C" w14:textId="77777777" w:rsidR="00FE013C" w:rsidRPr="002108A4" w:rsidRDefault="00FE013C" w:rsidP="004C16FF">
      <w:pPr>
        <w:pStyle w:val="Heading2"/>
      </w:pPr>
      <w:r w:rsidRPr="00E75DCC">
        <w:rPr>
          <w:color w:val="auto"/>
        </w:rPr>
        <w:t>1</w:t>
      </w:r>
      <w:r>
        <w:rPr>
          <w:color w:val="auto"/>
        </w:rPr>
        <w:t>2.6</w:t>
      </w:r>
      <w:r w:rsidRPr="00E75DCC">
        <w:rPr>
          <w:color w:val="auto"/>
        </w:rPr>
        <w:t xml:space="preserve"> </w:t>
      </w:r>
      <w:r>
        <w:t>Sustainability Certifications and Reporting</w:t>
      </w:r>
    </w:p>
    <w:p w14:paraId="2B286C58" w14:textId="37F54A3C" w:rsidR="00FE013C" w:rsidRDefault="00FE013C" w:rsidP="00286292">
      <w:pPr>
        <w:spacing w:after="120"/>
        <w:ind w:firstLine="480"/>
      </w:pPr>
      <w:r w:rsidRPr="002108A4">
        <w:t xml:space="preserve">Voluntary sustainability certifications are rapidly becoming regulatory compliance frameworks.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Pr="002108A4">
        <w:t>s by 2030. LEGACY Standards, such as LEED and ISO 50001 and the Uptime Institute's Tier Standard, are still significant benchmarks to use during operation, but are increasingly being incorporated into these higher-level compliance frameworks</w:t>
      </w:r>
      <w:r>
        <w:fldChar w:fldCharType="begin"/>
      </w:r>
      <w:r w:rsidR="00286292">
        <w:instrText xml:space="preserve"> ADDIN ZOTERO_ITEM CSL_CITATION {"citationID":"uVwMO1fa","properties":{"unsorted":false,"formattedCitation":"[176], [185]","plainCitation":"[176], [185]","noteIndex":0},"citationItems":[{"id":2256,"uris":["http://zotero.org/users/9870935/items/CYR5QZSI"],"itemData":{"id":2256,"type":"article-journal","container-title":"European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fldChar w:fldCharType="separate"/>
      </w:r>
      <w:r w:rsidR="00286292" w:rsidRPr="00286292">
        <w:t>[175], [184]</w:t>
      </w:r>
      <w:r>
        <w:fldChar w:fldCharType="end"/>
      </w:r>
      <w:r w:rsidRPr="002108A4">
        <w:t>.</w:t>
      </w:r>
    </w:p>
    <w:p w14:paraId="558776F0" w14:textId="7F1A6DDB" w:rsidR="00CA1249" w:rsidRDefault="00CA1249" w:rsidP="00CA1249">
      <w:pPr>
        <w:pStyle w:val="Heading1"/>
        <w:keepNext/>
        <w:jc w:val="both"/>
      </w:pPr>
      <w:r>
        <w:t>13. Limitations</w:t>
      </w:r>
    </w:p>
    <w:p w14:paraId="5E5CBFEF" w14:textId="49992AB8" w:rsidR="005650D4" w:rsidRPr="005650D4" w:rsidRDefault="005650D4" w:rsidP="005650D4">
      <w:pPr>
        <w:pStyle w:val="Heading2"/>
        <w:rPr>
          <w:color w:val="auto"/>
        </w:rPr>
      </w:pPr>
      <w:r w:rsidRPr="005650D4">
        <w:rPr>
          <w:color w:val="auto"/>
        </w:rPr>
        <w:t>13.</w:t>
      </w:r>
      <w:r>
        <w:rPr>
          <w:color w:val="auto"/>
        </w:rPr>
        <w:t>1</w:t>
      </w:r>
      <w:r w:rsidRPr="005650D4">
        <w:rPr>
          <w:color w:val="auto"/>
        </w:rPr>
        <w:t xml:space="preserve"> </w:t>
      </w:r>
      <w:r>
        <w:rPr>
          <w:color w:val="auto"/>
        </w:rPr>
        <w:t>Evidence Base and Geographic Scope</w:t>
      </w:r>
    </w:p>
    <w:p w14:paraId="71803421" w14:textId="77777777" w:rsidR="005650D4" w:rsidRDefault="005650D4" w:rsidP="005650D4">
      <w:pPr>
        <w:spacing w:after="120"/>
        <w:ind w:firstLine="480"/>
        <w:rPr>
          <w:highlight w:val="yellow"/>
        </w:rPr>
      </w:pPr>
      <w:r>
        <w:t xml:space="preserve">This review draws together evidence and information from published research, technical standards, agency reports, and industry disclosures made in the public domain. The bulk of the case-study evidence and quantitative benchmarks is drawn from North American operators — in particular Google, Meta, Microsoft, Apple, and Equinix — all of which are U.S.-headquartered and report primarily against U.S. grid, market, and regulatory structures. The grid codes, capacity-market designs, and tax-credit instruments that frame the economic conclusions — including the PJM, CAISO, and ERCOT wholesale markets, FERC Order 2023 on generator interconnection, and the Inflation Reduction Act (IRA) production and investment tax credits — do not transfer directly to European networks operating under the ENTSO-E network codes, to Asian markets with different capacity-mechanism designs, or to emerging markets with less developed renewable-procurement frameworks. Cost figures reported by IRENA, NREL ATB, and </w:t>
      </w:r>
      <w:proofErr w:type="spellStart"/>
      <w:r>
        <w:t>BloombergNEF</w:t>
      </w:r>
      <w:proofErr w:type="spellEnd"/>
      <w:r>
        <w:t xml:space="preserve"> are regional or global averages that may differ substantially from project-specific costs in any given country due to currency exchange, </w:t>
      </w:r>
      <w:proofErr w:type="spellStart"/>
      <w:r>
        <w:t>labour</w:t>
      </w:r>
      <w:proofErr w:type="spellEnd"/>
      <w:r>
        <w:t xml:space="preserve"> rates, balance-of-system costs, permitting regimes, and import duties. Techno-economic findings — including the 7.5% real WACC, the 99.99% annual availability target, the $43/MWh solar and $34/MWh wind LCOEs, and the $108/kWh battery-pack price — should therefore be treated as </w:t>
      </w:r>
      <w:r>
        <w:lastRenderedPageBreak/>
        <w:t>globally representative benchmarks rather than site-specific estimates. Extrapolation of these findings to other jurisdictions requires explicit recalibration of resource data, network tariffs, fiscal incentives, and regulatory constraints.</w:t>
      </w:r>
    </w:p>
    <w:p w14:paraId="26D50964" w14:textId="2B763947" w:rsidR="005650D4" w:rsidRPr="005650D4" w:rsidRDefault="005650D4" w:rsidP="005650D4">
      <w:pPr>
        <w:spacing w:after="120"/>
        <w:ind w:firstLine="480"/>
        <w:rPr>
          <w:highlight w:val="yellow"/>
        </w:rPr>
      </w:pPr>
      <w:r w:rsidRPr="005650D4">
        <w:rPr>
          <w:highlight w:val="yellow"/>
        </w:rPr>
        <w:t>This review draws together evidence and information from published research, technical standards, agency reports, and industry disclosures made in the public domain. Much of the literature and case studies are from North America, especially the United States, where policy frameworks, electricity-market structures, renewable-energy incentives, and interconnection processes vary widely from other areas. It is therefore important to consider the applicability of some results to other jurisdictions within the context of that jurisdiction.</w:t>
      </w:r>
    </w:p>
    <w:p w14:paraId="0EB83682" w14:textId="5225D8C2" w:rsidR="005650D4" w:rsidRPr="005650D4" w:rsidRDefault="005650D4" w:rsidP="005650D4">
      <w:pPr>
        <w:pStyle w:val="Heading2"/>
        <w:rPr>
          <w:color w:val="auto"/>
        </w:rPr>
      </w:pPr>
      <w:r w:rsidRPr="005650D4">
        <w:rPr>
          <w:color w:val="auto"/>
        </w:rPr>
        <w:t>13.2 Corporate Reporting and Source Quality</w:t>
      </w:r>
    </w:p>
    <w:p w14:paraId="158EA2AB" w14:textId="10F97DB8" w:rsidR="005650D4" w:rsidRPr="005650D4" w:rsidRDefault="005650D4" w:rsidP="005650D4">
      <w:pPr>
        <w:spacing w:after="120"/>
        <w:ind w:firstLine="480"/>
        <w:rPr>
          <w:highlight w:val="yellow"/>
        </w:rPr>
      </w:pPr>
      <w:r w:rsidRPr="005650D4">
        <w:rPr>
          <w:highlight w:val="yellow"/>
        </w:rPr>
        <w:t xml:space="preserve">The case studies and sustainability metrics presented in Sections 8 and 12 rely heavily on voluntary, self-reported corporate sustainability disclosures such as the Google Environmental Report, the Microsoft Sustainability Report, the Meta sustainability page, and the Equinix Sustainability Report. These sources offer valuable operational detail that is not available in the peer-reviewed literature, but they vary considerably in scope, system boundary, reporting period, verification regime, and methodological transparency. Renewable-energy coverage, carbon-free energy (CFE) scores, power usage effectiveness (PUE), water usage effectiveness (WUE), and Scope 1/2/3 emissions are reported against </w:t>
      </w:r>
      <w:proofErr w:type="spellStart"/>
      <w:r w:rsidRPr="005650D4">
        <w:rPr>
          <w:highlight w:val="yellow"/>
        </w:rPr>
        <w:t>organisational</w:t>
      </w:r>
      <w:proofErr w:type="spellEnd"/>
      <w:r w:rsidRPr="005650D4">
        <w:rPr>
          <w:highlight w:val="yellow"/>
        </w:rPr>
        <w:t xml:space="preserve"> and accounting boundaries that each operator defines for itself, so the reported figures are generally not directly comparable across companies. Limited independent third-party assurance is provided for some metrics, but the assurance scope, standard applied (ISAE 3000, AA1000AS, GHG Protocol), and level (reasonable vs. limited) </w:t>
      </w:r>
      <w:proofErr w:type="gramStart"/>
      <w:r w:rsidRPr="005650D4">
        <w:rPr>
          <w:highlight w:val="yellow"/>
        </w:rPr>
        <w:t>differ</w:t>
      </w:r>
      <w:proofErr w:type="gramEnd"/>
      <w:r w:rsidRPr="005650D4">
        <w:rPr>
          <w:highlight w:val="yellow"/>
        </w:rPr>
        <w:t xml:space="preserve"> between </w:t>
      </w:r>
      <w:proofErr w:type="spellStart"/>
      <w:r w:rsidRPr="005650D4">
        <w:rPr>
          <w:highlight w:val="yellow"/>
        </w:rPr>
        <w:t>organisations</w:t>
      </w:r>
      <w:proofErr w:type="spellEnd"/>
      <w:r w:rsidRPr="005650D4">
        <w:rPr>
          <w:highlight w:val="yellow"/>
        </w:rPr>
        <w:t xml:space="preserve"> and reporting years. There is an inherent risk of greenwashing in CFE and carbon-free matching (CFM) accounting because hourly matching can be reported against different geographic reference grids and because unbundled renewable certificates may be used to support annual matching claims that do not reflect physical hourly delivery. Where corporate disclosures are used as primary evidence in this review, the source is cited explicitly, the accounting basis is identified, and the reader is alerted to comparability limitations. The review does not independently audit the reported figures and does not claim that they are reproducible from publicly available metered data.</w:t>
      </w:r>
    </w:p>
    <w:p w14:paraId="42E78203" w14:textId="4E58BD41" w:rsidR="005650D4" w:rsidRPr="005650D4" w:rsidRDefault="005650D4" w:rsidP="005650D4">
      <w:pPr>
        <w:pStyle w:val="Heading2"/>
        <w:rPr>
          <w:color w:val="auto"/>
        </w:rPr>
      </w:pPr>
      <w:r w:rsidRPr="005650D4">
        <w:rPr>
          <w:color w:val="auto"/>
        </w:rPr>
        <w:t>13.3 Methodological and Screening Limitations</w:t>
      </w:r>
    </w:p>
    <w:p w14:paraId="563D8A77" w14:textId="3D615668" w:rsidR="005650D4" w:rsidRPr="005650D4" w:rsidRDefault="005650D4" w:rsidP="005650D4">
      <w:pPr>
        <w:spacing w:after="120"/>
        <w:ind w:firstLine="480"/>
        <w:rPr>
          <w:highlight w:val="yellow"/>
        </w:rPr>
      </w:pPr>
      <w:r w:rsidRPr="005650D4">
        <w:rPr>
          <w:highlight w:val="yellow"/>
        </w:rPr>
        <w:t>The review is structured as a narrative critical synthesis rather than a quantitative meta-analysis. The evidence base reflects a wide variety of source types — peer-reviewed journal articles, conference papers, technical reports, technical standards (IEEE, IEC, NFPA), agency documents (IEA, IRENA, NREL, EPRI, EIA), corporate sustainability reports, market reports (</w:t>
      </w:r>
      <w:proofErr w:type="spellStart"/>
      <w:r w:rsidRPr="005650D4">
        <w:rPr>
          <w:highlight w:val="yellow"/>
        </w:rPr>
        <w:t>BloombergNEF</w:t>
      </w:r>
      <w:proofErr w:type="spellEnd"/>
      <w:r w:rsidRPr="005650D4">
        <w:rPr>
          <w:highlight w:val="yellow"/>
        </w:rPr>
        <w:t xml:space="preserve">, Lazard, Wood Mackenzie), and patent documents — each with its own methodological tradition, system boundary, and quality-assurance regime. This heterogeneity introduces evidence-quality variation that cannot be resolved by a single weighting scheme. There is no unified methodological framework across all sources: some cost figures are reported as </w:t>
      </w:r>
      <w:proofErr w:type="spellStart"/>
      <w:r w:rsidRPr="005650D4">
        <w:rPr>
          <w:highlight w:val="yellow"/>
        </w:rPr>
        <w:t>levelised</w:t>
      </w:r>
      <w:proofErr w:type="spellEnd"/>
      <w:r w:rsidRPr="005650D4">
        <w:rPr>
          <w:highlight w:val="yellow"/>
        </w:rPr>
        <w:t xml:space="preserve"> costs under explicit financing assumptions, others are project-vintage weighted averages, and others are vendor list prices; reliability metrics are reported against different reference standards (IEEE 1366, NERC, Uptime Institute); and emissions factors are reported against different grid-average or marginal intensities. The screening process described in Section 1.6 mitigates but does not eliminate these differences: studies were retained on relevance and minimum quality criteria, not on methodological uniformity. The findings </w:t>
      </w:r>
      <w:proofErr w:type="spellStart"/>
      <w:r w:rsidRPr="005650D4">
        <w:rPr>
          <w:highlight w:val="yellow"/>
        </w:rPr>
        <w:t>synthesised</w:t>
      </w:r>
      <w:proofErr w:type="spellEnd"/>
      <w:r w:rsidRPr="005650D4">
        <w:rPr>
          <w:highlight w:val="yellow"/>
        </w:rPr>
        <w:t xml:space="preserve"> in this review should therefore be viewed as a structured representation of the current evidence rather than as a </w:t>
      </w:r>
      <w:r w:rsidRPr="005650D4">
        <w:rPr>
          <w:highlight w:val="yellow"/>
        </w:rPr>
        <w:lastRenderedPageBreak/>
        <w:t xml:space="preserve">uniform data set; quantitative meta-analytic claims would require a more restrictive eligibility filter and a </w:t>
      </w:r>
      <w:proofErr w:type="spellStart"/>
      <w:r w:rsidRPr="005650D4">
        <w:rPr>
          <w:highlight w:val="yellow"/>
        </w:rPr>
        <w:t>harmonised</w:t>
      </w:r>
      <w:proofErr w:type="spellEnd"/>
      <w:r w:rsidRPr="005650D4">
        <w:rPr>
          <w:highlight w:val="yellow"/>
        </w:rPr>
        <w:t xml:space="preserve"> extraction protocol that are beyond the scope of this work. The decision framework presented in Section 7 is designed to make this heterogeneity explicit at project level by requiring the user to specify the resource data, financing assumptions, and reliability standard that will be used for site-specific evaluation.</w:t>
      </w:r>
    </w:p>
    <w:p w14:paraId="1D7C7B8F" w14:textId="4E4A885D" w:rsidR="005650D4" w:rsidRPr="004E72B6" w:rsidRDefault="004E72B6" w:rsidP="004E72B6">
      <w:pPr>
        <w:pStyle w:val="Heading2"/>
        <w:rPr>
          <w:color w:val="auto"/>
        </w:rPr>
      </w:pPr>
      <w:r w:rsidRPr="004E72B6">
        <w:rPr>
          <w:color w:val="auto"/>
        </w:rPr>
        <w:t>13.4 Absence of Site-Specific Validation</w:t>
      </w:r>
    </w:p>
    <w:p w14:paraId="5D4D50BB" w14:textId="64E8FDEA" w:rsidR="005650D4" w:rsidRPr="005650D4" w:rsidRDefault="005650D4" w:rsidP="005650D4">
      <w:pPr>
        <w:spacing w:after="120"/>
        <w:ind w:firstLine="480"/>
        <w:rPr>
          <w:highlight w:val="yellow"/>
        </w:rPr>
      </w:pPr>
      <w:r w:rsidRPr="005650D4">
        <w:rPr>
          <w:highlight w:val="yellow"/>
        </w:rPr>
        <w:t xml:space="preserve">The seven-component framework, the LOLE-based storage-sizing relationships in Section 5.3, the AHP-derived MCDA weights in Section 7.2, and the cost benchmarks in Tables 3, 7, and 9 are presented as decision-support constructs rather than as outputs from a site-specific </w:t>
      </w:r>
      <w:proofErr w:type="spellStart"/>
      <w:r w:rsidRPr="005650D4">
        <w:rPr>
          <w:highlight w:val="yellow"/>
        </w:rPr>
        <w:t>optimisation</w:t>
      </w:r>
      <w:proofErr w:type="spellEnd"/>
      <w:r w:rsidRPr="005650D4">
        <w:rPr>
          <w:highlight w:val="yellow"/>
        </w:rPr>
        <w:t xml:space="preserve"> model or a validated engineering design study. The illustrative weights (0.30, 0.25, 0.20, 0.15, 0.10) reflect general relative importance but should be re-derived with project-specific stakeholder elicitation for any actual deployment. The capacity factors, capacity-credit values, and LCOE ranges cited from IRENA, NREL ATB, and </w:t>
      </w:r>
      <w:proofErr w:type="spellStart"/>
      <w:r w:rsidRPr="005650D4">
        <w:rPr>
          <w:highlight w:val="yellow"/>
        </w:rPr>
        <w:t>BloombergNEF</w:t>
      </w:r>
      <w:proofErr w:type="spellEnd"/>
      <w:r w:rsidRPr="005650D4">
        <w:rPr>
          <w:highlight w:val="yellow"/>
        </w:rPr>
        <w:t xml:space="preserve"> are regional or global averages that may differ from project-specific values by 30 to 60 per cent or more depending on resource quality, project size, financing, and interconnection cost. The LOLE target of 0.876 h/yr (99.99% annual availability) is presented as a screening-level reliability criterion; for any actual project, site-specific resource assessment covering at least one full year — and preferably three or more years — of hourly or sub-hourly solar, wind, load, and grid-availability data is required before sizing decisions are </w:t>
      </w:r>
      <w:proofErr w:type="spellStart"/>
      <w:r w:rsidRPr="005650D4">
        <w:rPr>
          <w:highlight w:val="yellow"/>
        </w:rPr>
        <w:t>finalised</w:t>
      </w:r>
      <w:proofErr w:type="spellEnd"/>
      <w:r w:rsidRPr="005650D4">
        <w:rPr>
          <w:highlight w:val="yellow"/>
        </w:rPr>
        <w:t>. The review does not report a single validated case study that applies the entire framework end-to-end to a named facility with publicly disclosed inputs and outputs; doing so is left as future work. Accordingly, the implementation of this approach at project scale requires resource assessment, detailed electrical and mechanical engineering studies, technology-specific performance specifications, lifecycle cost evaluation, and regulatory review that are beyond the scope of a critical review.</w:t>
      </w:r>
    </w:p>
    <w:p w14:paraId="0FBED228" w14:textId="5961E946" w:rsidR="005650D4" w:rsidRPr="00987689" w:rsidRDefault="005650D4" w:rsidP="00987689">
      <w:pPr>
        <w:pStyle w:val="Heading2"/>
        <w:rPr>
          <w:color w:val="auto"/>
        </w:rPr>
      </w:pPr>
      <w:r w:rsidRPr="00987689">
        <w:rPr>
          <w:color w:val="auto"/>
        </w:rPr>
        <w:t>13.5 Technology, Policy, and Market Uncertainty</w:t>
      </w:r>
    </w:p>
    <w:p w14:paraId="62EF41EB" w14:textId="269106CC" w:rsidR="00D14A4D" w:rsidRDefault="005650D4" w:rsidP="005650D4">
      <w:pPr>
        <w:spacing w:after="120"/>
        <w:ind w:firstLine="480"/>
      </w:pPr>
      <w:r w:rsidRPr="005650D4">
        <w:rPr>
          <w:highlight w:val="yellow"/>
        </w:rPr>
        <w:t xml:space="preserve">The energy, computing, and regulatory sectors are all in rapid flux. Battery-pack prices are projected by </w:t>
      </w:r>
      <w:proofErr w:type="spellStart"/>
      <w:r w:rsidRPr="005650D4">
        <w:rPr>
          <w:highlight w:val="yellow"/>
        </w:rPr>
        <w:t>BloombergNEF</w:t>
      </w:r>
      <w:proofErr w:type="spellEnd"/>
      <w:r w:rsidRPr="005650D4">
        <w:rPr>
          <w:highlight w:val="yellow"/>
        </w:rPr>
        <w:t xml:space="preserve"> to continue declining at roughly 8% per year in real terms through 2030, but the actual trajectory depends on lithium, nickel, and cobalt prices, on the rate at which sodium-ion and solid-state chemistries displace lithium iron phosphate (LFP) in stationary applications, and on the scale of manufacturing capacity additions in China, the United States, and Europe. The Inflation Reduction Act production and investment tax credits that underpin several of the economic assumptions in Section 10 are currently scheduled to phase down after 2025 and 2032 respectively, and the actual phase-down schedule is subject to legislative change. FERC Order 2023 on generator interconnection is being implemented over a multi-year transition window and the resulting queue-resolution timing and cost-allocation rules are still evolving in the individual ISO/RTO tariffs. AI workload growth is similarly uncertain: the Goldman Sachs baseline projection of a 165% increase in data-center electricity demand between 2024 and 2030 is sensitive to assumptions about model efficiency gains, the rate of inference workload scaling, the adoption of more efficient accelerator architectures, and the geographic distribution of new capacity. Cost and policy assumptions used in this review should therefore be refreshed on at least an annual basis, and the framework should be re-evaluated as new evidence on technology cost, market design, and demand growth becomes available. The review recommends that any application of the framework at project level document the vintage of every cost and policy assumption used and that sensitivity analysis be performed across at least the </w:t>
      </w:r>
      <w:r w:rsidRPr="005650D4">
        <w:rPr>
          <w:highlight w:val="yellow"/>
        </w:rPr>
        <w:lastRenderedPageBreak/>
        <w:t>discount rate (5 to 12% real WACC), the battery-pack price (USD 70 to 150/kWh), and the reliability target (99.9 to 99.99% annual availability).</w:t>
      </w:r>
    </w:p>
    <w:p w14:paraId="48D13507" w14:textId="7DC75405" w:rsidR="00FE013C" w:rsidRDefault="00FE013C" w:rsidP="004C16FF">
      <w:pPr>
        <w:pStyle w:val="Heading1"/>
        <w:keepNext/>
        <w:jc w:val="both"/>
      </w:pPr>
      <w:r>
        <w:t>1</w:t>
      </w:r>
      <w:r w:rsidR="00CA1249">
        <w:t>4</w:t>
      </w:r>
      <w:r>
        <w:t>. Conclusions</w:t>
      </w:r>
    </w:p>
    <w:p w14:paraId="2A07F381" w14:textId="77777777" w:rsidR="00571D88" w:rsidRPr="00571D88" w:rsidRDefault="00FE013C" w:rsidP="00571D88">
      <w:pPr>
        <w:spacing w:after="120"/>
        <w:ind w:firstLine="480"/>
      </w:pPr>
      <w:r w:rsidRPr="00527524">
        <w:t xml:space="preserve">This review presents a seven-component framework for designing, deploying, and operating AI data centers powered by renewable energy. The framework integrates site assessment and resource evaluation, technology mix optimization, electrical architecture design, hierarchical control and dispatch strategies, demand-side workload flexibility, economic viability modeling, and sustainability and resilience compliance into a single unified methodology. This framework connects engineering, operational, financial, and regulatory considerations, whereas prior research primarily addressed either technical performance or economic feasibility in isolation. By placing renewable generation, energy storage, grid connection, and workload scheduling within one analytical structure, </w:t>
      </w:r>
      <w:proofErr w:type="gramStart"/>
      <w:r w:rsidR="00571D88" w:rsidRPr="00571D88">
        <w:t>This</w:t>
      </w:r>
      <w:proofErr w:type="gramEnd"/>
      <w:r w:rsidR="00571D88" w:rsidRPr="00571D88">
        <w:t xml:space="preserve"> framework provides a structured decision-support approach for evaluating renewable-powered AI data-center developments by integrating technical, operational, economic, and sustainability considerations within a single analytical framework.</w:t>
      </w:r>
    </w:p>
    <w:p w14:paraId="28F50031" w14:textId="0E156C7D" w:rsidR="00FE013C" w:rsidRPr="00571D88" w:rsidRDefault="00FE013C" w:rsidP="00571D88">
      <w:pPr>
        <w:pStyle w:val="Heading2"/>
        <w:rPr>
          <w:color w:val="auto"/>
        </w:rPr>
      </w:pPr>
      <w:r w:rsidRPr="00E75DCC">
        <w:rPr>
          <w:color w:val="auto"/>
        </w:rPr>
        <w:t>1</w:t>
      </w:r>
      <w:r w:rsidR="00CA1249">
        <w:rPr>
          <w:color w:val="auto"/>
        </w:rPr>
        <w:t>4</w:t>
      </w:r>
      <w:r>
        <w:rPr>
          <w:color w:val="auto"/>
        </w:rPr>
        <w:t>.1</w:t>
      </w:r>
      <w:r w:rsidRPr="00E75DCC">
        <w:rPr>
          <w:color w:val="auto"/>
        </w:rPr>
        <w:t xml:space="preserve"> </w:t>
      </w:r>
      <w:r w:rsidRPr="00571D88">
        <w:rPr>
          <w:color w:val="auto"/>
        </w:rPr>
        <w:t>Key Technical Findings</w:t>
      </w:r>
    </w:p>
    <w:p w14:paraId="66DBF886" w14:textId="3DE09E41" w:rsidR="00407699" w:rsidRPr="00407699" w:rsidRDefault="00FE013C" w:rsidP="00407699">
      <w:pPr>
        <w:spacing w:after="120"/>
        <w:ind w:firstLine="480"/>
        <w:rPr>
          <w:highlight w:val="yellow"/>
          <w:lang w:val="en-CA"/>
        </w:rPr>
      </w:pPr>
      <w:r w:rsidRPr="00E46991">
        <w:rPr>
          <w:highlight w:val="yellow"/>
        </w:rPr>
        <w:t xml:space="preserve">The cost trajectories of renewable energy and storage technologies are firmly established. Since 2010, solar PV installed costs have dropped by more than 90%, with current utility-scale prices in the range of $0.70 to $1.20/W depending on project scale and geography. Wind and solar generation profiles exhibit strong seasonal complementarity, improving system reliability while reducing storage requirements. </w:t>
      </w:r>
      <w:r w:rsidR="00F02BE4" w:rsidRPr="00E46991">
        <w:rPr>
          <w:highlight w:val="yellow"/>
          <w:lang w:val="en-CA"/>
        </w:rPr>
        <w:t>Geographic diversification and complementary renewable-resource portfolios can reduce aggregate renewable-generation variability and may decrease storage requirements compared with single-technology deployments. The magnitude of this benefit is location-specific and should be evaluated using chronological resource and load data</w:t>
      </w:r>
      <w:r w:rsidRPr="00E46991">
        <w:rPr>
          <w:highlight w:val="yellow"/>
        </w:rPr>
        <w:t xml:space="preserve">. Lithium iron phosphate (LFP) battery systems remain the dominant short-to-medium duration storage technology for data </w:t>
      </w:r>
      <w:r w:rsidR="00580BAE" w:rsidRPr="00E46991">
        <w:rPr>
          <w:highlight w:val="yellow"/>
        </w:rPr>
        <w:t>center</w:t>
      </w:r>
      <w:r w:rsidRPr="00E46991">
        <w:rPr>
          <w:highlight w:val="yellow"/>
        </w:rPr>
        <w:t xml:space="preserve"> applications. </w:t>
      </w:r>
      <w:r w:rsidR="00407699" w:rsidRPr="00407699">
        <w:rPr>
          <w:highlight w:val="yellow"/>
          <w:lang w:val="en-CA"/>
        </w:rPr>
        <w:t>The volume-weighted average lithium-ion battery-pack price declined to approximately USD 108/kWh in 2025. Continued cost reductions are anticipated as manufacturing scale and technology maturity increase; however, future cost trajectories remain uncertain and depend on technology development, supply-chain conditions, and market dynamics.</w:t>
      </w:r>
    </w:p>
    <w:p w14:paraId="776C5149" w14:textId="1FDA09AB" w:rsidR="00FE013C" w:rsidRPr="00CA1249" w:rsidRDefault="00FE013C" w:rsidP="00571D88">
      <w:pPr>
        <w:pStyle w:val="Heading2"/>
        <w:rPr>
          <w:color w:val="auto"/>
        </w:rPr>
      </w:pPr>
      <w:r w:rsidRPr="00E75DCC">
        <w:rPr>
          <w:color w:val="auto"/>
        </w:rPr>
        <w:t>1</w:t>
      </w:r>
      <w:r w:rsidR="00CA1249">
        <w:rPr>
          <w:color w:val="auto"/>
        </w:rPr>
        <w:t>4</w:t>
      </w:r>
      <w:r>
        <w:rPr>
          <w:color w:val="auto"/>
        </w:rPr>
        <w:t>.2</w:t>
      </w:r>
      <w:r w:rsidRPr="00E75DCC">
        <w:rPr>
          <w:color w:val="auto"/>
        </w:rPr>
        <w:t xml:space="preserve"> </w:t>
      </w:r>
      <w:r w:rsidRPr="00CA1249">
        <w:rPr>
          <w:color w:val="auto"/>
        </w:rPr>
        <w:t>Key Economic Findings</w:t>
      </w:r>
    </w:p>
    <w:p w14:paraId="63F67912" w14:textId="77777777" w:rsidR="006D1D14" w:rsidRPr="006D1D14" w:rsidRDefault="006D1D14" w:rsidP="006D1D14">
      <w:pPr>
        <w:spacing w:after="120"/>
        <w:ind w:firstLine="480"/>
        <w:rPr>
          <w:highlight w:val="yellow"/>
        </w:rPr>
      </w:pPr>
      <w:r w:rsidRPr="006D1D14">
        <w:rPr>
          <w:highlight w:val="yellow"/>
        </w:rPr>
        <w:t>The reviewed evidence suggests that renewable-powered AI data centers may be economically viable under favorable combinations of renewable-resource quality, electricity prices, financing conditions, storage requirements, interconnection costs, and policy incentives. Economic outcomes vary substantially across projects and should therefore be evaluated through project-specific techno-economic analysis rather than generalized using industry-wide benchmarks.</w:t>
      </w:r>
    </w:p>
    <w:p w14:paraId="68537877" w14:textId="77777777" w:rsidR="00D41EE0" w:rsidRDefault="00000000">
      <w:pPr>
        <w:pStyle w:val="Text"/>
      </w:pPr>
      <w:r>
        <w:t xml:space="preserve">Critical appraisal of the evidence shows that headline cost figures (LCOE, capital costs, PPA prices) reported by IRENA, Lazard, </w:t>
      </w:r>
      <w:proofErr w:type="spellStart"/>
      <w:r>
        <w:t>BloombergNEF</w:t>
      </w:r>
      <w:proofErr w:type="spellEnd"/>
      <w:r>
        <w:t xml:space="preserve">, and NREL ATB frequently diverge by 30–60% even for nominally identical technologies. The Lazard LCOE+ (June 2025) reports utility-scale solar at $29–$92/MWh, while IRENA's 2024 weighted-average solar LCOE is $43/MWh; the difference reflects different system boundaries, financing assumptions, regional weighting, and project-vintage selection. Where studies disagree, the review reports the range and explicitly identifies the source </w:t>
      </w:r>
      <w:r>
        <w:lastRenderedPageBreak/>
        <w:t>rather than picking a single number. Several commonly cited figures in the trade press (e.g., per-hour downtime cost for AI training clusters) trace to single-source estimates that have not been independently verified; the review has removed such figures where the underlying source cannot be confirmed. Claims about workload flexibility, geographic diversification, and storage reduction depend on resource correlation, SLA constraints, and workload portability, all of which are project-specific and should not be extrapolated from any single study. The review therefore reports ranges with explicit source attribution and recommends that project-level analysis always re-derive headline figures from site-specific inputs rather than importing them directly from the literature. The same caution applies to headline reliability and availability figures: published 99.99% or 99.999% targets are operator self-declarations whose underlying accounting basis (annual vs. rolling-window, IT load vs. total facility, planned vs. unplanned outages) is rarely disclosed in sufficient detail to permit direct comparison. Practitioners adopting the framework should treat external headline figures as upper-bound benchmarks and replace them with site-specific values wherever possible.</w:t>
      </w:r>
    </w:p>
    <w:p w14:paraId="2A002337" w14:textId="4FB9A0A0" w:rsidR="00FE013C" w:rsidRDefault="00FE013C" w:rsidP="004C16FF">
      <w:pPr>
        <w:pStyle w:val="Heading2"/>
      </w:pPr>
      <w:r w:rsidRPr="00E75DCC">
        <w:rPr>
          <w:color w:val="auto"/>
        </w:rPr>
        <w:t>1</w:t>
      </w:r>
      <w:r w:rsidR="00CA1249">
        <w:rPr>
          <w:color w:val="auto"/>
        </w:rPr>
        <w:t>4</w:t>
      </w:r>
      <w:r>
        <w:rPr>
          <w:color w:val="auto"/>
        </w:rPr>
        <w:t>.3</w:t>
      </w:r>
      <w:r w:rsidRPr="00E75DCC">
        <w:rPr>
          <w:color w:val="auto"/>
        </w:rPr>
        <w:t xml:space="preserve"> </w:t>
      </w:r>
      <w:r w:rsidRPr="00B64FB3">
        <w:t>Implementation Recommendations</w:t>
      </w:r>
    </w:p>
    <w:p w14:paraId="27A58A83" w14:textId="77777777" w:rsidR="00933B0C" w:rsidRDefault="00933B0C" w:rsidP="00815CE7">
      <w:pPr>
        <w:spacing w:after="120"/>
        <w:ind w:firstLine="480"/>
        <w:rPr>
          <w:highlight w:val="yellow"/>
        </w:rPr>
      </w:pPr>
      <w:r w:rsidRPr="00933B0C">
        <w:rPr>
          <w:highlight w:val="yellow"/>
        </w:rPr>
        <w:t>Deterministic, probabilistic, and optimization-based storage-sizing methodologies each serve different planning purposes. Deterministic approaches may be appropriate where conservative reliability margins are required, while probabilistic approaches such as Loss of Load Expectation (LOLE) can provide additional insight into reliability-performance trade-offs when sufficient chronological data are available. The appropriate methodology should therefore be selected according to planning objectives, available data, reliability requirements, and risk tolerance.</w:t>
      </w:r>
    </w:p>
    <w:p w14:paraId="7105F7ED" w14:textId="63670E44" w:rsidR="00495994" w:rsidRPr="00933B0C" w:rsidRDefault="00495994" w:rsidP="00495994">
      <w:pPr>
        <w:spacing w:after="120"/>
        <w:ind w:firstLine="480"/>
        <w:rPr>
          <w:highlight w:val="yellow"/>
        </w:rPr>
      </w:pPr>
      <w:r w:rsidRPr="00495994">
        <w:rPr>
          <w:highlight w:val="yellow"/>
        </w:rPr>
        <w:t>Overall, this study contributes a systematic critical review and a structured seven-component decision framework that synthesizes current evidence across energy infrastructure, renewable integration, storage technologies, grid interaction, operational strategies, and sustainability considerations for AI data centers. Rather than prescribing a universal technology pathway, the framework is intended to support transparent evaluation of project-specific options, assumptions, trade-offs, and uncertainties. Future work should focus on reproducible techno-economic assessment methodologies, independently verifiable sustainability metrics, long-duration storage integration, and the evolving interaction between AI computing demand and modern power systems.</w:t>
      </w:r>
    </w:p>
    <w:p w14:paraId="434F0A2E" w14:textId="753B7FF3" w:rsidR="00FE013C" w:rsidRPr="00F56D3B" w:rsidRDefault="00FE013C" w:rsidP="004C16FF">
      <w:pPr>
        <w:pStyle w:val="Heading1"/>
        <w:keepNext/>
        <w:jc w:val="both"/>
        <w:rPr>
          <w:lang w:val="en-US"/>
        </w:rPr>
      </w:pPr>
      <w:r>
        <w:t>1</w:t>
      </w:r>
      <w:r w:rsidR="00CA1249">
        <w:t>5</w:t>
      </w:r>
      <w:r>
        <w:t>.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0793E41D" w:rsidR="00FE013C" w:rsidRPr="00035D77" w:rsidRDefault="00FE013C" w:rsidP="004C16FF">
      <w:pPr>
        <w:pStyle w:val="Heading2"/>
        <w:rPr>
          <w:color w:val="auto"/>
        </w:rPr>
      </w:pPr>
      <w:bookmarkStart w:id="7" w:name="_Toc100090"/>
      <w:r w:rsidRPr="00035D77">
        <w:rPr>
          <w:color w:val="auto"/>
        </w:rPr>
        <w:t>1</w:t>
      </w:r>
      <w:r w:rsidR="00CA1249">
        <w:rPr>
          <w:color w:val="auto"/>
        </w:rPr>
        <w:t>5</w:t>
      </w:r>
      <w:r w:rsidRPr="00035D77">
        <w:rPr>
          <w:color w:val="auto"/>
        </w:rPr>
        <w:t>.1 Next-Generation Computing Paradigms</w:t>
      </w:r>
      <w:bookmarkEnd w:id="7"/>
    </w:p>
    <w:p w14:paraId="06942FFF" w14:textId="225636AA" w:rsidR="00FE013C" w:rsidRDefault="00FE013C" w:rsidP="00286292">
      <w:pPr>
        <w:spacing w:after="120"/>
        <w:ind w:firstLine="480"/>
      </w:pPr>
      <w:r>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rsidR="00286292">
        <w:instrText xml:space="preserve"> ADDIN ZOTERO_ITEM CSL_CITATION {"citationID":"1crukupb","properties":{"unsorted":false,"formattedCitation":"[176]","plainCitation":"[176]","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286292" w:rsidRPr="00286292">
        <w:t>[175]</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33320B88" w:rsidR="00FE013C" w:rsidRDefault="00FE013C" w:rsidP="00286292">
      <w:pPr>
        <w:spacing w:after="120"/>
        <w:ind w:firstLine="480"/>
      </w:pPr>
      <w:r>
        <w:lastRenderedPageBreak/>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rsidR="00286292">
        <w:instrText xml:space="preserve"> ADDIN ZOTERO_ITEM CSL_CITATION {"citationID":"nhFiMoUD","properties":{"unsorted":false,"formattedCitation":"[186]","plainCitation":"[186]","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00286292" w:rsidRPr="00286292">
        <w:t>[185]</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1BAFD0F6" w:rsidR="00FE013C" w:rsidRDefault="00FE013C" w:rsidP="00286292">
      <w:pPr>
        <w:spacing w:after="120"/>
        <w:ind w:firstLine="480"/>
      </w:pPr>
      <w:r>
        <w:t>Photonic (optical) computing and interconnects represent the most imminent paradigm shift for AI energy reduction.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rsidR="00286292">
        <w:instrText xml:space="preserve"> ADDIN ZOTERO_ITEM CSL_CITATION {"citationID":"ZGhHTglV","properties":{"unsorted":false,"formattedCitation":"[187]","plainCitation":"[187]","noteIndex":0},"citationItems":[{"id":2207,"uris":["http://zotero.org/users/9870935/items/7C2QV3UH"],"itemData":{"id":2207,"type":"article-journal","abstract":"Panel-scale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00286292" w:rsidRPr="00286292">
        <w:t>[186]</w:t>
      </w:r>
      <w:r>
        <w:fldChar w:fldCharType="end"/>
      </w:r>
      <w:r>
        <w:t>.</w:t>
      </w:r>
    </w:p>
    <w:p w14:paraId="28CC95DC" w14:textId="34481DFB" w:rsidR="00FE013C" w:rsidRPr="00131821" w:rsidRDefault="00FE013C" w:rsidP="004C16FF">
      <w:pPr>
        <w:pStyle w:val="Heading2"/>
        <w:rPr>
          <w:color w:val="auto"/>
        </w:rPr>
      </w:pPr>
      <w:r w:rsidRPr="00131821">
        <w:rPr>
          <w:color w:val="auto"/>
        </w:rPr>
        <w:t>1</w:t>
      </w:r>
      <w:r w:rsidR="00CA1249">
        <w:rPr>
          <w:color w:val="auto"/>
        </w:rPr>
        <w:t>5</w:t>
      </w:r>
      <w:r w:rsidRPr="00131821">
        <w:rPr>
          <w:color w:val="auto"/>
        </w:rPr>
        <w:t>.2 Advanced Energy Storage Technologies</w:t>
      </w:r>
    </w:p>
    <w:p w14:paraId="4B9DDC35" w14:textId="1AE90573" w:rsidR="00FE013C" w:rsidRDefault="00FE013C" w:rsidP="00286292">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rsidR="00286292">
        <w:instrText xml:space="preserve"> ADDIN ZOTERO_ITEM CSL_CITATION {"citationID":"AOjUg4op","properties":{"unsorted":false,"formattedCitation":"[188]","plainCitation":"[188]","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00286292" w:rsidRPr="00286292">
        <w:t>[187]</w:t>
      </w:r>
      <w:r>
        <w:fldChar w:fldCharType="end"/>
      </w:r>
      <w:r>
        <w:t>.</w:t>
      </w:r>
    </w:p>
    <w:p w14:paraId="0215BB71" w14:textId="2D2997AE" w:rsidR="00FE013C" w:rsidRPr="002108A4" w:rsidRDefault="00FE013C" w:rsidP="001B74A6">
      <w:pPr>
        <w:spacing w:after="120"/>
        <w:ind w:firstLine="480"/>
      </w:pPr>
      <w:r>
        <w:t>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constituting a paradigm shift for</w:t>
      </w:r>
      <w:r w:rsidR="004C1E8D">
        <w:t xml:space="preserve"> data center </w:t>
      </w:r>
      <w:r>
        <w:t>that must span multi-day renewable energy deficits</w:t>
      </w:r>
      <w:r>
        <w:fldChar w:fldCharType="begin"/>
      </w:r>
      <w:r w:rsidR="001B74A6">
        <w:instrText xml:space="preserve"> ADDIN ZOTERO_ITEM CSL_CITATION {"citationID":"kXk4XAc1","properties":{"unsorted":false,"formattedCitation":"[121]","plainCitation":"[121]","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1B74A6" w:rsidRPr="001B74A6">
        <w:t>[120]</w:t>
      </w:r>
      <w:r>
        <w:fldChar w:fldCharType="end"/>
      </w:r>
      <w:r>
        <w:t xml:space="preserve">. A low-carbon hydrogen source can provide seasonal storage times. Now, costs need to drop dramatically, from $2/kg to less than $1/kg, for economic viability in data </w:t>
      </w:r>
      <w:r w:rsidR="00580BAE">
        <w:t>center</w:t>
      </w:r>
      <w:r>
        <w:t xml:space="preserve"> backup applications—a long-term target of massive amounts of </w:t>
      </w:r>
      <w:r w:rsidR="004C1E8D">
        <w:t>electrolyze</w:t>
      </w:r>
      <w:r>
        <w:t xml:space="preserve"> scale-up and reductions in renewable electricity cost.</w:t>
      </w:r>
    </w:p>
    <w:p w14:paraId="16C49DE4" w14:textId="66B5DC1E" w:rsidR="00FE013C" w:rsidRDefault="00FE013C" w:rsidP="004C16FF">
      <w:pPr>
        <w:pStyle w:val="Heading2"/>
      </w:pPr>
      <w:r w:rsidRPr="00131821">
        <w:rPr>
          <w:color w:val="auto"/>
        </w:rPr>
        <w:t>1</w:t>
      </w:r>
      <w:r w:rsidR="00CA1249">
        <w:rPr>
          <w:color w:val="auto"/>
        </w:rPr>
        <w:t>5</w:t>
      </w:r>
      <w:r w:rsidRPr="00131821">
        <w:rPr>
          <w:color w:val="auto"/>
        </w:rPr>
        <w:t>.</w:t>
      </w:r>
      <w:r>
        <w:rPr>
          <w:color w:val="auto"/>
        </w:rPr>
        <w:t>3</w:t>
      </w:r>
      <w:r w:rsidRPr="00131821">
        <w:rPr>
          <w:color w:val="auto"/>
        </w:rPr>
        <w:t xml:space="preserve"> </w:t>
      </w:r>
      <w:r>
        <w:t>AI and Machine Learning for Grid Optimization</w:t>
      </w:r>
    </w:p>
    <w:p w14:paraId="0FEA0462" w14:textId="3B2DE26A" w:rsidR="00FE013C" w:rsidRPr="00593464" w:rsidRDefault="00FE013C" w:rsidP="00286292">
      <w:pPr>
        <w:spacing w:after="120"/>
        <w:ind w:firstLine="480"/>
      </w:pPr>
      <w:r w:rsidRPr="00593464">
        <w:t xml:space="preserve">Machine learning is being applied in many ways across the grid, be it forecasting, real-time dispatch, or predictive maintenance. Technologies such as </w:t>
      </w:r>
      <w:proofErr w:type="spellStart"/>
      <w:r w:rsidRPr="00593464">
        <w:t>spatio</w:t>
      </w:r>
      <w:proofErr w:type="spellEnd"/>
      <w:r w:rsidRPr="00593464">
        <w:t>-temporal networks and transformer-based time-series models have been shown to boost the accuracy of solar and wind forecasts by 20–30% compared to traditional numerical weather prediction models</w:t>
      </w:r>
      <w:r>
        <w:fldChar w:fldCharType="begin"/>
      </w:r>
      <w:r w:rsidR="001B74A6">
        <w:instrText xml:space="preserve"> ADDIN ZOTERO_ITEM CSL_CITATION {"citationID":"IpOR4aDm","properties":{"unsorted":false,"formattedCitation":"[121]","plainCitation":"[121]","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1B74A6" w:rsidRPr="001B74A6">
        <w:t>[120]</w:t>
      </w:r>
      <w:r>
        <w:fldChar w:fldCharType="end"/>
      </w:r>
      <w:r w:rsidRPr="00593464">
        <w:t xml:space="preserve">. Reinforcement learning (RL) agents are known to be highly effective 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anomaly detection algorithms on the edge can detect trends in insulation and mechanical degradation of equipment in 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rsidR="00286292">
        <w:instrText xml:space="preserve"> ADDIN ZOTERO_ITEM CSL_CITATION {"citationID":"rSU4U6il","properties":{"unsorted":false,"formattedCitation":"[189]","plainCitation":"[189]","noteIndex":0},"citationItems":[{"id":2212,"uris":["http://zotero.org/users/9870935/items/VXAENHHC"],"itemData":{"id":2212,"type":"article","abstract":"Safe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00286292" w:rsidRPr="00286292">
        <w:t>[188]</w:t>
      </w:r>
      <w:r>
        <w:fldChar w:fldCharType="end"/>
      </w:r>
      <w:r w:rsidRPr="00593464">
        <w:t>.</w:t>
      </w:r>
    </w:p>
    <w:p w14:paraId="1FB6D1D6" w14:textId="12CC9507" w:rsidR="00FE013C" w:rsidRPr="00593464" w:rsidRDefault="00FE013C" w:rsidP="004C16FF">
      <w:pPr>
        <w:pStyle w:val="Heading2"/>
        <w:rPr>
          <w:color w:val="auto"/>
        </w:rPr>
      </w:pPr>
      <w:r w:rsidRPr="00593464">
        <w:rPr>
          <w:color w:val="auto"/>
        </w:rPr>
        <w:t>1</w:t>
      </w:r>
      <w:r w:rsidR="00CA1249">
        <w:rPr>
          <w:color w:val="auto"/>
        </w:rPr>
        <w:t>5</w:t>
      </w:r>
      <w:r w:rsidRPr="00593464">
        <w:rPr>
          <w:color w:val="auto"/>
        </w:rPr>
        <w:t>.4 Challenges for a 100 percent Renewable Grid</w:t>
      </w:r>
    </w:p>
    <w:p w14:paraId="439CB4FE" w14:textId="4D540729" w:rsidR="00FE013C" w:rsidRPr="00180502" w:rsidRDefault="00FE013C" w:rsidP="00286292">
      <w:pPr>
        <w:spacing w:after="120"/>
        <w:ind w:firstLine="480"/>
      </w:pPr>
      <w:r w:rsidRPr="00180502">
        <w:t>The structural stability challenges faced by power systems operating with a renewable penetration of more than 80</w:t>
      </w:r>
      <w:r>
        <w:t xml:space="preserve">% </w:t>
      </w:r>
      <w:r w:rsidRPr="00180502">
        <w:t xml:space="preserve">are qualitatively different from those faced by power systems operating in a </w:t>
      </w:r>
      <w:r w:rsidRPr="00180502">
        <w:lastRenderedPageBreak/>
        <w:t>traditional manner. Conventional thermal generation has been retired, leaving frequency nadir and rate of change of frequency (</w:t>
      </w:r>
      <w:proofErr w:type="spellStart"/>
      <w:r w:rsidRPr="00180502">
        <w:t>RoCoF</w:t>
      </w:r>
      <w:proofErr w:type="spellEnd"/>
      <w:r w:rsidRPr="00180502">
        <w:t xml:space="preserve">) dynamics as a significant challenge. In this operating environment, fast acting Inverter Based Resources (IBRs) with Grid-Forming Control (GFC) is required to provide synthetic inertia and help stabilize sub-second frequency deviations </w:t>
      </w:r>
      <w:r>
        <w:fldChar w:fldCharType="begin"/>
      </w:r>
      <w:r w:rsidR="00286292">
        <w:instrText xml:space="preserve"> ADDIN ZOTERO_ITEM CSL_CITATION {"citationID":"TKwvq3OP","properties":{"unsorted":false,"formattedCitation":"[177]","plainCitation":"[177]","noteIndex":0},"citationItems":[{"id":2214,"uris":["http://zotero.org/users/9870935/items/L3VF7GNN"],"itemData":{"id":2214,"type":"article-journal","abstract":"This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00286292" w:rsidRPr="00286292">
        <w:t>[176]</w:t>
      </w:r>
      <w:r>
        <w:fldChar w:fldCharType="end"/>
      </w:r>
      <w:r w:rsidRPr="00180502">
        <w:t>.</w:t>
      </w:r>
    </w:p>
    <w:p w14:paraId="6DD83B3A" w14:textId="0D271D86" w:rsidR="00FE013C" w:rsidRPr="00180502" w:rsidRDefault="00FE013C" w:rsidP="00286292">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rsidR="00286292">
        <w:instrText xml:space="preserve"> ADDIN ZOTERO_ITEM CSL_CITATION {"citationID":"g1phXAsO","properties":{"unsorted":false,"formattedCitation":"[179]","plainCitation":"[179]","noteIndex":0},"citationItems":[{"id":2189,"uris":["http://zotero.org/users/9870935/items/U4Y7SALQ"],"itemData":{"id":2189,"type":"article-journal","abstract":"The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286292" w:rsidRPr="00286292">
        <w:t>[178]</w:t>
      </w:r>
      <w:r>
        <w:fldChar w:fldCharType="end"/>
      </w:r>
      <w:r w:rsidRPr="00180502">
        <w:t>.</w:t>
      </w:r>
    </w:p>
    <w:p w14:paraId="1B6520CD" w14:textId="3866FF3B" w:rsidR="00FE013C" w:rsidRDefault="00FE013C" w:rsidP="007D29E8">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rsidR="007D29E8">
        <w:instrText xml:space="preserve"> ADDIN ZOTERO_ITEM CSL_CITATION {"citationID":"3pIrnlsx","properties":{"unsorted":false,"formattedCitation":"[116]","plainCitation":"[116]","noteIndex":0},"citationItems":[{"id":2215,"uris":["http://zotero.org/users/9870935/items/6KYBNJ5X"],"itemData":{"id":2215,"type":"article-journal","abstract":"Abstract\n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007D29E8" w:rsidRPr="007D29E8">
        <w:t>[115]</w:t>
      </w:r>
      <w:r>
        <w:fldChar w:fldCharType="end"/>
      </w:r>
      <w:r w:rsidRPr="00180502">
        <w:t>.</w:t>
      </w:r>
    </w:p>
    <w:p w14:paraId="11A80E59" w14:textId="74FCC2A5" w:rsidR="00FE013C" w:rsidRPr="00593464" w:rsidRDefault="00FE013C" w:rsidP="004C16FF">
      <w:pPr>
        <w:pStyle w:val="Heading2"/>
        <w:rPr>
          <w:color w:val="auto"/>
        </w:rPr>
      </w:pPr>
      <w:r w:rsidRPr="00593464">
        <w:rPr>
          <w:color w:val="auto"/>
        </w:rPr>
        <w:t>1</w:t>
      </w:r>
      <w:r w:rsidR="00CA1249">
        <w:rPr>
          <w:color w:val="auto"/>
        </w:rPr>
        <w:t>5</w:t>
      </w:r>
      <w:r w:rsidRPr="00593464">
        <w:rPr>
          <w:color w:val="auto"/>
        </w:rPr>
        <w:t>.</w:t>
      </w:r>
      <w:r>
        <w:rPr>
          <w:color w:val="auto"/>
        </w:rPr>
        <w:t>5</w:t>
      </w:r>
      <w:r w:rsidRPr="00593464">
        <w:rPr>
          <w:color w:val="auto"/>
        </w:rPr>
        <w:t xml:space="preserve"> </w:t>
      </w:r>
      <w:r>
        <w:t>Integration with Grid Modernization</w:t>
      </w:r>
    </w:p>
    <w:p w14:paraId="773B36CF" w14:textId="3F9422C5" w:rsidR="00FE013C" w:rsidRPr="00931E05" w:rsidRDefault="00FE013C" w:rsidP="00286292">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fertile ground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buffer. Another obvious </w:t>
      </w:r>
      <w:r w:rsidR="004C1E8D" w:rsidRPr="00931E05">
        <w:t>optimization</w:t>
      </w:r>
      <w:r w:rsidRPr="00931E05">
        <w:t xml:space="preserve"> path is thermal </w:t>
      </w:r>
      <w:r w:rsidR="004C1E8D" w:rsidRPr="00931E05">
        <w:t>modernization</w:t>
      </w:r>
      <w:r w:rsidRPr="00931E05">
        <w:t>. Hype</w:t>
      </w:r>
      <w:r>
        <w:t>r</w:t>
      </w:r>
      <w:r w:rsidRPr="00931E05">
        <w:t xml:space="preserve">scale facilities are quickly moving to liquid cooling loops to support high-density AI clusters and are rejecting high-grade waste heat, often </w:t>
      </w:r>
      <w:proofErr w:type="gramStart"/>
      <w:r w:rsidRPr="00931E05">
        <w:t>in excess of</w:t>
      </w:r>
      <w:proofErr w:type="gramEnd"/>
      <w:r w:rsidRPr="00931E05">
        <w:t xml:space="preserve"> 60°C. This increased temperature resource enables very effective integration with nearby municipal district heating or district cooling systems and/or adjacent industrial processes, resulting in a significant reduction in the comprehensive power usage effectiveness (PUE) and total resource effectiveness (TRE) of the facility</w:t>
      </w:r>
      <w:r>
        <w:fldChar w:fldCharType="begin"/>
      </w:r>
      <w:r w:rsidR="00286292">
        <w:instrText xml:space="preserve"> ADDIN ZOTERO_ITEM CSL_CITATION {"citationID":"Gz8clESV","properties":{"unsorted":false,"formattedCitation":"[190]","plainCitation":"[190]","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00286292" w:rsidRPr="00286292">
        <w:t>[189]</w:t>
      </w:r>
      <w:r>
        <w:fldChar w:fldCharType="end"/>
      </w:r>
      <w:r w:rsidRPr="00931E05">
        <w:t>.</w:t>
      </w:r>
    </w:p>
    <w:p w14:paraId="35B2922B" w14:textId="429BBD70" w:rsidR="00FE013C" w:rsidRPr="00593464" w:rsidRDefault="00FE013C" w:rsidP="004C16FF">
      <w:pPr>
        <w:pStyle w:val="Heading2"/>
        <w:rPr>
          <w:color w:val="auto"/>
        </w:rPr>
      </w:pPr>
      <w:r w:rsidRPr="00593464">
        <w:rPr>
          <w:color w:val="auto"/>
        </w:rPr>
        <w:t>1</w:t>
      </w:r>
      <w:r w:rsidR="00CA1249">
        <w:rPr>
          <w:color w:val="auto"/>
        </w:rPr>
        <w:t>5</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of the control loop within data </w:t>
      </w:r>
      <w:r w:rsidR="00580BAE">
        <w:t>center</w:t>
      </w:r>
      <w:r w:rsidRPr="00CE10B6">
        <w:t xml:space="preserve"> (DC) microgrids; and field-test AI-based workload shifting in correlation with local distribution constraint signals.</w:t>
      </w:r>
    </w:p>
    <w:p w14:paraId="3B52A0C4" w14:textId="5D99B1C0" w:rsidR="00FE013C" w:rsidRPr="00CE10B6" w:rsidRDefault="00FE013C" w:rsidP="004C16FF">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coordination challenges of multi-gigawatt data </w:t>
      </w:r>
      <w:r w:rsidR="00580BAE">
        <w:t>center</w:t>
      </w:r>
      <w:r w:rsidRPr="00CE10B6">
        <w:t xml:space="preserve"> clusters operating in 100 percent inverted-dominated grids.</w:t>
      </w:r>
    </w:p>
    <w:p w14:paraId="6BEE3FDD" w14:textId="77777777"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w:t>
      </w:r>
      <w:r w:rsidRPr="00CE10B6">
        <w:lastRenderedPageBreak/>
        <w:t xml:space="preserve">using zero-emission energy; and develop plug-and-play standards for fully </w:t>
      </w:r>
      <w:proofErr w:type="spellStart"/>
      <w:r w:rsidRPr="00CE10B6">
        <w:t>decentralised</w:t>
      </w:r>
      <w:proofErr w:type="spellEnd"/>
      <w:r w:rsidRPr="00CE10B6">
        <w:t>, self-healing autonomous microgrids operating in island mode.</w:t>
      </w:r>
    </w:p>
    <w:p w14:paraId="65416BA2" w14:textId="77777777" w:rsidR="00D41EE0" w:rsidRDefault="00D41EE0"/>
    <w:p w14:paraId="19CB101A" w14:textId="77777777" w:rsidR="00D41EE0" w:rsidRDefault="00000000">
      <w:pPr>
        <w:pStyle w:val="Heading1"/>
      </w:pPr>
      <w:r>
        <w:t>16. Author Declarations</w:t>
      </w:r>
    </w:p>
    <w:p w14:paraId="1E357EA7" w14:textId="77777777" w:rsidR="00D41EE0" w:rsidRDefault="00000000">
      <w:pPr>
        <w:pStyle w:val="Heading2"/>
      </w:pPr>
      <w:r>
        <w:t xml:space="preserve">16.1. </w:t>
      </w:r>
      <w:proofErr w:type="spellStart"/>
      <w:r>
        <w:t>CRediT</w:t>
      </w:r>
      <w:proofErr w:type="spellEnd"/>
      <w:r>
        <w:t xml:space="preserve"> Author Contribution Statement</w:t>
      </w:r>
    </w:p>
    <w:p w14:paraId="054891E8" w14:textId="77777777" w:rsidR="00D41EE0" w:rsidRDefault="00000000">
      <w:pPr>
        <w:pStyle w:val="Text"/>
      </w:pPr>
      <w:r>
        <w:t>Mahmoud Kiasari: Conceptualization, Methodology, Investigation, Formal analysis, Writing — original draft, Visualization. Hamed Aly: Conceptualization, Supervision, Writing — review and editing, Funding acquisition, Project administration.</w:t>
      </w:r>
    </w:p>
    <w:p w14:paraId="4C121E76" w14:textId="77777777" w:rsidR="00D41EE0" w:rsidRDefault="00000000">
      <w:pPr>
        <w:pStyle w:val="Heading2"/>
      </w:pPr>
      <w:r>
        <w:t>16.2. Declaration of Competing Interest</w:t>
      </w:r>
    </w:p>
    <w:p w14:paraId="6E278302" w14:textId="77777777" w:rsidR="00D41EE0" w:rsidRDefault="00000000">
      <w:pPr>
        <w:pStyle w:val="Text"/>
      </w:pPr>
      <w:r>
        <w:t>The authors declare that they have no known competing financial interests or personal relationships that could have appeared to influence the work reported in this paper.</w:t>
      </w:r>
    </w:p>
    <w:p w14:paraId="7CD9E460" w14:textId="77777777" w:rsidR="00D41EE0" w:rsidRDefault="00000000">
      <w:pPr>
        <w:pStyle w:val="Heading2"/>
      </w:pPr>
      <w:r>
        <w:t>16.3. Funding Statement</w:t>
      </w:r>
    </w:p>
    <w:p w14:paraId="4E1B326E" w14:textId="77777777" w:rsidR="00D41EE0" w:rsidRDefault="00000000">
      <w:pPr>
        <w:pStyle w:val="Text"/>
      </w:pPr>
      <w:r>
        <w:t xml:space="preserve">This research did not receive any specific grant from funding agencies in the public, commercial, or </w:t>
      </w:r>
      <w:proofErr w:type="gramStart"/>
      <w:r>
        <w:t>not-for</w:t>
      </w:r>
      <w:proofErr w:type="gramEnd"/>
      <w:r>
        <w:t>-profit sectors. (Authors to update with actual funding information if applicable.)</w:t>
      </w:r>
    </w:p>
    <w:p w14:paraId="046A9409" w14:textId="77777777" w:rsidR="00D41EE0" w:rsidRDefault="00000000">
      <w:pPr>
        <w:pStyle w:val="Heading2"/>
      </w:pPr>
      <w:r>
        <w:t>16.4. Data Availability Statement</w:t>
      </w:r>
    </w:p>
    <w:p w14:paraId="07BDCA3B" w14:textId="77777777" w:rsidR="00D41EE0" w:rsidRDefault="00000000">
      <w:pPr>
        <w:pStyle w:val="Text"/>
      </w:pPr>
      <w:r>
        <w:t xml:space="preserve">All data and references cited in this review are publicly available from the sources listed in the Reference section. The PRISMA 2020 flow diagram (Figure 2) </w:t>
      </w:r>
      <w:proofErr w:type="spellStart"/>
      <w:r>
        <w:t>summarises</w:t>
      </w:r>
      <w:proofErr w:type="spellEnd"/>
      <w:r>
        <w:t xml:space="preserve"> the screening process. No new experimental data </w:t>
      </w:r>
      <w:proofErr w:type="gramStart"/>
      <w:r>
        <w:t>were</w:t>
      </w:r>
      <w:proofErr w:type="gramEnd"/>
      <w:r>
        <w:t xml:space="preserve"> generated for this review. The search strings and screening counts are reported in Section 1.6.</w:t>
      </w:r>
    </w:p>
    <w:p w14:paraId="1703EC50" w14:textId="77777777" w:rsidR="00D41EE0" w:rsidRDefault="00000000">
      <w:pPr>
        <w:pStyle w:val="Heading2"/>
      </w:pPr>
      <w:r>
        <w:t>16.5. Declaration on the Use of Generative AI</w:t>
      </w:r>
    </w:p>
    <w:p w14:paraId="0C8D795B" w14:textId="77777777" w:rsidR="00D41EE0" w:rsidRDefault="00000000">
      <w:pPr>
        <w:pStyle w:val="Text"/>
      </w:pPr>
      <w:r>
        <w:t xml:space="preserve">During the preparation of this work the authors used GitHub Copilot and OpenAI ChatGPT for proofreading, language editing, and reference list formatting. After using these tools, the authors reviewed and edited the content as needed and </w:t>
      </w:r>
      <w:proofErr w:type="gramStart"/>
      <w:r>
        <w:t>take</w:t>
      </w:r>
      <w:proofErr w:type="gramEnd"/>
      <w:r>
        <w:t xml:space="preserve"> full responsibility for the content of the published article.</w:t>
      </w:r>
    </w:p>
    <w:p w14:paraId="2A7545B1" w14:textId="77777777" w:rsidR="00D41EE0" w:rsidRDefault="00000000">
      <w:pPr>
        <w:pStyle w:val="Heading2"/>
      </w:pPr>
      <w:r>
        <w:t>16.6. Acknowledgments</w:t>
      </w:r>
    </w:p>
    <w:p w14:paraId="6FFF6287" w14:textId="77777777" w:rsidR="00D41EE0" w:rsidRDefault="00000000">
      <w:pPr>
        <w:pStyle w:val="Text"/>
      </w:pPr>
      <w:r>
        <w:t>The authors thank the anonymous reviewers for their detailed and constructive comments, which substantially improved the methodology, numerical consistency, and presentation of this review.</w:t>
      </w:r>
    </w:p>
    <w:p w14:paraId="3373BCF8" w14:textId="77777777" w:rsidR="00D41EE0" w:rsidRDefault="00D41EE0"/>
    <w:p w14:paraId="2E14F81F" w14:textId="77777777" w:rsidR="00FE013C" w:rsidRDefault="00FE013C" w:rsidP="004C16FF">
      <w:pPr>
        <w:pStyle w:val="Heading1"/>
        <w:jc w:val="both"/>
        <w:rPr>
          <w:color w:val="auto"/>
        </w:rPr>
      </w:pPr>
      <w:r>
        <w:rPr>
          <w:color w:val="auto"/>
        </w:rPr>
        <w:t>References</w:t>
      </w:r>
    </w:p>
    <w:p w14:paraId="0A4A8673" w14:textId="77777777" w:rsidR="00286292" w:rsidRDefault="00BB50D5" w:rsidP="00286292">
      <w:pPr>
        <w:pStyle w:val="Bibliography"/>
      </w:pPr>
      <w:r>
        <w:rPr>
          <w:color w:val="auto"/>
        </w:rPr>
        <w:fldChar w:fldCharType="begin"/>
      </w:r>
      <w:r w:rsidR="007F0967">
        <w:rPr>
          <w:color w:val="auto"/>
        </w:rPr>
        <w:instrText xml:space="preserve"> ADDIN ZOTERO_BIBL {"uncited":[],"omitted":[],"custom":[]} CSL_BIBLIOGRAPHY </w:instrText>
      </w:r>
      <w:r>
        <w:rPr>
          <w:color w:val="auto"/>
        </w:rPr>
        <w:fldChar w:fldCharType="separate"/>
      </w:r>
      <w:r w:rsidR="00286292">
        <w:t>[1]</w:t>
      </w:r>
      <w:r w:rsidR="00286292">
        <w:tab/>
        <w:t>IEA, “Data Centres and Data Transmission Networks.” [Online]. Available: https://www.iea.org/energy-system/buildings/data-centres-and-data-transmission-networks</w:t>
      </w:r>
    </w:p>
    <w:p w14:paraId="68149DA0" w14:textId="77777777" w:rsidR="00286292" w:rsidRDefault="00286292" w:rsidP="00286292">
      <w:pPr>
        <w:pStyle w:val="Bibliography"/>
      </w:pPr>
      <w:r>
        <w:t>[2]</w:t>
      </w:r>
      <w:r>
        <w:tab/>
        <w:t xml:space="preserve">A. Shehabi </w:t>
      </w:r>
      <w:r>
        <w:rPr>
          <w:i/>
          <w:iCs/>
        </w:rPr>
        <w:t>et al.</w:t>
      </w:r>
      <w:r>
        <w:t>, “United States Data Center Energy Usage Report,” LBNL--1005775, 1372902, Jun. 2016. doi: 10.2172/1372902.</w:t>
      </w:r>
    </w:p>
    <w:p w14:paraId="79EFF7A3" w14:textId="77777777" w:rsidR="00286292" w:rsidRDefault="00286292" w:rsidP="00286292">
      <w:pPr>
        <w:pStyle w:val="Bibliography"/>
      </w:pPr>
      <w:r>
        <w:t>[3]</w:t>
      </w:r>
      <w:r>
        <w:tab/>
        <w:t>IEA, “Energy and AI.” Accessed: Apr. 10, 2025. [Online]. Available: https://www.iea.org/reports/energy-and-ai</w:t>
      </w:r>
    </w:p>
    <w:p w14:paraId="05FC135E" w14:textId="77777777" w:rsidR="00286292" w:rsidRDefault="00286292" w:rsidP="00286292">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327FA709" w14:textId="77777777" w:rsidR="00286292" w:rsidRDefault="00286292" w:rsidP="00286292">
      <w:pPr>
        <w:pStyle w:val="Bibliography"/>
      </w:pPr>
      <w:r>
        <w:lastRenderedPageBreak/>
        <w:t>[5]</w:t>
      </w:r>
      <w:r>
        <w:tab/>
        <w:t xml:space="preserve">E. Strubell, A. Ganesh, and A. McCallum, “Energy and Policy Considerations for Deep Learning in NLP,” 2019, </w:t>
      </w:r>
      <w:r>
        <w:rPr>
          <w:i/>
          <w:iCs/>
        </w:rPr>
        <w:t>arXiv</w:t>
      </w:r>
      <w:r>
        <w:t>. doi: 10.48550/ARXIV.1906.02243.</w:t>
      </w:r>
    </w:p>
    <w:p w14:paraId="6637CC59" w14:textId="77777777" w:rsidR="00286292" w:rsidRDefault="00286292" w:rsidP="00286292">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05A7687F" w14:textId="77777777" w:rsidR="00286292" w:rsidRDefault="00286292" w:rsidP="00286292">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026094C6" w14:textId="77777777" w:rsidR="00286292" w:rsidRDefault="00286292" w:rsidP="00286292">
      <w:pPr>
        <w:pStyle w:val="Bibliography"/>
      </w:pPr>
      <w:r>
        <w:t>[8]</w:t>
      </w:r>
      <w:r>
        <w:tab/>
        <w:t xml:space="preserve">X. Chen, X. Wang, A. Colacelli, M. Lee, and L. Xie, “Electricity Demand and Grid Impacts of AI Data Centers: Challenges and Prospects,” Nov. 26, 2025, </w:t>
      </w:r>
      <w:r>
        <w:rPr>
          <w:i/>
          <w:iCs/>
        </w:rPr>
        <w:t>arXiv</w:t>
      </w:r>
      <w:r>
        <w:t>: arXiv:2509.07218. doi: 10.48550/arXiv.2509.07218.</w:t>
      </w:r>
    </w:p>
    <w:p w14:paraId="4E383217" w14:textId="77777777" w:rsidR="00286292" w:rsidRPr="005704B6" w:rsidRDefault="00286292" w:rsidP="00286292">
      <w:pPr>
        <w:pStyle w:val="Bibliography"/>
        <w:rPr>
          <w:lang w:val="fr-FR"/>
        </w:rPr>
      </w:pPr>
      <w:r w:rsidRPr="005704B6">
        <w:rPr>
          <w:lang w:val="fr-FR"/>
        </w:rPr>
        <w:t>[9]</w:t>
      </w:r>
      <w:r w:rsidRPr="005704B6">
        <w:rPr>
          <w:lang w:val="fr-FR"/>
        </w:rPr>
        <w:tab/>
        <w:t xml:space="preserve">D. Donnellan </w:t>
      </w:r>
      <w:r w:rsidRPr="005704B6">
        <w:rPr>
          <w:i/>
          <w:iCs/>
          <w:lang w:val="fr-FR"/>
        </w:rPr>
        <w:t>et al.</w:t>
      </w:r>
      <w:r w:rsidRPr="005704B6">
        <w:rPr>
          <w:lang w:val="fr-FR"/>
        </w:rPr>
        <w:t>, “Uptime Institute Global Data Center Survey 2024,” 2024, [Online]. Available: https://uptimeinstitute.com/resources/research-and-reports/uptime-institute-global-data-center-survey-results-2024</w:t>
      </w:r>
    </w:p>
    <w:p w14:paraId="5CE6851B" w14:textId="77777777" w:rsidR="00286292" w:rsidRPr="005704B6" w:rsidRDefault="00286292" w:rsidP="00286292">
      <w:pPr>
        <w:pStyle w:val="Bibliography"/>
        <w:rPr>
          <w:lang w:val="fr-FR"/>
        </w:rPr>
      </w:pPr>
      <w:r>
        <w:t>[10]</w:t>
      </w:r>
      <w:r>
        <w:tab/>
        <w:t xml:space="preserve">M. Andersch </w:t>
      </w:r>
      <w:r>
        <w:rPr>
          <w:i/>
          <w:iCs/>
        </w:rPr>
        <w:t>et al.</w:t>
      </w:r>
      <w:r>
        <w:t xml:space="preserve">, “NVIDIA Hopper Architecture In-Depth”, [Online]. </w:t>
      </w:r>
      <w:r w:rsidRPr="005704B6">
        <w:rPr>
          <w:lang w:val="fr-FR"/>
        </w:rPr>
        <w:t>Available: https://developer.nvidia.com/blog/nvidia-hopper-architecture-in-depth/</w:t>
      </w:r>
    </w:p>
    <w:p w14:paraId="128D4B1B" w14:textId="77777777" w:rsidR="00286292" w:rsidRDefault="00286292" w:rsidP="00286292">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51870CAB" w14:textId="77777777" w:rsidR="00286292" w:rsidRDefault="00286292" w:rsidP="00286292">
      <w:pPr>
        <w:pStyle w:val="Bibliography"/>
      </w:pPr>
      <w:r>
        <w:t>[12]</w:t>
      </w:r>
      <w:r>
        <w:tab/>
        <w:t>“Driving sustainable innovation for society.” [Online]. Available: https://datacenters.google/operating-sustainably/</w:t>
      </w:r>
    </w:p>
    <w:p w14:paraId="44FDEF5C" w14:textId="77777777" w:rsidR="00286292" w:rsidRDefault="00286292" w:rsidP="00286292">
      <w:pPr>
        <w:pStyle w:val="Bibliography"/>
      </w:pPr>
      <w:r>
        <w:t>[13]</w:t>
      </w:r>
      <w:r>
        <w:tab/>
        <w:t xml:space="preserve">D. Feldman </w:t>
      </w:r>
      <w:r>
        <w:rPr>
          <w:i/>
          <w:iCs/>
        </w:rPr>
        <w:t>et al.</w:t>
      </w:r>
      <w:r>
        <w:t>, “Spring 2024 Solar Industry Update,” NREL/PR--7A40-90042, 2376145, MainId:91820, May 2024. doi: 10.2172/2376145.</w:t>
      </w:r>
    </w:p>
    <w:p w14:paraId="5CD48432" w14:textId="77777777" w:rsidR="00286292" w:rsidRPr="005704B6" w:rsidRDefault="00286292" w:rsidP="00286292">
      <w:pPr>
        <w:pStyle w:val="Bibliography"/>
        <w:rPr>
          <w:lang w:val="fr-FR"/>
        </w:rPr>
      </w:pPr>
      <w:r>
        <w:t>[14]</w:t>
      </w:r>
      <w:r>
        <w:tab/>
        <w:t xml:space="preserve">IRENA, “Renewable power generation costs in 2023”, [Online]. </w:t>
      </w:r>
      <w:r w:rsidRPr="005704B6">
        <w:rPr>
          <w:lang w:val="fr-FR"/>
        </w:rPr>
        <w:t>Available: https://www.irena.org/-/media/Files/IRENA/Agency/Publication/2024/Sep/IRENA_Renewable_power_generation_costs_in_2023.pdf</w:t>
      </w:r>
    </w:p>
    <w:p w14:paraId="5FE061F5" w14:textId="77777777" w:rsidR="00286292" w:rsidRPr="005704B6" w:rsidRDefault="00286292" w:rsidP="00286292">
      <w:pPr>
        <w:pStyle w:val="Bibliography"/>
        <w:rPr>
          <w:lang w:val="fr-FR"/>
        </w:rPr>
      </w:pPr>
      <w:r>
        <w:t>[15]</w:t>
      </w:r>
      <w:r>
        <w:tab/>
        <w:t xml:space="preserve">IEA, “Wind.” Accessed: Feb. 25, 2025. [Online]. </w:t>
      </w:r>
      <w:r w:rsidRPr="005704B6">
        <w:rPr>
          <w:lang w:val="fr-FR"/>
        </w:rPr>
        <w:t>Available: https://www.iea.org/energy-system/renewables/wind</w:t>
      </w:r>
    </w:p>
    <w:p w14:paraId="3E1ACE25" w14:textId="77777777" w:rsidR="00286292" w:rsidRPr="005704B6" w:rsidRDefault="00286292" w:rsidP="00286292">
      <w:pPr>
        <w:pStyle w:val="Bibliography"/>
        <w:rPr>
          <w:lang w:val="fr-FR"/>
        </w:rPr>
      </w:pPr>
      <w:r>
        <w:t>[16]</w:t>
      </w:r>
      <w:r>
        <w:tab/>
        <w:t xml:space="preserve">“Renewable power generation costs in 2024”, [Online]. </w:t>
      </w:r>
      <w:r w:rsidRPr="005704B6">
        <w:rPr>
          <w:lang w:val="fr-FR"/>
        </w:rPr>
        <w:t>Available: https://www.rinnovabili.it/wp-content/uploads/2025/07/IRENA-RENEWABLE-POWER-GENERATION-COSTS-IN-2024.pdf</w:t>
      </w:r>
    </w:p>
    <w:p w14:paraId="256328A0" w14:textId="77777777" w:rsidR="00286292" w:rsidRDefault="00286292" w:rsidP="00286292">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681A4B07" w14:textId="77777777" w:rsidR="00286292" w:rsidRDefault="00286292" w:rsidP="00286292">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53BD41A1" w14:textId="77777777" w:rsidR="00286292" w:rsidRDefault="00286292" w:rsidP="00286292">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1E8BA185" w14:textId="77777777" w:rsidR="00286292" w:rsidRDefault="00286292" w:rsidP="00286292">
      <w:pPr>
        <w:pStyle w:val="Bibliography"/>
      </w:pPr>
      <w:r>
        <w:lastRenderedPageBreak/>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6DC03199" w14:textId="77777777" w:rsidR="00286292" w:rsidRDefault="00286292" w:rsidP="00286292">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013BA2F6" w14:textId="77777777" w:rsidR="00286292" w:rsidRDefault="00286292" w:rsidP="00286292">
      <w:pPr>
        <w:pStyle w:val="Bibliography"/>
      </w:pPr>
      <w:r>
        <w:t>[22]</w:t>
      </w:r>
      <w:r>
        <w:tab/>
      </w:r>
      <w:r>
        <w:rPr>
          <w:i/>
          <w:iCs/>
        </w:rPr>
        <w:t>IEEE Standard for Harmonic Control in Electric Power Systems</w:t>
      </w:r>
      <w:r>
        <w:t>. doi: 10.1109/IEEESTD.2022.9848440.</w:t>
      </w:r>
    </w:p>
    <w:p w14:paraId="67E76BE4" w14:textId="77777777" w:rsidR="00286292" w:rsidRPr="005704B6" w:rsidRDefault="00286292" w:rsidP="00286292">
      <w:pPr>
        <w:pStyle w:val="Bibliography"/>
        <w:rPr>
          <w:lang w:val="fr-FR"/>
        </w:rPr>
      </w:pPr>
      <w:r>
        <w:t>[23]</w:t>
      </w:r>
      <w:r>
        <w:tab/>
        <w:t xml:space="preserve">M. C. Offutt and L. Zhu, “Data Centers and Their Energy Consumption: Frequently Asked Questions”, [Online]. </w:t>
      </w:r>
      <w:r w:rsidRPr="005704B6">
        <w:rPr>
          <w:lang w:val="fr-FR"/>
        </w:rPr>
        <w:t>Available: https://www.congress.gov/crs_external_products/R/PDF/R48646/R48646.1.pdf</w:t>
      </w:r>
    </w:p>
    <w:p w14:paraId="3422F055" w14:textId="77777777" w:rsidR="00286292" w:rsidRDefault="00286292" w:rsidP="00286292">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B6ABE67" w14:textId="77777777" w:rsidR="00286292" w:rsidRDefault="00286292" w:rsidP="00286292">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091740E0" w14:textId="77777777" w:rsidR="00286292" w:rsidRPr="005704B6" w:rsidRDefault="00286292" w:rsidP="00286292">
      <w:pPr>
        <w:pStyle w:val="Bibliography"/>
        <w:rPr>
          <w:lang w:val="fr-FR"/>
        </w:rPr>
      </w:pPr>
      <w:r>
        <w:t>[26]</w:t>
      </w:r>
      <w:r>
        <w:tab/>
        <w:t xml:space="preserve">R. Mural </w:t>
      </w:r>
      <w:r>
        <w:rPr>
          <w:i/>
          <w:iCs/>
        </w:rPr>
        <w:t>et al.</w:t>
      </w:r>
      <w:r>
        <w:t xml:space="preserve">, “AI, Data Centers, and the U.S. Electric Grid: A Watershed Moment”, [Online]. </w:t>
      </w:r>
      <w:r w:rsidRPr="005704B6">
        <w:rPr>
          <w:lang w:val="fr-FR"/>
        </w:rPr>
        <w:t>Available: https://www.belfercenter.org/research-analysis/ai-data-centers-us-electric-grid</w:t>
      </w:r>
    </w:p>
    <w:p w14:paraId="5C20817A" w14:textId="77777777" w:rsidR="00286292" w:rsidRDefault="00286292" w:rsidP="00286292">
      <w:pPr>
        <w:pStyle w:val="Bibliography"/>
      </w:pPr>
      <w:r>
        <w:t>[27]</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661416AF" w14:textId="77777777" w:rsidR="00286292" w:rsidRPr="005704B6" w:rsidRDefault="00286292" w:rsidP="00286292">
      <w:pPr>
        <w:pStyle w:val="Bibliography"/>
        <w:rPr>
          <w:lang w:val="fr-FR"/>
        </w:rPr>
      </w:pPr>
      <w:r>
        <w:t>[28]</w:t>
      </w:r>
      <w:r>
        <w:tab/>
        <w:t xml:space="preserve">V. Avelar and P. Donovan, “How 6 AI Attributes Change Data Center Design”, [Online]. </w:t>
      </w:r>
      <w:r w:rsidRPr="005704B6">
        <w:rPr>
          <w:lang w:val="fr-FR"/>
        </w:rPr>
        <w:t>Available: https://download.schneider-electric.com/files?p_Doc_Ref=SPD_WP110_EN&amp;p_enDocType=White+Paper&amp;p_File_Name=WP110_V3_1_EN.pdf</w:t>
      </w:r>
    </w:p>
    <w:p w14:paraId="2BB730F6" w14:textId="77777777" w:rsidR="00286292" w:rsidRDefault="00286292" w:rsidP="00286292">
      <w:pPr>
        <w:pStyle w:val="Bibliography"/>
      </w:pPr>
      <w:r>
        <w:t>[29]</w:t>
      </w:r>
      <w:r>
        <w:tab/>
        <w:t xml:space="preserve">T. B. Brown </w:t>
      </w:r>
      <w:r>
        <w:rPr>
          <w:i/>
          <w:iCs/>
        </w:rPr>
        <w:t>et al.</w:t>
      </w:r>
      <w:r>
        <w:t xml:space="preserve">, “Language Models are Few-Shot Learners,” 2020, </w:t>
      </w:r>
      <w:r>
        <w:rPr>
          <w:i/>
          <w:iCs/>
        </w:rPr>
        <w:t>arXiv</w:t>
      </w:r>
      <w:r>
        <w:t>. doi: 10.48550/ARXIV.2005.14165.</w:t>
      </w:r>
    </w:p>
    <w:p w14:paraId="2DDE0ABC" w14:textId="77777777" w:rsidR="00286292" w:rsidRPr="005704B6" w:rsidRDefault="00286292" w:rsidP="00286292">
      <w:pPr>
        <w:pStyle w:val="Bibliography"/>
        <w:rPr>
          <w:lang w:val="fr-FR"/>
        </w:rPr>
      </w:pPr>
      <w:r>
        <w:t>[30]</w:t>
      </w:r>
      <w:r>
        <w:tab/>
        <w:t xml:space="preserve">M. Raza, “Carbon Literacy for Generative AI: Visualizing Training Emissions Through Human-Scale Equivalents”, [Online]. </w:t>
      </w:r>
      <w:r w:rsidRPr="005704B6">
        <w:rPr>
          <w:lang w:val="fr-FR"/>
        </w:rPr>
        <w:t>Available: https://openreview.net/forum?id=86NT1eVitH&amp;referrer=%5Bthe%20profile%20of%20Mahveen%20Raza%5D(%2Fprofile%3Fid%3D~Mahveen_Raza1)</w:t>
      </w:r>
    </w:p>
    <w:p w14:paraId="3A4E9F12" w14:textId="77777777" w:rsidR="00286292" w:rsidRDefault="00286292" w:rsidP="00286292">
      <w:pPr>
        <w:pStyle w:val="Bibliography"/>
      </w:pPr>
      <w:r>
        <w:t>[31]</w:t>
      </w:r>
      <w:r>
        <w:tab/>
        <w:t>Google, “Growing the internet while reducing energy consumption.” [Online]. Available: https://datacenters.google/efficiency/</w:t>
      </w:r>
    </w:p>
    <w:p w14:paraId="75394808" w14:textId="77777777" w:rsidR="00286292" w:rsidRDefault="00286292" w:rsidP="00286292">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318D5A96" w14:textId="77777777" w:rsidR="00286292" w:rsidRDefault="00286292" w:rsidP="00286292">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16D8F3C0" w14:textId="77777777" w:rsidR="00286292" w:rsidRDefault="00286292" w:rsidP="00286292">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1C0BDCA0" w14:textId="77777777" w:rsidR="00286292" w:rsidRDefault="00286292" w:rsidP="00286292">
      <w:pPr>
        <w:pStyle w:val="Bibliography"/>
      </w:pPr>
      <w:r>
        <w:lastRenderedPageBreak/>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0E1BB1BB" w14:textId="77777777" w:rsidR="00286292" w:rsidRDefault="00286292" w:rsidP="00286292">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577E10F9" w14:textId="77777777" w:rsidR="00286292" w:rsidRDefault="00286292" w:rsidP="00286292">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1A5E0996" w14:textId="77777777" w:rsidR="00286292" w:rsidRDefault="00286292" w:rsidP="00286292">
      <w:pPr>
        <w:pStyle w:val="Bibliography"/>
      </w:pPr>
      <w:r>
        <w:t>[38]</w:t>
      </w:r>
      <w:r>
        <w:tab/>
        <w:t xml:space="preserve">P. Blecich, I. Bonefačić, T. Senčić, and I. Wolf, “Resilience Under Heatwaves: Croatia’s Power System During the July 2024 Heatwave and the Role of Variable Renewable Energy by 2030,” </w:t>
      </w:r>
      <w:r>
        <w:rPr>
          <w:i/>
          <w:iCs/>
        </w:rPr>
        <w:t>Appl. Sci.</w:t>
      </w:r>
      <w:r>
        <w:t>, vol. 15, no. 12, p. 6440, Jun. 2025, doi: 10.3390/app15126440.</w:t>
      </w:r>
    </w:p>
    <w:p w14:paraId="24A26CE7" w14:textId="77777777" w:rsidR="00286292" w:rsidRDefault="00286292" w:rsidP="00286292">
      <w:pPr>
        <w:pStyle w:val="Bibliography"/>
      </w:pPr>
      <w:r>
        <w:t>[39]</w:t>
      </w:r>
      <w:r>
        <w:tab/>
        <w:t xml:space="preserve">G. Gülen, J. Das, and M. H. Young, “Assessing Economic Costs of Two Reliable Generation Mix Scenarios in the ERCOT System,” </w:t>
      </w:r>
      <w:r>
        <w:rPr>
          <w:i/>
          <w:iCs/>
        </w:rPr>
        <w:t>Energies</w:t>
      </w:r>
      <w:r>
        <w:t>, vol. 19, no. 9, p. 2195, May 2026, doi: 10.3390/en19092195.</w:t>
      </w:r>
    </w:p>
    <w:p w14:paraId="0638903F" w14:textId="77777777" w:rsidR="00286292" w:rsidRDefault="00286292" w:rsidP="00286292">
      <w:pPr>
        <w:pStyle w:val="Bibliography"/>
      </w:pPr>
      <w:r>
        <w:t>[40]</w:t>
      </w:r>
      <w:r>
        <w:tab/>
        <w:t xml:space="preserve">A. McCoy </w:t>
      </w:r>
      <w:r>
        <w:rPr>
          <w:i/>
          <w:iCs/>
        </w:rPr>
        <w:t>et al.</w:t>
      </w:r>
      <w:r>
        <w:t>, “Offshore Wind Market Report: 2024 Edition”, [Online]. Available: https://docs.nlr.gov/docs/fy24osti/90897.pdf</w:t>
      </w:r>
    </w:p>
    <w:p w14:paraId="43026873" w14:textId="77777777" w:rsidR="00286292" w:rsidRDefault="00286292" w:rsidP="00286292">
      <w:pPr>
        <w:pStyle w:val="Bibliography"/>
      </w:pPr>
      <w:r>
        <w:t>[41]</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4E6DDA05" w14:textId="77777777" w:rsidR="00286292" w:rsidRDefault="00286292" w:rsidP="00286292">
      <w:pPr>
        <w:pStyle w:val="Bibliography"/>
      </w:pPr>
      <w:r>
        <w:t>[42]</w:t>
      </w:r>
      <w:r>
        <w:tab/>
        <w:t xml:space="preserve">E. Virguez </w:t>
      </w:r>
      <w:r>
        <w:rPr>
          <w:i/>
          <w:iCs/>
        </w:rPr>
        <w:t>et al.</w:t>
      </w:r>
      <w:r>
        <w:t>, “Renewable energy quality trilemma and coincident wind and solar droughts”, doi: 10.17615/C4JD-4Y42.</w:t>
      </w:r>
    </w:p>
    <w:p w14:paraId="6751CE47" w14:textId="77777777" w:rsidR="00286292" w:rsidRDefault="00286292" w:rsidP="00286292">
      <w:pPr>
        <w:pStyle w:val="Bibliography"/>
      </w:pPr>
      <w:r>
        <w:t>[43]</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4863592D" w14:textId="77777777" w:rsidR="00286292" w:rsidRDefault="00286292" w:rsidP="00286292">
      <w:pPr>
        <w:pStyle w:val="Bibliography"/>
      </w:pPr>
      <w:r>
        <w:t>[44]</w:t>
      </w:r>
      <w:r>
        <w:tab/>
        <w:t xml:space="preserve">M. Catania, F. Parolin, F. Fattori, and P. Colbertaldo, “The role of hydropower in decarbonisation scenarios,” </w:t>
      </w:r>
      <w:r>
        <w:rPr>
          <w:i/>
          <w:iCs/>
        </w:rPr>
        <w:t>Renew. Energy</w:t>
      </w:r>
      <w:r>
        <w:t>, vol. 236, p. 121411, Dec. 2024, doi: 10.1016/j.renene.2024.121411.</w:t>
      </w:r>
    </w:p>
    <w:p w14:paraId="2660F5F5" w14:textId="77777777" w:rsidR="00286292" w:rsidRDefault="00286292" w:rsidP="00286292">
      <w:pPr>
        <w:pStyle w:val="Bibliography"/>
      </w:pPr>
      <w:r>
        <w:t>[45]</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70C86CFA" w14:textId="77777777" w:rsidR="00286292" w:rsidRDefault="00286292" w:rsidP="00286292">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54099CC5" w14:textId="77777777" w:rsidR="00286292" w:rsidRDefault="00286292" w:rsidP="00286292">
      <w:pPr>
        <w:pStyle w:val="Bibliography"/>
      </w:pPr>
      <w:r>
        <w:t>[47]</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0FD0056A" w14:textId="77777777" w:rsidR="00286292" w:rsidRDefault="00286292" w:rsidP="00286292">
      <w:pPr>
        <w:pStyle w:val="Bibliography"/>
      </w:pPr>
      <w:r>
        <w:t>[48]</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3A6C70CD" w14:textId="77777777" w:rsidR="00286292" w:rsidRDefault="00286292" w:rsidP="00286292">
      <w:pPr>
        <w:pStyle w:val="Bibliography"/>
      </w:pPr>
      <w:r>
        <w:t>[49]</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6D303246" w14:textId="77777777" w:rsidR="00286292" w:rsidRDefault="00286292" w:rsidP="00286292">
      <w:pPr>
        <w:pStyle w:val="Bibliography"/>
      </w:pPr>
      <w:r>
        <w:lastRenderedPageBreak/>
        <w:t>[50]</w:t>
      </w:r>
      <w:r>
        <w:tab/>
      </w:r>
      <w:r>
        <w:rPr>
          <w:i/>
          <w:iCs/>
        </w:rPr>
        <w:t>IEEE Standard for Interconnection and Interoperability of Inverter-Based Resources (IBRs) Interconnecting with Associated Transmission Electric Power Systems</w:t>
      </w:r>
      <w:r>
        <w:t>. doi: 10.1109/IEEESTD.2022.9762253.</w:t>
      </w:r>
    </w:p>
    <w:p w14:paraId="6D05A468" w14:textId="77777777" w:rsidR="00286292" w:rsidRDefault="00286292" w:rsidP="00286292">
      <w:pPr>
        <w:pStyle w:val="Bibliography"/>
      </w:pPr>
      <w:r>
        <w:t>[51]</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0C812916" w14:textId="77777777" w:rsidR="00286292" w:rsidRDefault="00286292" w:rsidP="00286292">
      <w:pPr>
        <w:pStyle w:val="Bibliography"/>
      </w:pPr>
      <w:r>
        <w:t>[52]</w:t>
      </w:r>
      <w:r>
        <w:tab/>
        <w:t>Google, “Google Environmental Report 2025.” [Online]. Available: https://sustainability.google/reports/google-2025-environmental-report/</w:t>
      </w:r>
    </w:p>
    <w:p w14:paraId="5211FBD8" w14:textId="77777777" w:rsidR="00286292" w:rsidRDefault="00286292" w:rsidP="00286292">
      <w:pPr>
        <w:pStyle w:val="Bibliography"/>
      </w:pPr>
      <w:r>
        <w:t>[53]</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16F778EB" w14:textId="77777777" w:rsidR="00286292" w:rsidRPr="005704B6" w:rsidRDefault="00286292" w:rsidP="00286292">
      <w:pPr>
        <w:pStyle w:val="Bibliography"/>
        <w:rPr>
          <w:lang w:val="fr-FR"/>
        </w:rPr>
      </w:pPr>
      <w:r>
        <w:t>[54]</w:t>
      </w:r>
      <w:r>
        <w:tab/>
        <w:t xml:space="preserve">Meta, “2025 Sustainability Report.” [Online]. </w:t>
      </w:r>
      <w:r w:rsidRPr="005704B6">
        <w:rPr>
          <w:lang w:val="fr-FR"/>
        </w:rPr>
        <w:t>Available: https://sustainability.atmeta.com/wp-content/uploads/2025/08/Meta_2025-Sustainability-Report.pdf</w:t>
      </w:r>
    </w:p>
    <w:p w14:paraId="2EE694FB" w14:textId="77777777" w:rsidR="00286292" w:rsidRDefault="00286292" w:rsidP="00286292">
      <w:pPr>
        <w:pStyle w:val="Bibliography"/>
      </w:pPr>
      <w:r>
        <w:t>[55]</w:t>
      </w:r>
      <w:r>
        <w:tab/>
        <w:t>BloombergNEF, “Corporate Clean Energy Buying Fell in 2025 After Nearly a Decade of Growth.” [Online]. Available: https://about.bnef.com/insights/clean-energy/corporate-clean-energy-buying-fell-in-2025-after-nearly-a-decade-of-growth/</w:t>
      </w:r>
    </w:p>
    <w:p w14:paraId="5EEE3135" w14:textId="77777777" w:rsidR="00286292" w:rsidRPr="005704B6" w:rsidRDefault="00286292" w:rsidP="00286292">
      <w:pPr>
        <w:pStyle w:val="Bibliography"/>
        <w:rPr>
          <w:lang w:val="fr-FR"/>
        </w:rPr>
      </w:pPr>
      <w:r>
        <w:t>[56]</w:t>
      </w:r>
      <w:r>
        <w:tab/>
        <w:t xml:space="preserve">Y. Panchal, S. Dubey, and R. Pathak, “Exploring the Future of Cloud Computing: A Comprehensive Study of Microsoft’s Underwater Data Centers,” vol. 12, no. 3, 2025, [Online]. </w:t>
      </w:r>
      <w:r w:rsidRPr="005704B6">
        <w:rPr>
          <w:lang w:val="fr-FR"/>
        </w:rPr>
        <w:t>Available: https://www.taylorfrancis.com/chapters/edit/10.1201/9781003492160-7/exploring-cloud-computing-platforms-metrics-used-compare-cloud-service-providers-parul-dubey-arvind-kumar-tiwari</w:t>
      </w:r>
    </w:p>
    <w:p w14:paraId="72E297CA" w14:textId="77777777" w:rsidR="00286292" w:rsidRPr="005704B6" w:rsidRDefault="00286292" w:rsidP="00286292">
      <w:pPr>
        <w:pStyle w:val="Bibliography"/>
        <w:rPr>
          <w:lang w:val="fr-FR"/>
        </w:rPr>
      </w:pPr>
      <w:r>
        <w:t>[57]</w:t>
      </w:r>
      <w:r>
        <w:tab/>
        <w:t xml:space="preserve">K. Simon, “Project Natick — Microsoft’s Self-sufficient Underwater Datacenters”, [Online]. </w:t>
      </w:r>
      <w:r w:rsidRPr="005704B6">
        <w:rPr>
          <w:lang w:val="fr-FR"/>
        </w:rPr>
        <w:t>Available: https://www.researchgate.net/publication/328214732_Project_Natick-Microsoft’s_Self-sufficient_Underwater_Datacenters</w:t>
      </w:r>
    </w:p>
    <w:p w14:paraId="0CD6084F" w14:textId="77777777" w:rsidR="00286292" w:rsidRDefault="00286292" w:rsidP="00286292">
      <w:pPr>
        <w:pStyle w:val="Bibliography"/>
      </w:pPr>
      <w:r>
        <w:t>[58]</w:t>
      </w:r>
      <w:r>
        <w:tab/>
        <w:t>Equinix, “Sustainability Report 2025.” [Online]. Available: https://delivery-p112322-e1154416.adobeaemcloud.com/adobe/assets/deliver/urn:aaid:aem:116e6fc1-6217-4132-8fcf-1dc7096396df/Equinix-Inc_2025_Sustainability-Report.pdf</w:t>
      </w:r>
    </w:p>
    <w:p w14:paraId="0A097314" w14:textId="77777777" w:rsidR="00286292" w:rsidRDefault="00286292" w:rsidP="00286292">
      <w:pPr>
        <w:pStyle w:val="Bibliography"/>
      </w:pPr>
      <w:r>
        <w:t>[59]</w:t>
      </w:r>
      <w:r>
        <w:tab/>
        <w:t>Apple, “Environmental Progress Report.” [Online]. Available: https://www.apple.com/environment/pdf/Apple_Environmental_Progress_Report_2025.pdf</w:t>
      </w:r>
    </w:p>
    <w:p w14:paraId="27907878" w14:textId="77777777" w:rsidR="00286292" w:rsidRDefault="00286292" w:rsidP="00286292">
      <w:pPr>
        <w:pStyle w:val="Bibliography"/>
      </w:pPr>
      <w:r>
        <w:t>[60]</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6C6A61E4" w14:textId="77777777" w:rsidR="00286292" w:rsidRDefault="00286292" w:rsidP="00286292">
      <w:pPr>
        <w:pStyle w:val="Bibliography"/>
      </w:pPr>
      <w:r>
        <w:t>[61]</w:t>
      </w:r>
      <w:r>
        <w:tab/>
        <w:t xml:space="preserve">J. C. Das, </w:t>
      </w:r>
      <w:r>
        <w:rPr>
          <w:i/>
          <w:iCs/>
        </w:rPr>
        <w:t>Power System Harmonics and Passive Filter Designs</w:t>
      </w:r>
      <w:r>
        <w:t>, 1st ed. Wiley, 2015. doi: 10.1002/9781118887059.</w:t>
      </w:r>
    </w:p>
    <w:p w14:paraId="483A60E9" w14:textId="77777777" w:rsidR="00286292" w:rsidRDefault="00286292" w:rsidP="00286292">
      <w:pPr>
        <w:pStyle w:val="Bibliography"/>
      </w:pPr>
      <w:r>
        <w:t>[62]</w:t>
      </w:r>
      <w:r>
        <w:tab/>
        <w:t xml:space="preserve">M. T. Takci, M. Qadrdan, J. Summers, and J. Gustafsson, “Data centres as a source of flexibility for power systems,” </w:t>
      </w:r>
      <w:r>
        <w:rPr>
          <w:i/>
          <w:iCs/>
        </w:rPr>
        <w:t>Energy Rep.</w:t>
      </w:r>
      <w:r>
        <w:t>, vol. 13, pp. 3661–3671, Jun. 2025, doi: 10.1016/j.egyr.2025.03.020.</w:t>
      </w:r>
    </w:p>
    <w:p w14:paraId="02A4B8DE" w14:textId="77777777" w:rsidR="00286292" w:rsidRDefault="00286292" w:rsidP="00286292">
      <w:pPr>
        <w:pStyle w:val="Bibliography"/>
      </w:pPr>
      <w:r>
        <w:t>[63]</w:t>
      </w:r>
      <w:r>
        <w:tab/>
        <w:t>Lazard, “Levelized Cost of Energy.” [Online]. Available: https://www.lazard.com/media/eijnqja3/lazards-lcoeplus-june-2025.pdf</w:t>
      </w:r>
    </w:p>
    <w:p w14:paraId="0454D78C" w14:textId="77777777" w:rsidR="00286292" w:rsidRDefault="00286292" w:rsidP="00286292">
      <w:pPr>
        <w:pStyle w:val="Bibliography"/>
      </w:pPr>
      <w:r>
        <w:t>[64]</w:t>
      </w:r>
      <w:r>
        <w:tab/>
        <w:t xml:space="preserve">O. Kay, R. Reaser, and R. Taylor, “Processing Power: The Effect of Data Centers on Wholesale Electricity Markets,” </w:t>
      </w:r>
      <w:r>
        <w:rPr>
          <w:i/>
          <w:iCs/>
        </w:rPr>
        <w:t>Fed. Reserve Bank Dallas Work. Pap.</w:t>
      </w:r>
      <w:r>
        <w:t>, vol. 2026, no. 2606, Mar. 2026, doi: 10.24149/wp2606.</w:t>
      </w:r>
    </w:p>
    <w:p w14:paraId="45DDC07F" w14:textId="77777777" w:rsidR="00286292" w:rsidRPr="005704B6" w:rsidRDefault="00286292" w:rsidP="00286292">
      <w:pPr>
        <w:pStyle w:val="Bibliography"/>
        <w:rPr>
          <w:lang w:val="fr-FR"/>
        </w:rPr>
      </w:pPr>
      <w:r>
        <w:lastRenderedPageBreak/>
        <w:t>[65]</w:t>
      </w:r>
      <w:r>
        <w:tab/>
        <w:t xml:space="preserve">leveltenenergy, “https://www.leveltenenergy.com/post/levelten-north-american-ppa-price-index-q1-2026.” [Online]. </w:t>
      </w:r>
      <w:r w:rsidRPr="005704B6">
        <w:rPr>
          <w:lang w:val="fr-FR"/>
        </w:rPr>
        <w:t>Available: https://www.leveltenenergy.com/post/levelten-north-american-ppa-price-index-q1-2026</w:t>
      </w:r>
    </w:p>
    <w:p w14:paraId="672EA02B" w14:textId="77777777" w:rsidR="00286292" w:rsidRDefault="00286292" w:rsidP="00286292">
      <w:pPr>
        <w:pStyle w:val="Bibliography"/>
      </w:pPr>
      <w:r>
        <w:t>[66]</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02C36C97" w14:textId="77777777" w:rsidR="00286292" w:rsidRDefault="00286292" w:rsidP="00286292">
      <w:pPr>
        <w:pStyle w:val="Bibliography"/>
      </w:pPr>
      <w:r>
        <w:t>[67]</w:t>
      </w:r>
      <w:r>
        <w:tab/>
        <w:t>Green House Gas Protocol, “GHG Protocol Scope 2 Guidance.” [Online]. Available: https://ghgprotocol.org/sites/default/files/2023-03/Scope%202%20Guidance.pdf</w:t>
      </w:r>
    </w:p>
    <w:p w14:paraId="1E297D9A" w14:textId="77777777" w:rsidR="00286292" w:rsidRDefault="00286292" w:rsidP="00286292">
      <w:pPr>
        <w:pStyle w:val="Bibliography"/>
      </w:pPr>
      <w:r>
        <w:t>[68]</w:t>
      </w:r>
      <w:r>
        <w:tab/>
        <w:t>UN Energy, “24/7 Carbon-free Energy Compact.” [Online]. Available: https://www.un.org/en/energy-compacts/page/compact-247-carbon-free-energy</w:t>
      </w:r>
    </w:p>
    <w:p w14:paraId="38C43EE3" w14:textId="77777777" w:rsidR="00286292" w:rsidRDefault="00286292" w:rsidP="00286292">
      <w:pPr>
        <w:pStyle w:val="Bibliography"/>
      </w:pPr>
      <w:r>
        <w:t>[69]</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5BAD4EF3" w14:textId="77777777" w:rsidR="00286292" w:rsidRDefault="00286292" w:rsidP="00286292">
      <w:pPr>
        <w:pStyle w:val="Bibliography"/>
      </w:pPr>
      <w:r>
        <w:t>[70]</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22BA9ADE" w14:textId="77777777" w:rsidR="00286292" w:rsidRDefault="00286292" w:rsidP="00286292">
      <w:pPr>
        <w:pStyle w:val="Bibliography"/>
      </w:pPr>
      <w:r>
        <w:t>[71]</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6BD40146" w14:textId="77777777" w:rsidR="00286292" w:rsidRDefault="00286292" w:rsidP="00286292">
      <w:pPr>
        <w:pStyle w:val="Bibliography"/>
      </w:pPr>
      <w:r>
        <w:t>[72]</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3F41D756" w14:textId="77777777" w:rsidR="00286292" w:rsidRDefault="00286292" w:rsidP="00286292">
      <w:pPr>
        <w:pStyle w:val="Bibliography"/>
      </w:pPr>
      <w:r>
        <w:t>[73]</w:t>
      </w:r>
      <w:r>
        <w:tab/>
      </w:r>
      <w:r>
        <w:rPr>
          <w:i/>
          <w:iCs/>
        </w:rPr>
        <w:t>IEEE Recommended Practice for the Design of Reliable Industrial and Commercial Power Systems (Gold Book)</w:t>
      </w:r>
      <w:r>
        <w:t>. doi: 10.1109/IEEESTD.1998.89291.</w:t>
      </w:r>
    </w:p>
    <w:p w14:paraId="5BEED04A" w14:textId="77777777" w:rsidR="00286292" w:rsidRDefault="00286292" w:rsidP="00286292">
      <w:pPr>
        <w:pStyle w:val="Bibliography"/>
      </w:pPr>
      <w:r>
        <w:t>[74]</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73B97CBF" w14:textId="77777777" w:rsidR="00286292" w:rsidRDefault="00286292" w:rsidP="00286292">
      <w:pPr>
        <w:pStyle w:val="Bibliography"/>
      </w:pPr>
      <w:r>
        <w:t>[75]</w:t>
      </w:r>
      <w:r>
        <w:tab/>
        <w:t>Nguyen Anh Huy and X. T. Nguyen, “Data center energy assessment process and energy efficiency metrics,” 2025, doi: 10.13140/RG.2.2.27710.75845.</w:t>
      </w:r>
    </w:p>
    <w:p w14:paraId="2DF3B1BC" w14:textId="77777777" w:rsidR="00286292" w:rsidRDefault="00286292" w:rsidP="00286292">
      <w:pPr>
        <w:pStyle w:val="Bibliography"/>
      </w:pPr>
      <w:r>
        <w:t>[76]</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78F646FF" w14:textId="77777777" w:rsidR="00286292" w:rsidRDefault="00286292" w:rsidP="00286292">
      <w:pPr>
        <w:pStyle w:val="Bibliography"/>
      </w:pPr>
      <w:r>
        <w:t>[77]</w:t>
      </w:r>
      <w:r>
        <w:tab/>
        <w:t xml:space="preserve">S. Narayanaswamy, P. D. Patel, I. Karlin, A. Gupta, S. Saripalli, and J. Guo, “Datacenter Energy Optimized Power Profiles,” 2025, </w:t>
      </w:r>
      <w:r>
        <w:rPr>
          <w:i/>
          <w:iCs/>
        </w:rPr>
        <w:t>arXiv</w:t>
      </w:r>
      <w:r>
        <w:t>. doi: 10.48550/ARXIV.2510.03872.</w:t>
      </w:r>
    </w:p>
    <w:p w14:paraId="1B0E8C57" w14:textId="77777777" w:rsidR="00286292" w:rsidRDefault="00286292" w:rsidP="00286292">
      <w:pPr>
        <w:pStyle w:val="Bibliography"/>
      </w:pPr>
      <w:r>
        <w:t>[78]</w:t>
      </w:r>
      <w:r>
        <w:tab/>
        <w:t xml:space="preserve">V. Singhania, S. Aga, and M. A. Ibrahim, “FinGraV: Methodology for Fine-Grain GPU Power Visibility and Insights,” Mar. 28, 2025, </w:t>
      </w:r>
      <w:r>
        <w:rPr>
          <w:i/>
          <w:iCs/>
        </w:rPr>
        <w:t>arXiv</w:t>
      </w:r>
      <w:r>
        <w:t>: arXiv:2412.12426. doi: 10.48550/arXiv.2412.12426.</w:t>
      </w:r>
    </w:p>
    <w:p w14:paraId="182AA812" w14:textId="77777777" w:rsidR="00286292" w:rsidRDefault="00286292" w:rsidP="00286292">
      <w:pPr>
        <w:pStyle w:val="Bibliography"/>
      </w:pPr>
      <w:r>
        <w:t>[79]</w:t>
      </w:r>
      <w:r>
        <w:tab/>
        <w:t xml:space="preserve">Z. Yang, G. He, Y. Li, Y. Sun, W. Luo, and W. Zhang, “Thermal management in copackaged optics: from device assembly to system operation,” </w:t>
      </w:r>
      <w:r>
        <w:rPr>
          <w:i/>
          <w:iCs/>
        </w:rPr>
        <w:t>Adv. Photonics Nexus</w:t>
      </w:r>
      <w:r>
        <w:t>, vol. 5, no. 03, Mar. 2026, doi: 10.1117/1.APN.5.3.034001.</w:t>
      </w:r>
    </w:p>
    <w:p w14:paraId="377E7270" w14:textId="77777777" w:rsidR="00286292" w:rsidRDefault="00286292" w:rsidP="00286292">
      <w:pPr>
        <w:pStyle w:val="Bibliography"/>
      </w:pPr>
      <w:r>
        <w:lastRenderedPageBreak/>
        <w:t>[80]</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08F8F980" w14:textId="77777777" w:rsidR="00286292" w:rsidRDefault="00286292" w:rsidP="00286292">
      <w:pPr>
        <w:pStyle w:val="Bibliography"/>
      </w:pPr>
      <w:r>
        <w:t>[81]</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52884990" w14:textId="77777777" w:rsidR="00286292" w:rsidRDefault="00286292" w:rsidP="00286292">
      <w:pPr>
        <w:pStyle w:val="Bibliography"/>
      </w:pPr>
      <w:r>
        <w:t>[82]</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517AFDA4" w14:textId="77777777" w:rsidR="00286292" w:rsidRPr="005704B6" w:rsidRDefault="00286292" w:rsidP="00286292">
      <w:pPr>
        <w:pStyle w:val="Bibliography"/>
        <w:rPr>
          <w:lang w:val="fr-FR"/>
        </w:rPr>
      </w:pPr>
      <w:r>
        <w:t>[83]</w:t>
      </w:r>
      <w:r>
        <w:tab/>
        <w:t xml:space="preserve">IEC, “Electrical Energy Storage.” [Online]. </w:t>
      </w:r>
      <w:r w:rsidRPr="005704B6">
        <w:rPr>
          <w:lang w:val="fr-FR"/>
        </w:rPr>
        <w:t>Available: https://iec.ch/system/files/2019-09/content/media/files/iec_wp-electrical_energy_storage-en.pdf</w:t>
      </w:r>
    </w:p>
    <w:p w14:paraId="76615EBB" w14:textId="77777777" w:rsidR="00286292" w:rsidRDefault="00286292" w:rsidP="00286292">
      <w:pPr>
        <w:pStyle w:val="Bibliography"/>
      </w:pPr>
      <w:r>
        <w:t>[84]</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107C2A31" w14:textId="77777777" w:rsidR="00286292" w:rsidRDefault="00286292" w:rsidP="00286292">
      <w:pPr>
        <w:pStyle w:val="Bibliography"/>
      </w:pPr>
      <w:r>
        <w:t>[85]</w:t>
      </w:r>
      <w:r>
        <w:tab/>
        <w:t xml:space="preserve">E. Eslami, “Air Quality and Greenhouse Gas Emissions Assessment of Data Centers in Texas: Quantifying Impacts and Environmental Tradeoffs,” 2025, </w:t>
      </w:r>
      <w:r>
        <w:rPr>
          <w:i/>
          <w:iCs/>
        </w:rPr>
        <w:t>arXiv</w:t>
      </w:r>
      <w:r>
        <w:t>. doi: 10.48550/ARXIV.2509.21312.</w:t>
      </w:r>
    </w:p>
    <w:p w14:paraId="066B4FD4" w14:textId="77777777" w:rsidR="00286292" w:rsidRDefault="00286292" w:rsidP="00286292">
      <w:pPr>
        <w:pStyle w:val="Bibliography"/>
      </w:pPr>
      <w:r>
        <w:t>[86]</w:t>
      </w:r>
      <w:r>
        <w:tab/>
        <w:t xml:space="preserve">Y. Tang, X. Bai, C. Jin, Y. Fu, W. Mao, and X. Xu, “Experimental and numerical study on the thermal environment of a data center,” </w:t>
      </w:r>
      <w:r>
        <w:rPr>
          <w:i/>
          <w:iCs/>
        </w:rPr>
        <w:t>Build. Environ.</w:t>
      </w:r>
      <w:r>
        <w:t>, vol. 212, p. 108741, Mar. 2022, doi: 10.1016/j.buildenv.2021.108741.</w:t>
      </w:r>
    </w:p>
    <w:p w14:paraId="5DE22A11" w14:textId="77777777" w:rsidR="00286292" w:rsidRDefault="00286292" w:rsidP="00286292">
      <w:pPr>
        <w:pStyle w:val="Bibliography"/>
      </w:pPr>
      <w:r>
        <w:t>[87]</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4874B4E7" w14:textId="77777777" w:rsidR="00286292" w:rsidRDefault="00286292" w:rsidP="00286292">
      <w:pPr>
        <w:pStyle w:val="Bibliography"/>
      </w:pPr>
      <w:r>
        <w:t>[88]</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404CDCE2" w14:textId="77777777" w:rsidR="00286292" w:rsidRDefault="00286292" w:rsidP="00286292">
      <w:pPr>
        <w:pStyle w:val="Bibliography"/>
      </w:pPr>
      <w:r>
        <w:t>[89]</w:t>
      </w:r>
      <w:r>
        <w:tab/>
      </w:r>
      <w:r>
        <w:rPr>
          <w:i/>
          <w:iCs/>
        </w:rPr>
        <w:t>IEEE Recommended Practice for Powering and Grounding Electronic Equipment</w:t>
      </w:r>
      <w:r>
        <w:t>. doi: 10.1109/IEEESTD.1999.90559.</w:t>
      </w:r>
    </w:p>
    <w:p w14:paraId="5FC29135" w14:textId="77777777" w:rsidR="00286292" w:rsidRDefault="00286292" w:rsidP="00286292">
      <w:pPr>
        <w:pStyle w:val="Bibliography"/>
      </w:pPr>
      <w:r>
        <w:t>[90]</w:t>
      </w:r>
      <w:r>
        <w:tab/>
        <w:t>R. Siddique, “Active Power Filters for Harmonic Mitigation in Power Systems”.</w:t>
      </w:r>
    </w:p>
    <w:p w14:paraId="4649868E" w14:textId="77777777" w:rsidR="00286292" w:rsidRDefault="00286292" w:rsidP="00286292">
      <w:pPr>
        <w:pStyle w:val="Bibliography"/>
      </w:pPr>
      <w:r>
        <w:t>[91]</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0DBBC96F" w14:textId="77777777" w:rsidR="00286292" w:rsidRDefault="00286292" w:rsidP="00286292">
      <w:pPr>
        <w:pStyle w:val="Bibliography"/>
      </w:pPr>
      <w:r>
        <w:t>[92]</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782B649D" w14:textId="77777777" w:rsidR="00286292" w:rsidRDefault="00286292" w:rsidP="00286292">
      <w:pPr>
        <w:pStyle w:val="Bibliography"/>
      </w:pPr>
      <w:r>
        <w:t>[93]</w:t>
      </w:r>
      <w:r>
        <w:tab/>
        <w:t xml:space="preserve">J. Li, C. Wang, and Y. Liu, “AI Driven Virtual Power Plants: A Comprehensive Review,” Jan. 22, 2026, </w:t>
      </w:r>
      <w:r>
        <w:rPr>
          <w:i/>
          <w:iCs/>
        </w:rPr>
        <w:t>Engineering</w:t>
      </w:r>
      <w:r>
        <w:t>. doi: 10.20944/preprints202601.1691.v1.</w:t>
      </w:r>
    </w:p>
    <w:p w14:paraId="33BFCB34" w14:textId="77777777" w:rsidR="00286292" w:rsidRDefault="00286292" w:rsidP="00286292">
      <w:pPr>
        <w:pStyle w:val="Bibliography"/>
      </w:pPr>
      <w:r>
        <w:t>[94]</w:t>
      </w:r>
      <w:r>
        <w:tab/>
        <w:t xml:space="preserve">S. Jadhav and Z. Liu, “Digital Twin-Based Cooling System Optimization for Data Center,” 2026, </w:t>
      </w:r>
      <w:r>
        <w:rPr>
          <w:i/>
          <w:iCs/>
        </w:rPr>
        <w:t>arXiv</w:t>
      </w:r>
      <w:r>
        <w:t>. doi: 10.48550/ARXIV.2603.01198.</w:t>
      </w:r>
    </w:p>
    <w:p w14:paraId="5FE36095" w14:textId="77777777" w:rsidR="00286292" w:rsidRDefault="00286292" w:rsidP="00286292">
      <w:pPr>
        <w:pStyle w:val="Bibliography"/>
      </w:pPr>
      <w:r>
        <w:t>[95]</w:t>
      </w:r>
      <w:r>
        <w:tab/>
        <w:t>NREL, “National Renewable Energy Laboratory (NREL).” [Online]. Available: https://atb.nrel.gov/</w:t>
      </w:r>
    </w:p>
    <w:p w14:paraId="30FD140A" w14:textId="77777777" w:rsidR="00286292" w:rsidRDefault="00286292" w:rsidP="00286292">
      <w:pPr>
        <w:pStyle w:val="Bibliography"/>
      </w:pPr>
      <w:r>
        <w:t>[96]</w:t>
      </w:r>
      <w:r>
        <w:tab/>
        <w:t xml:space="preserve">E. Förstner </w:t>
      </w:r>
      <w:r>
        <w:rPr>
          <w:i/>
          <w:iCs/>
        </w:rPr>
        <w:t>et al.</w:t>
      </w:r>
      <w:r>
        <w:t>, “Photovoltaic system reduces grid voltage waveform distortions in the frequency range from 700 Hz to 1250 Hz,” 2026, doi: 10.5445/IR/1000191363.</w:t>
      </w:r>
    </w:p>
    <w:p w14:paraId="77F68A49" w14:textId="77777777" w:rsidR="00286292" w:rsidRDefault="00286292" w:rsidP="00286292">
      <w:pPr>
        <w:pStyle w:val="Bibliography"/>
      </w:pPr>
      <w:r>
        <w:lastRenderedPageBreak/>
        <w:t>[97]</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48241DBC" w14:textId="77777777" w:rsidR="00286292" w:rsidRDefault="00286292" w:rsidP="00286292">
      <w:pPr>
        <w:pStyle w:val="Bibliography"/>
      </w:pPr>
      <w:r>
        <w:t>[98]</w:t>
      </w:r>
      <w:r>
        <w:tab/>
        <w:t xml:space="preserve">O. Ndindayino, A. Puel, and J. Meyers, “Effect of blockage on wind turbine power and wake development,” Feb. 12, 2025, </w:t>
      </w:r>
      <w:r>
        <w:rPr>
          <w:i/>
          <w:iCs/>
        </w:rPr>
        <w:t>Fluid mechanics/Wakes and wind farm aerodynamics</w:t>
      </w:r>
      <w:r>
        <w:t>. doi: 10.5194/wes-2025-6.</w:t>
      </w:r>
    </w:p>
    <w:p w14:paraId="2C95A205" w14:textId="77777777" w:rsidR="00286292" w:rsidRDefault="00286292" w:rsidP="00286292">
      <w:pPr>
        <w:pStyle w:val="Bibliography"/>
      </w:pPr>
      <w:r>
        <w:t>[99]</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037562CD" w14:textId="77777777" w:rsidR="00286292" w:rsidRDefault="00286292" w:rsidP="00286292">
      <w:pPr>
        <w:pStyle w:val="Bibliography"/>
      </w:pPr>
      <w:r>
        <w:t>[100]</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495C02CD" w14:textId="77777777" w:rsidR="00286292" w:rsidRDefault="00286292" w:rsidP="00286292">
      <w:pPr>
        <w:pStyle w:val="Bibliography"/>
      </w:pPr>
      <w:r>
        <w:t>[101]</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69E45261" w14:textId="77777777" w:rsidR="00286292" w:rsidRDefault="00286292" w:rsidP="00286292">
      <w:pPr>
        <w:pStyle w:val="Bibliography"/>
      </w:pPr>
      <w:r>
        <w:t>[102]</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77394042" w14:textId="77777777" w:rsidR="00286292" w:rsidRDefault="00286292" w:rsidP="00286292">
      <w:pPr>
        <w:pStyle w:val="Bibliography"/>
      </w:pPr>
      <w:r>
        <w:t>[103]</w:t>
      </w:r>
      <w:r>
        <w:tab/>
        <w:t xml:space="preserve">T. Anderson, “An improved typical meteorological year for solar energy simulations in Rarotonga, Cook Islands,” </w:t>
      </w:r>
      <w:r>
        <w:rPr>
          <w:i/>
          <w:iCs/>
        </w:rPr>
        <w:t>J. R. Soc. N. Z.</w:t>
      </w:r>
      <w:r>
        <w:t>, vol. 52, no. 5, pp. 606–613, Oct. 2022, doi: 10.1080/03036758.2021.2013262.</w:t>
      </w:r>
    </w:p>
    <w:p w14:paraId="6A6308D4" w14:textId="77777777" w:rsidR="00286292" w:rsidRDefault="00286292" w:rsidP="00286292">
      <w:pPr>
        <w:pStyle w:val="Bibliography"/>
      </w:pPr>
      <w:r>
        <w:t>[104]</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745699BC" w14:textId="77777777" w:rsidR="00286292" w:rsidRDefault="00286292" w:rsidP="00286292">
      <w:pPr>
        <w:pStyle w:val="Bibliography"/>
      </w:pPr>
      <w:r>
        <w:t>[105]</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3954B0A4" w14:textId="77777777" w:rsidR="00286292" w:rsidRDefault="00286292" w:rsidP="00286292">
      <w:pPr>
        <w:pStyle w:val="Bibliography"/>
      </w:pPr>
      <w:r>
        <w:t>[106]</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01095A6D" w14:textId="77777777" w:rsidR="00286292" w:rsidRDefault="00286292" w:rsidP="00286292">
      <w:pPr>
        <w:pStyle w:val="Bibliography"/>
      </w:pPr>
      <w:r>
        <w:t>[107]</w:t>
      </w:r>
      <w:r>
        <w:tab/>
        <w:t xml:space="preserve">W. Cole, V. Ramasamy, and M. Turan, “Cost Projections for Utility-Scale Battery Storage: 2025 Update,” </w:t>
      </w:r>
      <w:r>
        <w:rPr>
          <w:i/>
          <w:iCs/>
        </w:rPr>
        <w:t>Renew. Energy</w:t>
      </w:r>
      <w:r>
        <w:t>, 2025, [Online]. Available: https://docs.nrel.gov/docs/fy25osti/93281.pdf</w:t>
      </w:r>
    </w:p>
    <w:p w14:paraId="5EDEA8B7" w14:textId="77777777" w:rsidR="00286292" w:rsidRDefault="00286292" w:rsidP="00286292">
      <w:pPr>
        <w:pStyle w:val="Bibliography"/>
      </w:pPr>
      <w:r>
        <w:t>[108]</w:t>
      </w:r>
      <w:r>
        <w:tab/>
        <w:t>Our World in Data, “Battery costs have declined by 99% in the last three decades, making electrified transport a reality.” [Online]. Available: https://ourworldindata.org/battery-price-decline</w:t>
      </w:r>
    </w:p>
    <w:p w14:paraId="1EFB5943" w14:textId="77777777" w:rsidR="00286292" w:rsidRDefault="00286292" w:rsidP="00286292">
      <w:pPr>
        <w:pStyle w:val="Bibliography"/>
      </w:pPr>
      <w:r>
        <w:t>[109]</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2B9C2A0C" w14:textId="77777777" w:rsidR="00286292" w:rsidRDefault="00286292" w:rsidP="00286292">
      <w:pPr>
        <w:pStyle w:val="Bibliography"/>
      </w:pPr>
      <w:r>
        <w:t>[110]</w:t>
      </w:r>
      <w:r>
        <w:tab/>
        <w:t>D. Reber, S. Jarvis, and M. Marshak, “The role of energy density for grid-scale batteries,” Nov. 17, 2022. doi: 10.26434/chemrxiv-2022-5ddhs.</w:t>
      </w:r>
    </w:p>
    <w:p w14:paraId="2105C582" w14:textId="77777777" w:rsidR="00286292" w:rsidRDefault="00286292" w:rsidP="00286292">
      <w:pPr>
        <w:pStyle w:val="Bibliography"/>
      </w:pPr>
      <w:r>
        <w:t>[111]</w:t>
      </w:r>
      <w:r>
        <w:tab/>
        <w:t xml:space="preserve">S. Rahman and T. A. Khan, “Energy Storage Systems for AI Data Centers: A Review of Technologies, Characteristics, and Applicability,” </w:t>
      </w:r>
      <w:r>
        <w:rPr>
          <w:i/>
          <w:iCs/>
        </w:rPr>
        <w:t>Energies</w:t>
      </w:r>
      <w:r>
        <w:t>, vol. 19, no. 3, p. 634, Jan. 2026, doi: 10.3390/en19030634.</w:t>
      </w:r>
    </w:p>
    <w:p w14:paraId="7576DA13" w14:textId="77777777" w:rsidR="00286292" w:rsidRPr="005704B6" w:rsidRDefault="00286292" w:rsidP="00286292">
      <w:pPr>
        <w:pStyle w:val="Bibliography"/>
        <w:rPr>
          <w:lang w:val="fr-FR"/>
        </w:rPr>
      </w:pPr>
      <w:r>
        <w:lastRenderedPageBreak/>
        <w:t>[112]</w:t>
      </w:r>
      <w:r>
        <w:tab/>
        <w:t xml:space="preserve">U. Remme, “Global Hydrogen Review 2025,” 2025, [Online]. </w:t>
      </w:r>
      <w:r w:rsidRPr="005704B6">
        <w:rPr>
          <w:lang w:val="fr-FR"/>
        </w:rPr>
        <w:t>Available: https://iea.blob.core.windows.net/assets/12d92ecc-e960-40f3-aff5-b2de6690ab6b/GlobalHydrogenReview2025.pdf</w:t>
      </w:r>
    </w:p>
    <w:p w14:paraId="6B99008A" w14:textId="77777777" w:rsidR="00286292" w:rsidRDefault="00286292" w:rsidP="00286292">
      <w:pPr>
        <w:pStyle w:val="Bibliography"/>
      </w:pPr>
      <w:r>
        <w:t>[113]</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67B68EDD" w14:textId="77777777" w:rsidR="00286292" w:rsidRDefault="00286292" w:rsidP="00286292">
      <w:pPr>
        <w:pStyle w:val="Bibliography"/>
      </w:pPr>
      <w:r>
        <w:t>[114]</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6193A14E" w14:textId="77777777" w:rsidR="00286292" w:rsidRDefault="00286292" w:rsidP="00286292">
      <w:pPr>
        <w:pStyle w:val="Bibliography"/>
      </w:pPr>
      <w:r>
        <w:t>[115]</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77A01230" w14:textId="77777777" w:rsidR="00286292" w:rsidRDefault="00286292" w:rsidP="00286292">
      <w:pPr>
        <w:pStyle w:val="Bibliography"/>
      </w:pPr>
      <w:r>
        <w:t>[116]</w:t>
      </w:r>
      <w:r>
        <w:tab/>
        <w:t>EIA, “Electric Power Annual 2024.” [Online]. Available: https://www.eia.gov/electricity/annual/pdf/epa.pdf</w:t>
      </w:r>
    </w:p>
    <w:p w14:paraId="52E6A802" w14:textId="77777777" w:rsidR="00286292" w:rsidRPr="005704B6" w:rsidRDefault="00286292" w:rsidP="00286292">
      <w:pPr>
        <w:pStyle w:val="Bibliography"/>
        <w:rPr>
          <w:lang w:val="fr-FR"/>
        </w:rPr>
      </w:pPr>
      <w:r>
        <w:t>[117]</w:t>
      </w:r>
      <w:r>
        <w:tab/>
        <w:t xml:space="preserve">NREL, “Annual Technoogy Baseline.” [Online]. </w:t>
      </w:r>
      <w:r w:rsidRPr="005704B6">
        <w:rPr>
          <w:lang w:val="fr-FR"/>
        </w:rPr>
        <w:t>Available: https://atb-archive.nlr.gov/</w:t>
      </w:r>
    </w:p>
    <w:p w14:paraId="75C83635" w14:textId="77777777" w:rsidR="00286292" w:rsidRDefault="00286292" w:rsidP="00286292">
      <w:pPr>
        <w:pStyle w:val="Bibliography"/>
      </w:pPr>
      <w:r>
        <w:t>[118]</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1CD47529" w14:textId="77777777" w:rsidR="00286292" w:rsidRDefault="00286292" w:rsidP="00286292">
      <w:pPr>
        <w:pStyle w:val="Bibliography"/>
      </w:pPr>
      <w:r>
        <w:t>[119]</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1D9F5A92" w14:textId="77777777" w:rsidR="00286292" w:rsidRDefault="00286292" w:rsidP="00286292">
      <w:pPr>
        <w:pStyle w:val="Bibliography"/>
      </w:pPr>
      <w:r>
        <w:t>[120]</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0562611E" w14:textId="77777777" w:rsidR="00286292" w:rsidRDefault="00286292" w:rsidP="00286292">
      <w:pPr>
        <w:pStyle w:val="Bibliography"/>
      </w:pPr>
      <w:r>
        <w:t>[121]</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2A3479B7" w14:textId="77777777" w:rsidR="00286292" w:rsidRDefault="00286292" w:rsidP="00286292">
      <w:pPr>
        <w:pStyle w:val="Bibliography"/>
      </w:pPr>
      <w:r>
        <w:t>[122]</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3A2E35B3" w14:textId="77777777" w:rsidR="00286292" w:rsidRDefault="00286292" w:rsidP="00286292">
      <w:pPr>
        <w:pStyle w:val="Bibliography"/>
      </w:pPr>
      <w:r>
        <w:t>[123]</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19CEF42A" w14:textId="77777777" w:rsidR="00286292" w:rsidRDefault="00286292" w:rsidP="00286292">
      <w:pPr>
        <w:pStyle w:val="Bibliography"/>
      </w:pPr>
      <w:r>
        <w:t>[124]</w:t>
      </w:r>
      <w:r>
        <w:tab/>
        <w:t>Idaho National Lab, “Powering Data Centers with Clean Energy.” [Online]. Available: https://gain.inl.gov/content/uploads/4/2024/11/INL-RPT-24-79307-Powering-Data-Cneters-with-Clean-Energy.pdf</w:t>
      </w:r>
    </w:p>
    <w:p w14:paraId="3379A475" w14:textId="77777777" w:rsidR="00286292" w:rsidRDefault="00286292" w:rsidP="00286292">
      <w:pPr>
        <w:pStyle w:val="Bibliography"/>
      </w:pPr>
      <w:r>
        <w:t>[125]</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5CA6F4FE" w14:textId="77777777" w:rsidR="00286292" w:rsidRDefault="00286292" w:rsidP="00286292">
      <w:pPr>
        <w:pStyle w:val="Bibliography"/>
      </w:pPr>
      <w:r>
        <w:t>[126]</w:t>
      </w:r>
      <w:r>
        <w:tab/>
        <w:t xml:space="preserve">S. Ghosh and J. Damodara, “Scalable data centers – Power generation and delivery challenges and solutions,” </w:t>
      </w:r>
      <w:r>
        <w:rPr>
          <w:i/>
          <w:iCs/>
        </w:rPr>
        <w:t>Energy Rep.</w:t>
      </w:r>
      <w:r>
        <w:t>, vol. 15, p. 109178, Jun. 2026, doi: 10.1016/j.egyr.2026.109178.</w:t>
      </w:r>
    </w:p>
    <w:p w14:paraId="0C11A1F9" w14:textId="77777777" w:rsidR="00286292" w:rsidRDefault="00286292" w:rsidP="00286292">
      <w:pPr>
        <w:pStyle w:val="Bibliography"/>
      </w:pPr>
      <w:r>
        <w:t>[127]</w:t>
      </w:r>
      <w:r>
        <w:tab/>
        <w:t>EPRI, “Powering Data Centers in the AI Era.” [Online]. Available: https://energie.hec.ca/wp-content/uploads/2025/10/PPT_EPRI.pdf</w:t>
      </w:r>
    </w:p>
    <w:p w14:paraId="1B7F7DF0" w14:textId="77777777" w:rsidR="00286292" w:rsidRDefault="00286292" w:rsidP="00286292">
      <w:pPr>
        <w:pStyle w:val="Bibliography"/>
      </w:pPr>
      <w:r>
        <w:lastRenderedPageBreak/>
        <w:t>[128]</w:t>
      </w:r>
      <w:r>
        <w:tab/>
        <w:t xml:space="preserve">J. W. Zhang, Y. H. Wang, G. C. Liu, and G. Z. Tian, “A review of control strategies for flywheel energy storage system and a case study with matrix converter,” </w:t>
      </w:r>
      <w:r>
        <w:rPr>
          <w:i/>
          <w:iCs/>
        </w:rPr>
        <w:t>Energy Rep.</w:t>
      </w:r>
      <w:r>
        <w:t>, vol. 8, pp. 3948–3963, Nov. 2022, doi: 10.1016/j.egyr.2022.03.009.</w:t>
      </w:r>
    </w:p>
    <w:p w14:paraId="050F27AC" w14:textId="77777777" w:rsidR="00286292" w:rsidRDefault="00286292" w:rsidP="00286292">
      <w:pPr>
        <w:pStyle w:val="Bibliography"/>
      </w:pPr>
      <w:r>
        <w:t>[129]</w:t>
      </w:r>
      <w:r>
        <w:tab/>
        <w:t xml:space="preserve">L. Bongini, R. A. Mastromauro, D. Sgrò, and F. Malvaldi, “Electrical Damping Assessment and Stability Considerations for a Highly Electrified Liquefied Natural Gas Plant,” </w:t>
      </w:r>
      <w:r>
        <w:rPr>
          <w:i/>
          <w:iCs/>
        </w:rPr>
        <w:t>Energies</w:t>
      </w:r>
      <w:r>
        <w:t>, vol. 13, no. 10, p. 2612, May 2020, doi: 10.3390/en13102612.</w:t>
      </w:r>
    </w:p>
    <w:p w14:paraId="3171AFE7" w14:textId="77777777" w:rsidR="00286292" w:rsidRDefault="00286292" w:rsidP="00286292">
      <w:pPr>
        <w:pStyle w:val="Bibliography"/>
      </w:pPr>
      <w:r>
        <w:t>[130]</w:t>
      </w:r>
      <w:r>
        <w:tab/>
        <w:t xml:space="preserve">A. J. Monticelli, A. Garcia, and O. R. Saavedra, “Fast decoupled load flow: hypothesis, derivations, and testing,” </w:t>
      </w:r>
      <w:r>
        <w:rPr>
          <w:i/>
          <w:iCs/>
        </w:rPr>
        <w:t>IEEE Trans. Power Syst.</w:t>
      </w:r>
      <w:r>
        <w:t>, vol. 5, no. 4, pp. 1425–1431, Nov. 1990, doi: 10.1109/59.99396.</w:t>
      </w:r>
    </w:p>
    <w:p w14:paraId="7175F028" w14:textId="77777777" w:rsidR="00286292" w:rsidRDefault="00286292" w:rsidP="00286292">
      <w:pPr>
        <w:pStyle w:val="Bibliography"/>
      </w:pPr>
      <w:r>
        <w:t>[131]</w:t>
      </w:r>
      <w:r>
        <w:tab/>
        <w:t xml:space="preserve">M. Huneault and F. D. Galiana, “A survey of the optimal power flow literature,” </w:t>
      </w:r>
      <w:r>
        <w:rPr>
          <w:i/>
          <w:iCs/>
        </w:rPr>
        <w:t>IEEE Trans. Power Syst.</w:t>
      </w:r>
      <w:r>
        <w:t>, vol. 6, no. 2, pp. 762–770, May 1991, doi: 10.1109/59.76723.</w:t>
      </w:r>
    </w:p>
    <w:p w14:paraId="548B140F" w14:textId="77777777" w:rsidR="00286292" w:rsidRDefault="00286292" w:rsidP="00286292">
      <w:pPr>
        <w:pStyle w:val="Bibliography"/>
      </w:pPr>
      <w:r>
        <w:t>[132]</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768D6215" w14:textId="77777777" w:rsidR="00286292" w:rsidRDefault="00286292" w:rsidP="00286292">
      <w:pPr>
        <w:pStyle w:val="Bibliography"/>
      </w:pPr>
      <w:r>
        <w:t>[133]</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28F8A948" w14:textId="77777777" w:rsidR="00286292" w:rsidRDefault="00286292" w:rsidP="00286292">
      <w:pPr>
        <w:pStyle w:val="Bibliography"/>
      </w:pPr>
      <w:r>
        <w:t>[134]</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6682E720" w14:textId="77777777" w:rsidR="00286292" w:rsidRDefault="00286292" w:rsidP="00286292">
      <w:pPr>
        <w:pStyle w:val="Bibliography"/>
      </w:pPr>
      <w:r>
        <w:t>[135]</w:t>
      </w:r>
      <w:r>
        <w:tab/>
      </w:r>
      <w:r>
        <w:rPr>
          <w:i/>
          <w:iCs/>
        </w:rPr>
        <w:t>IEEE Standard for the Specification of Microgrid Controllers</w:t>
      </w:r>
      <w:r>
        <w:t>. doi: 10.1109/IEEESTD.2018.8340204.</w:t>
      </w:r>
    </w:p>
    <w:p w14:paraId="46E9AAC4" w14:textId="77777777" w:rsidR="00286292" w:rsidRDefault="00286292" w:rsidP="00286292">
      <w:pPr>
        <w:pStyle w:val="Bibliography"/>
      </w:pPr>
      <w:r>
        <w:t>[136]</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0D48E983" w14:textId="77777777" w:rsidR="00286292" w:rsidRDefault="00286292" w:rsidP="00286292">
      <w:pPr>
        <w:pStyle w:val="Bibliography"/>
      </w:pPr>
      <w:r>
        <w:t>[137]</w:t>
      </w:r>
      <w:r>
        <w:tab/>
        <w:t>NERC, “Inverter-Based Resource Performance Issues.” [Online]. Available: https://www.nerc.com/globalassets/programs/bpsa/alerts/2023/nerc-alert-r-2023-03-14-01-level-2---inverter-based-resource-performance-issues.pdf</w:t>
      </w:r>
    </w:p>
    <w:p w14:paraId="413304EE" w14:textId="77777777" w:rsidR="00286292" w:rsidRDefault="00286292" w:rsidP="00286292">
      <w:pPr>
        <w:pStyle w:val="Bibliography"/>
      </w:pPr>
      <w:r>
        <w:t>[138]</w:t>
      </w:r>
      <w:r>
        <w:tab/>
        <w:t xml:space="preserve">M. S. Anindya, F. Zaro, and M. Popescu, “Power Quality Improvement Using Active Power Filters in Industrial Systems,” </w:t>
      </w:r>
      <w:r>
        <w:rPr>
          <w:i/>
          <w:iCs/>
        </w:rPr>
        <w:t>RESWARA J. Ris. Ilmu Tek.</w:t>
      </w:r>
      <w:r>
        <w:t>, vol. 3, no. 2, pp. 44–50, Apr. 2025, doi: 10.70716/reswara.v3i2.404.</w:t>
      </w:r>
    </w:p>
    <w:p w14:paraId="5D50FD18" w14:textId="77777777" w:rsidR="00286292" w:rsidRDefault="00286292" w:rsidP="00286292">
      <w:pPr>
        <w:pStyle w:val="Bibliography"/>
      </w:pPr>
      <w:r>
        <w:t>[139]</w:t>
      </w:r>
      <w:r>
        <w:tab/>
        <w:t>HOMER, “Microgrid and Hybrid Power Modeling.” [Online]. Available: https://homerenergy.com/</w:t>
      </w:r>
    </w:p>
    <w:p w14:paraId="070A6B5F" w14:textId="77777777" w:rsidR="00286292" w:rsidRDefault="00286292" w:rsidP="00286292">
      <w:pPr>
        <w:pStyle w:val="Bibliography"/>
      </w:pPr>
      <w:r>
        <w:t>[140]</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35C5D356" w14:textId="77777777" w:rsidR="00286292" w:rsidRDefault="00286292" w:rsidP="00286292">
      <w:pPr>
        <w:pStyle w:val="Bibliography"/>
      </w:pPr>
      <w:r>
        <w:t>[141]</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01494A16" w14:textId="77777777" w:rsidR="00286292" w:rsidRDefault="00286292" w:rsidP="00286292">
      <w:pPr>
        <w:pStyle w:val="Bibliography"/>
      </w:pPr>
      <w:r>
        <w:lastRenderedPageBreak/>
        <w:t>[142]</w:t>
      </w:r>
      <w:r>
        <w:tab/>
        <w:t xml:space="preserve">R. H. Inman, H. T. C. Pedro, and C. F. M. Coimbra, “Solar forecasting methods for renewable energy integration,” </w:t>
      </w:r>
      <w:r>
        <w:rPr>
          <w:i/>
          <w:iCs/>
        </w:rPr>
        <w:t>Prog. Energy Combust. Sci.</w:t>
      </w:r>
      <w:r>
        <w:t>, vol. 39, no. 6, pp. 535–576, Dec. 2013, doi: 10.1016/j.pecs.2013.06.002.</w:t>
      </w:r>
    </w:p>
    <w:p w14:paraId="73ABD82D" w14:textId="77777777" w:rsidR="00286292" w:rsidRDefault="00286292" w:rsidP="00286292">
      <w:pPr>
        <w:pStyle w:val="Bibliography"/>
      </w:pPr>
      <w:r>
        <w:t>[143]</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22911A4E" w14:textId="77777777" w:rsidR="00286292" w:rsidRDefault="00286292" w:rsidP="00286292">
      <w:pPr>
        <w:pStyle w:val="Bibliography"/>
      </w:pPr>
      <w:r>
        <w:t>[144]</w:t>
      </w:r>
      <w:r>
        <w:tab/>
        <w:t xml:space="preserve">E. Hosseini </w:t>
      </w:r>
      <w:r>
        <w:rPr>
          <w:i/>
          <w:iCs/>
        </w:rPr>
        <w:t>et al.</w:t>
      </w:r>
      <w:r>
        <w:t xml:space="preserve">, “Reinforcement learning-based energy management system for lithium-ion battery storage in multilevel microgrid,” </w:t>
      </w:r>
      <w:r>
        <w:rPr>
          <w:i/>
          <w:iCs/>
        </w:rPr>
        <w:t>J. Energy Storage</w:t>
      </w:r>
      <w:r>
        <w:t>, vol. 109, p. 115114, Feb. 2025, doi: 10.1016/j.est.2024.115114.</w:t>
      </w:r>
    </w:p>
    <w:p w14:paraId="33AAED31" w14:textId="77777777" w:rsidR="00286292" w:rsidRDefault="00286292" w:rsidP="00286292">
      <w:pPr>
        <w:pStyle w:val="Bibliography"/>
      </w:pPr>
      <w:r>
        <w:t>[145]</w:t>
      </w:r>
      <w:r>
        <w:tab/>
        <w:t xml:space="preserve">N. Subramanian and A. A. Stonier, “Digital twin applications and case studies in modern power grid management,” </w:t>
      </w:r>
      <w:r>
        <w:rPr>
          <w:i/>
          <w:iCs/>
        </w:rPr>
        <w:t>Energy Rep.</w:t>
      </w:r>
      <w:r>
        <w:t>, vol. 15, p. 109218, Jun. 2026, doi: 10.1016/j.egyr.2026.109218.</w:t>
      </w:r>
    </w:p>
    <w:p w14:paraId="3F5A35E3" w14:textId="77777777" w:rsidR="00286292" w:rsidRDefault="00286292" w:rsidP="00286292">
      <w:pPr>
        <w:pStyle w:val="Bibliography"/>
      </w:pPr>
      <w:r>
        <w:t>[146]</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02D20B14" w14:textId="77777777" w:rsidR="00286292" w:rsidRDefault="00286292" w:rsidP="00286292">
      <w:pPr>
        <w:pStyle w:val="Bibliography"/>
      </w:pPr>
      <w:r>
        <w:t>[147]</w:t>
      </w:r>
      <w:r>
        <w:tab/>
        <w:t xml:space="preserve">S. Sarkar </w:t>
      </w:r>
      <w:r>
        <w:rPr>
          <w:i/>
          <w:iCs/>
        </w:rPr>
        <w:t>et al.</w:t>
      </w:r>
      <w:r>
        <w:t xml:space="preserve">, “Carbon Footprint Reduction for Sustainable Data Centers in Real-Time,” 2024, </w:t>
      </w:r>
      <w:r>
        <w:rPr>
          <w:i/>
          <w:iCs/>
        </w:rPr>
        <w:t>arXiv</w:t>
      </w:r>
      <w:r>
        <w:t>. doi: 10.48550/ARXIV.2403.14092.</w:t>
      </w:r>
    </w:p>
    <w:p w14:paraId="4EFFA7ED" w14:textId="77777777" w:rsidR="00286292" w:rsidRDefault="00286292" w:rsidP="00286292">
      <w:pPr>
        <w:pStyle w:val="Bibliography"/>
      </w:pPr>
      <w:r>
        <w:t>[148]</w:t>
      </w:r>
      <w:r>
        <w:tab/>
        <w:t>EPA, “Summary of Inflation Reduction Act provisions related to renewable energy.” [Online]. Available: https://www.epa.gov/green-power-markets/summary-inflation-reduction-act-provisions-related-renewable-energy</w:t>
      </w:r>
    </w:p>
    <w:p w14:paraId="40DA08A4" w14:textId="77777777" w:rsidR="00286292" w:rsidRDefault="00286292" w:rsidP="00286292">
      <w:pPr>
        <w:pStyle w:val="Bibliography"/>
      </w:pPr>
      <w:r>
        <w:t>[149]</w:t>
      </w:r>
      <w:r>
        <w:tab/>
        <w:t>NFPA, “NFPA 110 Type 10 Requirements for Emergency Power Systems.” [Online]. Available: https://www.cummins.com/sites/default/files/2019-03/PowerHour_NFPA110.pdf</w:t>
      </w:r>
    </w:p>
    <w:p w14:paraId="078A4862" w14:textId="77777777" w:rsidR="00286292" w:rsidRDefault="00286292" w:rsidP="00286292">
      <w:pPr>
        <w:pStyle w:val="Bibliography"/>
      </w:pPr>
      <w:r>
        <w:t>[150]</w:t>
      </w:r>
      <w:r>
        <w:tab/>
        <w:t xml:space="preserve">Y. Chen and X. Zheng, “To Defer or To Shift? The Role of AI Data Center Flexibility on Grid Interconnection,” in </w:t>
      </w:r>
      <w:r>
        <w:rPr>
          <w:i/>
          <w:iCs/>
        </w:rPr>
        <w:t>Proceedings of the 2026 ACM Sustainability Week</w:t>
      </w:r>
      <w:r>
        <w:t>, Banff , Alberta , Canada: ACM, Jun. 2026, pp. 322–327. doi: 10.1145/3765611.3815593.</w:t>
      </w:r>
    </w:p>
    <w:p w14:paraId="5F07920B" w14:textId="77777777" w:rsidR="00286292" w:rsidRDefault="00286292" w:rsidP="00286292">
      <w:pPr>
        <w:pStyle w:val="Bibliography"/>
      </w:pPr>
      <w:r>
        <w:t>[151]</w:t>
      </w:r>
      <w:r>
        <w:tab/>
        <w:t>AWS, “Batch Inference at Scale with Amazon SageMaker.” [Online]. Available: https://aws.amazon.com/blogs/architecture/batch-inference-at-scale-with-amazon-sagemaker/</w:t>
      </w:r>
    </w:p>
    <w:p w14:paraId="407AA3E9" w14:textId="77777777" w:rsidR="00286292" w:rsidRDefault="00286292" w:rsidP="00286292">
      <w:pPr>
        <w:pStyle w:val="Bibliography"/>
      </w:pPr>
      <w:r>
        <w:t>[152]</w:t>
      </w:r>
      <w:r>
        <w:tab/>
        <w:t>ASHARE, “Grid-Interactive Design (Demand Flexibility).” [Online]. Available: https://www.ashrae.org/technical-resources/ai-data-center-framework/grid-interactive-design-demand-flexibility</w:t>
      </w:r>
    </w:p>
    <w:p w14:paraId="3BEEFB69" w14:textId="77777777" w:rsidR="00286292" w:rsidRDefault="00286292" w:rsidP="00286292">
      <w:pPr>
        <w:pStyle w:val="Bibliography"/>
      </w:pPr>
      <w:r>
        <w:t>[153]</w:t>
      </w:r>
      <w:r>
        <w:tab/>
        <w:t>Christopher Johnson, “Load Flexibility’s Breakthrough Moment—Driven by Data Centers.” [Online]. Available: https://avanzaenergy.substack.com/p/load-flexibilitys-breakthrough-momentdriven</w:t>
      </w:r>
    </w:p>
    <w:p w14:paraId="5A2FB5D9" w14:textId="77777777" w:rsidR="00286292" w:rsidRDefault="00286292" w:rsidP="00286292">
      <w:pPr>
        <w:pStyle w:val="Bibliography"/>
      </w:pPr>
      <w:r>
        <w:t>[154]</w:t>
      </w:r>
      <w:r>
        <w:tab/>
        <w:t xml:space="preserve">A. Caprara, Y. Yu, F. Teng, A. Junyent-Ferré, E. Bullich-Massagué, and M. Aragüés-Peñalba, “Data center workload flexibility for power system demand response: Evidence from Alibaba traces,” </w:t>
      </w:r>
      <w:r>
        <w:rPr>
          <w:i/>
          <w:iCs/>
        </w:rPr>
        <w:t>Int. J. Electr. Power Energy Syst.</w:t>
      </w:r>
      <w:r>
        <w:t>, vol. 178, p. 111940, May 2026, doi: 10.1016/j.ijepes.2026.111940.</w:t>
      </w:r>
    </w:p>
    <w:p w14:paraId="73602357" w14:textId="77777777" w:rsidR="00286292" w:rsidRDefault="00286292" w:rsidP="00286292">
      <w:pPr>
        <w:pStyle w:val="Bibliography"/>
      </w:pPr>
      <w:r>
        <w:t>[155]</w:t>
      </w:r>
      <w:r>
        <w:tab/>
        <w:t xml:space="preserve">M. T. Takci, J. Day, and M. Qadrdan, “Characterisation and Quantification of Data Centre Flexibility for Power System Support,” Nov. 10, 2025, </w:t>
      </w:r>
      <w:r>
        <w:rPr>
          <w:i/>
          <w:iCs/>
        </w:rPr>
        <w:t>arXiv</w:t>
      </w:r>
      <w:r>
        <w:t>: arXiv:2511.07159. doi: 10.48550/arXiv.2511.07159.</w:t>
      </w:r>
    </w:p>
    <w:p w14:paraId="4A38B4D2" w14:textId="77777777" w:rsidR="00286292" w:rsidRDefault="00286292" w:rsidP="00286292">
      <w:pPr>
        <w:pStyle w:val="Bibliography"/>
      </w:pPr>
      <w:r>
        <w:t>[156]</w:t>
      </w:r>
      <w:r>
        <w:tab/>
        <w:t xml:space="preserve">M. S. Hoosain, B. S. Paul, S. Kass, and S. Ramakrishna, “Tools Towards the Sustainability and Circularity of Data Centers,” </w:t>
      </w:r>
      <w:r>
        <w:rPr>
          <w:i/>
          <w:iCs/>
        </w:rPr>
        <w:t>Circ. Econ. Sustain.</w:t>
      </w:r>
      <w:r>
        <w:t>, vol. 3, no. 1, pp. 173–197, Mar. 2023, doi: 10.1007/s43615-022-00191-9.</w:t>
      </w:r>
    </w:p>
    <w:p w14:paraId="7C7DABA2" w14:textId="77777777" w:rsidR="00286292" w:rsidRDefault="00286292" w:rsidP="00286292">
      <w:pPr>
        <w:pStyle w:val="Bibliography"/>
      </w:pPr>
      <w:r>
        <w:lastRenderedPageBreak/>
        <w:t>[157]</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7C2E73C3" w14:textId="77777777" w:rsidR="00286292" w:rsidRDefault="00286292" w:rsidP="00286292">
      <w:pPr>
        <w:pStyle w:val="Bibliography"/>
      </w:pPr>
      <w:r>
        <w:t>[158]</w:t>
      </w:r>
      <w:r>
        <w:tab/>
        <w:t>Arthur D. Little, “U N L O C K I N G FUSION ENERGY.” [Online]. Available: https://www.adlittle.com/sites/default/files/reports/ADL_Unlocking_fusion_energy_2025%20%281%29.pdf</w:t>
      </w:r>
    </w:p>
    <w:p w14:paraId="1D1C013E" w14:textId="77777777" w:rsidR="00286292" w:rsidRDefault="00286292" w:rsidP="00286292">
      <w:pPr>
        <w:pStyle w:val="Bibliography"/>
      </w:pPr>
      <w:r>
        <w:t>[159]</w:t>
      </w:r>
      <w:r>
        <w:tab/>
        <w:t xml:space="preserve">F. M. A. Hadi, H. H. Aly, and T. Little, “Harmonics Forecasting of Wind and Solar Hybrid Model Based on Deep Machine Learning,” </w:t>
      </w:r>
      <w:r>
        <w:rPr>
          <w:i/>
          <w:iCs/>
        </w:rPr>
        <w:t>IEEE Access</w:t>
      </w:r>
      <w:r>
        <w:t>, vol. 11, pp. 100438–100457, 2023, doi: 10.1109/ACCESS.2023.3314742.</w:t>
      </w:r>
    </w:p>
    <w:p w14:paraId="566875AC" w14:textId="77777777" w:rsidR="00286292" w:rsidRDefault="00286292" w:rsidP="00286292">
      <w:pPr>
        <w:pStyle w:val="Bibliography"/>
      </w:pPr>
      <w:r>
        <w:t>[160]</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007732A3" w14:textId="77777777" w:rsidR="00286292" w:rsidRDefault="00286292" w:rsidP="00286292">
      <w:pPr>
        <w:pStyle w:val="Bibliography"/>
      </w:pPr>
      <w:r>
        <w:t>[161]</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77DE40F2" w14:textId="77777777" w:rsidR="00286292" w:rsidRPr="005704B6" w:rsidRDefault="00286292" w:rsidP="00286292">
      <w:pPr>
        <w:pStyle w:val="Bibliography"/>
        <w:rPr>
          <w:lang w:val="fr-FR"/>
        </w:rPr>
      </w:pPr>
      <w:r>
        <w:t>[162]</w:t>
      </w:r>
      <w:r>
        <w:tab/>
        <w:t xml:space="preserve">N. Institute, “Beyond FERC Order 2023: Considerations on Deep Interconnection Reform”, [Online]. </w:t>
      </w:r>
      <w:r w:rsidRPr="005704B6">
        <w:rPr>
          <w:lang w:val="fr-FR"/>
        </w:rPr>
        <w:t>Available: https://www.researchgate.net/publication/382074664_Beyond_FERC_Order_2023_Considerations_on_Deep_Interconnection_Reform</w:t>
      </w:r>
    </w:p>
    <w:p w14:paraId="246E8ACA" w14:textId="77777777" w:rsidR="00286292" w:rsidRDefault="00286292" w:rsidP="00286292">
      <w:pPr>
        <w:pStyle w:val="Bibliography"/>
      </w:pPr>
      <w:r>
        <w:t>[163]</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3FCF2499" w14:textId="77777777" w:rsidR="00286292" w:rsidRDefault="00286292" w:rsidP="00286292">
      <w:pPr>
        <w:pStyle w:val="Bibliography"/>
      </w:pPr>
      <w:r>
        <w:t>[164]</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08BBEAC9" w14:textId="77777777" w:rsidR="00286292" w:rsidRDefault="00286292" w:rsidP="00286292">
      <w:pPr>
        <w:pStyle w:val="Bibliography"/>
      </w:pPr>
      <w:r>
        <w:t>[165]</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2C2AD565" w14:textId="77777777" w:rsidR="00286292" w:rsidRDefault="00286292" w:rsidP="00286292">
      <w:pPr>
        <w:pStyle w:val="Bibliography"/>
      </w:pPr>
      <w:r>
        <w:t>[166]</w:t>
      </w:r>
      <w:r>
        <w:tab/>
        <w:t>S. Chatterjee, “Mitigating Supply Chain Malware Risks in Operational Technology: Challenges and Solutions for the Oil and Gas Industry”.</w:t>
      </w:r>
    </w:p>
    <w:p w14:paraId="02495C43" w14:textId="77777777" w:rsidR="00286292" w:rsidRDefault="00286292" w:rsidP="00286292">
      <w:pPr>
        <w:pStyle w:val="Bibliography"/>
      </w:pPr>
      <w:r>
        <w:t>[167]</w:t>
      </w:r>
      <w:r>
        <w:tab/>
        <w:t>M. G. Todeschini, G. Dondossola, and R. Terruggia, “IMPACT EVALUATION OF IEC 62351 CYBER SECURITY ON IEC 61850 COMMUNICATIONS PERFORMANCE,” 2019.</w:t>
      </w:r>
    </w:p>
    <w:p w14:paraId="53651E47" w14:textId="77777777" w:rsidR="00286292" w:rsidRDefault="00286292" w:rsidP="00286292">
      <w:pPr>
        <w:pStyle w:val="Bibliography"/>
      </w:pPr>
      <w:r>
        <w:t>[168]</w:t>
      </w:r>
      <w:r>
        <w:tab/>
        <w:t xml:space="preserve">A. Dimakopoulou and K. Rantos, “Comprehensive Analysis of Maritime Cybersecurity Landscape Based on the NIST CSF v2.0,” </w:t>
      </w:r>
      <w:r>
        <w:rPr>
          <w:i/>
          <w:iCs/>
        </w:rPr>
        <w:t>J. Mar. Sci. Eng.</w:t>
      </w:r>
      <w:r>
        <w:t>, vol. 12, no. 6, p. 919, May 2024, doi: 10.3390/jmse12060919.</w:t>
      </w:r>
    </w:p>
    <w:p w14:paraId="69475C84" w14:textId="77777777" w:rsidR="00286292" w:rsidRDefault="00286292" w:rsidP="00286292">
      <w:pPr>
        <w:pStyle w:val="Bibliography"/>
      </w:pPr>
      <w:r>
        <w:t>[169]</w:t>
      </w:r>
      <w:r>
        <w:tab/>
        <w:t>LAZARD, “Lazard’s Levelized Cost of Energy.” [Online]. Available: https://www.lazard.com/research-insights/levelized-cost-of-energyplus-lcoeplus/</w:t>
      </w:r>
    </w:p>
    <w:p w14:paraId="71B512CF" w14:textId="77777777" w:rsidR="00286292" w:rsidRDefault="00286292" w:rsidP="00286292">
      <w:pPr>
        <w:pStyle w:val="Bibliography"/>
      </w:pPr>
      <w:r>
        <w:t>[170]</w:t>
      </w:r>
      <w:r>
        <w:tab/>
        <w:t>Markets, “PJM Markets Support Efficiency and Resource Adequacy.” [Online]. Available: https://services.pjm.com/annualreport2025/markets/</w:t>
      </w:r>
    </w:p>
    <w:p w14:paraId="4A9F8DC1" w14:textId="77777777" w:rsidR="00286292" w:rsidRDefault="00286292" w:rsidP="00286292">
      <w:pPr>
        <w:pStyle w:val="Bibliography"/>
      </w:pPr>
      <w:r>
        <w:t>[171]</w:t>
      </w:r>
      <w:r>
        <w:tab/>
        <w:t>PJM, “Markets Report.” [Online]. Available: https://www.pjm.com/-/media/DotCom/committees-groups/committees/mc/2025/20251120/20251120-item-04a---1-pjm-market-operations-report---presentation.pdf</w:t>
      </w:r>
    </w:p>
    <w:p w14:paraId="660DF702" w14:textId="77777777" w:rsidR="00286292" w:rsidRDefault="00286292" w:rsidP="00286292">
      <w:pPr>
        <w:pStyle w:val="Bibliography"/>
      </w:pPr>
      <w:r>
        <w:lastRenderedPageBreak/>
        <w:t>[172]</w:t>
      </w:r>
      <w:r>
        <w:tab/>
        <w:t>KPMG, “What’s News in Tax Analysis that matters from Washington National Tax.” [Online]. Available: https://kpmg.com/kpmg-us/content/dam/kpmg/taxnewsflash/pdf/2026/01/tnf-wnit-energy-credits-jan-12-2026.pdf</w:t>
      </w:r>
    </w:p>
    <w:p w14:paraId="40C9F605" w14:textId="77777777" w:rsidR="00286292" w:rsidRDefault="00286292" w:rsidP="00286292">
      <w:pPr>
        <w:pStyle w:val="Bibliography"/>
      </w:pPr>
      <w:r>
        <w:t>[173]</w:t>
      </w:r>
      <w:r>
        <w:tab/>
        <w:t xml:space="preserve">G. Duppati, “Carbon pricing and revenue growth valuation risk exposure,” </w:t>
      </w:r>
      <w:r>
        <w:rPr>
          <w:i/>
          <w:iCs/>
        </w:rPr>
        <w:t>Int. Rev. Econ. Finance</w:t>
      </w:r>
      <w:r>
        <w:t>, vol. 103, p. 104442, Oct. 2025, doi: 10.1016/j.iref.2025.104442.</w:t>
      </w:r>
    </w:p>
    <w:p w14:paraId="1EF0060B" w14:textId="77777777" w:rsidR="00286292" w:rsidRDefault="00286292" w:rsidP="00286292">
      <w:pPr>
        <w:pStyle w:val="Bibliography"/>
      </w:pPr>
      <w:r>
        <w:t>[174]</w:t>
      </w:r>
      <w:r>
        <w:tab/>
        <w:t>Oxford, “Risk Structure and Financial Hedging in Nodal Electricity Markets.” [Online]. Available: https://www.oxfordenergy.org/wpcms/wp-content/uploads/2026/01/EL-61-Risk-Structure-and-Financial-Hedging.pdf</w:t>
      </w:r>
    </w:p>
    <w:p w14:paraId="7924A0DF" w14:textId="77777777" w:rsidR="00286292" w:rsidRDefault="00286292" w:rsidP="00286292">
      <w:pPr>
        <w:pStyle w:val="Bibliography"/>
      </w:pPr>
      <w:r>
        <w:t>[175]</w:t>
      </w:r>
      <w:r>
        <w:tab/>
        <w:t xml:space="preserve">J. Commins and K. Irion, “Towards Planet-Proof Computing:Ten Key Elements EU Data Centre Sustainability Policy Should Take Onboard,” </w:t>
      </w:r>
      <w:r>
        <w:rPr>
          <w:i/>
          <w:iCs/>
        </w:rPr>
        <w:t>Eur. Law Blog</w:t>
      </w:r>
      <w:r>
        <w:t>, Mar. 2025, doi: 10.21428/9885764c.f93298cf.</w:t>
      </w:r>
    </w:p>
    <w:p w14:paraId="0D3C72CA" w14:textId="77777777" w:rsidR="00286292" w:rsidRDefault="00286292" w:rsidP="00286292">
      <w:pPr>
        <w:pStyle w:val="Bibliography"/>
      </w:pPr>
      <w:r>
        <w:t>[176]</w:t>
      </w:r>
      <w:r>
        <w:tab/>
        <w:t xml:space="preserve">R. Eriksson, N. Modig, and K. Elkington, “Synthetic inertia versus fast frequency response: a definition,” </w:t>
      </w:r>
      <w:r>
        <w:rPr>
          <w:i/>
          <w:iCs/>
        </w:rPr>
        <w:t>IET Renew. Power Gener.</w:t>
      </w:r>
      <w:r>
        <w:t>, vol. 12, no. 5, pp. 507–514, Apr. 2018, doi: 10.1049/iet-rpg.2017.0370.</w:t>
      </w:r>
    </w:p>
    <w:p w14:paraId="630C78E3" w14:textId="77777777" w:rsidR="00286292" w:rsidRDefault="00286292" w:rsidP="00286292">
      <w:pPr>
        <w:pStyle w:val="Bibliography"/>
      </w:pPr>
      <w:r>
        <w:t>[177]</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70867D92" w14:textId="77777777" w:rsidR="00286292" w:rsidRDefault="00286292" w:rsidP="00286292">
      <w:pPr>
        <w:pStyle w:val="Bibliography"/>
      </w:pPr>
      <w:r>
        <w:t>[178]</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728C3376" w14:textId="77777777" w:rsidR="00286292" w:rsidRPr="005704B6" w:rsidRDefault="00286292" w:rsidP="00286292">
      <w:pPr>
        <w:pStyle w:val="Bibliography"/>
        <w:rPr>
          <w:lang w:val="fr-FR"/>
        </w:rPr>
      </w:pPr>
      <w:r>
        <w:t>[179]</w:t>
      </w:r>
      <w:r>
        <w:tab/>
        <w:t xml:space="preserve">i2X, “Transmission Interconnection Roadmap.” [Online]. </w:t>
      </w:r>
      <w:r w:rsidRPr="005704B6">
        <w:rPr>
          <w:lang w:val="fr-FR"/>
        </w:rPr>
        <w:t>Available: https://www.energy.gov/sites/default/files/2024-04/i2X%20Transmission%20Interconnection%20Roadmap.pdf</w:t>
      </w:r>
    </w:p>
    <w:p w14:paraId="079F2597" w14:textId="77777777" w:rsidR="00286292" w:rsidRDefault="00286292" w:rsidP="00286292">
      <w:pPr>
        <w:pStyle w:val="Bibliography"/>
      </w:pPr>
      <w:r>
        <w:t>[180]</w:t>
      </w:r>
      <w:r>
        <w:tab/>
        <w:t xml:space="preserve">J. Rand </w:t>
      </w:r>
      <w:r>
        <w:rPr>
          <w:i/>
          <w:iCs/>
        </w:rPr>
        <w:t>et al.</w:t>
      </w:r>
      <w:r>
        <w:t>, “Up: 2025 Edition, Characteristics of Power Plants Seeking Transmission Interconnection As of the End of 2024,” 2025, doi: 10.13140/RG.2.2.12274.67520.</w:t>
      </w:r>
    </w:p>
    <w:p w14:paraId="7F71BEBC" w14:textId="77777777" w:rsidR="00286292" w:rsidRDefault="00286292" w:rsidP="00286292">
      <w:pPr>
        <w:pStyle w:val="Bibliography"/>
      </w:pPr>
      <w:r>
        <w:t>[181]</w:t>
      </w:r>
      <w:r>
        <w:tab/>
        <w:t xml:space="preserve">UN, “ENVIRONMENTAL COST OF AI’S ENERGY USE.” </w:t>
      </w:r>
    </w:p>
    <w:p w14:paraId="49AF2AEE" w14:textId="77777777" w:rsidR="00286292" w:rsidRDefault="00286292" w:rsidP="00286292">
      <w:pPr>
        <w:pStyle w:val="Bibliography"/>
      </w:pPr>
      <w:r>
        <w:t>[182]</w:t>
      </w:r>
      <w:r>
        <w:tab/>
        <w:t>Alexander Heiss, Zacharias Sautner, and Zacharias Sautner, “Powering AI: How Do Data Centers Affect Renewable Energy Investment?” [Online]. Available: https://papers.ssrn.com/sol3/papers.cfm?abstract_id=6426079</w:t>
      </w:r>
    </w:p>
    <w:p w14:paraId="600ED762" w14:textId="77777777" w:rsidR="00286292" w:rsidRDefault="00286292" w:rsidP="00286292">
      <w:pPr>
        <w:pStyle w:val="Bibliography"/>
      </w:pPr>
      <w:r>
        <w:t>[183]</w:t>
      </w:r>
      <w:r>
        <w:tab/>
        <w:t>IESO, “2026 Annual Planning Outlook.” [Online]. Available: https://www.ieso.ca/-/media/Files/IESO/Document-Library/planning-forecasts/apo/2026/2026-APO-Demand-Forecast-Module.pdf</w:t>
      </w:r>
    </w:p>
    <w:p w14:paraId="3469AC29" w14:textId="77777777" w:rsidR="00286292" w:rsidRDefault="00286292" w:rsidP="00286292">
      <w:pPr>
        <w:pStyle w:val="Bibliography"/>
      </w:pPr>
      <w:r>
        <w:t>[184]</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54FE6767" w14:textId="77777777" w:rsidR="00286292" w:rsidRDefault="00286292" w:rsidP="00286292">
      <w:pPr>
        <w:pStyle w:val="Bibliography"/>
      </w:pPr>
      <w:r>
        <w:t>[185]</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3ED1B156" w14:textId="77777777" w:rsidR="00286292" w:rsidRDefault="00286292" w:rsidP="00286292">
      <w:pPr>
        <w:pStyle w:val="Bibliography"/>
      </w:pPr>
      <w:r>
        <w:t>[186]</w:t>
      </w:r>
      <w:r>
        <w:tab/>
        <w:t>T.-C. Hsueh, “Panel-Scale Reconfigurable Photonic Interconnects for Scalable AI Computation”.</w:t>
      </w:r>
    </w:p>
    <w:p w14:paraId="0D8CFEB2" w14:textId="77777777" w:rsidR="00286292" w:rsidRDefault="00286292" w:rsidP="00286292">
      <w:pPr>
        <w:pStyle w:val="Bibliography"/>
      </w:pPr>
      <w:r>
        <w:t>[187]</w:t>
      </w:r>
      <w:r>
        <w:tab/>
        <w:t xml:space="preserve">Y. Ding, Z. P. Cano, A. Yu, J. Lu, and Z. Chen, “Automotive Li-Ion Batteries: Current Status and Future Perspectives,” </w:t>
      </w:r>
      <w:r>
        <w:rPr>
          <w:i/>
          <w:iCs/>
        </w:rPr>
        <w:t>Electrochem. Energy Rev.</w:t>
      </w:r>
      <w:r>
        <w:t>, vol. 2, no. 1, pp. 1–28, Mar. 2019, doi: 10.1007/s41918-018-0022-z.</w:t>
      </w:r>
    </w:p>
    <w:p w14:paraId="7513ACF5" w14:textId="77777777" w:rsidR="00286292" w:rsidRDefault="00286292" w:rsidP="00286292">
      <w:pPr>
        <w:pStyle w:val="Bibliography"/>
      </w:pPr>
      <w:r>
        <w:lastRenderedPageBreak/>
        <w:t>[188]</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0EDF18FC" w14:textId="77777777" w:rsidR="00286292" w:rsidRDefault="00286292" w:rsidP="00286292">
      <w:pPr>
        <w:pStyle w:val="Bibliography"/>
      </w:pPr>
      <w:r>
        <w:t>[189]</w:t>
      </w:r>
      <w:r>
        <w:tab/>
        <w:t xml:space="preserve">H. Nikafshan Rad, A. Ghasemi, and M. Marefati, “Cost and environmental analysis and optimization of a new and green three-level waste heat recovery-based cogeneration cycle: A comparative study,” </w:t>
      </w:r>
      <w:r>
        <w:rPr>
          <w:i/>
          <w:iCs/>
        </w:rPr>
        <w:t>Heliyon</w:t>
      </w:r>
      <w:r>
        <w:t>, vol. 10, no. 7, p. e29087, Apr. 2024, doi: 10.1016/j.heliyon.2024.e29087.</w:t>
      </w:r>
    </w:p>
    <w:p w14:paraId="2B2213DA" w14:textId="452AFCA0" w:rsidR="00FE013C" w:rsidRDefault="00BB50D5" w:rsidP="004C16FF">
      <w:pPr>
        <w:pStyle w:val="Bibliography"/>
        <w:rPr>
          <w:color w:val="auto"/>
        </w:rPr>
      </w:pPr>
      <w:r>
        <w:rPr>
          <w:color w:val="auto"/>
        </w:rPr>
        <w:fldChar w:fldCharType="end"/>
      </w:r>
    </w:p>
    <w:sectPr w:rsidR="00FE013C" w:rsidSect="005F08CE">
      <w:headerReference w:type="even" r:id="rId22"/>
      <w:headerReference w:type="default" r:id="rId23"/>
      <w:footerReference w:type="default" r:id="rId24"/>
      <w:pgSz w:w="11906" w:h="16838" w:code="9"/>
      <w:pgMar w:top="737" w:right="1077" w:bottom="1077" w:left="1077"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E8DB" w14:textId="77777777" w:rsidR="00B30732" w:rsidRDefault="00B30732">
      <w:r>
        <w:separator/>
      </w:r>
    </w:p>
  </w:endnote>
  <w:endnote w:type="continuationSeparator" w:id="0">
    <w:p w14:paraId="073E916F" w14:textId="77777777" w:rsidR="00B30732" w:rsidRDefault="00B30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AD79" w14:textId="77777777" w:rsidR="00B30732" w:rsidRDefault="00B30732">
      <w:r>
        <w:separator/>
      </w:r>
    </w:p>
  </w:footnote>
  <w:footnote w:type="continuationSeparator" w:id="0">
    <w:p w14:paraId="1278246C" w14:textId="77777777" w:rsidR="00B30732" w:rsidRDefault="00B30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AB1C17"/>
    <w:multiLevelType w:val="multilevel"/>
    <w:tmpl w:val="9FB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4" w15:restartNumberingAfterBreak="0">
    <w:nsid w:val="081C3FA3"/>
    <w:multiLevelType w:val="multilevel"/>
    <w:tmpl w:val="254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16A1"/>
    <w:multiLevelType w:val="hybridMultilevel"/>
    <w:tmpl w:val="CB78352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12D7"/>
    <w:multiLevelType w:val="hybridMultilevel"/>
    <w:tmpl w:val="B87ABE0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1E0A2360"/>
    <w:multiLevelType w:val="hybridMultilevel"/>
    <w:tmpl w:val="855481C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1"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35B6B"/>
    <w:multiLevelType w:val="hybridMultilevel"/>
    <w:tmpl w:val="67848F10"/>
    <w:lvl w:ilvl="0" w:tplc="04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C23A63"/>
    <w:multiLevelType w:val="hybridMultilevel"/>
    <w:tmpl w:val="436C0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2A7972"/>
    <w:multiLevelType w:val="hybridMultilevel"/>
    <w:tmpl w:val="D53E4CE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2" w15:restartNumberingAfterBreak="0">
    <w:nsid w:val="4EA00B82"/>
    <w:multiLevelType w:val="multilevel"/>
    <w:tmpl w:val="F78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3049"/>
    <w:multiLevelType w:val="multilevel"/>
    <w:tmpl w:val="266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5"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E0C1D"/>
    <w:multiLevelType w:val="hybridMultilevel"/>
    <w:tmpl w:val="822688DE"/>
    <w:lvl w:ilvl="0" w:tplc="BE822BE0">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9" w15:restartNumberingAfterBreak="0">
    <w:nsid w:val="762E1342"/>
    <w:multiLevelType w:val="hybridMultilevel"/>
    <w:tmpl w:val="04B0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A4130E"/>
    <w:multiLevelType w:val="hybridMultilevel"/>
    <w:tmpl w:val="877C33F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3"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31"/>
  </w:num>
  <w:num w:numId="4" w16cid:durableId="1280408060">
    <w:abstractNumId w:val="33"/>
  </w:num>
  <w:num w:numId="5" w16cid:durableId="451441336">
    <w:abstractNumId w:val="20"/>
  </w:num>
  <w:num w:numId="6" w16cid:durableId="2038002810">
    <w:abstractNumId w:val="15"/>
  </w:num>
  <w:num w:numId="7" w16cid:durableId="618532243">
    <w:abstractNumId w:val="3"/>
  </w:num>
  <w:num w:numId="8" w16cid:durableId="45876077">
    <w:abstractNumId w:val="19"/>
  </w:num>
  <w:num w:numId="9" w16cid:durableId="1102922736">
    <w:abstractNumId w:val="13"/>
  </w:num>
  <w:num w:numId="10" w16cid:durableId="473761911">
    <w:abstractNumId w:val="30"/>
  </w:num>
  <w:num w:numId="11" w16cid:durableId="661275805">
    <w:abstractNumId w:val="34"/>
  </w:num>
  <w:num w:numId="12" w16cid:durableId="1540119753">
    <w:abstractNumId w:val="17"/>
  </w:num>
  <w:num w:numId="13" w16cid:durableId="881593489">
    <w:abstractNumId w:val="5"/>
  </w:num>
  <w:num w:numId="14" w16cid:durableId="204802956">
    <w:abstractNumId w:val="11"/>
  </w:num>
  <w:num w:numId="15" w16cid:durableId="2062554760">
    <w:abstractNumId w:val="25"/>
  </w:num>
  <w:num w:numId="16" w16cid:durableId="1269310907">
    <w:abstractNumId w:val="7"/>
  </w:num>
  <w:num w:numId="17" w16cid:durableId="357046737">
    <w:abstractNumId w:val="18"/>
  </w:num>
  <w:num w:numId="18" w16cid:durableId="565454282">
    <w:abstractNumId w:val="12"/>
  </w:num>
  <w:num w:numId="19" w16cid:durableId="1621452831">
    <w:abstractNumId w:val="27"/>
  </w:num>
  <w:num w:numId="20" w16cid:durableId="1132864569">
    <w:abstractNumId w:val="24"/>
  </w:num>
  <w:num w:numId="21" w16cid:durableId="1252196837">
    <w:abstractNumId w:val="28"/>
  </w:num>
  <w:num w:numId="22" w16cid:durableId="1693648589">
    <w:abstractNumId w:val="9"/>
  </w:num>
  <w:num w:numId="23" w16cid:durableId="1266109321">
    <w:abstractNumId w:val="10"/>
  </w:num>
  <w:num w:numId="24" w16cid:durableId="595477789">
    <w:abstractNumId w:val="16"/>
  </w:num>
  <w:num w:numId="25" w16cid:durableId="1410956718">
    <w:abstractNumId w:val="23"/>
  </w:num>
  <w:num w:numId="26" w16cid:durableId="219481690">
    <w:abstractNumId w:val="21"/>
  </w:num>
  <w:num w:numId="27" w16cid:durableId="1250508567">
    <w:abstractNumId w:val="4"/>
  </w:num>
  <w:num w:numId="28" w16cid:durableId="542522718">
    <w:abstractNumId w:val="2"/>
  </w:num>
  <w:num w:numId="29" w16cid:durableId="1024863523">
    <w:abstractNumId w:val="22"/>
  </w:num>
  <w:num w:numId="30" w16cid:durableId="1975063929">
    <w:abstractNumId w:val="32"/>
  </w:num>
  <w:num w:numId="31" w16cid:durableId="1574699440">
    <w:abstractNumId w:val="29"/>
  </w:num>
  <w:num w:numId="32" w16cid:durableId="622614270">
    <w:abstractNumId w:val="8"/>
  </w:num>
  <w:num w:numId="33" w16cid:durableId="4670812">
    <w:abstractNumId w:val="6"/>
  </w:num>
  <w:num w:numId="34" w16cid:durableId="313948003">
    <w:abstractNumId w:val="26"/>
  </w:num>
  <w:num w:numId="35" w16cid:durableId="1625500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154"/>
    <w:rsid w:val="00000CC0"/>
    <w:rsid w:val="000028D9"/>
    <w:rsid w:val="00004098"/>
    <w:rsid w:val="00004DA8"/>
    <w:rsid w:val="0000519F"/>
    <w:rsid w:val="000124EB"/>
    <w:rsid w:val="00013085"/>
    <w:rsid w:val="00017769"/>
    <w:rsid w:val="00021D4C"/>
    <w:rsid w:val="00022E66"/>
    <w:rsid w:val="0002304C"/>
    <w:rsid w:val="00023B78"/>
    <w:rsid w:val="000256A6"/>
    <w:rsid w:val="00030122"/>
    <w:rsid w:val="000321B5"/>
    <w:rsid w:val="0003524E"/>
    <w:rsid w:val="00035D77"/>
    <w:rsid w:val="00037346"/>
    <w:rsid w:val="00040480"/>
    <w:rsid w:val="00044955"/>
    <w:rsid w:val="00044C5D"/>
    <w:rsid w:val="00044E2C"/>
    <w:rsid w:val="000465AA"/>
    <w:rsid w:val="00050446"/>
    <w:rsid w:val="0005469C"/>
    <w:rsid w:val="00057870"/>
    <w:rsid w:val="000604AD"/>
    <w:rsid w:val="000633EE"/>
    <w:rsid w:val="000642A3"/>
    <w:rsid w:val="00064826"/>
    <w:rsid w:val="000665E7"/>
    <w:rsid w:val="00070841"/>
    <w:rsid w:val="000717F7"/>
    <w:rsid w:val="00072A8F"/>
    <w:rsid w:val="00073208"/>
    <w:rsid w:val="00074D1F"/>
    <w:rsid w:val="0007532D"/>
    <w:rsid w:val="00075A12"/>
    <w:rsid w:val="00080FE2"/>
    <w:rsid w:val="000812E0"/>
    <w:rsid w:val="00081E76"/>
    <w:rsid w:val="00083E64"/>
    <w:rsid w:val="0008622D"/>
    <w:rsid w:val="0008678B"/>
    <w:rsid w:val="00091FCA"/>
    <w:rsid w:val="000954D9"/>
    <w:rsid w:val="00095528"/>
    <w:rsid w:val="00095712"/>
    <w:rsid w:val="00095C48"/>
    <w:rsid w:val="00095E8E"/>
    <w:rsid w:val="00095F7E"/>
    <w:rsid w:val="000973F7"/>
    <w:rsid w:val="000A408E"/>
    <w:rsid w:val="000A5126"/>
    <w:rsid w:val="000B0F03"/>
    <w:rsid w:val="000B39AB"/>
    <w:rsid w:val="000B7B56"/>
    <w:rsid w:val="000B7BFE"/>
    <w:rsid w:val="000C0242"/>
    <w:rsid w:val="000C0A5A"/>
    <w:rsid w:val="000C1B14"/>
    <w:rsid w:val="000C26DB"/>
    <w:rsid w:val="000C2F0C"/>
    <w:rsid w:val="000C3F0F"/>
    <w:rsid w:val="000C716D"/>
    <w:rsid w:val="000D010A"/>
    <w:rsid w:val="000D0D3F"/>
    <w:rsid w:val="000D42C3"/>
    <w:rsid w:val="000D6850"/>
    <w:rsid w:val="000E0127"/>
    <w:rsid w:val="000E3C80"/>
    <w:rsid w:val="000E4885"/>
    <w:rsid w:val="000E64DD"/>
    <w:rsid w:val="000E671A"/>
    <w:rsid w:val="000E77FA"/>
    <w:rsid w:val="000E7A56"/>
    <w:rsid w:val="000F03FB"/>
    <w:rsid w:val="000F2608"/>
    <w:rsid w:val="000F2A4A"/>
    <w:rsid w:val="000F592A"/>
    <w:rsid w:val="000F6695"/>
    <w:rsid w:val="00100329"/>
    <w:rsid w:val="001020EF"/>
    <w:rsid w:val="0010384E"/>
    <w:rsid w:val="00103F18"/>
    <w:rsid w:val="00104D7D"/>
    <w:rsid w:val="001109A6"/>
    <w:rsid w:val="00110E0F"/>
    <w:rsid w:val="00114F15"/>
    <w:rsid w:val="001161F2"/>
    <w:rsid w:val="00116D36"/>
    <w:rsid w:val="001170F1"/>
    <w:rsid w:val="00120D26"/>
    <w:rsid w:val="00120E08"/>
    <w:rsid w:val="00131821"/>
    <w:rsid w:val="001329E8"/>
    <w:rsid w:val="00132B05"/>
    <w:rsid w:val="00134CA9"/>
    <w:rsid w:val="00137E95"/>
    <w:rsid w:val="0014185D"/>
    <w:rsid w:val="00141971"/>
    <w:rsid w:val="00142460"/>
    <w:rsid w:val="0014319A"/>
    <w:rsid w:val="00145C6F"/>
    <w:rsid w:val="0014625D"/>
    <w:rsid w:val="00147ED5"/>
    <w:rsid w:val="001530DD"/>
    <w:rsid w:val="00157584"/>
    <w:rsid w:val="0016087D"/>
    <w:rsid w:val="001617BE"/>
    <w:rsid w:val="00161993"/>
    <w:rsid w:val="001623F2"/>
    <w:rsid w:val="00163578"/>
    <w:rsid w:val="00166084"/>
    <w:rsid w:val="00166ED5"/>
    <w:rsid w:val="0017147F"/>
    <w:rsid w:val="001718D7"/>
    <w:rsid w:val="00171B72"/>
    <w:rsid w:val="00172115"/>
    <w:rsid w:val="0017345A"/>
    <w:rsid w:val="00173D97"/>
    <w:rsid w:val="0017518F"/>
    <w:rsid w:val="001751D4"/>
    <w:rsid w:val="001752D4"/>
    <w:rsid w:val="0017669A"/>
    <w:rsid w:val="001772C5"/>
    <w:rsid w:val="00177B3A"/>
    <w:rsid w:val="00180502"/>
    <w:rsid w:val="00180833"/>
    <w:rsid w:val="0018348D"/>
    <w:rsid w:val="001850C1"/>
    <w:rsid w:val="00185466"/>
    <w:rsid w:val="00187143"/>
    <w:rsid w:val="0019198D"/>
    <w:rsid w:val="00191A56"/>
    <w:rsid w:val="00194936"/>
    <w:rsid w:val="0019592A"/>
    <w:rsid w:val="00195B91"/>
    <w:rsid w:val="00196D1B"/>
    <w:rsid w:val="001A3F06"/>
    <w:rsid w:val="001A427F"/>
    <w:rsid w:val="001A5343"/>
    <w:rsid w:val="001A6DB0"/>
    <w:rsid w:val="001A7127"/>
    <w:rsid w:val="001B2A37"/>
    <w:rsid w:val="001B3304"/>
    <w:rsid w:val="001B3BFE"/>
    <w:rsid w:val="001B70F9"/>
    <w:rsid w:val="001B74A6"/>
    <w:rsid w:val="001B7512"/>
    <w:rsid w:val="001B7822"/>
    <w:rsid w:val="001C0F6D"/>
    <w:rsid w:val="001C11F5"/>
    <w:rsid w:val="001C1DB8"/>
    <w:rsid w:val="001C2BF8"/>
    <w:rsid w:val="001C37FA"/>
    <w:rsid w:val="001C3837"/>
    <w:rsid w:val="001D0BAC"/>
    <w:rsid w:val="001D13F4"/>
    <w:rsid w:val="001D1403"/>
    <w:rsid w:val="001D5471"/>
    <w:rsid w:val="001E0758"/>
    <w:rsid w:val="001E09C3"/>
    <w:rsid w:val="001E0AAE"/>
    <w:rsid w:val="001E162E"/>
    <w:rsid w:val="001E2527"/>
    <w:rsid w:val="001E32DD"/>
    <w:rsid w:val="001F01F2"/>
    <w:rsid w:val="001F0361"/>
    <w:rsid w:val="001F3982"/>
    <w:rsid w:val="001F4430"/>
    <w:rsid w:val="002032C0"/>
    <w:rsid w:val="00203B6C"/>
    <w:rsid w:val="002053AC"/>
    <w:rsid w:val="002054B5"/>
    <w:rsid w:val="002068F4"/>
    <w:rsid w:val="0020794C"/>
    <w:rsid w:val="00210251"/>
    <w:rsid w:val="002108A4"/>
    <w:rsid w:val="002117F0"/>
    <w:rsid w:val="0021274D"/>
    <w:rsid w:val="00215994"/>
    <w:rsid w:val="00217AE8"/>
    <w:rsid w:val="00217ECC"/>
    <w:rsid w:val="00220493"/>
    <w:rsid w:val="00220F0E"/>
    <w:rsid w:val="00225E6D"/>
    <w:rsid w:val="002261A6"/>
    <w:rsid w:val="002266D7"/>
    <w:rsid w:val="00227113"/>
    <w:rsid w:val="002272B2"/>
    <w:rsid w:val="002306B5"/>
    <w:rsid w:val="0023297E"/>
    <w:rsid w:val="00232C57"/>
    <w:rsid w:val="00232D2E"/>
    <w:rsid w:val="00234316"/>
    <w:rsid w:val="0023740C"/>
    <w:rsid w:val="00240FF9"/>
    <w:rsid w:val="002415E7"/>
    <w:rsid w:val="002445F9"/>
    <w:rsid w:val="002458A7"/>
    <w:rsid w:val="002462C2"/>
    <w:rsid w:val="00246B4C"/>
    <w:rsid w:val="002473F3"/>
    <w:rsid w:val="00251236"/>
    <w:rsid w:val="00253CAD"/>
    <w:rsid w:val="002641B9"/>
    <w:rsid w:val="002645AA"/>
    <w:rsid w:val="002651BD"/>
    <w:rsid w:val="00265205"/>
    <w:rsid w:val="00266077"/>
    <w:rsid w:val="00266ECA"/>
    <w:rsid w:val="00267BAF"/>
    <w:rsid w:val="00272BD0"/>
    <w:rsid w:val="0027718E"/>
    <w:rsid w:val="002777A1"/>
    <w:rsid w:val="0028021C"/>
    <w:rsid w:val="002814C1"/>
    <w:rsid w:val="00282103"/>
    <w:rsid w:val="0028220C"/>
    <w:rsid w:val="00285B13"/>
    <w:rsid w:val="00286292"/>
    <w:rsid w:val="00286D4E"/>
    <w:rsid w:val="00287616"/>
    <w:rsid w:val="00291195"/>
    <w:rsid w:val="00291800"/>
    <w:rsid w:val="00294363"/>
    <w:rsid w:val="00294D5E"/>
    <w:rsid w:val="002951E4"/>
    <w:rsid w:val="0029629A"/>
    <w:rsid w:val="00297AD0"/>
    <w:rsid w:val="002A05B5"/>
    <w:rsid w:val="002A0616"/>
    <w:rsid w:val="002A0D24"/>
    <w:rsid w:val="002A1323"/>
    <w:rsid w:val="002A1396"/>
    <w:rsid w:val="002A4526"/>
    <w:rsid w:val="002A6586"/>
    <w:rsid w:val="002A74E3"/>
    <w:rsid w:val="002B35CB"/>
    <w:rsid w:val="002B39C3"/>
    <w:rsid w:val="002B3E4F"/>
    <w:rsid w:val="002B6DF6"/>
    <w:rsid w:val="002B7ACC"/>
    <w:rsid w:val="002C01F2"/>
    <w:rsid w:val="002C06D9"/>
    <w:rsid w:val="002C0878"/>
    <w:rsid w:val="002C0C00"/>
    <w:rsid w:val="002C0CDD"/>
    <w:rsid w:val="002C1117"/>
    <w:rsid w:val="002C20E4"/>
    <w:rsid w:val="002C323F"/>
    <w:rsid w:val="002C35E0"/>
    <w:rsid w:val="002C38FF"/>
    <w:rsid w:val="002C3CD7"/>
    <w:rsid w:val="002C43F2"/>
    <w:rsid w:val="002C45A5"/>
    <w:rsid w:val="002C4691"/>
    <w:rsid w:val="002C5687"/>
    <w:rsid w:val="002C5CB3"/>
    <w:rsid w:val="002D05E1"/>
    <w:rsid w:val="002D56E0"/>
    <w:rsid w:val="002E0101"/>
    <w:rsid w:val="002E0505"/>
    <w:rsid w:val="002E2886"/>
    <w:rsid w:val="002E442C"/>
    <w:rsid w:val="002E5A5D"/>
    <w:rsid w:val="002E772B"/>
    <w:rsid w:val="002F1748"/>
    <w:rsid w:val="002F313A"/>
    <w:rsid w:val="002F33B1"/>
    <w:rsid w:val="002F47FC"/>
    <w:rsid w:val="002F4FBC"/>
    <w:rsid w:val="002F6018"/>
    <w:rsid w:val="00300D14"/>
    <w:rsid w:val="0030179F"/>
    <w:rsid w:val="00301AC3"/>
    <w:rsid w:val="00302B88"/>
    <w:rsid w:val="00303C61"/>
    <w:rsid w:val="00305DE9"/>
    <w:rsid w:val="003104FC"/>
    <w:rsid w:val="00310653"/>
    <w:rsid w:val="003110B3"/>
    <w:rsid w:val="003114C1"/>
    <w:rsid w:val="003130C9"/>
    <w:rsid w:val="00313E38"/>
    <w:rsid w:val="00314B47"/>
    <w:rsid w:val="00316C84"/>
    <w:rsid w:val="003201D0"/>
    <w:rsid w:val="003218A2"/>
    <w:rsid w:val="00322C79"/>
    <w:rsid w:val="00323D3C"/>
    <w:rsid w:val="00323DD0"/>
    <w:rsid w:val="003257A5"/>
    <w:rsid w:val="003265AE"/>
    <w:rsid w:val="00330029"/>
    <w:rsid w:val="00332576"/>
    <w:rsid w:val="00332F17"/>
    <w:rsid w:val="003336B9"/>
    <w:rsid w:val="00333CD8"/>
    <w:rsid w:val="003340E7"/>
    <w:rsid w:val="003342AC"/>
    <w:rsid w:val="00336475"/>
    <w:rsid w:val="00337DE9"/>
    <w:rsid w:val="00341A95"/>
    <w:rsid w:val="00341E54"/>
    <w:rsid w:val="003425B9"/>
    <w:rsid w:val="00342674"/>
    <w:rsid w:val="00342ED7"/>
    <w:rsid w:val="003442B1"/>
    <w:rsid w:val="003469C6"/>
    <w:rsid w:val="00347DF2"/>
    <w:rsid w:val="0035074E"/>
    <w:rsid w:val="00350D1E"/>
    <w:rsid w:val="003511DA"/>
    <w:rsid w:val="00352CE2"/>
    <w:rsid w:val="003546AC"/>
    <w:rsid w:val="00354B1B"/>
    <w:rsid w:val="00355C72"/>
    <w:rsid w:val="00356E13"/>
    <w:rsid w:val="00357DE5"/>
    <w:rsid w:val="00361F8B"/>
    <w:rsid w:val="003625E3"/>
    <w:rsid w:val="00363763"/>
    <w:rsid w:val="00363AE3"/>
    <w:rsid w:val="00365172"/>
    <w:rsid w:val="00365B2C"/>
    <w:rsid w:val="00366C40"/>
    <w:rsid w:val="00367469"/>
    <w:rsid w:val="00367A03"/>
    <w:rsid w:val="00367B33"/>
    <w:rsid w:val="003728B2"/>
    <w:rsid w:val="0037359C"/>
    <w:rsid w:val="00373AC1"/>
    <w:rsid w:val="00373B58"/>
    <w:rsid w:val="003756CB"/>
    <w:rsid w:val="00375D05"/>
    <w:rsid w:val="003769FC"/>
    <w:rsid w:val="00380693"/>
    <w:rsid w:val="00380ED5"/>
    <w:rsid w:val="00381260"/>
    <w:rsid w:val="00381E72"/>
    <w:rsid w:val="00383E7D"/>
    <w:rsid w:val="00384D46"/>
    <w:rsid w:val="0038749B"/>
    <w:rsid w:val="00392289"/>
    <w:rsid w:val="00392B15"/>
    <w:rsid w:val="00392C53"/>
    <w:rsid w:val="00392EA5"/>
    <w:rsid w:val="0039462A"/>
    <w:rsid w:val="00394AF8"/>
    <w:rsid w:val="00394F06"/>
    <w:rsid w:val="003A11C8"/>
    <w:rsid w:val="003A221C"/>
    <w:rsid w:val="003A3C82"/>
    <w:rsid w:val="003A45CA"/>
    <w:rsid w:val="003A4B5D"/>
    <w:rsid w:val="003A534C"/>
    <w:rsid w:val="003A6352"/>
    <w:rsid w:val="003A6977"/>
    <w:rsid w:val="003B1317"/>
    <w:rsid w:val="003B1D88"/>
    <w:rsid w:val="003B1F8C"/>
    <w:rsid w:val="003B30CC"/>
    <w:rsid w:val="003B33E0"/>
    <w:rsid w:val="003B36C2"/>
    <w:rsid w:val="003B44B7"/>
    <w:rsid w:val="003B53B0"/>
    <w:rsid w:val="003B6288"/>
    <w:rsid w:val="003B7EEF"/>
    <w:rsid w:val="003B7F03"/>
    <w:rsid w:val="003C05F8"/>
    <w:rsid w:val="003C4670"/>
    <w:rsid w:val="003C5CA7"/>
    <w:rsid w:val="003C6158"/>
    <w:rsid w:val="003D0802"/>
    <w:rsid w:val="003D3FE4"/>
    <w:rsid w:val="003D7C63"/>
    <w:rsid w:val="003E1B02"/>
    <w:rsid w:val="003E394F"/>
    <w:rsid w:val="003E3E28"/>
    <w:rsid w:val="003E44F5"/>
    <w:rsid w:val="003F2173"/>
    <w:rsid w:val="003F24D0"/>
    <w:rsid w:val="003F4876"/>
    <w:rsid w:val="003F4BBF"/>
    <w:rsid w:val="003F5F56"/>
    <w:rsid w:val="003F6317"/>
    <w:rsid w:val="003F666C"/>
    <w:rsid w:val="003F7B2E"/>
    <w:rsid w:val="00404B18"/>
    <w:rsid w:val="00405D55"/>
    <w:rsid w:val="00405F8F"/>
    <w:rsid w:val="0040687D"/>
    <w:rsid w:val="00407699"/>
    <w:rsid w:val="00407B1F"/>
    <w:rsid w:val="00412819"/>
    <w:rsid w:val="0041565E"/>
    <w:rsid w:val="00416183"/>
    <w:rsid w:val="004172B4"/>
    <w:rsid w:val="00417AAE"/>
    <w:rsid w:val="004211F1"/>
    <w:rsid w:val="00423213"/>
    <w:rsid w:val="00424065"/>
    <w:rsid w:val="00424328"/>
    <w:rsid w:val="004246FC"/>
    <w:rsid w:val="0042470B"/>
    <w:rsid w:val="0042671C"/>
    <w:rsid w:val="00426773"/>
    <w:rsid w:val="00426A09"/>
    <w:rsid w:val="0043037D"/>
    <w:rsid w:val="00430A84"/>
    <w:rsid w:val="00432446"/>
    <w:rsid w:val="0043558A"/>
    <w:rsid w:val="00436A2E"/>
    <w:rsid w:val="00436DD1"/>
    <w:rsid w:val="0043771C"/>
    <w:rsid w:val="004426C6"/>
    <w:rsid w:val="00444FE2"/>
    <w:rsid w:val="004450CF"/>
    <w:rsid w:val="00447CC4"/>
    <w:rsid w:val="00450642"/>
    <w:rsid w:val="00452A11"/>
    <w:rsid w:val="00453135"/>
    <w:rsid w:val="00453FDB"/>
    <w:rsid w:val="00454173"/>
    <w:rsid w:val="00462752"/>
    <w:rsid w:val="004644BD"/>
    <w:rsid w:val="00465E05"/>
    <w:rsid w:val="00466451"/>
    <w:rsid w:val="00472E8E"/>
    <w:rsid w:val="004775FE"/>
    <w:rsid w:val="00482AE3"/>
    <w:rsid w:val="00483956"/>
    <w:rsid w:val="00484A3A"/>
    <w:rsid w:val="004864DB"/>
    <w:rsid w:val="00486BDC"/>
    <w:rsid w:val="00491686"/>
    <w:rsid w:val="00492874"/>
    <w:rsid w:val="0049309D"/>
    <w:rsid w:val="00493D72"/>
    <w:rsid w:val="00494A61"/>
    <w:rsid w:val="00495994"/>
    <w:rsid w:val="00495A80"/>
    <w:rsid w:val="00496175"/>
    <w:rsid w:val="004A0F17"/>
    <w:rsid w:val="004A13AF"/>
    <w:rsid w:val="004A38EB"/>
    <w:rsid w:val="004A4722"/>
    <w:rsid w:val="004A6040"/>
    <w:rsid w:val="004A620F"/>
    <w:rsid w:val="004B1D9D"/>
    <w:rsid w:val="004B221A"/>
    <w:rsid w:val="004B2C96"/>
    <w:rsid w:val="004B2DB1"/>
    <w:rsid w:val="004C16FF"/>
    <w:rsid w:val="004C1E8D"/>
    <w:rsid w:val="004C48CC"/>
    <w:rsid w:val="004C5D3A"/>
    <w:rsid w:val="004C74D2"/>
    <w:rsid w:val="004D02F2"/>
    <w:rsid w:val="004D4343"/>
    <w:rsid w:val="004D516A"/>
    <w:rsid w:val="004D6D73"/>
    <w:rsid w:val="004E0509"/>
    <w:rsid w:val="004E2572"/>
    <w:rsid w:val="004E5D29"/>
    <w:rsid w:val="004E72B6"/>
    <w:rsid w:val="004E7936"/>
    <w:rsid w:val="004F02EF"/>
    <w:rsid w:val="004F2081"/>
    <w:rsid w:val="004F362B"/>
    <w:rsid w:val="004F3F4A"/>
    <w:rsid w:val="004F5508"/>
    <w:rsid w:val="004F551C"/>
    <w:rsid w:val="004F6FE0"/>
    <w:rsid w:val="004F700D"/>
    <w:rsid w:val="004F7EB4"/>
    <w:rsid w:val="00500091"/>
    <w:rsid w:val="005022CC"/>
    <w:rsid w:val="00510160"/>
    <w:rsid w:val="005108FD"/>
    <w:rsid w:val="005117D6"/>
    <w:rsid w:val="00514F59"/>
    <w:rsid w:val="005150B5"/>
    <w:rsid w:val="00515495"/>
    <w:rsid w:val="00516167"/>
    <w:rsid w:val="00516CD8"/>
    <w:rsid w:val="005175CC"/>
    <w:rsid w:val="005236B6"/>
    <w:rsid w:val="005256BA"/>
    <w:rsid w:val="00525D68"/>
    <w:rsid w:val="005269FF"/>
    <w:rsid w:val="00527524"/>
    <w:rsid w:val="00527876"/>
    <w:rsid w:val="00530654"/>
    <w:rsid w:val="00530F71"/>
    <w:rsid w:val="00531B55"/>
    <w:rsid w:val="005321C4"/>
    <w:rsid w:val="005324E9"/>
    <w:rsid w:val="00532C4C"/>
    <w:rsid w:val="00533059"/>
    <w:rsid w:val="00540990"/>
    <w:rsid w:val="00540B71"/>
    <w:rsid w:val="00541971"/>
    <w:rsid w:val="00544775"/>
    <w:rsid w:val="00545ED6"/>
    <w:rsid w:val="005536A1"/>
    <w:rsid w:val="00555CCB"/>
    <w:rsid w:val="00556DEC"/>
    <w:rsid w:val="00556DF7"/>
    <w:rsid w:val="00560922"/>
    <w:rsid w:val="00560B9F"/>
    <w:rsid w:val="00561461"/>
    <w:rsid w:val="00561FEA"/>
    <w:rsid w:val="005650D4"/>
    <w:rsid w:val="00566296"/>
    <w:rsid w:val="005676C1"/>
    <w:rsid w:val="005704B6"/>
    <w:rsid w:val="005705A5"/>
    <w:rsid w:val="00571D88"/>
    <w:rsid w:val="00571D9E"/>
    <w:rsid w:val="00572140"/>
    <w:rsid w:val="0057330A"/>
    <w:rsid w:val="00580A13"/>
    <w:rsid w:val="00580BAE"/>
    <w:rsid w:val="005810CB"/>
    <w:rsid w:val="005810F9"/>
    <w:rsid w:val="00581E8E"/>
    <w:rsid w:val="00582570"/>
    <w:rsid w:val="0058473E"/>
    <w:rsid w:val="00584BC7"/>
    <w:rsid w:val="00586E14"/>
    <w:rsid w:val="00592215"/>
    <w:rsid w:val="0059318D"/>
    <w:rsid w:val="00593464"/>
    <w:rsid w:val="00593A3C"/>
    <w:rsid w:val="005957BD"/>
    <w:rsid w:val="005962B4"/>
    <w:rsid w:val="00596679"/>
    <w:rsid w:val="00597C0E"/>
    <w:rsid w:val="005A2E15"/>
    <w:rsid w:val="005A4C37"/>
    <w:rsid w:val="005B0229"/>
    <w:rsid w:val="005B1FF5"/>
    <w:rsid w:val="005B20EC"/>
    <w:rsid w:val="005B3228"/>
    <w:rsid w:val="005B3B34"/>
    <w:rsid w:val="005B5BA4"/>
    <w:rsid w:val="005B6395"/>
    <w:rsid w:val="005B66D3"/>
    <w:rsid w:val="005C1A2E"/>
    <w:rsid w:val="005C385F"/>
    <w:rsid w:val="005C44F5"/>
    <w:rsid w:val="005C58DC"/>
    <w:rsid w:val="005C62D0"/>
    <w:rsid w:val="005D0804"/>
    <w:rsid w:val="005D213B"/>
    <w:rsid w:val="005D3F4C"/>
    <w:rsid w:val="005D447E"/>
    <w:rsid w:val="005D66E7"/>
    <w:rsid w:val="005D72C0"/>
    <w:rsid w:val="005D792C"/>
    <w:rsid w:val="005E1042"/>
    <w:rsid w:val="005E77E4"/>
    <w:rsid w:val="005F08CE"/>
    <w:rsid w:val="005F1307"/>
    <w:rsid w:val="005F31AA"/>
    <w:rsid w:val="005F338F"/>
    <w:rsid w:val="005F4387"/>
    <w:rsid w:val="005F5410"/>
    <w:rsid w:val="006010FC"/>
    <w:rsid w:val="00604139"/>
    <w:rsid w:val="00604B63"/>
    <w:rsid w:val="0060590B"/>
    <w:rsid w:val="00607AA0"/>
    <w:rsid w:val="00612AA0"/>
    <w:rsid w:val="00613288"/>
    <w:rsid w:val="00614114"/>
    <w:rsid w:val="006155BF"/>
    <w:rsid w:val="0061637B"/>
    <w:rsid w:val="00617F36"/>
    <w:rsid w:val="00617F77"/>
    <w:rsid w:val="0062025B"/>
    <w:rsid w:val="006216B7"/>
    <w:rsid w:val="00621DDC"/>
    <w:rsid w:val="006236BD"/>
    <w:rsid w:val="00624913"/>
    <w:rsid w:val="0062701F"/>
    <w:rsid w:val="00634212"/>
    <w:rsid w:val="00637A97"/>
    <w:rsid w:val="00637E25"/>
    <w:rsid w:val="00640B1F"/>
    <w:rsid w:val="00642719"/>
    <w:rsid w:val="00642763"/>
    <w:rsid w:val="00645165"/>
    <w:rsid w:val="006456FF"/>
    <w:rsid w:val="00645FA3"/>
    <w:rsid w:val="00646205"/>
    <w:rsid w:val="006469A4"/>
    <w:rsid w:val="00646C76"/>
    <w:rsid w:val="00647293"/>
    <w:rsid w:val="006473A8"/>
    <w:rsid w:val="00647BBB"/>
    <w:rsid w:val="00650A30"/>
    <w:rsid w:val="006512AA"/>
    <w:rsid w:val="00651340"/>
    <w:rsid w:val="00653055"/>
    <w:rsid w:val="00653A57"/>
    <w:rsid w:val="006541C1"/>
    <w:rsid w:val="00654C5B"/>
    <w:rsid w:val="00655A07"/>
    <w:rsid w:val="0065715D"/>
    <w:rsid w:val="00657990"/>
    <w:rsid w:val="00661EF0"/>
    <w:rsid w:val="00665B2E"/>
    <w:rsid w:val="00665F0B"/>
    <w:rsid w:val="00666832"/>
    <w:rsid w:val="00666BB6"/>
    <w:rsid w:val="0066721E"/>
    <w:rsid w:val="006701FD"/>
    <w:rsid w:val="00670E8A"/>
    <w:rsid w:val="00674A3B"/>
    <w:rsid w:val="0067511B"/>
    <w:rsid w:val="006751FE"/>
    <w:rsid w:val="00677033"/>
    <w:rsid w:val="00677594"/>
    <w:rsid w:val="00680F50"/>
    <w:rsid w:val="006843AB"/>
    <w:rsid w:val="00684620"/>
    <w:rsid w:val="0068505A"/>
    <w:rsid w:val="00685D20"/>
    <w:rsid w:val="006953CF"/>
    <w:rsid w:val="0069673B"/>
    <w:rsid w:val="006A4FAE"/>
    <w:rsid w:val="006A50E6"/>
    <w:rsid w:val="006A5666"/>
    <w:rsid w:val="006A6177"/>
    <w:rsid w:val="006A6861"/>
    <w:rsid w:val="006B0924"/>
    <w:rsid w:val="006B3F86"/>
    <w:rsid w:val="006B6F7A"/>
    <w:rsid w:val="006B708C"/>
    <w:rsid w:val="006C04AA"/>
    <w:rsid w:val="006C168C"/>
    <w:rsid w:val="006C2AEA"/>
    <w:rsid w:val="006C5166"/>
    <w:rsid w:val="006C5722"/>
    <w:rsid w:val="006C5E08"/>
    <w:rsid w:val="006D0E83"/>
    <w:rsid w:val="006D1510"/>
    <w:rsid w:val="006D1D14"/>
    <w:rsid w:val="006D435C"/>
    <w:rsid w:val="006E1A39"/>
    <w:rsid w:val="006E21DA"/>
    <w:rsid w:val="006E3CEE"/>
    <w:rsid w:val="006E41AA"/>
    <w:rsid w:val="006E439E"/>
    <w:rsid w:val="006E614B"/>
    <w:rsid w:val="006E6D9E"/>
    <w:rsid w:val="006F0E97"/>
    <w:rsid w:val="006F30FD"/>
    <w:rsid w:val="006F51CB"/>
    <w:rsid w:val="006F5703"/>
    <w:rsid w:val="0070515F"/>
    <w:rsid w:val="0070582C"/>
    <w:rsid w:val="00711AA9"/>
    <w:rsid w:val="00712131"/>
    <w:rsid w:val="0071235E"/>
    <w:rsid w:val="00721E74"/>
    <w:rsid w:val="00722717"/>
    <w:rsid w:val="0072287A"/>
    <w:rsid w:val="0072648C"/>
    <w:rsid w:val="007275B1"/>
    <w:rsid w:val="00727E3B"/>
    <w:rsid w:val="0073022C"/>
    <w:rsid w:val="00730D0A"/>
    <w:rsid w:val="00733AAF"/>
    <w:rsid w:val="0073470D"/>
    <w:rsid w:val="0073662B"/>
    <w:rsid w:val="0073713D"/>
    <w:rsid w:val="00737A13"/>
    <w:rsid w:val="007446EE"/>
    <w:rsid w:val="007447D4"/>
    <w:rsid w:val="007502B3"/>
    <w:rsid w:val="007504E5"/>
    <w:rsid w:val="007515FF"/>
    <w:rsid w:val="00751BCD"/>
    <w:rsid w:val="007524E4"/>
    <w:rsid w:val="007528D6"/>
    <w:rsid w:val="00753C0C"/>
    <w:rsid w:val="00757408"/>
    <w:rsid w:val="00760EDA"/>
    <w:rsid w:val="00762428"/>
    <w:rsid w:val="00762DCD"/>
    <w:rsid w:val="00763100"/>
    <w:rsid w:val="00770843"/>
    <w:rsid w:val="00770EE9"/>
    <w:rsid w:val="007711F0"/>
    <w:rsid w:val="007715C4"/>
    <w:rsid w:val="00771877"/>
    <w:rsid w:val="00772C6B"/>
    <w:rsid w:val="007732EC"/>
    <w:rsid w:val="00775467"/>
    <w:rsid w:val="007803A3"/>
    <w:rsid w:val="00783999"/>
    <w:rsid w:val="00784DD3"/>
    <w:rsid w:val="00786534"/>
    <w:rsid w:val="00787DBF"/>
    <w:rsid w:val="0079480E"/>
    <w:rsid w:val="00797947"/>
    <w:rsid w:val="007A48E6"/>
    <w:rsid w:val="007A7079"/>
    <w:rsid w:val="007B470D"/>
    <w:rsid w:val="007B5EF9"/>
    <w:rsid w:val="007B720C"/>
    <w:rsid w:val="007B7606"/>
    <w:rsid w:val="007B76FF"/>
    <w:rsid w:val="007B7F82"/>
    <w:rsid w:val="007C1DA5"/>
    <w:rsid w:val="007C4483"/>
    <w:rsid w:val="007C4CD9"/>
    <w:rsid w:val="007D006A"/>
    <w:rsid w:val="007D00B9"/>
    <w:rsid w:val="007D0685"/>
    <w:rsid w:val="007D08C1"/>
    <w:rsid w:val="007D08DE"/>
    <w:rsid w:val="007D0E74"/>
    <w:rsid w:val="007D29E8"/>
    <w:rsid w:val="007D315D"/>
    <w:rsid w:val="007D4972"/>
    <w:rsid w:val="007D5C38"/>
    <w:rsid w:val="007D632C"/>
    <w:rsid w:val="007D6A70"/>
    <w:rsid w:val="007D7825"/>
    <w:rsid w:val="007E0119"/>
    <w:rsid w:val="007E1BC7"/>
    <w:rsid w:val="007E2AA2"/>
    <w:rsid w:val="007E3FC3"/>
    <w:rsid w:val="007E5970"/>
    <w:rsid w:val="007F0967"/>
    <w:rsid w:val="007F14EA"/>
    <w:rsid w:val="007F2B99"/>
    <w:rsid w:val="007F38FB"/>
    <w:rsid w:val="007F3A9E"/>
    <w:rsid w:val="007F408C"/>
    <w:rsid w:val="007F4093"/>
    <w:rsid w:val="007F7AF6"/>
    <w:rsid w:val="007F7CDC"/>
    <w:rsid w:val="0080266D"/>
    <w:rsid w:val="00803B94"/>
    <w:rsid w:val="008051DD"/>
    <w:rsid w:val="00805509"/>
    <w:rsid w:val="00806528"/>
    <w:rsid w:val="00807110"/>
    <w:rsid w:val="008124C4"/>
    <w:rsid w:val="008130CA"/>
    <w:rsid w:val="008145E6"/>
    <w:rsid w:val="00815A16"/>
    <w:rsid w:val="00815CE7"/>
    <w:rsid w:val="00817CAF"/>
    <w:rsid w:val="00820347"/>
    <w:rsid w:val="00820A59"/>
    <w:rsid w:val="00822298"/>
    <w:rsid w:val="00824393"/>
    <w:rsid w:val="008254C7"/>
    <w:rsid w:val="008257C1"/>
    <w:rsid w:val="00831A6A"/>
    <w:rsid w:val="00831EE0"/>
    <w:rsid w:val="00832063"/>
    <w:rsid w:val="0083233D"/>
    <w:rsid w:val="00832BD4"/>
    <w:rsid w:val="00833AA9"/>
    <w:rsid w:val="00833F3E"/>
    <w:rsid w:val="008344F0"/>
    <w:rsid w:val="00836B83"/>
    <w:rsid w:val="00837B84"/>
    <w:rsid w:val="00837E50"/>
    <w:rsid w:val="0084108D"/>
    <w:rsid w:val="00843609"/>
    <w:rsid w:val="008447E1"/>
    <w:rsid w:val="00847F9F"/>
    <w:rsid w:val="0085025B"/>
    <w:rsid w:val="00850EA8"/>
    <w:rsid w:val="008513ED"/>
    <w:rsid w:val="00855D73"/>
    <w:rsid w:val="008561B9"/>
    <w:rsid w:val="00866BB5"/>
    <w:rsid w:val="0087193F"/>
    <w:rsid w:val="008729A6"/>
    <w:rsid w:val="00874C62"/>
    <w:rsid w:val="00875489"/>
    <w:rsid w:val="00877478"/>
    <w:rsid w:val="00880E70"/>
    <w:rsid w:val="0088199A"/>
    <w:rsid w:val="0088346E"/>
    <w:rsid w:val="00884991"/>
    <w:rsid w:val="008935DE"/>
    <w:rsid w:val="0089411A"/>
    <w:rsid w:val="00894838"/>
    <w:rsid w:val="0089615F"/>
    <w:rsid w:val="008A0073"/>
    <w:rsid w:val="008A1C61"/>
    <w:rsid w:val="008A22E4"/>
    <w:rsid w:val="008A2A37"/>
    <w:rsid w:val="008A2F4C"/>
    <w:rsid w:val="008A765B"/>
    <w:rsid w:val="008B1FE8"/>
    <w:rsid w:val="008B333D"/>
    <w:rsid w:val="008B3B48"/>
    <w:rsid w:val="008B5AA3"/>
    <w:rsid w:val="008B7997"/>
    <w:rsid w:val="008C1D8C"/>
    <w:rsid w:val="008C253E"/>
    <w:rsid w:val="008D1B07"/>
    <w:rsid w:val="008D577B"/>
    <w:rsid w:val="008D67D3"/>
    <w:rsid w:val="008D6A66"/>
    <w:rsid w:val="008D6D76"/>
    <w:rsid w:val="008E07DE"/>
    <w:rsid w:val="008E212E"/>
    <w:rsid w:val="008E350C"/>
    <w:rsid w:val="008E5B92"/>
    <w:rsid w:val="008E5F30"/>
    <w:rsid w:val="008E624B"/>
    <w:rsid w:val="008E68EC"/>
    <w:rsid w:val="008E6980"/>
    <w:rsid w:val="008E6F28"/>
    <w:rsid w:val="008E7870"/>
    <w:rsid w:val="008F2267"/>
    <w:rsid w:val="008F410C"/>
    <w:rsid w:val="008F5078"/>
    <w:rsid w:val="008F5C4B"/>
    <w:rsid w:val="00901B02"/>
    <w:rsid w:val="00901B3D"/>
    <w:rsid w:val="009035F8"/>
    <w:rsid w:val="00903822"/>
    <w:rsid w:val="009055C9"/>
    <w:rsid w:val="00905AA2"/>
    <w:rsid w:val="00905B51"/>
    <w:rsid w:val="009068CF"/>
    <w:rsid w:val="00915220"/>
    <w:rsid w:val="009153F7"/>
    <w:rsid w:val="009213EE"/>
    <w:rsid w:val="009216D3"/>
    <w:rsid w:val="009219B6"/>
    <w:rsid w:val="009238A0"/>
    <w:rsid w:val="00925EC6"/>
    <w:rsid w:val="00925F1B"/>
    <w:rsid w:val="00926B18"/>
    <w:rsid w:val="00931E05"/>
    <w:rsid w:val="0093262F"/>
    <w:rsid w:val="00933B0C"/>
    <w:rsid w:val="009357C6"/>
    <w:rsid w:val="009370A7"/>
    <w:rsid w:val="00941682"/>
    <w:rsid w:val="009429B7"/>
    <w:rsid w:val="009449FB"/>
    <w:rsid w:val="00946210"/>
    <w:rsid w:val="009473CB"/>
    <w:rsid w:val="009514C3"/>
    <w:rsid w:val="0095647B"/>
    <w:rsid w:val="00957B20"/>
    <w:rsid w:val="00962957"/>
    <w:rsid w:val="00962BDF"/>
    <w:rsid w:val="00963C91"/>
    <w:rsid w:val="00963ECF"/>
    <w:rsid w:val="00965B5C"/>
    <w:rsid w:val="009669E1"/>
    <w:rsid w:val="00966EE7"/>
    <w:rsid w:val="00966FBB"/>
    <w:rsid w:val="00967457"/>
    <w:rsid w:val="00970159"/>
    <w:rsid w:val="009711B5"/>
    <w:rsid w:val="0097515A"/>
    <w:rsid w:val="009775DC"/>
    <w:rsid w:val="00977FE8"/>
    <w:rsid w:val="0098004E"/>
    <w:rsid w:val="00980B6E"/>
    <w:rsid w:val="00984C4F"/>
    <w:rsid w:val="00984CA9"/>
    <w:rsid w:val="0098546F"/>
    <w:rsid w:val="00987689"/>
    <w:rsid w:val="00991B18"/>
    <w:rsid w:val="00994384"/>
    <w:rsid w:val="0099465F"/>
    <w:rsid w:val="009948A0"/>
    <w:rsid w:val="00994C5A"/>
    <w:rsid w:val="00994E42"/>
    <w:rsid w:val="00996B6A"/>
    <w:rsid w:val="0099741A"/>
    <w:rsid w:val="00997AA6"/>
    <w:rsid w:val="009A2F97"/>
    <w:rsid w:val="009A3002"/>
    <w:rsid w:val="009A3F4E"/>
    <w:rsid w:val="009A54F9"/>
    <w:rsid w:val="009A5758"/>
    <w:rsid w:val="009A7346"/>
    <w:rsid w:val="009A7CA8"/>
    <w:rsid w:val="009B3274"/>
    <w:rsid w:val="009B372B"/>
    <w:rsid w:val="009B39BA"/>
    <w:rsid w:val="009B3B52"/>
    <w:rsid w:val="009B3EC2"/>
    <w:rsid w:val="009C0925"/>
    <w:rsid w:val="009C1130"/>
    <w:rsid w:val="009C113A"/>
    <w:rsid w:val="009C3032"/>
    <w:rsid w:val="009C3C8B"/>
    <w:rsid w:val="009C5A33"/>
    <w:rsid w:val="009C775C"/>
    <w:rsid w:val="009D0C8A"/>
    <w:rsid w:val="009D1777"/>
    <w:rsid w:val="009D69B5"/>
    <w:rsid w:val="009E07E2"/>
    <w:rsid w:val="009E0A0D"/>
    <w:rsid w:val="009E0D53"/>
    <w:rsid w:val="009E3649"/>
    <w:rsid w:val="009E64DF"/>
    <w:rsid w:val="009F52EC"/>
    <w:rsid w:val="009F5B51"/>
    <w:rsid w:val="009F5D08"/>
    <w:rsid w:val="009F5E9B"/>
    <w:rsid w:val="009F7E9F"/>
    <w:rsid w:val="00A01245"/>
    <w:rsid w:val="00A01CCD"/>
    <w:rsid w:val="00A02978"/>
    <w:rsid w:val="00A0306E"/>
    <w:rsid w:val="00A0692C"/>
    <w:rsid w:val="00A07C45"/>
    <w:rsid w:val="00A1253B"/>
    <w:rsid w:val="00A13CFF"/>
    <w:rsid w:val="00A155CD"/>
    <w:rsid w:val="00A15B71"/>
    <w:rsid w:val="00A16B49"/>
    <w:rsid w:val="00A20371"/>
    <w:rsid w:val="00A2273B"/>
    <w:rsid w:val="00A23247"/>
    <w:rsid w:val="00A232F6"/>
    <w:rsid w:val="00A24736"/>
    <w:rsid w:val="00A24EAF"/>
    <w:rsid w:val="00A25E8B"/>
    <w:rsid w:val="00A2637A"/>
    <w:rsid w:val="00A3022C"/>
    <w:rsid w:val="00A32DE7"/>
    <w:rsid w:val="00A32F7F"/>
    <w:rsid w:val="00A34E8F"/>
    <w:rsid w:val="00A35B41"/>
    <w:rsid w:val="00A35C4D"/>
    <w:rsid w:val="00A377FE"/>
    <w:rsid w:val="00A42C11"/>
    <w:rsid w:val="00A42F34"/>
    <w:rsid w:val="00A44D61"/>
    <w:rsid w:val="00A4549A"/>
    <w:rsid w:val="00A47543"/>
    <w:rsid w:val="00A50C22"/>
    <w:rsid w:val="00A51060"/>
    <w:rsid w:val="00A52AC2"/>
    <w:rsid w:val="00A5344E"/>
    <w:rsid w:val="00A63ABE"/>
    <w:rsid w:val="00A6495D"/>
    <w:rsid w:val="00A675D8"/>
    <w:rsid w:val="00A7052F"/>
    <w:rsid w:val="00A71ADA"/>
    <w:rsid w:val="00A721DF"/>
    <w:rsid w:val="00A72334"/>
    <w:rsid w:val="00A7261B"/>
    <w:rsid w:val="00A746D9"/>
    <w:rsid w:val="00A75D7F"/>
    <w:rsid w:val="00A75EF8"/>
    <w:rsid w:val="00A8352A"/>
    <w:rsid w:val="00A84736"/>
    <w:rsid w:val="00A85A64"/>
    <w:rsid w:val="00A85F9E"/>
    <w:rsid w:val="00A8646E"/>
    <w:rsid w:val="00A91417"/>
    <w:rsid w:val="00A91FD2"/>
    <w:rsid w:val="00A9262B"/>
    <w:rsid w:val="00A9395C"/>
    <w:rsid w:val="00A95E3D"/>
    <w:rsid w:val="00A96961"/>
    <w:rsid w:val="00AA35E2"/>
    <w:rsid w:val="00AA4A79"/>
    <w:rsid w:val="00AA4B8F"/>
    <w:rsid w:val="00AA4E78"/>
    <w:rsid w:val="00AA52FF"/>
    <w:rsid w:val="00AA7BA7"/>
    <w:rsid w:val="00AB00A3"/>
    <w:rsid w:val="00AB2163"/>
    <w:rsid w:val="00AB2F5A"/>
    <w:rsid w:val="00AB34BE"/>
    <w:rsid w:val="00AB503F"/>
    <w:rsid w:val="00AB5408"/>
    <w:rsid w:val="00AB544C"/>
    <w:rsid w:val="00AB6923"/>
    <w:rsid w:val="00AC2F22"/>
    <w:rsid w:val="00AC40BA"/>
    <w:rsid w:val="00AC4E47"/>
    <w:rsid w:val="00AC4F38"/>
    <w:rsid w:val="00AC5FC4"/>
    <w:rsid w:val="00AD1F07"/>
    <w:rsid w:val="00AD430B"/>
    <w:rsid w:val="00AD4713"/>
    <w:rsid w:val="00AD7656"/>
    <w:rsid w:val="00AD7884"/>
    <w:rsid w:val="00AD7BFD"/>
    <w:rsid w:val="00AE0C9B"/>
    <w:rsid w:val="00AE143F"/>
    <w:rsid w:val="00AE3245"/>
    <w:rsid w:val="00AE36CD"/>
    <w:rsid w:val="00AE55E1"/>
    <w:rsid w:val="00AE6A99"/>
    <w:rsid w:val="00AE74B4"/>
    <w:rsid w:val="00AF1505"/>
    <w:rsid w:val="00AF1560"/>
    <w:rsid w:val="00AF3016"/>
    <w:rsid w:val="00AF3830"/>
    <w:rsid w:val="00AF40CE"/>
    <w:rsid w:val="00AF4131"/>
    <w:rsid w:val="00AF6E46"/>
    <w:rsid w:val="00AF78BE"/>
    <w:rsid w:val="00AF7D9A"/>
    <w:rsid w:val="00B0261C"/>
    <w:rsid w:val="00B05FA0"/>
    <w:rsid w:val="00B062FB"/>
    <w:rsid w:val="00B07900"/>
    <w:rsid w:val="00B07A7D"/>
    <w:rsid w:val="00B11F1D"/>
    <w:rsid w:val="00B138D4"/>
    <w:rsid w:val="00B17287"/>
    <w:rsid w:val="00B177C4"/>
    <w:rsid w:val="00B204E7"/>
    <w:rsid w:val="00B2096E"/>
    <w:rsid w:val="00B23B6D"/>
    <w:rsid w:val="00B2441A"/>
    <w:rsid w:val="00B25B1E"/>
    <w:rsid w:val="00B27568"/>
    <w:rsid w:val="00B27D63"/>
    <w:rsid w:val="00B30732"/>
    <w:rsid w:val="00B30EEE"/>
    <w:rsid w:val="00B34AEE"/>
    <w:rsid w:val="00B34E65"/>
    <w:rsid w:val="00B36D6A"/>
    <w:rsid w:val="00B37D51"/>
    <w:rsid w:val="00B40CF9"/>
    <w:rsid w:val="00B42475"/>
    <w:rsid w:val="00B42D4C"/>
    <w:rsid w:val="00B4497F"/>
    <w:rsid w:val="00B44A5B"/>
    <w:rsid w:val="00B50B4A"/>
    <w:rsid w:val="00B50FCB"/>
    <w:rsid w:val="00B54B37"/>
    <w:rsid w:val="00B55492"/>
    <w:rsid w:val="00B55BC9"/>
    <w:rsid w:val="00B56231"/>
    <w:rsid w:val="00B56A24"/>
    <w:rsid w:val="00B64FB3"/>
    <w:rsid w:val="00B653B1"/>
    <w:rsid w:val="00B71BA8"/>
    <w:rsid w:val="00B72506"/>
    <w:rsid w:val="00B73641"/>
    <w:rsid w:val="00B73E41"/>
    <w:rsid w:val="00B74A74"/>
    <w:rsid w:val="00B765D6"/>
    <w:rsid w:val="00B768DA"/>
    <w:rsid w:val="00B8030A"/>
    <w:rsid w:val="00B80448"/>
    <w:rsid w:val="00B83856"/>
    <w:rsid w:val="00B854B4"/>
    <w:rsid w:val="00B856CD"/>
    <w:rsid w:val="00B85EB2"/>
    <w:rsid w:val="00B878BF"/>
    <w:rsid w:val="00B92CC3"/>
    <w:rsid w:val="00B9300E"/>
    <w:rsid w:val="00B93B28"/>
    <w:rsid w:val="00B96668"/>
    <w:rsid w:val="00B9789E"/>
    <w:rsid w:val="00BA07F6"/>
    <w:rsid w:val="00BA1E86"/>
    <w:rsid w:val="00BA2BA6"/>
    <w:rsid w:val="00BA3D74"/>
    <w:rsid w:val="00BB0095"/>
    <w:rsid w:val="00BB1439"/>
    <w:rsid w:val="00BB2420"/>
    <w:rsid w:val="00BB50D5"/>
    <w:rsid w:val="00BB69C9"/>
    <w:rsid w:val="00BC0335"/>
    <w:rsid w:val="00BC04A7"/>
    <w:rsid w:val="00BC0E93"/>
    <w:rsid w:val="00BC16C4"/>
    <w:rsid w:val="00BC4945"/>
    <w:rsid w:val="00BC546B"/>
    <w:rsid w:val="00BC59F2"/>
    <w:rsid w:val="00BC5EE1"/>
    <w:rsid w:val="00BD018A"/>
    <w:rsid w:val="00BD2299"/>
    <w:rsid w:val="00BD2BF1"/>
    <w:rsid w:val="00BD4B33"/>
    <w:rsid w:val="00BD5E10"/>
    <w:rsid w:val="00BE03AE"/>
    <w:rsid w:val="00BE0A60"/>
    <w:rsid w:val="00BE113B"/>
    <w:rsid w:val="00BE3B0C"/>
    <w:rsid w:val="00BE4166"/>
    <w:rsid w:val="00BE4FC7"/>
    <w:rsid w:val="00BE55EA"/>
    <w:rsid w:val="00BE68C7"/>
    <w:rsid w:val="00BE6E41"/>
    <w:rsid w:val="00BE7CB0"/>
    <w:rsid w:val="00BF1056"/>
    <w:rsid w:val="00BF4946"/>
    <w:rsid w:val="00BF5C15"/>
    <w:rsid w:val="00BF65C5"/>
    <w:rsid w:val="00C00C59"/>
    <w:rsid w:val="00C01144"/>
    <w:rsid w:val="00C04593"/>
    <w:rsid w:val="00C055D1"/>
    <w:rsid w:val="00C071A1"/>
    <w:rsid w:val="00C127D3"/>
    <w:rsid w:val="00C161EC"/>
    <w:rsid w:val="00C16D07"/>
    <w:rsid w:val="00C2010E"/>
    <w:rsid w:val="00C20CFF"/>
    <w:rsid w:val="00C218A6"/>
    <w:rsid w:val="00C24F3F"/>
    <w:rsid w:val="00C31A10"/>
    <w:rsid w:val="00C33AC1"/>
    <w:rsid w:val="00C3415F"/>
    <w:rsid w:val="00C3424F"/>
    <w:rsid w:val="00C3472F"/>
    <w:rsid w:val="00C34C89"/>
    <w:rsid w:val="00C355CA"/>
    <w:rsid w:val="00C44206"/>
    <w:rsid w:val="00C44659"/>
    <w:rsid w:val="00C45362"/>
    <w:rsid w:val="00C45569"/>
    <w:rsid w:val="00C469F6"/>
    <w:rsid w:val="00C46C72"/>
    <w:rsid w:val="00C52C71"/>
    <w:rsid w:val="00C53C94"/>
    <w:rsid w:val="00C54998"/>
    <w:rsid w:val="00C55716"/>
    <w:rsid w:val="00C57541"/>
    <w:rsid w:val="00C57C71"/>
    <w:rsid w:val="00C57FAE"/>
    <w:rsid w:val="00C60EFF"/>
    <w:rsid w:val="00C6437B"/>
    <w:rsid w:val="00C6766B"/>
    <w:rsid w:val="00C70768"/>
    <w:rsid w:val="00C71CA7"/>
    <w:rsid w:val="00C72DDD"/>
    <w:rsid w:val="00C74BA1"/>
    <w:rsid w:val="00C751CB"/>
    <w:rsid w:val="00C80B29"/>
    <w:rsid w:val="00C8356E"/>
    <w:rsid w:val="00C849F6"/>
    <w:rsid w:val="00C84E30"/>
    <w:rsid w:val="00C86F0B"/>
    <w:rsid w:val="00C901E2"/>
    <w:rsid w:val="00C90ABC"/>
    <w:rsid w:val="00C915EC"/>
    <w:rsid w:val="00C92131"/>
    <w:rsid w:val="00C96AEE"/>
    <w:rsid w:val="00C9792E"/>
    <w:rsid w:val="00CA1249"/>
    <w:rsid w:val="00CA49D7"/>
    <w:rsid w:val="00CA4C67"/>
    <w:rsid w:val="00CA7AD5"/>
    <w:rsid w:val="00CB0ADE"/>
    <w:rsid w:val="00CB0BDB"/>
    <w:rsid w:val="00CB75CF"/>
    <w:rsid w:val="00CC3CCC"/>
    <w:rsid w:val="00CC570B"/>
    <w:rsid w:val="00CC5EED"/>
    <w:rsid w:val="00CC60C6"/>
    <w:rsid w:val="00CC7EAF"/>
    <w:rsid w:val="00CD0542"/>
    <w:rsid w:val="00CD098A"/>
    <w:rsid w:val="00CD1F98"/>
    <w:rsid w:val="00CD4BCB"/>
    <w:rsid w:val="00CD6F8E"/>
    <w:rsid w:val="00CE0EA3"/>
    <w:rsid w:val="00CE10B6"/>
    <w:rsid w:val="00CE1B1C"/>
    <w:rsid w:val="00CE402A"/>
    <w:rsid w:val="00CE59F0"/>
    <w:rsid w:val="00CE5CEE"/>
    <w:rsid w:val="00CE602A"/>
    <w:rsid w:val="00CE69C6"/>
    <w:rsid w:val="00CF09BC"/>
    <w:rsid w:val="00CF3F57"/>
    <w:rsid w:val="00CF40DD"/>
    <w:rsid w:val="00CF499A"/>
    <w:rsid w:val="00CF6F72"/>
    <w:rsid w:val="00D0205A"/>
    <w:rsid w:val="00D02C10"/>
    <w:rsid w:val="00D04786"/>
    <w:rsid w:val="00D04B6A"/>
    <w:rsid w:val="00D079A2"/>
    <w:rsid w:val="00D1053A"/>
    <w:rsid w:val="00D143A6"/>
    <w:rsid w:val="00D14A4D"/>
    <w:rsid w:val="00D17DBD"/>
    <w:rsid w:val="00D200B1"/>
    <w:rsid w:val="00D21173"/>
    <w:rsid w:val="00D221DC"/>
    <w:rsid w:val="00D22FD4"/>
    <w:rsid w:val="00D233EF"/>
    <w:rsid w:val="00D238CE"/>
    <w:rsid w:val="00D26ECD"/>
    <w:rsid w:val="00D27B11"/>
    <w:rsid w:val="00D31E21"/>
    <w:rsid w:val="00D34D14"/>
    <w:rsid w:val="00D40A09"/>
    <w:rsid w:val="00D41ABC"/>
    <w:rsid w:val="00D41EE0"/>
    <w:rsid w:val="00D43001"/>
    <w:rsid w:val="00D478C8"/>
    <w:rsid w:val="00D47CF5"/>
    <w:rsid w:val="00D5023F"/>
    <w:rsid w:val="00D518D6"/>
    <w:rsid w:val="00D51B19"/>
    <w:rsid w:val="00D524ED"/>
    <w:rsid w:val="00D52CC4"/>
    <w:rsid w:val="00D546F1"/>
    <w:rsid w:val="00D56DCB"/>
    <w:rsid w:val="00D572C0"/>
    <w:rsid w:val="00D57603"/>
    <w:rsid w:val="00D600DA"/>
    <w:rsid w:val="00D6082B"/>
    <w:rsid w:val="00D61687"/>
    <w:rsid w:val="00D62888"/>
    <w:rsid w:val="00D6323E"/>
    <w:rsid w:val="00D642FE"/>
    <w:rsid w:val="00D64775"/>
    <w:rsid w:val="00D6518A"/>
    <w:rsid w:val="00D65E78"/>
    <w:rsid w:val="00D65F06"/>
    <w:rsid w:val="00D67F5B"/>
    <w:rsid w:val="00D707A7"/>
    <w:rsid w:val="00D70EF1"/>
    <w:rsid w:val="00D71FCA"/>
    <w:rsid w:val="00D72981"/>
    <w:rsid w:val="00D73303"/>
    <w:rsid w:val="00D734F8"/>
    <w:rsid w:val="00D73A93"/>
    <w:rsid w:val="00D746B6"/>
    <w:rsid w:val="00D75763"/>
    <w:rsid w:val="00D81182"/>
    <w:rsid w:val="00D81A5B"/>
    <w:rsid w:val="00D81E2E"/>
    <w:rsid w:val="00D82F45"/>
    <w:rsid w:val="00D85E14"/>
    <w:rsid w:val="00D8717C"/>
    <w:rsid w:val="00D874DC"/>
    <w:rsid w:val="00D904C4"/>
    <w:rsid w:val="00D910DC"/>
    <w:rsid w:val="00D9450C"/>
    <w:rsid w:val="00D968E8"/>
    <w:rsid w:val="00D979DB"/>
    <w:rsid w:val="00DA4899"/>
    <w:rsid w:val="00DA4C8D"/>
    <w:rsid w:val="00DB02E1"/>
    <w:rsid w:val="00DB0B99"/>
    <w:rsid w:val="00DB0C37"/>
    <w:rsid w:val="00DB1FD5"/>
    <w:rsid w:val="00DB24DF"/>
    <w:rsid w:val="00DB6901"/>
    <w:rsid w:val="00DB7639"/>
    <w:rsid w:val="00DC09E9"/>
    <w:rsid w:val="00DC1A35"/>
    <w:rsid w:val="00DC3063"/>
    <w:rsid w:val="00DC4828"/>
    <w:rsid w:val="00DC6319"/>
    <w:rsid w:val="00DC72B4"/>
    <w:rsid w:val="00DD6FC7"/>
    <w:rsid w:val="00DE27F0"/>
    <w:rsid w:val="00DE2AF5"/>
    <w:rsid w:val="00DE3070"/>
    <w:rsid w:val="00DE6321"/>
    <w:rsid w:val="00DE6A2A"/>
    <w:rsid w:val="00DE7C2F"/>
    <w:rsid w:val="00DF0C2F"/>
    <w:rsid w:val="00DF1199"/>
    <w:rsid w:val="00DF2596"/>
    <w:rsid w:val="00DF4B39"/>
    <w:rsid w:val="00DF551E"/>
    <w:rsid w:val="00DF58DF"/>
    <w:rsid w:val="00DF6659"/>
    <w:rsid w:val="00DF6FAE"/>
    <w:rsid w:val="00DF7526"/>
    <w:rsid w:val="00E01813"/>
    <w:rsid w:val="00E028BC"/>
    <w:rsid w:val="00E02F2D"/>
    <w:rsid w:val="00E07028"/>
    <w:rsid w:val="00E07E1A"/>
    <w:rsid w:val="00E07F2C"/>
    <w:rsid w:val="00E11FE4"/>
    <w:rsid w:val="00E14DE0"/>
    <w:rsid w:val="00E1627B"/>
    <w:rsid w:val="00E16731"/>
    <w:rsid w:val="00E17344"/>
    <w:rsid w:val="00E20CA4"/>
    <w:rsid w:val="00E2506A"/>
    <w:rsid w:val="00E26484"/>
    <w:rsid w:val="00E2702F"/>
    <w:rsid w:val="00E27421"/>
    <w:rsid w:val="00E3235C"/>
    <w:rsid w:val="00E342F7"/>
    <w:rsid w:val="00E34A9C"/>
    <w:rsid w:val="00E41B2F"/>
    <w:rsid w:val="00E46991"/>
    <w:rsid w:val="00E47D1C"/>
    <w:rsid w:val="00E560E2"/>
    <w:rsid w:val="00E56DF3"/>
    <w:rsid w:val="00E57EAD"/>
    <w:rsid w:val="00E613FB"/>
    <w:rsid w:val="00E61F85"/>
    <w:rsid w:val="00E621BF"/>
    <w:rsid w:val="00E66E1D"/>
    <w:rsid w:val="00E72673"/>
    <w:rsid w:val="00E74A80"/>
    <w:rsid w:val="00E75DCC"/>
    <w:rsid w:val="00E75DEE"/>
    <w:rsid w:val="00E84C3D"/>
    <w:rsid w:val="00E86696"/>
    <w:rsid w:val="00E87A9C"/>
    <w:rsid w:val="00E912B6"/>
    <w:rsid w:val="00E92130"/>
    <w:rsid w:val="00E95F3C"/>
    <w:rsid w:val="00EA0A9E"/>
    <w:rsid w:val="00EA0CA0"/>
    <w:rsid w:val="00EA1707"/>
    <w:rsid w:val="00EA2F7B"/>
    <w:rsid w:val="00EA2FA4"/>
    <w:rsid w:val="00EA3B7C"/>
    <w:rsid w:val="00EA6137"/>
    <w:rsid w:val="00EA67DF"/>
    <w:rsid w:val="00EA776E"/>
    <w:rsid w:val="00EB03E4"/>
    <w:rsid w:val="00EB1FF0"/>
    <w:rsid w:val="00EB2057"/>
    <w:rsid w:val="00EB3CAD"/>
    <w:rsid w:val="00EB4F97"/>
    <w:rsid w:val="00EB5E56"/>
    <w:rsid w:val="00EB7271"/>
    <w:rsid w:val="00EB77FB"/>
    <w:rsid w:val="00EB7AE1"/>
    <w:rsid w:val="00EB7BC6"/>
    <w:rsid w:val="00EC024C"/>
    <w:rsid w:val="00EC0439"/>
    <w:rsid w:val="00EC11D5"/>
    <w:rsid w:val="00EC4C43"/>
    <w:rsid w:val="00ED0153"/>
    <w:rsid w:val="00ED11B4"/>
    <w:rsid w:val="00ED214C"/>
    <w:rsid w:val="00ED2C1B"/>
    <w:rsid w:val="00ED2CB2"/>
    <w:rsid w:val="00ED54A3"/>
    <w:rsid w:val="00ED5900"/>
    <w:rsid w:val="00ED66F7"/>
    <w:rsid w:val="00ED6944"/>
    <w:rsid w:val="00EE0471"/>
    <w:rsid w:val="00EE1463"/>
    <w:rsid w:val="00EE168C"/>
    <w:rsid w:val="00EE49A4"/>
    <w:rsid w:val="00EE5514"/>
    <w:rsid w:val="00EE6C9C"/>
    <w:rsid w:val="00EF0A8C"/>
    <w:rsid w:val="00EF17CB"/>
    <w:rsid w:val="00EF1B88"/>
    <w:rsid w:val="00EF54E4"/>
    <w:rsid w:val="00F02BE4"/>
    <w:rsid w:val="00F0303A"/>
    <w:rsid w:val="00F03B21"/>
    <w:rsid w:val="00F0450C"/>
    <w:rsid w:val="00F04882"/>
    <w:rsid w:val="00F04B91"/>
    <w:rsid w:val="00F04E69"/>
    <w:rsid w:val="00F07242"/>
    <w:rsid w:val="00F07E08"/>
    <w:rsid w:val="00F07E5A"/>
    <w:rsid w:val="00F1013B"/>
    <w:rsid w:val="00F11272"/>
    <w:rsid w:val="00F12DCF"/>
    <w:rsid w:val="00F14637"/>
    <w:rsid w:val="00F149F2"/>
    <w:rsid w:val="00F14A82"/>
    <w:rsid w:val="00F14BD8"/>
    <w:rsid w:val="00F14FD4"/>
    <w:rsid w:val="00F166F8"/>
    <w:rsid w:val="00F179C7"/>
    <w:rsid w:val="00F17FC4"/>
    <w:rsid w:val="00F20B6D"/>
    <w:rsid w:val="00F20E8C"/>
    <w:rsid w:val="00F23251"/>
    <w:rsid w:val="00F2517D"/>
    <w:rsid w:val="00F30983"/>
    <w:rsid w:val="00F30DD8"/>
    <w:rsid w:val="00F31A23"/>
    <w:rsid w:val="00F33804"/>
    <w:rsid w:val="00F3432F"/>
    <w:rsid w:val="00F357B2"/>
    <w:rsid w:val="00F36463"/>
    <w:rsid w:val="00F37B6C"/>
    <w:rsid w:val="00F416AE"/>
    <w:rsid w:val="00F417EF"/>
    <w:rsid w:val="00F432AD"/>
    <w:rsid w:val="00F44B4B"/>
    <w:rsid w:val="00F50509"/>
    <w:rsid w:val="00F51CFF"/>
    <w:rsid w:val="00F52BDA"/>
    <w:rsid w:val="00F5465D"/>
    <w:rsid w:val="00F56B71"/>
    <w:rsid w:val="00F56D3B"/>
    <w:rsid w:val="00F57AF4"/>
    <w:rsid w:val="00F61006"/>
    <w:rsid w:val="00F628EC"/>
    <w:rsid w:val="00F65405"/>
    <w:rsid w:val="00F65F01"/>
    <w:rsid w:val="00F66394"/>
    <w:rsid w:val="00F66AD3"/>
    <w:rsid w:val="00F66B81"/>
    <w:rsid w:val="00F67283"/>
    <w:rsid w:val="00F70DBD"/>
    <w:rsid w:val="00F71164"/>
    <w:rsid w:val="00F7126E"/>
    <w:rsid w:val="00F722B9"/>
    <w:rsid w:val="00F722BB"/>
    <w:rsid w:val="00F72348"/>
    <w:rsid w:val="00F72FC8"/>
    <w:rsid w:val="00F732F9"/>
    <w:rsid w:val="00F73394"/>
    <w:rsid w:val="00F73CD6"/>
    <w:rsid w:val="00F74580"/>
    <w:rsid w:val="00F7616C"/>
    <w:rsid w:val="00F76513"/>
    <w:rsid w:val="00F7716E"/>
    <w:rsid w:val="00F77E8E"/>
    <w:rsid w:val="00F81B79"/>
    <w:rsid w:val="00F85C33"/>
    <w:rsid w:val="00F9103B"/>
    <w:rsid w:val="00F914E9"/>
    <w:rsid w:val="00F91991"/>
    <w:rsid w:val="00F9303E"/>
    <w:rsid w:val="00F9340C"/>
    <w:rsid w:val="00F93504"/>
    <w:rsid w:val="00F93C13"/>
    <w:rsid w:val="00F97477"/>
    <w:rsid w:val="00FA09B8"/>
    <w:rsid w:val="00FA22E6"/>
    <w:rsid w:val="00FA40BC"/>
    <w:rsid w:val="00FA4329"/>
    <w:rsid w:val="00FA4627"/>
    <w:rsid w:val="00FA4A1B"/>
    <w:rsid w:val="00FA53F1"/>
    <w:rsid w:val="00FA5849"/>
    <w:rsid w:val="00FA7E58"/>
    <w:rsid w:val="00FB1BE5"/>
    <w:rsid w:val="00FB2184"/>
    <w:rsid w:val="00FB44CF"/>
    <w:rsid w:val="00FB48A0"/>
    <w:rsid w:val="00FB48E7"/>
    <w:rsid w:val="00FB62CE"/>
    <w:rsid w:val="00FB732E"/>
    <w:rsid w:val="00FC26B6"/>
    <w:rsid w:val="00FC3188"/>
    <w:rsid w:val="00FC4265"/>
    <w:rsid w:val="00FC528D"/>
    <w:rsid w:val="00FC5E40"/>
    <w:rsid w:val="00FC638D"/>
    <w:rsid w:val="00FD154D"/>
    <w:rsid w:val="00FD5AD2"/>
    <w:rsid w:val="00FD5E90"/>
    <w:rsid w:val="00FD64CA"/>
    <w:rsid w:val="00FD76F5"/>
    <w:rsid w:val="00FE013C"/>
    <w:rsid w:val="00FE141F"/>
    <w:rsid w:val="00FE2248"/>
    <w:rsid w:val="00FE61B7"/>
    <w:rsid w:val="00FE6ADF"/>
    <w:rsid w:val="00FE7955"/>
    <w:rsid w:val="00FE7DCC"/>
    <w:rsid w:val="00FF0674"/>
    <w:rsid w:val="00FF0DBE"/>
    <w:rsid w:val="00FF26BE"/>
    <w:rsid w:val="00FF34AA"/>
    <w:rsid w:val="00FF5DCC"/>
    <w:rsid w:val="00FF620A"/>
    <w:rsid w:val="00FF659B"/>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74"/>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 w:type="character" w:customStyle="1" w:styleId="xxxjie0">
    <w:name w:val="___xxxjie0"/>
    <w:basedOn w:val="DefaultParagraphFont"/>
    <w:rsid w:val="00CE0EA3"/>
  </w:style>
  <w:style w:type="character" w:styleId="Strong">
    <w:name w:val="Strong"/>
    <w:basedOn w:val="DefaultParagraphFont"/>
    <w:uiPriority w:val="22"/>
    <w:qFormat/>
    <w:rsid w:val="00CE0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hyperlink" Target="https://www.caiso.com/"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hyperlink" Target="mailto:Hamed.Aly@dal.ca" TargetMode="Externa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3.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8264</TotalTime>
  <Pages>82</Pages>
  <Words>101297</Words>
  <Characters>577393</Characters>
  <Application>Microsoft Office Word</Application>
  <DocSecurity>0</DocSecurity>
  <Lines>4811</Lines>
  <Paragraphs>1354</Paragraphs>
  <ScaleCrop>false</ScaleCrop>
  <Company/>
  <LinksUpToDate>false</LinksUpToDate>
  <CharactersWithSpaces>677336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Mahmoud Kiasari</cp:lastModifiedBy>
  <cp:revision>458</cp:revision>
  <cp:lastPrinted>2026-06-17T16:15:00Z</cp:lastPrinted>
  <dcterms:created xsi:type="dcterms:W3CDTF">2026-06-17T16:15:00Z</dcterms:created>
  <dcterms:modified xsi:type="dcterms:W3CDTF">2026-09-05T00:59:00Z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zotero-version="9.0.6"&gt;&lt;session id="yOsC0jWT"/&gt;&lt;style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y fmtid="{D5CDD505-2E9C-101B-9397-08002B2CF9AE}" pid="77" name="MSIP_Label_7bda8df4-51d0-4f38-b084-f675c868fb89_Enabled">
    <vt:lpwstr>true</vt:lpwstr>
  </property>
  <property fmtid="{D5CDD505-2E9C-101B-9397-08002B2CF9AE}" pid="78" name="MSIP_Label_7bda8df4-51d0-4f38-b084-f675c868fb89_SetDate">
    <vt:lpwstr>2026-09-02T10:43:53Z</vt:lpwstr>
  </property>
  <property fmtid="{D5CDD505-2E9C-101B-9397-08002B2CF9AE}" pid="79" name="MSIP_Label_7bda8df4-51d0-4f38-b084-f675c868fb89_Method">
    <vt:lpwstr>Standard</vt:lpwstr>
  </property>
  <property fmtid="{D5CDD505-2E9C-101B-9397-08002B2CF9AE}" pid="80" name="MSIP_Label_7bda8df4-51d0-4f38-b084-f675c868fb89_Name">
    <vt:lpwstr>IPP - Internal Use Only</vt:lpwstr>
  </property>
  <property fmtid="{D5CDD505-2E9C-101B-9397-08002B2CF9AE}" pid="81" name="MSIP_Label_7bda8df4-51d0-4f38-b084-f675c868fb89_SiteId">
    <vt:lpwstr>e10aa4b9-b4bd-43c3-a9d6-29280fe1d5f9</vt:lpwstr>
  </property>
  <property fmtid="{D5CDD505-2E9C-101B-9397-08002B2CF9AE}" pid="82" name="MSIP_Label_7bda8df4-51d0-4f38-b084-f675c868fb89_ActionId">
    <vt:lpwstr>35d19138-c927-498d-b337-4450e2fb528e</vt:lpwstr>
  </property>
  <property fmtid="{D5CDD505-2E9C-101B-9397-08002B2CF9AE}" pid="83" name="MSIP_Label_7bda8df4-51d0-4f38-b084-f675c868fb89_ContentBits">
    <vt:lpwstr>0</vt:lpwstr>
  </property>
  <property fmtid="{D5CDD505-2E9C-101B-9397-08002B2CF9AE}" pid="84" name="MSIP_Label_7bda8df4-51d0-4f38-b084-f675c868fb89_Tag">
    <vt:lpwstr>10, 3, 0, 1</vt:lpwstr>
  </property>
</Properties>
</file>