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8"/>
        </w:rPr>
        <w:t>Response to Reviewer</w:t>
      </w:r>
    </w:p>
    <w:p/>
    <w:p>
      <w:pPr>
        <w:jc w:val="center"/>
      </w:pPr>
      <w:r>
        <w:rPr>
          <w:b/>
          <w:i w:val="0"/>
        </w:rPr>
        <w:t>Manuscript title:</w:t>
      </w:r>
    </w:p>
    <w:p>
      <w:pPr>
        <w:jc w:val="center"/>
      </w:pPr>
      <w:r>
        <w:rPr>
          <w:b w:val="0"/>
          <w:i/>
        </w:rPr>
        <w:t>Energy Infrastructure for AI Data Centers: A Critical Review of Grid Integration, Techno-Economic Challenges, and Future Pathways</w:t>
      </w:r>
    </w:p>
    <w:p/>
    <w:p>
      <w:pPr>
        <w:jc w:val="center"/>
      </w:pPr>
      <w:r>
        <w:rPr>
          <w:b/>
          <w:i w:val="0"/>
        </w:rPr>
        <w:t>Authors:</w:t>
      </w:r>
    </w:p>
    <w:p>
      <w:pPr>
        <w:jc w:val="center"/>
      </w:pPr>
      <w:r>
        <w:rPr>
          <w:b w:val="0"/>
          <w:i w:val="0"/>
        </w:rPr>
        <w:t>Mahmoud Kiasari, Hamed Aly</w:t>
      </w:r>
    </w:p>
    <w:p/>
    <w:p>
      <w:pPr>
        <w:jc w:val="center"/>
      </w:pPr>
      <w:r>
        <w:rPr>
          <w:b/>
          <w:i w:val="0"/>
        </w:rPr>
        <w:t>Affiliation:</w:t>
      </w:r>
    </w:p>
    <w:p>
      <w:pPr>
        <w:jc w:val="center"/>
      </w:pPr>
      <w:r>
        <w:rPr>
          <w:b w:val="0"/>
          <w:i w:val="0"/>
        </w:rPr>
        <w:t>Smart Grid and Green Power Research Lab, ECE Dept., Dalhousie University, Halifax, NS, Canada</w:t>
      </w:r>
    </w:p>
    <w:p/>
    <w:p>
      <w:pPr>
        <w:jc w:val="center"/>
      </w:pPr>
      <w:r>
        <w:rPr>
          <w:b/>
          <w:i w:val="0"/>
        </w:rPr>
        <w:t>Date:</w:t>
      </w:r>
    </w:p>
    <w:p>
      <w:pPr>
        <w:jc w:val="center"/>
      </w:pPr>
      <w:r>
        <w:rPr>
          <w:b w:val="0"/>
          <w:i w:val="0"/>
        </w:rPr>
        <w:t>September 4, 2026</w:t>
      </w:r>
    </w:p>
    <w:p/>
    <w:p>
      <w:pPr>
        <w:jc w:val="center"/>
      </w:pPr>
      <w:r>
        <w:rPr>
          <w:b/>
          <w:i w:val="0"/>
        </w:rPr>
        <w:t>Target journal:</w:t>
      </w:r>
    </w:p>
    <w:p>
      <w:pPr>
        <w:jc w:val="center"/>
      </w:pPr>
      <w:r>
        <w:rPr>
          <w:b w:val="0"/>
          <w:i/>
        </w:rPr>
        <w:t>Journal name to be specified by editorial office (Elsevier journal — Renewable &amp; Sustainable Energy Reviews / Applied Energy / Energy)</w:t>
      </w:r>
    </w:p>
    <w:p/>
    <w:p>
      <w:pPr>
        <w:jc w:val="center"/>
      </w:pPr>
      <w:r>
        <w:rPr>
          <w:b/>
          <w:i w:val="0"/>
        </w:rPr>
        <w:t>Reviewer addressed: Reviewer #2</w:t>
      </w:r>
    </w:p>
    <w:p>
      <w:r>
        <w:br w:type="page"/>
      </w:r>
    </w:p>
    <w:p>
      <w:pPr>
        <w:pStyle w:val="Heading1"/>
      </w:pPr>
      <w:r>
        <w:t>1. General Response</w:t>
      </w:r>
    </w:p>
    <w:p>
      <w:r>
        <w:t>We thank Reviewer #2 for the detailed and constructive evaluation of our manuscript. The reviewer's comments have materially improved the rigour, consistency, and transparency of the work, and we have revised the manuscript substantially in response. The revised manuscript has grown from approximately 27,200 words to approximately 31,600 words and from 185 references to 190 references, with new content covering review methodology, limitations, declarations, and notation. We summarise the major categories of change before turning to the point-by-point response. First, a PRISMA 2020 review methodology has been added in Section 1.6 (with the search protocol, databases, date window, eligibility criteria, screening counts, and a PRISMA 2020 flow diagram as Figure 2); the protocol follows the PRISMA 2020 statement [R1]. Second, all headline numerical claims that were not supported by cited sources have been removed, and the remaining cost and reliability numbers have been reconciled to a single set drawn from IRENA, BloombergNEF (BNEF) [R2], Lazard [R3], IRENA [R4], Goldman Sachs [R5], EPRI [R6], IEA [R7], Uptime Institute [R8], LevelTen Energy [R9], and NREL [R10]. Third, Equations (1) and (2) have been rewritten so that Equation (1) is a proper maximum over discrete renewable-deficit events and Equation (2) returns LOLE in hours per year rather than a probability; the load term has also been renamed P_crit and explicitly defined as the critical, non-deferrable facility load. Fourth, capacity (USD/MW-day) and energy (USD/MWh) price components have been separated throughout, with PJM Base Residual Auction clearing prices quoted in USD/MW-day and PJM load-weighted LMPs in USD/MWh. Fifth, a single real WACC of 7.5% is now used uniformly across every LCOE, NPV, IRR, and payback reference, with a 5–12% real range retained for sensitivity analysis. Sixth, all original modelling outputs not supported by cited sources — the 720 MWh deterministic baseline, the &gt;90% storage-reduction claim, the Pareto-frontier figure, and the USD 500,000/h downtime figure — have been removed and replaced with sourced, literature-based benchmarks or explicit disclaimers. Seventh, the journal-required declarations (CRediT author contribution statement, declaration of competing interest, funding statement, data availability statement, declaration on the use of generative AI, and highlights) have been added before the reference list, together with a Nomenclature/Abbreviations section. Eighth, the Limitations section (Section 13) has been expanded across five subsections. Ninth, Critical Appraisal paragraphs have been added to balance the promise of the title and to surface where the evidence is weak or where studies disagree. Tenth, the reference list has been standardised to Elsevier numbered style, with duplicate entries removed and missing volume, issue, and page data supplied where required. Where a comment was already addressed in the previous revision cycle, we state this and quote the relevant revised text; where further changes are made in this round, we describe them and quote the new text.</w:t>
      </w:r>
    </w:p>
    <w:p/>
    <w:p>
      <w:pPr>
        <w:pStyle w:val="Heading1"/>
      </w:pPr>
      <w:r>
        <w:t>2. Point-by-Point Response</w:t>
      </w:r>
    </w:p>
    <w:p>
      <w:r>
        <w:t>We address each of the reviewer's 29 comments in turn. Verbatim reviewer comment text is italicised. Quotations from the revised manuscript are also italicised and indented; numerical corrections are shown explicitly.</w:t>
      </w:r>
    </w:p>
    <w:p>
      <w:pPr>
        <w:pStyle w:val="Heading2"/>
      </w:pPr>
      <w:r>
        <w:t>Comment 2.1: Review Methodology (PRISMA)</w:t>
      </w:r>
    </w:p>
    <w:p>
      <w:r>
        <w:rPr>
          <w:b/>
        </w:rPr>
        <w:t xml:space="preserve">Reviewer 2.1: </w:t>
      </w:r>
      <w:r>
        <w:rPr>
          <w:i/>
        </w:rPr>
        <w:t>No review methodology is reported. Please add a PRISMA-style methodology with the databases searched, the search strings used, the date window, the inclusion and exclusion criteria, the screening counts (n identified, n screened, n excluded with reasons, n included), and a PRISMA flow diagram.</w:t>
      </w:r>
    </w:p>
    <w:p>
      <w:r>
        <w:rPr>
          <w:b/>
        </w:rPr>
        <w:t>Response:</w:t>
      </w:r>
    </w:p>
    <w:p>
      <w:r>
        <w:t>We agree that an explicit review methodology is essential for a critical review. A new Section 1.6 'Review Methodology' has been added to the revised manuscript with subsections 1.6.1 'Evidence Selection', 1.6.2 'Eligibility Criteria', and 1.6.3 'Screening and Selection Process', together with a new PRISMA 2020 flow diagram (Figure 2). The methodology follows the PRISMA 2020 statement [R1] and the PRISMA 2020 flow diagram template [R13].</w:t>
      </w:r>
    </w:p>
    <w:p>
      <w:r>
        <w:t>The revised Section 1.6.1 reads as follows:</w:t>
      </w:r>
    </w:p>
    <w:p>
      <w:pPr>
        <w:spacing w:before="60" w:after="120"/>
        <w:ind w:left="283"/>
      </w:pPr>
      <w:r>
        <w:rPr>
          <w:i/>
        </w:rPr>
        <w:t>The literature review drew upon a combination of peer-reviewed publications, technical standards, agency reports, and industry sources. Major bibliographic databases included Scopus, Web of Science Core Collection, IEEE Xplore, ScienceDirect, and Google Scholar. Additional information was obtained from publicly available publications issued by organizations such as the International Energy Agency (IEA), International Renewable Energy Agency (IRENA), National Renewable Energy Laboratory (NREL), BloombergNEF (BNEF), the Uptime Institute, and relevant regulatory and standards organizations. The primary review window covered publications released between 2015 and 2026. Earlier references were retained only when they described foundational methodologies, standards, or widely adopted engineering practices that remain relevant to current power-system and data-center applications.</w:t>
      </w:r>
    </w:p>
    <w:p>
      <w:r>
        <w:t xml:space="preserve">In this round, we further strengthened Section 1.6 by adding (a) an explicit Boolean search string used in Scopus, Web of Science, IEEE Xplore, and ScienceDirect, namely: </w:t>
      </w:r>
    </w:p>
    <w:p>
      <w:pPr>
        <w:spacing w:before="60" w:after="120"/>
        <w:ind w:left="283"/>
      </w:pPr>
      <w:r>
        <w:rPr>
          <w:i/>
        </w:rPr>
        <w:t>(“data center” OR “data centre” OR “hyperscale” OR “AI workload”) AND (“renewable energy” OR “solar” OR “wind” OR “battery storage” OR “microgrid”) AND (“grid integration” OR “LCOE” OR “energy storage sizing” OR “carbon-free energy” OR “workload flexibility”)</w:t>
      </w:r>
    </w:p>
    <w:p>
      <w:r>
        <w:t>(b) An explicit inclusion/exclusion list:</w:t>
      </w:r>
    </w:p>
    <w:p>
      <w:pPr>
        <w:spacing w:before="60" w:after="120"/>
        <w:ind w:left="283"/>
      </w:pPr>
      <w:r>
        <w:rPr>
          <w:i/>
        </w:rPr>
        <w:t>Inclusion: (i) English-language publications between 2015 and 2026 addressing electrical infrastructure, renewable-energy integration, energy storage, or economic assessment of AI data centers; (ii) standards and regulatory documents of any date still in active use (e.g., IEEE 519, IEEE 1366, NFPA 110); (iii) corporate sustainability and market reports disclosing primary data. Exclusion: (i) studies limited to general-purpose data centers without AI workloads or renewable integration; (ii) blog posts and marketing material without primary data; (iii) duplicate reports of the same primary dataset.</w:t>
      </w:r>
    </w:p>
    <w:p>
      <w:r>
        <w:t>(c) Explicit screening counts: from 814 records identified across the five databases, 715 records were retained after automated and manual deduplication; 612 were screened against the inclusion/exclusion criteria; 247 were excluded with reasons (off-topic 132, no primary data 71, language other than English 44); 365 were assessed for eligibility in full text; 180 were excluded at this stage (insufficient methodological detail 103, superseded by a more recent source 47, out-of-scope 30); 185 sources were finally included. These counts are now reflected in Figure 2 and are consistent with the abstract, which states that 'this review ... analyzes 185 journal articles, conference papers, standards, agency reports, and industry sources examined between 2015 and 2026'.</w:t>
      </w:r>
    </w:p>
    <w:p>
      <w:r>
        <w:t>We also removed a residual editing note that had remained in Section 1.6.3 from a previous draft ('REMAKE THIS DIAGRAM THAT IS BASED ON NEW 1.6 SECTION!').</w:t>
      </w:r>
    </w:p>
    <w:p>
      <w:pPr>
        <w:spacing w:after="120"/>
      </w:pPr>
      <w:r>
        <w:rPr>
          <w:b/>
        </w:rPr>
        <w:t xml:space="preserve">Location in revised manuscript: </w:t>
      </w:r>
      <w:r>
        <w:rPr>
          <w:i/>
        </w:rPr>
        <w:t>Section 1.6 and Section 1.6.1–1.6.3; Figure 2 (PRISMA 2020 flow diagram); Abstract (line 1).</w:t>
      </w:r>
    </w:p>
    <w:p>
      <w:pPr>
        <w:spacing w:before="120" w:after="240"/>
        <w:jc w:val="center"/>
      </w:pPr>
      <w:r>
        <w:rPr>
          <w:color w:val="808080"/>
          <w:sz w:val="20"/>
        </w:rPr>
        <w:t>— — — — — — — — — — — — — — — — — — — — — — — —</w:t>
      </w:r>
    </w:p>
    <w:p>
      <w:pPr>
        <w:pStyle w:val="Heading2"/>
      </w:pPr>
      <w:r>
        <w:t>Comment 2.2: Inconsistent source counts (185 vs 160 vs 185 entries of mixed type)</w:t>
      </w:r>
    </w:p>
    <w:p>
      <w:r>
        <w:rPr>
          <w:b/>
        </w:rPr>
        <w:t xml:space="preserve">Reviewer 2.2: </w:t>
      </w:r>
      <w:r>
        <w:rPr>
          <w:i/>
        </w:rPr>
        <w:t>The source count is inconsistent: the abstract reports 185 sources, Section 2 reports 160, and the reference list contains 185 entries of mixed type. Please give the true breakdown by source type and make the counts consistent throughout the manuscript.</w:t>
      </w:r>
    </w:p>
    <w:p>
      <w:r>
        <w:rPr>
          <w:b/>
        </w:rPr>
        <w:t>Response:</w:t>
      </w:r>
    </w:p>
    <w:p>
      <w:r>
        <w:t>We apologise for the inconsistency in the original submission. The revised manuscript has been reconciled to a single set of counts. The abstract now reads:</w:t>
      </w:r>
    </w:p>
    <w:p>
      <w:pPr>
        <w:spacing w:before="60" w:after="120"/>
        <w:ind w:left="283"/>
      </w:pPr>
      <w:r>
        <w:rPr>
          <w:i/>
        </w:rPr>
        <w:t>This review, which follows the PRISMA 2020 reporting framework, analyzes 185 journal articles, conference papers, standards, agency reports, and industry sources examined between 2015 and 2026.</w:t>
      </w:r>
    </w:p>
    <w:p>
      <w:r>
        <w:t>The opening paragraph of Section 2 (Literature Review and State-of-the-Art) now gives the breakdown by source type:</w:t>
      </w:r>
    </w:p>
    <w:p>
      <w:pPr>
        <w:spacing w:before="60" w:after="120"/>
        <w:ind w:left="283"/>
      </w:pPr>
      <w:r>
        <w:rPr>
          <w:i/>
        </w:rPr>
        <w:t>The synthesis draws on 185 sources retained after the PRISMA screening process described in Section 1.6, including 92 peer-reviewed journal articles, 21 conference papers, 14 standards and patents, 38 agency and institutional reports, and 20 corporate and grey-literature sources published between 2015 and 2026.</w:t>
      </w:r>
    </w:p>
    <w:p>
      <w:r>
        <w:t>The arithmetic is internally consistent: 92 + 21 + 14 + 38 + 20 = 185. The earlier 'over 160 sources' wording has been removed; the reference list has been renumbered consecutively and now contains 190 entries (see Comment 2.28 for the reference-style standardisation). A duplicate entry — reference [58], which was identical to reference [39] (Gülen et al., 'Assessing Economic Costs of Two Reliable Generation Mix Scenarios in the ERCOT System,' Energies 19(9):2195, May 2026) — has been removed in this round and the list renumbered accordingly (see Comment 2.14).</w:t>
      </w:r>
    </w:p>
    <w:p>
      <w:pPr>
        <w:spacing w:after="120"/>
      </w:pPr>
      <w:r>
        <w:rPr>
          <w:b/>
        </w:rPr>
        <w:t xml:space="preserve">Location in revised manuscript: </w:t>
      </w:r>
      <w:r>
        <w:rPr>
          <w:i/>
        </w:rPr>
        <w:t>Abstract; Section 2 opening paragraph; reference list.</w:t>
      </w:r>
    </w:p>
    <w:p>
      <w:pPr>
        <w:spacing w:before="120" w:after="240"/>
        <w:jc w:val="center"/>
      </w:pPr>
      <w:r>
        <w:rPr>
          <w:color w:val="808080"/>
          <w:sz w:val="20"/>
        </w:rPr>
        <w:t>— — — — — — — — — — — — — — — — — — — — — — — —</w:t>
      </w:r>
    </w:p>
    <w:p>
      <w:pPr>
        <w:pStyle w:val="Heading2"/>
      </w:pPr>
      <w:r>
        <w:t>Comment 2.3: Original modelling results with no model description</w:t>
      </w:r>
    </w:p>
    <w:p>
      <w:r>
        <w:rPr>
          <w:b/>
        </w:rPr>
        <w:t xml:space="preserve">Reviewer 2.3: </w:t>
      </w:r>
      <w:r>
        <w:rPr>
          <w:i/>
        </w:rPr>
        <w:t>Sections 5.3, 7.3, 10.1, 10.2, and 10.4 present original modelling results (e.g., the 720 MWh deterministic baseline, the &gt;90% storage-reduction claim, the Pareto-frontier figure, the payback ranges) but no model is documented. Please either document the model in an appendix with a data availability statement, or replace these outputs with sourced published values.</w:t>
      </w:r>
    </w:p>
    <w:p>
      <w:r>
        <w:rPr>
          <w:b/>
        </w:rPr>
        <w:t>Response:</w:t>
      </w:r>
    </w:p>
    <w:p>
      <w:r>
        <w:t>The reviewer's concern is well placed. We have removed all original modelling outputs from the revised manuscript and replaced them with literature-based benchmarks. Section 5.3 now closes with the explicit disclaimer:</w:t>
      </w:r>
    </w:p>
    <w:p>
      <w:pPr>
        <w:spacing w:before="60" w:after="120"/>
        <w:ind w:left="283"/>
      </w:pPr>
      <w:r>
        <w:rPr>
          <w:i/>
        </w:rPr>
        <w:t>Deterministic, probabilistic, and optimization-based approaches serve different planning purposes. Deterministic sizing estimates storage requirements under specified deficit conditions and may be appropriate where conservative margins are required. Probabilistic methods quantify supply inadequacy against a stated reliability criterion, while optimization-based methods jointly consider capital cost, operating cost, emissions, and physical constraints. Each approach requires transparent input data, assumptions, formulation, time resolution, solver information where applicable, and validation procedures. This review does not claim a universal storage reduction or a site-specific Pareto-optimal configuration.</w:t>
      </w:r>
    </w:p>
    <w:p>
      <w:r>
        <w:t>Section 7.3 now states: 'The framework does not specify an optimum configuration in general,' and adds, 'If an optimization model is used, the model, data, solver, time resolution, model assumptions and the output of the model should be documented.' The previous Pareto-frontier figure (original Fig. 7) has been removed; the replacement Figure 8 (Technology-mix Selection Framework) is now explicitly described as a conceptual diagram: 'The number is not a result from a site specific optimization model.' Section 10.1 (capital cost analysis) now cites IRENA 2024 total installed costs of USD 691/kW (solar PV) and USD 1,041/kW (onshore wind), with BESS installed cost of USD 192/kWh [R4]; Section 10.2 (electricity-cost comparison) now cites IRENA 2024 weighted-average LCOEs of USD 43/MWh (solar PV) and USD 34/MWh (onshore wind) and reports no PJM/CAISO/ERCOT 'grid-only LCOEs'; Section 10.4 states explicitly that 'a real WACC of 7.5% may be used as an illustrative screening assumption' rather than as a project-specific finding. No payback ranges are reported in the abstract or body text. A Data Availability statement has also been added (see Comment 2.28).</w:t>
      </w:r>
    </w:p>
    <w:p>
      <w:pPr>
        <w:spacing w:after="120"/>
      </w:pPr>
      <w:r>
        <w:rPr>
          <w:b/>
        </w:rPr>
        <w:t xml:space="preserve">Location in revised manuscript: </w:t>
      </w:r>
      <w:r>
        <w:rPr>
          <w:i/>
        </w:rPr>
        <w:t>Sections 5.3, 7.3, 10.1, 10.2, 10.4; Figure 8 caption; Data Availability statement.</w:t>
      </w:r>
    </w:p>
    <w:p>
      <w:pPr>
        <w:spacing w:before="120" w:after="240"/>
        <w:jc w:val="center"/>
      </w:pPr>
      <w:r>
        <w:rPr>
          <w:color w:val="808080"/>
          <w:sz w:val="20"/>
        </w:rPr>
        <w:t>— — — — — — — — — — — — — — — — — — — — — — — —</w:t>
      </w:r>
    </w:p>
    <w:p>
      <w:pPr>
        <w:pStyle w:val="Heading2"/>
      </w:pPr>
      <w:r>
        <w:t>Comment 2.4: Equation (2) is dimensionally inconsistent</w:t>
      </w:r>
    </w:p>
    <w:p>
      <w:r>
        <w:rPr>
          <w:b/>
        </w:rPr>
        <w:t xml:space="preserve">Reviewer 2.4: </w:t>
      </w:r>
      <w:r>
        <w:rPr>
          <w:i/>
        </w:rPr>
        <w:t>LOLE is defined as hours per year, but the equation divides the indicator sum by 8760, returning a probability rather than an expectation in hours. Please either remove the factor of 8760 or relabel the metric as LOLP (loss-of-load probability).</w:t>
      </w:r>
    </w:p>
    <w:p>
      <w:r>
        <w:rPr>
          <w:b/>
        </w:rPr>
        <w:t>Response:</w:t>
      </w:r>
    </w:p>
    <w:p>
      <w:r>
        <w:t>The reviewer is correct, and we thank them for spotting this. The revised Equation (2) no longer divides by 8760 and is now dimensionally correct. The OMML extracted from the revised manuscript reads:</w:t>
      </w:r>
    </w:p>
    <w:p>
      <w:pPr>
        <w:spacing w:before="60" w:after="120"/>
        <w:ind w:left="283"/>
      </w:pPr>
      <w:r>
        <w:rPr>
          <w:i/>
        </w:rPr>
        <w:t>LOLE_{EB} = Σ_{t=1}^{T} 1[P_{avail,t}^{EB} &lt; P_{crit,t}] Δt</w:t>
      </w:r>
    </w:p>
    <w:p>
      <w:r>
        <w:t>Here LOLE_{EB} is in hours per year, 1[·] is the indicator function (1 if the bracketed condition holds at time t and 0 otherwise), Δt is the simulation interval in hours, and T is the total number of simulation intervals. For an hourly simulation, Δt = 1 h and the summation therefore returns the expected number of hours per assessment period during which the available power is below the critical load. The previous factor of 1/8760 — which would have transformed the sum into a probability (LOLP) — has been removed. The accompanying text now defines LOLE explicitly as 'the expected duration of supply shortfalls over the assessment period', and the constraint imposed by the framework is written as 'LOLE ≤ 0.876 h/year' (Equation (17) in the revised manuscript), which is dimensionally consistent with the corrected Equation (2).</w:t>
      </w:r>
    </w:p>
    <w:p>
      <w:pPr>
        <w:spacing w:after="120"/>
      </w:pPr>
      <w:r>
        <w:rPr>
          <w:b/>
        </w:rPr>
        <w:t xml:space="preserve">Location in revised manuscript: </w:t>
      </w:r>
      <w:r>
        <w:rPr>
          <w:i/>
        </w:rPr>
        <w:t>Equation (2); surrounding text in Section 5.3; Equation (17) (LOLE ≤ 0.876 h/year constraint).</w:t>
      </w:r>
    </w:p>
    <w:p>
      <w:pPr>
        <w:spacing w:before="120" w:after="240"/>
        <w:jc w:val="center"/>
      </w:pPr>
      <w:r>
        <w:rPr>
          <w:color w:val="808080"/>
          <w:sz w:val="20"/>
        </w:rPr>
        <w:t>— — — — — — — — — — — — — — — — — — — — — — — —</w:t>
      </w:r>
    </w:p>
    <w:p>
      <w:pPr>
        <w:pStyle w:val="Heading2"/>
      </w:pPr>
      <w:r>
        <w:t>Comment 2.5: Equation (1) mixes index sets</w:t>
      </w:r>
    </w:p>
    <w:p>
      <w:r>
        <w:rPr>
          <w:b/>
        </w:rPr>
        <w:t xml:space="preserve">Reviewer 2.5: </w:t>
      </w:r>
      <w:r>
        <w:rPr>
          <w:i/>
        </w:rPr>
        <w:t>Equation (1) uses τ as the duration but the maximum runs over 1 to n, where n is the count of drought events — i.e., the max is over events, while the index inside the sum is a duration index. Please rewrite as a maximum over events, and state whether P_load is the full facility load or only the critical non-deferrable load.</w:t>
      </w:r>
    </w:p>
    <w:p>
      <w:r>
        <w:rPr>
          <w:b/>
        </w:rPr>
        <w:t>Response:</w:t>
      </w:r>
    </w:p>
    <w:p>
      <w:r>
        <w:t>We agree. The revised Equation (1) is now a proper maximum over discrete renewable-generation deficit events, with the sum taken over the time intervals that fall within each event. The OMML extracted from the revised manuscript reads:</w:t>
      </w:r>
    </w:p>
    <w:p>
      <w:pPr>
        <w:spacing w:before="60" w:after="120"/>
        <w:ind w:left="283"/>
      </w:pPr>
      <w:r>
        <w:rPr>
          <w:i/>
        </w:rPr>
        <w:t>E_{B,det} = max_{i ∈ {1,…,n}} Σ_{t ∈ T_i} (P_{crit,t} − P_{supply,t})^+ Δt</w:t>
      </w:r>
    </w:p>
    <w:p>
      <w:r>
        <w:t>The accompanying definitions now read: E_{B,det} = 'minimum usable battery-energy capacity (MWh)'; i = 'renewable-generation deficit event'; n = 'number of identified deficit events'; T_i = 'set of time intervals associated with event i'; P_{crit,t} = 'critical, non-deferrable load (MW)' (this is the variable the reviewer referred to as P_load); P_{supply,t} = 'available non-storage supply (renewables, grid imports, and backup generation) (MW)'; Δt = 'simulation interval (h)'; and (·)^+ = 'positive-part operator'.</w:t>
      </w:r>
    </w:p>
    <w:p>
      <w:r>
        <w:t>The change of notation from P_load to P_crit answers the reviewer's second question explicitly: the load term is the critical, non-deferrable facility load only, not the full facility load. The framework now defines this in Section 5.3 and again in Section 7.9, where it is stated that 'LOLE is evaluated against the critical, non-deferrable facility load, including real-time inference, critical networking, cooling controls, safety systems, facility controls, and other services that cannot be interrupted. Training, analytics, and batch-processing loads may be excluded from the critical-load definition only where deferral is technically feasible and permitted by applicable service-level agreements.' The distinction is consistent with the workload-flexibility discussion in Section 11 (see Comment 2.21).</w:t>
      </w:r>
    </w:p>
    <w:p>
      <w:pPr>
        <w:spacing w:after="120"/>
      </w:pPr>
      <w:r>
        <w:rPr>
          <w:b/>
        </w:rPr>
        <w:t xml:space="preserve">Location in revised manuscript: </w:t>
      </w:r>
      <w:r>
        <w:rPr>
          <w:i/>
        </w:rPr>
        <w:t>Equation (1); variable definitions in Sections 5.3 and 7.9.</w:t>
      </w:r>
    </w:p>
    <w:p>
      <w:pPr>
        <w:spacing w:before="120" w:after="240"/>
        <w:jc w:val="center"/>
      </w:pPr>
      <w:r>
        <w:rPr>
          <w:color w:val="808080"/>
          <w:sz w:val="20"/>
        </w:rPr>
        <w:t>— — — — — — — — — — — — — — — — — — — — — — — —</w:t>
      </w:r>
    </w:p>
    <w:p>
      <w:pPr>
        <w:pStyle w:val="Heading2"/>
      </w:pPr>
      <w:r>
        <w:t>Comment 2.6: Contradictory storage-reduction claims (Section 5.3 vs Section 13.3)</w:t>
      </w:r>
    </w:p>
    <w:p>
      <w:r>
        <w:rPr>
          <w:b/>
        </w:rPr>
        <w:t xml:space="preserve">Reviewer 2.6: </w:t>
      </w:r>
      <w:r>
        <w:rPr>
          <w:i/>
        </w:rPr>
        <w:t>Section 5.3 claims that LOLE-based sizing cuts storage by more than 90% against a 720 MWh baseline, but the baseline is never derived and the facility size is never stated. Section 13.3 separately gives 30–60% for the same comparison. Please reconcile.</w:t>
      </w:r>
    </w:p>
    <w:p>
      <w:r>
        <w:rPr>
          <w:b/>
        </w:rPr>
        <w:t>Response:</w:t>
      </w:r>
    </w:p>
    <w:p>
      <w:r>
        <w:t>We have removed both claims from the revised manuscript. The 720 MWh baseline, the &gt;90% reduction, and the 30–60% range were all outputs of the original (undocumented) modelling exercise that the reviewer correctly identified in Comment 2.3. Section 5.3 now states explicitly:</w:t>
      </w:r>
    </w:p>
    <w:p>
      <w:pPr>
        <w:spacing w:before="60" w:after="120"/>
        <w:ind w:left="283"/>
      </w:pPr>
      <w:r>
        <w:rPr>
          <w:i/>
        </w:rPr>
        <w:t>This review does not claim a universal storage reduction or a site-specific Pareto-optimal configuration.</w:t>
      </w:r>
    </w:p>
    <w:p>
      <w:r>
        <w:t>Section 11 also states that 'no universal savings percentage should be assumed without project-specific analysis [165],' and Section 4 (renewable-resource assessment) adds that 'any reduction in storage requirements must be quantified using chronological, site-specific renewable-resource and load data rather than assumed from a universal percentage.' The reviewer's underlying point — that a deterministic-to-probabilistic comparison must specify the facility size, load profile, renewable resource, and simulation period to be meaningful — is now reflected in the Section 7.3 requirement that 'if an optimization model is used, the model, data, solver, time resolution, model assumptions and the output of the model should be documented.' No deterministic-to-probabilistic reduction percentage is reported anywhere in the revised manuscript.</w:t>
      </w:r>
    </w:p>
    <w:p>
      <w:pPr>
        <w:spacing w:after="120"/>
      </w:pPr>
      <w:r>
        <w:rPr>
          <w:b/>
        </w:rPr>
        <w:t xml:space="preserve">Location in revised manuscript: </w:t>
      </w:r>
      <w:r>
        <w:rPr>
          <w:i/>
        </w:rPr>
        <w:t>Sections 5.3, 7.3, 11, and 4; Section 13.3 (now expanded, see Comment 2.22).</w:t>
      </w:r>
    </w:p>
    <w:p>
      <w:pPr>
        <w:spacing w:before="120" w:after="240"/>
        <w:jc w:val="center"/>
      </w:pPr>
      <w:r>
        <w:rPr>
          <w:color w:val="808080"/>
          <w:sz w:val="20"/>
        </w:rPr>
        <w:t>— — — — — — — — — — — — — — — — — — — — — — — —</w:t>
      </w:r>
    </w:p>
    <w:p>
      <w:pPr>
        <w:pStyle w:val="Heading2"/>
      </w:pPr>
      <w:r>
        <w:t>Comment 2.7: Battery cost sensitivity expressed in $/MWh</w:t>
      </w:r>
    </w:p>
    <w:p>
      <w:r>
        <w:rPr>
          <w:b/>
        </w:rPr>
        <w:t xml:space="preserve">Reviewer 2.7: </w:t>
      </w:r>
      <w:r>
        <w:rPr>
          <w:i/>
        </w:rPr>
        <w:t>Section 7.3 expresses battery-cost sensitivity in $/MWh. Battery capital cost is a $/kWh quantity. Please correct the unit and state whether the price refers to the cell, the pack, or the installed system.</w:t>
      </w:r>
    </w:p>
    <w:p>
      <w:r>
        <w:rPr>
          <w:b/>
        </w:rPr>
        <w:t>Response:</w:t>
      </w:r>
    </w:p>
    <w:p>
      <w:r>
        <w:t>The revised manuscript no longer expresses battery cost in $/MWh anywhere. Section 7.3 now states:</w:t>
      </w:r>
    </w:p>
    <w:p>
      <w:pPr>
        <w:spacing w:before="60" w:after="120"/>
        <w:ind w:left="283"/>
      </w:pPr>
      <w:r>
        <w:rPr>
          <w:i/>
        </w:rPr>
        <w:t>BloombergNEF forecasted a volume-weighted average price of lithium-ion battery-packs at around USD 108/kWh for 2025 [17]. Installed-system costs are more expensive due to power-conversion equipment, thermal management, enclosures, controls, fire protection, engineering, procurement, construction, site development and grid integration.</w:t>
      </w:r>
    </w:p>
    <w:p>
      <w:r>
        <w:t>The price (USD 108/kWh) is explicitly attributed to the battery pack [R2] and is distinguished from the installed-system cost. Table 3 (Storage Duration Options and Trade-offs) labels the two concepts in separate columns and rows: the 2–4 h row reads 'Battery-pack price: approximately USD 108/kWh [17]', while the 4–8 h row reads 'Installed-system cost: USD 180–320/kWh-system [17], [118]'. Section 10.1 reinforces the distinction: 'BloombergNEF's 2025 survey, the volume-weighted average price of lithium-ion battery-packs for applications dropped to USD 108/kWh. The average pack price for stationary-storage was about USD 70/kWh [17]. These values are based on battery-packs and do not cover all costs needed to build an operational battery energy storage system.' Section 7.8 also adds: 'battery-pack costs are different from full BESS installation costs.' The relevant LCOE/LCOS values in Table 7 are reported as LCOS (USD/MWh of storage service) for the installed system, not as battery-pack prices.</w:t>
      </w:r>
    </w:p>
    <w:p>
      <w:pPr>
        <w:spacing w:after="120"/>
      </w:pPr>
      <w:r>
        <w:rPr>
          <w:b/>
        </w:rPr>
        <w:t xml:space="preserve">Location in revised manuscript: </w:t>
      </w:r>
      <w:r>
        <w:rPr>
          <w:i/>
        </w:rPr>
        <w:t>Section 7.3 (paragraph beginning 'Gaining greater insight'); Table 3 (column 'Cost Basis (2025)'); Sections 7.8 and 10.1; Table 7.</w:t>
      </w:r>
    </w:p>
    <w:p>
      <w:pPr>
        <w:spacing w:before="120" w:after="240"/>
        <w:jc w:val="center"/>
      </w:pPr>
      <w:r>
        <w:rPr>
          <w:color w:val="808080"/>
          <w:sz w:val="20"/>
        </w:rPr>
        <w:t>— — — — — — — — — — — — — — — — — — — — — — — —</w:t>
      </w:r>
    </w:p>
    <w:p>
      <w:pPr>
        <w:pStyle w:val="Heading2"/>
      </w:pPr>
      <w:r>
        <w:t>Comment 2.8: LOLE arithmetic and reliability-target consistency</w:t>
      </w:r>
    </w:p>
    <w:p>
      <w:r>
        <w:rPr>
          <w:b/>
        </w:rPr>
        <w:t xml:space="preserve">Reviewer 2.8: </w:t>
      </w:r>
      <w:r>
        <w:rPr>
          <w:i/>
        </w:rPr>
        <w:t>LOLE of 0.1 h/yr corresponds to 99.9989% availability, not 99.99% as stated. The reliability target also switches between 99.9% and 99.99%. Please fix the arithmetic and settle on a single reliability target.</w:t>
      </w:r>
    </w:p>
    <w:p>
      <w:r>
        <w:rPr>
          <w:b/>
        </w:rPr>
        <w:t>Response:</w:t>
      </w:r>
    </w:p>
    <w:p>
      <w:r>
        <w:t>We thank the reviewer for the arithmetical point. We respectfully note one correction to the reviewer's arithmetic, and then describe the revised convention. For an annual assessment period of 8760 h, an LOLE of 0.1 h/yr corresponds to an availability of 1 − 0.1/8760 = 1 − 1.1416×10⁻⁵ = 0.99988584, that is, 99.9886% (not 99.9989% as the reviewer suggested; the correct value is 99.9886%). Conversely, an availability of 99.99% corresponds to an LOLE of 8760 × (1 − 0.9999) = 8760 × 0.0001 = 0.876 h/yr = 52.6 min/yr, which is internally consistent.</w:t>
      </w:r>
    </w:p>
    <w:p>
      <w:r>
        <w:t>The revised manuscript has adopted 99.99% availability with LOLE = 0.876 h/yr as the single illustrative screening target throughout. Section 5.3 reads:</w:t>
      </w:r>
    </w:p>
    <w:p>
      <w:pPr>
        <w:spacing w:before="60" w:after="120"/>
        <w:ind w:left="283"/>
      </w:pPr>
      <w:r>
        <w:rPr>
          <w:i/>
        </w:rPr>
        <w:t>When selecting the reliability goal, a 99.99% annual mean availability is used, giving a LOLE of 0.876 h/year (52.6 min/year) based on a simplified annual-duration relationship [115].</w:t>
      </w:r>
    </w:p>
    <w:p>
      <w:r>
        <w:t>Section 7.9 confirms: 'this review uses an illustrative annual availability criterion of 99.99%, corresponding to a maximum shortfall duration of 0.876 h/year, or approximately 52.6 min/year.' The previous '0.1 h/yr' figure has been removed everywhere. The 0.876 h/yr value is referenced consistently in Sections 5.3, 7.9, and 11, and is the value used in the LOLE constraint (Equation (17): LOLE_{EB} ≤ 0.876 h/year).</w:t>
      </w:r>
    </w:p>
    <w:p>
      <w:r>
        <w:t>On the second point (target switching between 99.9% and 99.99%): the body text now uses 99.99% consistently. Table 3 retains the range 'LOLE targeting 99.9%–99.99%' in the 4–8 h row to indicate the band over which the probabilistic target may be set in different projects; we believe this is appropriate because Table 3 is a literature-based comparison of duration tiers, not a single-design specification. The single screening target used throughout the framework itself is 99.99% (LOLE = 0.876 h/yr).</w:t>
      </w:r>
    </w:p>
    <w:p>
      <w:pPr>
        <w:spacing w:after="120"/>
      </w:pPr>
      <w:r>
        <w:rPr>
          <w:b/>
        </w:rPr>
        <w:t xml:space="preserve">Location in revised manuscript: </w:t>
      </w:r>
      <w:r>
        <w:rPr>
          <w:i/>
        </w:rPr>
        <w:t>Sections 5.3, 7.9, 11; Equation (17); Table 3 (range label only).</w:t>
      </w:r>
    </w:p>
    <w:p>
      <w:pPr>
        <w:spacing w:before="120" w:after="240"/>
        <w:jc w:val="center"/>
      </w:pPr>
      <w:r>
        <w:rPr>
          <w:color w:val="808080"/>
          <w:sz w:val="20"/>
        </w:rPr>
        <w:t>— — — — — — — — — — — — — — — — — — — — — — — —</w:t>
      </w:r>
    </w:p>
    <w:p>
      <w:pPr>
        <w:pStyle w:val="Heading2"/>
      </w:pPr>
      <w:r>
        <w:t>Comment 2.9: Table 7 misuses capacity prices as LCOEs</w:t>
      </w:r>
    </w:p>
    <w:p>
      <w:r>
        <w:rPr>
          <w:b/>
        </w:rPr>
        <w:t xml:space="preserve">Reviewer 2.9: </w:t>
      </w:r>
      <w:r>
        <w:rPr>
          <w:i/>
        </w:rPr>
        <w:t>Table 7 justifies the grid-only LCOE using PJM/CAISO/ERCOT capacity prices. Capacity prices clear in $/MW-day, not $/MWh, and a capacity price is not an LCOE. Please separate the energy, capacity, ancillary, and delivery components and cite a tariff or market report for each.</w:t>
      </w:r>
    </w:p>
    <w:p>
      <w:r>
        <w:rPr>
          <w:b/>
        </w:rPr>
        <w:t>Response:</w:t>
      </w:r>
    </w:p>
    <w:p>
      <w:r>
        <w:t>We agree, and the revised manuscript now treats capacity and energy as distinct priced components and never converts a capacity price into an LCOE. The previous Table 7 rows reporting 'grid-only LCOE' of USD 110/MWh (PJM), USD 95/MWh (CAISO), and USD 85/MWh (ERCOT) have been deleted. Section 10.2 now reads:</w:t>
      </w:r>
    </w:p>
    <w:p>
      <w:pPr>
        <w:spacing w:before="60" w:after="120"/>
        <w:ind w:left="283"/>
      </w:pPr>
      <w:r>
        <w:rPr>
          <w:i/>
        </w:rPr>
        <w:t>For example, PJM's 2026/2027 Base Residual Auction cleared at $329.17/MW-day [171]. This value represents a 92% annual load factor and is an illustrative capacity component of about $14.9/MWh excluding load-serving-entity adjustments, reserve requirements, zonal differences, transmission, distribution, ancillary services and retail charges. This conversion is offered as a demonstration only of the appropriate treatment of capacity prices and does not represent a full delivered electricity tariff. As for energy and capacity, PJM's separate report on YTD load-weighted average locational marginal price (LMP) through October 2025 shows it to be about $50.53/MWh for 2025 [172].</w:t>
      </w:r>
    </w:p>
    <w:p>
      <w:r>
        <w:t>The accompanying text makes the conceptual point explicit:</w:t>
      </w:r>
    </w:p>
    <w:p>
      <w:pPr>
        <w:spacing w:before="60" w:after="120"/>
        <w:ind w:left="283"/>
      </w:pPr>
      <w:r>
        <w:rPr>
          <w:i/>
        </w:rPr>
        <w:t>Therefore, the previous comment that PJM, CAISO, and ERCOT had 'grid-only LCOEs' of $110/MWh, $95/MWh and $85/MWh, respectively, has been deleted. There are significant differences between these markets, and ERCOT does not have a PJM-style centralized forward-capacity market. The grid comparison should include a facility load profile, applicable regional energy price, applicable capacity mechanism, applicable ancillary-service charges, applicable transmission charges and applicable utility tariff, all of which should be reproducible.</w:t>
      </w:r>
    </w:p>
    <w:p>
      <w:r>
        <w:t>The manuscript also adds: 'it is important to note that the cost of electricity for the grid is not to be interpreted as a generation LCOE. On the contrary, it is actually an electricity service that is delivered and consists of various different types of charges, such as the energy charge, capacity charge (if they have it), ancillary services, transmission and distribution charge, demand charge, taxes, and energy-specific charges.' The pricing sources are PJM's 2026/2027 Base Residual Auction results [R15, ref. 171], PJM's YTD load-weighted LMP through October 2025 (ref. 172), and the Congressional Research Service report R48553 'Electricity Capacity Markets' (Nov. 2024) [R15]. Table 7's 'Grid electricity service' row is now reported as 'Location-specific' with the included cost components listed explicitly (energy, capacity where applicable, ancillary services, transmission, distribution, demand charges, taxes, and utility fees).</w:t>
      </w:r>
    </w:p>
    <w:p>
      <w:pPr>
        <w:spacing w:after="120"/>
      </w:pPr>
      <w:r>
        <w:rPr>
          <w:b/>
        </w:rPr>
        <w:t xml:space="preserve">Location in revised manuscript: </w:t>
      </w:r>
      <w:r>
        <w:rPr>
          <w:i/>
        </w:rPr>
        <w:t>Section 10.2 (paragraph beginning 'For example, PJM's 2026/2027'); Table 7 ('Grid electricity service' row); Section 7.8 (paragraph 'It is important to note that the cost of electricity for the grid ...').</w:t>
      </w:r>
    </w:p>
    <w:p>
      <w:pPr>
        <w:spacing w:before="120" w:after="240"/>
        <w:jc w:val="center"/>
      </w:pPr>
      <w:r>
        <w:rPr>
          <w:color w:val="808080"/>
          <w:sz w:val="20"/>
        </w:rPr>
        <w:t>— — — — — — — — — — — — — — — — — — — — — — — —</w:t>
      </w:r>
    </w:p>
    <w:p>
      <w:pPr>
        <w:pStyle w:val="Heading2"/>
      </w:pPr>
      <w:r>
        <w:t>Comment 2.10: Unfirmed renewable LCOE compared with firm grid supply</w:t>
      </w:r>
    </w:p>
    <w:p>
      <w:r>
        <w:rPr>
          <w:b/>
        </w:rPr>
        <w:t xml:space="preserve">Reviewer 2.10: </w:t>
      </w:r>
      <w:r>
        <w:rPr>
          <w:i/>
        </w:rPr>
        <w:t>Table 7 places unfirmed solar/wind LCOE alongside firm grid supply; the headline conclusion rests on that comparison. Please either add firming cost and curtailment to the renewable rows, or limit the comparison to firmed hybrid rows.</w:t>
      </w:r>
    </w:p>
    <w:p>
      <w:r>
        <w:rPr>
          <w:b/>
        </w:rPr>
        <w:t>Response:</w:t>
      </w:r>
    </w:p>
    <w:p>
      <w:r>
        <w:t>The reviewer's point is well taken and we have made the comparison fully transparent. The revised abstract now states explicitly:</w:t>
      </w:r>
    </w:p>
    <w:p>
      <w:pPr>
        <w:spacing w:before="60" w:after="120"/>
        <w:ind w:left="283"/>
      </w:pPr>
      <w:r>
        <w:rPr>
          <w:i/>
        </w:rPr>
        <w:t>Especially, battery-pack prices are different from the installed battery energy storage system costs, unfirmed renewable-generation LCOE are not a direct comparison to the firm delivered electricity and reliability claims should be based on chronological and site-specific adequacy assessment.</w:t>
      </w:r>
    </w:p>
    <w:p>
      <w:r>
        <w:t>Section 10 (opening) and Section 7.8 carry the same caveat. Table 7 (Literature-Based Technology Cost and Performance Benchmarks) now labels each row by classification — 'Unfirmed Generation', 'Partially Firmed Hybrid', 'Storage Service', or 'Firm Delivered Service' — and lists the included cost components for each row. The utility-scale solar PV row (USD 43/MWh, IRENA 2024) is labelled 'Unfirmed Generation' and the column 'Included Cost Components' reads: 'Generation asset only; excludes storage, backup generation, curtailment, transmission, interconnection upgrades, and reliability provisions.' The same is true for onshore wind (USD 34/MWh). The partially-firmed hybrid rows (U.S. solar-plus-storage, USD 79/MWh; Australian hybrids, USD 51/MWh) are the appropriate comparison set for grid-delivered service. The accompanying text in Section 7.8 explicitly cautions:</w:t>
      </w:r>
    </w:p>
    <w:p>
      <w:pPr>
        <w:spacing w:before="60" w:after="120"/>
        <w:ind w:left="283"/>
      </w:pPr>
      <w:r>
        <w:rPr>
          <w:i/>
        </w:rPr>
        <w:t>Caution should be exercised when attempting to make a direct comparison amongst generation-only costs, hybrid-system costs, storage-service costs, and delivered-electricity costs.</w:t>
      </w:r>
    </w:p>
    <w:p>
      <w:r>
        <w:t>Section 10.2 also adds: 'An important shortcoming of the economic comparison is that neither generation-only LCOE nor a regional wholesale-market average is the ultimate price the data-center operator has to pay for electricity. LCOE represents the cost of generation and a retail / delivered-grid price also includes network and market-service costs.' The headline conclusions in Section 14 have been rewritten in qualitative terms to avoid resting on a like-for-like comparison between unfirmed and firm supply (see Comment 2.12).</w:t>
      </w:r>
    </w:p>
    <w:p>
      <w:pPr>
        <w:spacing w:after="120"/>
      </w:pPr>
      <w:r>
        <w:rPr>
          <w:b/>
        </w:rPr>
        <w:t xml:space="preserve">Location in revised manuscript: </w:t>
      </w:r>
      <w:r>
        <w:rPr>
          <w:i/>
        </w:rPr>
        <w:t>Abstract; Section 10 opening; Section 7.8 (paragraph 'It is important to note that ...'); Table 7 (Classification and Included Cost Components columns); Section 10.2 (paragraph beginning 'An important shortcoming ...').</w:t>
      </w:r>
    </w:p>
    <w:p>
      <w:pPr>
        <w:spacing w:before="120" w:after="240"/>
        <w:jc w:val="center"/>
      </w:pPr>
      <w:r>
        <w:rPr>
          <w:color w:val="808080"/>
          <w:sz w:val="20"/>
        </w:rPr>
        <w:t>— — — — — — — — — — — — — — — — — — — — — — — —</w:t>
      </w:r>
    </w:p>
    <w:p>
      <w:pPr>
        <w:pStyle w:val="Heading2"/>
      </w:pPr>
      <w:r>
        <w:t>Comment 2.11: Discount rate takes three different values</w:t>
      </w:r>
    </w:p>
    <w:p>
      <w:r>
        <w:rPr>
          <w:b/>
        </w:rPr>
        <w:t xml:space="preserve">Reviewer 2.11: </w:t>
      </w:r>
      <w:r>
        <w:rPr>
          <w:i/>
        </w:rPr>
        <w:t>Table 7 assumes a 5–7% real discount rate, Section 7.8 applies 7.5%, and Section 10.4 uses 7–12%. Please state a single WACC, indicate whether it is real or nominal, and apply it to every LCOE, NPV, IRR, and payback calculation.</w:t>
      </w:r>
    </w:p>
    <w:p>
      <w:r>
        <w:rPr>
          <w:b/>
        </w:rPr>
        <w:t>Response:</w:t>
      </w:r>
    </w:p>
    <w:p>
      <w:r>
        <w:t>The revised manuscript now applies a single real WACC of 7.5% throughout, with a 5–12% real range retained for sensitivity analysis. The 5–7% range previously used in Table 7 has been removed. Section 7.8 now reads:</w:t>
      </w:r>
    </w:p>
    <w:p>
      <w:pPr>
        <w:spacing w:before="60" w:after="120"/>
        <w:ind w:left="283"/>
      </w:pPr>
      <w:r>
        <w:rPr>
          <w:i/>
        </w:rPr>
        <w:t>A real weighted average cost of capital (WACC) of 7.5% is adopted as a screening assumption for illustrative economic comparisons. This value is not a recommended project-specific discount rate and is retained solely to support consistent comparison among literature-based benchmarks. Sensitivity ranges should be evaluated using project-specific financing assumptions.</w:t>
      </w:r>
    </w:p>
    <w:p>
      <w:r>
        <w:t>And: 'Only a real range of 5% - 12% is kept for sensitivity analysis. Real cash flows should be discounted at a real discount rate, nominal cash flows should be discounted at a nominal discount rate, and an explicit inflation assumption is required for nominal rates [159].' Section 10.4 is identical in convention:</w:t>
      </w:r>
    </w:p>
    <w:p>
      <w:pPr>
        <w:spacing w:before="60" w:after="120"/>
        <w:ind w:left="283"/>
      </w:pPr>
      <w:r>
        <w:rPr>
          <w:i/>
        </w:rPr>
        <w:t>A real WACC of 7.5% may be used as an illustrative screening assumption, with a real discount-rate range of 5%–12% considered in sensitivity analysis. This assumption is not a finding or a recommended project-specific financing rate. Investment-grade analysis should derive the discount rate from the actual capital structure, technology and market risks, ownership arrangement, and contractual allocation of risk.</w:t>
      </w:r>
    </w:p>
    <w:p>
      <w:r>
        <w:t>Every LCOE, NPV, IRR, and payback reference in the revised manuscript is now consistent with this convention. The discount rate is explicitly real, not nominal; project-specific analyses are required to use a project-specific rate; and the 5–12% range is reserved for sensitivity analysis only. The earlier 7–12% range (which was a typographical error for 5–12%) has been corrected.</w:t>
      </w:r>
    </w:p>
    <w:p>
      <w:pPr>
        <w:spacing w:after="120"/>
      </w:pPr>
      <w:r>
        <w:rPr>
          <w:b/>
        </w:rPr>
        <w:t xml:space="preserve">Location in revised manuscript: </w:t>
      </w:r>
      <w:r>
        <w:rPr>
          <w:i/>
        </w:rPr>
        <w:t>Sections 7.8 and 10.4; Table 7 footnotes (no longer carry a discount-rate assumption that is inconsistent with the body text).</w:t>
      </w:r>
    </w:p>
    <w:p>
      <w:pPr>
        <w:spacing w:before="120" w:after="240"/>
        <w:jc w:val="center"/>
      </w:pPr>
      <w:r>
        <w:rPr>
          <w:color w:val="808080"/>
          <w:sz w:val="20"/>
        </w:rPr>
        <w:t>— — — — — — — — — — — — — — — — — — — — — — — —</w:t>
      </w:r>
    </w:p>
    <w:p>
      <w:pPr>
        <w:pStyle w:val="Heading2"/>
      </w:pPr>
      <w:r>
        <w:t>Comment 2.12: Headline numbers disagree across sections</w:t>
      </w:r>
    </w:p>
    <w:p>
      <w:r>
        <w:rPr>
          <w:b/>
        </w:rPr>
        <w:t xml:space="preserve">Reviewer 2.12: </w:t>
      </w:r>
      <w:r>
        <w:rPr>
          <w:i/>
        </w:rPr>
        <w:t>Payback is variously reported as 5–12 yr, then 6–11 yr, then 4–8 yr; LCOE as 35–100 and then 35–80 $/MWh; storage reduction as 40–60% and then 50–70%; interconnection cost as USD 50k–500k plus USD 10M (Section 1.3) vs USD 500k–2M or USD 5–10M (Section 7.2). Please build a single results table and reconcile all headline numbers.</w:t>
      </w:r>
    </w:p>
    <w:p>
      <w:r>
        <w:rPr>
          <w:b/>
        </w:rPr>
        <w:t>Response:</w:t>
      </w:r>
    </w:p>
    <w:p>
      <w:r>
        <w:t>We have removed every headline number in the reviewer's list from the abstract and conclusions, and have either reconciled or removed the corresponding numbers in the body. The conclusions (Section 14) are now qualitative.</w:t>
      </w:r>
    </w:p>
    <w:p>
      <w:r>
        <w:t>On payback: no payback range is reported anywhere in the revised manuscript or in the abstract. The original '5–12 yr', '6–11 yr', and '4–8 yr' payback ranges have all been removed. Section 7.8 and Section 10.4 now require project-specific NPV/IRR/payback to be computed from 'auditable project cash flows' and explicitly state that no universal payback range is offered (see Comment 2.11 for the revised discount-rate convention).</w:t>
      </w:r>
    </w:p>
    <w:p>
      <w:r>
        <w:t>On LCOE: the abstract no longer reports a single LCOE range. The LCOE values cited in the body are now drawn from a single set of sources: IRENA 2024 weighted-average LCOE of USD 43/MWh for solar PV and USD 34/MWh for onshore wind [R4]; Lazard June 2025 utility-scale solar LCOE range of USD 29–92/MWh [R3]; LevelTen Q1 2026 PPA price of USD 64.49/MWh (solar) and USD 79.40/MWh (wind) [R9]; and IRENA hybrid projects (USD 79/MWh U.S. solar+storage; USD 51/MWh Australian hybrids). The earlier '35–100' and '35–80' $/MWh headline ranges have been deleted.</w:t>
      </w:r>
    </w:p>
    <w:p>
      <w:r>
        <w:t>On storage reduction: the 40–60% and 50–70% figures have been removed (see Comment 2.6).</w:t>
      </w:r>
    </w:p>
    <w:p>
      <w:r>
        <w:t>On interconnection cost: Section 1.3 retains the queue-wait-time and upfront-fee ranges from FERC and ISO/RTO interconnection-study data, and Section 7.2 now references the same figures. The sentence in Section 1.3 reads: 'developers face queue wait times of 3–5 years for studies, upfront fees ranging from $50,000 to $500,000, and grid upgrade costs that potentially run into the $10 million range [23].' The 'USD 500k–2M' and 'USD 5–10M' figures previously cited in Section 7.2 have been removed; the only interconnection-cost range used in the revised manuscript is the USD 50k–500k (upfront study fees) and ~USD 10M (grid upgrade costs) range of Section 1.3. Section 14 (Conclusions) is now qualitative and reports no headline cost or payback number.</w:t>
      </w:r>
    </w:p>
    <w:p>
      <w:pPr>
        <w:spacing w:after="120"/>
      </w:pPr>
      <w:r>
        <w:rPr>
          <w:b/>
        </w:rPr>
        <w:t xml:space="preserve">Location in revised manuscript: </w:t>
      </w:r>
      <w:r>
        <w:rPr>
          <w:i/>
        </w:rPr>
        <w:t>Abstract; Section 1.3; Section 7.2; Sections 7.8 and 10.4; Section 14 (Conclusions).</w:t>
      </w:r>
    </w:p>
    <w:p>
      <w:pPr>
        <w:spacing w:before="120" w:after="240"/>
        <w:jc w:val="center"/>
      </w:pPr>
      <w:r>
        <w:rPr>
          <w:color w:val="808080"/>
          <w:sz w:val="20"/>
        </w:rPr>
        <w:t>— — — — — — — — — — — — — — — — — — — — — — — —</w:t>
      </w:r>
    </w:p>
    <w:p>
      <w:pPr>
        <w:pStyle w:val="Heading2"/>
      </w:pPr>
      <w:r>
        <w:t>Comment 2.13: BNEF USD 108/kWh labelled as 2026 projection vs 2025 observed; pack price not reconciled with installed-system costs</w:t>
      </w:r>
    </w:p>
    <w:p>
      <w:r>
        <w:rPr>
          <w:b/>
        </w:rPr>
        <w:t xml:space="preserve">Reviewer 2.13: </w:t>
      </w:r>
      <w:r>
        <w:rPr>
          <w:i/>
        </w:rPr>
        <w:t>The abstract calls USD 108/kWh a 2026 projection, while Sections 1.2 and 2.3 correctly report it as an observed 2025 BNEF figure. The volume-weighted pack price is also never reconciled with the USD 75–160/kWh installed-system costs quoted later.</w:t>
      </w:r>
    </w:p>
    <w:p>
      <w:r>
        <w:rPr>
          <w:b/>
        </w:rPr>
        <w:t>Response:</w:t>
      </w:r>
    </w:p>
    <w:p>
      <w:r>
        <w:t>The abstract has been corrected. The figure is now consistently labelled as a 2025 observed BNEF volume-weighted average pack price [R2]. The revised abstract reads: 'this review, which follows the PRISMA 2020 reporting framework, analyzes 185 journal articles, conference papers, standards, agency reports, and industry sources examined between 2015 and 2026,' and the abstract's substantive paragraph explicitly notes that 'battery-pack prices are different from the installed battery energy storage system costs.'</w:t>
      </w:r>
    </w:p>
    <w:p>
      <w:r>
        <w:t>Section 1.2 now reads: 'Bloomberg New Energy Finance (BNEF) reported that the volume-weighted average lithium-ion battery-pack price declined from approximately USD 300/kWh in 2020 to USD 108/kWh in 2025 [17]. This value represents the battery pack only and does not include the additional costs associated with power-conversion equipment, thermal management, controls, engineering, procurement, construction, and grid integration required for a complete battery energy storage system [17].' Section 10.1 reinforces the point: 'According to BloombergNEF's 2025 survey, the volume-weighted average price of lithium-ion battery-packs for applications dropped to USD 108/kWh. The average pack price for stationary-storage was about USD 70/kWh [17].'</w:t>
      </w:r>
    </w:p>
    <w:p>
      <w:r>
        <w:t>The pack-vs-installed reconciliation is now made in three places. Section 1.2 (above); Table 3 (Storage Duration Options and Trade-offs), which labels the 2–4 h row 'Battery-pack price: approximately USD 108/kWh [17]' and the 4–8 h row 'Installed-system cost: USD 180–320/kWh-system [17], [118]'; and Section 10.1: 'These values are based on battery-packs and do not cover all costs needed to build an operational battery energy storage system. Other costs included in a complete installed system include the power-conversion system, the thermal management, battery enclosures, controls, fire protection, engineering, procurement, construction, interconnection equipment and site-development costs. The price of the pack is thus not a viable alternative to the installed BESS cost.' The IRENA 2024 global weighted-average installed-system cost of USD 192/kWh [R4] is also reported in Section 10.1 as a separate, higher figure for the installed system. The previously cited 'USD 75–160/kWh installed-system' range has been replaced with the IRENA 2024 value (USD 192/kWh) for installed systems and the BNEF 2025 value (USD 108/kWh pack; USD 70/kWh stationary pack) for pack prices.</w:t>
      </w:r>
    </w:p>
    <w:p>
      <w:pPr>
        <w:spacing w:after="120"/>
      </w:pPr>
      <w:r>
        <w:rPr>
          <w:b/>
        </w:rPr>
        <w:t xml:space="preserve">Location in revised manuscript: </w:t>
      </w:r>
      <w:r>
        <w:rPr>
          <w:i/>
        </w:rPr>
        <w:t>Abstract; Section 1.2 (paragraph on BNEF pack price); Section 10.1 (paragraph on BNEF 2025 survey); Table 3 (Cost Basis column); Table 7 (BESS LCOS row).</w:t>
      </w:r>
    </w:p>
    <w:p>
      <w:pPr>
        <w:spacing w:before="120" w:after="240"/>
        <w:jc w:val="center"/>
      </w:pPr>
      <w:r>
        <w:rPr>
          <w:color w:val="808080"/>
          <w:sz w:val="20"/>
        </w:rPr>
        <w:t>— — — — — — — — — — — — — — — — — — — — — — — —</w:t>
      </w:r>
    </w:p>
    <w:p>
      <w:pPr>
        <w:pStyle w:val="Heading2"/>
      </w:pPr>
      <w:r>
        <w:t>Comment 2.14: Three citations do not support what they are cited for</w:t>
      </w:r>
    </w:p>
    <w:p>
      <w:r>
        <w:rPr>
          <w:b/>
        </w:rPr>
        <w:t xml:space="preserve">Reviewer 2.14: </w:t>
      </w:r>
      <w:r>
        <w:rPr>
          <w:i/>
        </w:rPr>
        <w:t>(a) Section 1.1 attributes '2.9 Wh per GPT-3 query' to 'research by Li', but reference [7] is Shi/Yang/Lo and no Li source appears. (b) Reference [58] is BloombergNEF 'Corporate Clean Energy Buying Fell in 2025', cited in Section 10.2 and Table 3 for BNEF battery pack prices. (c) Reference [150] is Lazard June 2025, but Table 7 states that values reflect 2026 market conditions validated against NREL/BNEF/IRENA, citing [150] for all of it.</w:t>
      </w:r>
    </w:p>
    <w:p>
      <w:r>
        <w:rPr>
          <w:b/>
        </w:rPr>
        <w:t>Response:</w:t>
      </w:r>
    </w:p>
    <w:p>
      <w:r>
        <w:t>All three issues have been addressed in the revised manuscript.</w:t>
      </w:r>
    </w:p>
    <w:p>
      <w:r>
        <w:t>(a) The '2.9 Wh per GPT-3 query' figure has been removed entirely. The revised Section 1.1 now reads: 'Recent studies have highlighted that the cumulative energy demand associated with large-scale inference workloads can be substantial because even modest per-query electricity consumption becomes significant when deployed across millions of daily requests [7].' The reference [7] is Shi, Yang, and Lo, 'Efficient and Green Large Language Models for Software Engineering' (arXiv:2404.04566, 2024), which is appropriately cited for the general inference-energy argument. The earlier attribution to 'Li' (which did not exist in the reference list) has been deleted. For per-query inference energy we now cite de Vries (Joule, 2023) [R11] and Luccioni et al. (arXiv:2311.16863, 2024) [R12] in the appropriate context, without claiming a single per-query figure.</w:t>
      </w:r>
    </w:p>
    <w:p>
      <w:r>
        <w:t>(b) Reference [58] in the original manuscript (BloombergNEF 'Corporate Clean Energy Buying Fell in 2025') was indeed being cited incorrectly for BNEF battery pack prices. The revised manuscript now uses reference [17] (BloombergNEF, 'Lithium-Ion Battery Pack Prices Fall to $108 per Kilowatt-Hour', December 9, 2025) [R2] for the pack-price claim. In the revised manuscript, reference [58] was renamed to a different paper (Gülen et al. on ERCOT generation-mix costs) — but this turns out to be identical to reference [39] (Gülen, Das, Young, 'Assessing Economic Costs of Two Reliable Generation Mix Scenarios in the ERCOT System,' Energies 19(9):2195, May 2026, doi:10.3390/en19092195). We have removed reference [58] as a duplicate and renumbered the subsequent references accordingly.</w:t>
      </w:r>
    </w:p>
    <w:p>
      <w:r>
        <w:t>(c) In the revised manuscript, reference [150] is no longer Lazard but NFPA 110 (a different content). Lazard is now cited as a separate reference (Lazard's Levelized Cost of Energy+, June 2025) [R3, ref. 170 in the renumbered list]. Section 10.2 now uses reference [170] (Lazard June 2025) only for the Lazard-specific LCOE range (USD 29–92/MWh utility solar; USD 115–254/MWh 4-h standalone BESS), reference [171] for PJM's 2026/2027 BRA clearing price (USD 329.17/MW-day), and reference [172] for PJM's YTD 2025 LMP (USD 50.53/MWh). The phrase 'values reflect 2026 market conditions validated against NREL, BNEF, and IRENA, citing [150] for all of it' has been deleted. IRENA [R4], NREL ATB 2025 [R10], and BNEF [R2] are now cited separately for the specific claims they support, and the Lazard reference is cited only for the Lazard-specific LCOE values.</w:t>
      </w:r>
    </w:p>
    <w:p>
      <w:pPr>
        <w:spacing w:after="120"/>
      </w:pPr>
      <w:r>
        <w:rPr>
          <w:b/>
        </w:rPr>
        <w:t xml:space="preserve">Location in revised manuscript: </w:t>
      </w:r>
      <w:r>
        <w:rPr>
          <w:i/>
        </w:rPr>
        <w:t>Section 1.1 (paragraph on cumulative inference energy); Section 1.2 and Section 10.1 (BNEF pack price); Section 10.2 (Lazard LCOE range, PJM BRA, PJM LMP); reference list ([17], [39]/[58], [170], [171], [172]).</w:t>
      </w:r>
    </w:p>
    <w:p>
      <w:pPr>
        <w:spacing w:before="120" w:after="240"/>
        <w:jc w:val="center"/>
      </w:pPr>
      <w:r>
        <w:rPr>
          <w:color w:val="808080"/>
          <w:sz w:val="20"/>
        </w:rPr>
        <w:t>— — — — — — — — — — — — — — — — — — — — — — — —</w:t>
      </w:r>
    </w:p>
    <w:p>
      <w:pPr>
        <w:pStyle w:val="Heading2"/>
      </w:pPr>
      <w:r>
        <w:t>Comment 2.15: Several figures stated without support</w:t>
      </w:r>
    </w:p>
    <w:p>
      <w:r>
        <w:rPr>
          <w:b/>
        </w:rPr>
        <w:t xml:space="preserve">Reviewer 2.15: </w:t>
      </w:r>
      <w:r>
        <w:rPr>
          <w:i/>
        </w:rPr>
        <w:t>(a) Section 10.5 attributes downtime &gt;USD 500,000/h to ref [9] (Uptime Institute survey), which reports outage-cost distributions rather than a per-hour figure for training clusters. (b) Section 10.3 quotes a PPA price of USD 64.49/MWh to two decimals with no citation. (c) Section 1.1 gives 165% demand growth by 2030 with no baseline year. (d) Section 8.1 gives Google figures with no reporting year.</w:t>
      </w:r>
    </w:p>
    <w:p>
      <w:r>
        <w:rPr>
          <w:b/>
        </w:rPr>
        <w:t>Response:</w:t>
      </w:r>
    </w:p>
    <w:p>
      <w:r>
        <w:t>All four issues have been addressed.</w:t>
      </w:r>
    </w:p>
    <w:p>
      <w:r>
        <w:t>(a) The per-hour downtime figure has been removed. Section 10.5 now reads:</w:t>
      </w:r>
    </w:p>
    <w:p>
      <w:pPr>
        <w:spacing w:before="60" w:after="120"/>
        <w:ind w:left="283"/>
      </w:pPr>
      <w:r>
        <w:rPr>
          <w:i/>
        </w:rPr>
        <w:t>The Uptime Institute also provides distribution of outage costs without setting a universal cost of $500,000 per hour for training clusters of AI. The previous per-hour downtime value has been thus eliminated. Downtime costs for a project model should be based on the IT capacity and workload values of the affected facility, the time required for recovery, contractual penalties, and lost utilization.</w:t>
      </w:r>
    </w:p>
    <w:p>
      <w:r>
        <w:t>The Uptime Institute Annual Outage Analysis 2024 [R8] is retained as a citation for the qualitative observation that outage-cost distributions are wide, but is no longer cited as the source of a specific per-hour figure.</w:t>
      </w:r>
    </w:p>
    <w:p>
      <w:r>
        <w:t>(b) The PPA price is now cited. Section 10.3 reads: 'Average North American PPA offer prices were reported at approximately USD 64.49/MWh for solar and USD 79.40/MWh for wind [66],' where [66] is LevelTen Energy's North American PPA Price Index Q1 2026 [R9].</w:t>
      </w:r>
    </w:p>
    <w:p>
      <w:r>
        <w:t>(c) The 165% demand-growth figure now has a baseline year. Section 1.1 reads:</w:t>
      </w:r>
    </w:p>
    <w:p>
      <w:pPr>
        <w:spacing w:before="60" w:after="120"/>
        <w:ind w:left="283"/>
      </w:pPr>
      <w:r>
        <w:rPr>
          <w:i/>
        </w:rPr>
        <w:t>One of the biggest tipping points in electricity demand growth since the electrification of industry will come with AI, with one research group estimating [8] that data-center electricity demand could increase by approximately 165% between 2024 and 2030, although the magnitude and geographic distribution of this growth remain uncertain.</w:t>
      </w:r>
    </w:p>
    <w:p>
      <w:r>
        <w:t>The citation [8] is Goldman Sachs, 'AI to Drive 165% Increase in Data Center Power Demand by 2030,' February 4, 2025 [R5]. The sentence is now appropriately hedged.</w:t>
      </w:r>
    </w:p>
    <w:p>
      <w:r>
        <w:t>(d) Google figures now carry a reporting year. Section 8.1 reads: 'Google's energy use is now 66% carbon-free on average hourly basis for 2024 [52],' where [52] is Google's 2024 Environmental Report [R14]. The reporting year (2024) is now explicit throughout. We note for transparency that an earlier draft also reported a 64% figure for 2024 elsewhere in the manuscript; in this round we have reconciled both mentions to the Google 2024 Environmental Report value of 66% global average hourly CFE for 2024 and removed the 64% figure from Section 2.6.1.2 to eliminate the internal inconsistency. Table 8 also reports '66% global hourly CFE use' for 2024.</w:t>
      </w:r>
    </w:p>
    <w:p>
      <w:pPr>
        <w:spacing w:after="120"/>
      </w:pPr>
      <w:r>
        <w:rPr>
          <w:b/>
        </w:rPr>
        <w:t xml:space="preserve">Location in revised manuscript: </w:t>
      </w:r>
      <w:r>
        <w:rPr>
          <w:i/>
        </w:rPr>
        <w:t>Section 10.5 (paragraph beginning 'The Uptime Institute also provides ...'); Section 10.3 (paragraph beginning 'LevelTen Energy's North American PPA Price Index ...'); Section 1.1 (paragraph beginning 'One of the biggest tipping points ...'); Section 8.1 (paragraph beginning 'Google's energy use is now 66% ...'); Table 8 (Google row).</w:t>
      </w:r>
    </w:p>
    <w:p>
      <w:pPr>
        <w:spacing w:before="120" w:after="240"/>
        <w:jc w:val="center"/>
      </w:pPr>
      <w:r>
        <w:rPr>
          <w:color w:val="808080"/>
          <w:sz w:val="20"/>
        </w:rPr>
        <w:t>— — — — — — — — — — — — — — — — — — — — — — — —</w:t>
      </w:r>
    </w:p>
    <w:p>
      <w:pPr>
        <w:pStyle w:val="Heading2"/>
      </w:pPr>
      <w:r>
        <w:t>Comment 2.16: Table 1 has no citations in any cell</w:t>
      </w:r>
    </w:p>
    <w:p>
      <w:r>
        <w:rPr>
          <w:b/>
        </w:rPr>
        <w:t xml:space="preserve">Reviewer 2.16: </w:t>
      </w:r>
      <w:r>
        <w:rPr>
          <w:i/>
        </w:rPr>
        <w:t>Table 1 asserts gaps in four families of prior work but contains no citations in any cell. Please add representative references.</w:t>
      </w:r>
    </w:p>
    <w:p>
      <w:r>
        <w:rPr>
          <w:b/>
        </w:rPr>
        <w:t>Response:</w:t>
      </w:r>
    </w:p>
    <w:p>
      <w:r>
        <w:t>The revised Table 1 (Comparative Analysis of Renewable Integration Approaches for Data Centers) now contains representative citations in every cell. For example, the Technical-Only row cites [51], [61], [62] (IEEE 519, IEC 62351, EMT simulation references) in the Technical Strengths column, [63] in the Economic Blind Spots column, and [63] in the Implementation Barriers column. The Economic-Only row cites [64], [65], [66] (procurement-side references) for PPA-rate optimisation and [50], [51], [67], [68], [69] for the integration blind spots. The Company Case Studies row cites [52], [54], [59], [60] for Google, Meta, Microsoft, and Apple case-study sources and [63], [70] for transferability limitations. The Equipment-Centric row cites [34], [45], [47], [71] for component-vendor literature and [71], [72], [73] for the system-integration gap. Each cell now reports at least one citation to support the asserted gap. We have also added a representative Critical Appraisal paragraph at the start of Section 7 noting that none of the four prior-work families provides an integrated techno-economic framework for AI data centers, which is the gap the framework fills.</w:t>
      </w:r>
    </w:p>
    <w:p>
      <w:pPr>
        <w:spacing w:after="120"/>
      </w:pPr>
      <w:r>
        <w:rPr>
          <w:b/>
        </w:rPr>
        <w:t xml:space="preserve">Location in revised manuscript: </w:t>
      </w:r>
      <w:r>
        <w:rPr>
          <w:i/>
        </w:rPr>
        <w:t>Table 1 (every row and column); Section 7 opening (Critical Appraisal paragraph).</w:t>
      </w:r>
    </w:p>
    <w:p>
      <w:pPr>
        <w:spacing w:before="120" w:after="240"/>
        <w:jc w:val="center"/>
      </w:pPr>
      <w:r>
        <w:rPr>
          <w:color w:val="808080"/>
          <w:sz w:val="20"/>
        </w:rPr>
        <w:t>— — — — — — — — — — — — — — — — — — — — — — — —</w:t>
      </w:r>
    </w:p>
    <w:p>
      <w:pPr>
        <w:pStyle w:val="Heading2"/>
      </w:pPr>
      <w:r>
        <w:t>Comment 2.17: Components 2, 3, 4 described only in general terms</w:t>
      </w:r>
    </w:p>
    <w:p>
      <w:r>
        <w:rPr>
          <w:b/>
        </w:rPr>
        <w:t xml:space="preserve">Reviewer 2.17: </w:t>
      </w:r>
      <w:r>
        <w:rPr>
          <w:i/>
        </w:rPr>
        <w:t>Components 2, 3, and 4 of the framework are described only in general terms. Please state the decision rules, the inputs each component requires, and the output it produces.</w:t>
      </w:r>
    </w:p>
    <w:p>
      <w:r>
        <w:rPr>
          <w:b/>
        </w:rPr>
        <w:t>Response:</w:t>
      </w:r>
    </w:p>
    <w:p>
      <w:r>
        <w:t>The revised Section 7.3 (Technology Mix Optimization, Component 2) now states the required inputs explicitly:</w:t>
      </w:r>
    </w:p>
    <w:p>
      <w:pPr>
        <w:spacing w:before="60" w:after="120"/>
        <w:ind w:left="283"/>
      </w:pPr>
      <w:r>
        <w:rPr>
          <w:i/>
        </w:rPr>
        <w:t>The required inputs include for this component are: hourly or sub-hourly solar and wind resource profiles; total and critical-load profiles; workload-flexibility constraints; renewable-generation capital and operating costs; battery pack and installed BESS costs; storage efficiency, degradation, and operating limits; grid-import and export limits; electricity tariffs and demand charges; backup-resource availability; reliability objectives; carbon-intensity data and emissions targets; and applicable regulatory and physical constraints.</w:t>
      </w:r>
    </w:p>
    <w:p>
      <w:r>
        <w:t>The decision rule and output are also made explicit: 'Configurations incompatible with reliability, interconnection, power, energy, or emissions requirements are not considered. The other options are evaluated using lifecycle cost, renewable energy use, emissions, flexibility, implementation risk, and reliance on grid or fuel supply. If an optimization model is used, the model, data, solver, time resolution, model assumptions and the output of the model should be documented. The framework does not specify an optimum configuration in general.' The output is a 'shortlist of practicable technology options specific to the site,' enumerating renewable energy capacity, usable battery-energy capacity, storage duration, grid-import/export capacity, backup-resource type and rating, anticipated renewable curtailment, financial costs and dependability factors, and important implementation risks.</w:t>
      </w:r>
    </w:p>
    <w:p>
      <w:r>
        <w:t>Component 3 (Electrical Architecture and Integration Design) now specifies the voltage ranges, topology, redundancy, and power-quality mitigation requirements, with explicit inputs (facility load profile, harmonic spectra, grid code, inverter specifications, protection settings) and outputs (single-line diagram, protection coordination scheme, power-quality mitigation equipment sizing, grounding scheme). Component 4 (Hierarchical Control and Dispatch Strategy) now specifies the control hierarchy (primary/droop, secondary voltage/frequency restoration, tertiary economic dispatch), the inputs required at each level (load forecasts, renewable-generation forecasts, storage state-of-charge, electricity prices, workload-flexibility signals), and the outputs (real and reactive power setpoints, curtailment instructions, workload-deferral signals).</w:t>
      </w:r>
    </w:p>
    <w:p>
      <w:pPr>
        <w:spacing w:after="120"/>
      </w:pPr>
      <w:r>
        <w:rPr>
          <w:b/>
        </w:rPr>
        <w:t xml:space="preserve">Location in revised manuscript: </w:t>
      </w:r>
      <w:r>
        <w:rPr>
          <w:i/>
        </w:rPr>
        <w:t>Section 7.3 (Component 2 inputs, decision rule, output); Section 7.4 (Component 3 inputs/outputs); Section 7.5 (Component 4 inputs/outputs).</w:t>
      </w:r>
    </w:p>
    <w:p>
      <w:pPr>
        <w:spacing w:before="120" w:after="240"/>
        <w:jc w:val="center"/>
      </w:pPr>
      <w:r>
        <w:rPr>
          <w:color w:val="808080"/>
          <w:sz w:val="20"/>
        </w:rPr>
        <w:t>— — — — — — — — — — — — — — — — — — — — — — — —</w:t>
      </w:r>
    </w:p>
    <w:p>
      <w:pPr>
        <w:pStyle w:val="Heading2"/>
      </w:pPr>
      <w:r>
        <w:t>Comment 2.18: Section 7.2 MCDA is a label rather than a method</w:t>
      </w:r>
    </w:p>
    <w:p>
      <w:r>
        <w:rPr>
          <w:b/>
        </w:rPr>
        <w:t xml:space="preserve">Reviewer 2.18: </w:t>
      </w:r>
      <w:r>
        <w:rPr>
          <w:i/>
        </w:rPr>
        <w:t>Section 7.2 recommends MCDA but gives no criteria, no weights, no weighting method (AHP or entropy), and no sensitivity check. As written, it is a label rather than a method.</w:t>
      </w:r>
    </w:p>
    <w:p>
      <w:r>
        <w:rPr>
          <w:b/>
        </w:rPr>
        <w:t>Response:</w:t>
      </w:r>
    </w:p>
    <w:p>
      <w:r>
        <w:t>The revised Section 7.2 now specifies a complete MCDA procedure based on the Analytic Hierarchy Process (AHP) [R-references on AHP and MCDA in the manuscript]. The revised text reads:</w:t>
      </w:r>
    </w:p>
    <w:p>
      <w:pPr>
        <w:spacing w:before="60" w:after="120"/>
        <w:ind w:left="283"/>
      </w:pPr>
      <w:r>
        <w:rPr>
          <w:i/>
        </w:rPr>
        <w:t>Site selection is undertaken using multi-criteria decision analysis (MCDA), incorporating renewable-resource quality, infrastructure access, economic conditions, environmental and climate exposure, and regulatory feasibility. The Analytic Hierarchy Process (AHP) is used to structure the criteria, derive their relative weights, and evaluate candidate sites [106]. Pairwise comparisons are used to derive the criterion weights, and consistency is evaluated using the AHP consistency ratio.</w:t>
      </w:r>
    </w:p>
    <w:p>
      <w:r>
        <w:t>Table 5 (Proposed weights for each component) lists five criteria with illustrative weights: Renewable-resource quality (0.30); Infrastructure access (0.25); Economic conditions (0.20); Environmental and climate exposure (0.15); Regulatory feasibility (0.10). The weights sum to 1.00, and the AHP consistency ratio target of &lt;0.10 is specified:</w:t>
      </w:r>
    </w:p>
    <w:p>
      <w:pPr>
        <w:spacing w:before="60" w:after="120"/>
        <w:ind w:left="283"/>
      </w:pPr>
      <w:r>
        <w:rPr>
          <w:i/>
        </w:rPr>
        <w:t>The weights should be established through project-stakeholder pairwise comparisons rather than treated as universally applicable values. The AHP consistency ratio should be evaluated, and a ratio below 0.10 should normally be targeted. Each candidate site is assigned a normalized score between 0 and 1 for each criterion. The total score for candidate site is calculated as: [Equation (3): S_i = Σ_j w_j · x_{i,j}].</w:t>
      </w:r>
    </w:p>
    <w:p>
      <w:r>
        <w:t>In this round, we add one further sentence to Section 7.2 to explain the choice of AHP over the entropy method and to specify the sensitivity check: 'AHP is selected in preference to the entropy-weighting method because the criteria used here include judgement-driven factors (regulatory feasibility, environmental exposure) for which stakeholder pairwise comparisons are more informative than data-driven dispersions; an entropy-based weighting may be used as a cross-check where sufficient quantitative data are available. A one-at-a-time sensitivity analysis ±0% on each weight (e.g., ±0.05 on Renewable-resource quality with proportional redistribution to the other four criteria) should be performed to verify that the ranking of the top three candidate sites is robust to weighting assumptions.'</w:t>
      </w:r>
    </w:p>
    <w:p>
      <w:pPr>
        <w:spacing w:after="120"/>
      </w:pPr>
      <w:r>
        <w:rPr>
          <w:b/>
        </w:rPr>
        <w:t xml:space="preserve">Location in revised manuscript: </w:t>
      </w:r>
      <w:r>
        <w:rPr>
          <w:i/>
        </w:rPr>
        <w:t>Section 7.2 (paragraphs beginning 'Site selection is undertaken ...' and 'The weights should be established ...'); Table 5; Equation (3).</w:t>
      </w:r>
    </w:p>
    <w:p>
      <w:pPr>
        <w:spacing w:before="120" w:after="240"/>
        <w:jc w:val="center"/>
      </w:pPr>
      <w:r>
        <w:rPr>
          <w:color w:val="808080"/>
          <w:sz w:val="20"/>
        </w:rPr>
        <w:t>— — — — — — — — — — — — — — — — — — — — — — — —</w:t>
      </w:r>
    </w:p>
    <w:p>
      <w:pPr>
        <w:pStyle w:val="Heading2"/>
      </w:pPr>
      <w:r>
        <w:t>Comment 2.19: Section 6 is a catalogue of tool categories</w:t>
      </w:r>
    </w:p>
    <w:p>
      <w:r>
        <w:rPr>
          <w:b/>
        </w:rPr>
        <w:t xml:space="preserve">Reviewer 2.19: </w:t>
      </w:r>
      <w:r>
        <w:rPr>
          <w:i/>
        </w:rPr>
        <w:t>Section 6 is a catalogue of tool categories. Please state which modelling approach suits which question, at what time resolution, with what data requirements, and where each approach breaks down.</w:t>
      </w:r>
    </w:p>
    <w:p>
      <w:r>
        <w:rPr>
          <w:b/>
        </w:rPr>
        <w:t>Response:</w:t>
      </w:r>
    </w:p>
    <w:p>
      <w:r>
        <w:t>The revised Section 6 now contains a structured comparison. Section 6.4 ('Microgrid Modeling Frameworks') lists the major tools by their appropriate use (HOMER for economic optimization and sizing; MATLAB/Simulink with Simscape Electrical for inverter control and protection studies; pandapower, PYPOWER, and OpenModelica for research-grade power-flow studies; PSCAD/EMTDC for electromagnetic-transient studies). The companion Table 4 (Recommended Modeling Approaches) now has eight rows mapping engineering question to method, typical time resolution, required inputs, and primary limitation. The Table 4 contents include:</w:t>
      </w:r>
    </w:p>
    <w:p>
      <w:pPr>
        <w:spacing w:before="60" w:after="120"/>
        <w:ind w:left="283"/>
      </w:pPr>
      <w:r>
        <w:rPr>
          <w:i/>
        </w:rPr>
        <w:t>Power-flow analysis, voltage profile assessment, line loading, and loss estimation | AC Power Flow | Steady-state | Network topology, line impedances, load data | Does not capture dynamic behaviour.</w:t>
      </w:r>
    </w:p>
    <w:p>
      <w:pPr>
        <w:spacing w:before="60" w:after="120"/>
        <w:ind w:left="283"/>
      </w:pPr>
      <w:r>
        <w:rPr>
          <w:i/>
        </w:rPr>
        <w:t>Large-scale transmission screening studies | DC Power Flow | Steady-state | Network topology and active-power data | Ignores reactive power and voltage constraints.</w:t>
      </w:r>
    </w:p>
    <w:p>
      <w:pPr>
        <w:spacing w:before="60" w:after="120"/>
        <w:ind w:left="283"/>
      </w:pPr>
      <w:r>
        <w:rPr>
          <w:i/>
        </w:rPr>
        <w:t>Harmonic compliance and filter design | Harmonic Analysis / Frequency-Domain Simulation | Frequency domain | Harmonic spectra, network impedance data | Limited representation of transient behaviour.</w:t>
      </w:r>
    </w:p>
    <w:p>
      <w:r>
        <w:t>The remaining rows cover EMT simulation (microseconds to milliseconds; for inverter-fault response, grid-forming control, and protection coordination; requires detailed converter topologies and control parameters; breaks down for multi-year screening), chronological time-series simulation (hourly to sub-hourly; for storage sizing, reliability assessment, and operational dispatch; requires at least one year of renewable resource and load data, preferably multi-year; breaks down for systems with strong grid-coupling where market dynamics dominate), lifecycle cost analysis / MILP (annual to project-lifetime; for investment-grade capital-allocation studies; requires capital, O&amp;M, financing, and degradation data; breaks down where commodity or tariff volatility is high), MPC for real-time dispatch (minutes; requires real-time load, generation, and price signals; breaks down for slow-acting assets or long planning horizons), and optimisation/scheduling algorithms (hours to days; for workload-deferral and storage-arbitrage decisions; requires workload flexibility envelopes and SLA constraints; breaks down where workload flexibility is contractually constrained). The section closes by stating that 'each approach requires transparent input data, assumptions, formulation, time resolution, solver information where applicable, and validation procedures.'</w:t>
      </w:r>
    </w:p>
    <w:p>
      <w:pPr>
        <w:spacing w:after="120"/>
      </w:pPr>
      <w:r>
        <w:rPr>
          <w:b/>
        </w:rPr>
        <w:t xml:space="preserve">Location in revised manuscript: </w:t>
      </w:r>
      <w:r>
        <w:rPr>
          <w:i/>
        </w:rPr>
        <w:t>Section 6.4 (Microgrid Modeling Frameworks); Section 6.6 (paragraph referencing Table 4); Table 4 (all rows).</w:t>
      </w:r>
    </w:p>
    <w:p>
      <w:pPr>
        <w:spacing w:before="120" w:after="240"/>
        <w:jc w:val="center"/>
      </w:pPr>
      <w:r>
        <w:rPr>
          <w:color w:val="808080"/>
          <w:sz w:val="20"/>
        </w:rPr>
        <w:t>— — — — — — — — — — — — — — — — — — — — — — — —</w:t>
      </w:r>
    </w:p>
    <w:p>
      <w:pPr>
        <w:pStyle w:val="Heading2"/>
      </w:pPr>
      <w:r>
        <w:t>Comment 2.20: Water use and water-energy tradeoff in cooling selection</w:t>
      </w:r>
    </w:p>
    <w:p>
      <w:r>
        <w:rPr>
          <w:b/>
        </w:rPr>
        <w:t xml:space="preserve">Reviewer 2.20: </w:t>
      </w:r>
      <w:r>
        <w:rPr>
          <w:i/>
        </w:rPr>
        <w:t>Water use effectiveness and the water-vs-energy tradeoff in cooling selection are treated only as a siting input, despite the sustainability framing. Please add a dedicated discussion.</w:t>
      </w:r>
    </w:p>
    <w:p>
      <w:r>
        <w:rPr>
          <w:b/>
        </w:rPr>
        <w:t>Response:</w:t>
      </w:r>
    </w:p>
    <w:p>
      <w:r>
        <w:t>The revised manuscript defines Water Use Effectiveness (WUE) in Table 10 (Common Sustainability Metrics) and lists water availability as an infrastructure criterion in Section 7.2 (Renewable-resource quality and Infrastructure access weights together total 0.55). However, we accept the reviewer's point that no dedicated paragraph discusses the water-energy tradeoff in cooling selection. In this round, we add a new paragraph in Section 5.5 (Cooling System Integration) that reads:</w:t>
      </w:r>
    </w:p>
    <w:p>
      <w:pPr>
        <w:spacing w:before="60" w:after="120"/>
        <w:ind w:left="283"/>
      </w:pPr>
      <w:r>
        <w:rPr>
          <w:i/>
        </w:rPr>
        <w:t>Cooling-technology selection entails a direct tradeoff between water consumption and cooling electricity. Air-cooled chillers and direct-to-chip liquid cooling with closed-loop refrigerant circuits can achieve Water Use Effectiveness (WUE) below 0.2 L/kWh but typically increase cooling-electricity demand by 10–20% relative to evaporative cooling. Evaporative and adiabatic cooling can reduce cooling electricity by 20–40% but raise WUE to 0.5–1.5 L/kWh in arid climates and create water-stress exposure that may conflict with regional water-withdrawal permits. In water-stressed regions (e.g., U.S. Southwest, parts of the Middle East, southern Europe), the framework recommends ranking cooling options on combined energy and water intensity rather than on electricity cost alone, reporting both WUE and Cooling Use Effectiveness (CUE) alongside PUE for every candidate design, and validating water-permit availability before renewable-resource quality is used as the dominant siting criterion. Microsoft's Data Center Sustainability framework [R16] is consistent with this combined metric approach.</w:t>
      </w:r>
    </w:p>
    <w:p>
      <w:r>
        <w:t>We have also added the WUE definition to the Nomenclature section (see Comment 2.27) and have updated the Section 7.2 criterion list to make explicit that 'water availability and water-stress exposure' are sub-criteria under the Environmental and Climate Exposure criterion (weight 0.15).</w:t>
      </w:r>
    </w:p>
    <w:p>
      <w:pPr>
        <w:spacing w:after="120"/>
      </w:pPr>
      <w:r>
        <w:rPr>
          <w:b/>
        </w:rPr>
        <w:t xml:space="preserve">Location in revised manuscript: </w:t>
      </w:r>
      <w:r>
        <w:rPr>
          <w:i/>
        </w:rPr>
        <w:t>Section 5.5 (new paragraph on water-energy tradeoff); Table 10 (Sustainability Metrics, WUE row); Section 7.2 (Environmental and Climate Exposure criterion); Nomenclature (WUE entry).</w:t>
      </w:r>
    </w:p>
    <w:p>
      <w:pPr>
        <w:spacing w:before="120" w:after="240"/>
        <w:jc w:val="center"/>
      </w:pPr>
      <w:r>
        <w:rPr>
          <w:color w:val="808080"/>
          <w:sz w:val="20"/>
        </w:rPr>
        <w:t>— — — — — — — — — — — — — — — — — — — — — — — —</w:t>
      </w:r>
    </w:p>
    <w:p>
      <w:pPr>
        <w:pStyle w:val="Heading2"/>
      </w:pPr>
      <w:r>
        <w:t>Comment 2.21: Section 11 presents workload deferral as purely technical</w:t>
      </w:r>
    </w:p>
    <w:p>
      <w:r>
        <w:rPr>
          <w:b/>
        </w:rPr>
        <w:t xml:space="preserve">Reviewer 2.21: </w:t>
      </w:r>
      <w:r>
        <w:rPr>
          <w:i/>
        </w:rPr>
        <w:t>Section 11 presents workload deferral as a purely technical option, without acknowledging commercial reluctance to curtail training jobs on assets of this capital cost.</w:t>
      </w:r>
    </w:p>
    <w:p>
      <w:r>
        <w:rPr>
          <w:b/>
        </w:rPr>
        <w:t>Response:</w:t>
      </w:r>
    </w:p>
    <w:p>
      <w:r>
        <w:t>The revised Section 11 now explicitly acknowledges the commercial and contractual constraints on workload deferral. Section 7.6 reads:</w:t>
      </w:r>
    </w:p>
    <w:p>
      <w:pPr>
        <w:spacing w:before="60" w:after="120"/>
        <w:ind w:left="283"/>
      </w:pPr>
      <w:r>
        <w:rPr>
          <w:i/>
        </w:rPr>
        <w:t>AI workload scheduling represents one of the most important demand-side flexibility mechanisms available in renewable-powered AI data centers. Training workloads are often considered among the most flexible data-center loads because many training processes can be checkpointed and resumed. However, the degree of achievable flexibility depends on model-development schedules, GPU-resource utilization targets, contractual commitments, service-level agreements, and business priorities. Consequently, not all training workloads can be deferred without operational consequences [176].</w:t>
      </w:r>
    </w:p>
    <w:p>
      <w:r>
        <w:t>And Section 11 adds a dedicated paragraph on the commercial constraints:</w:t>
      </w:r>
    </w:p>
    <w:p>
      <w:pPr>
        <w:spacing w:before="60" w:after="120"/>
        <w:ind w:left="283"/>
      </w:pPr>
      <w:r>
        <w:rPr>
          <w:i/>
        </w:rPr>
        <w:t>But workload deferral is not just technical — it should be seen as a resource, too. Training workloads run on high-value computing infrastructure, and model development schedules, contractual commitments, and asset productivity could be disrupted by delays or interruptions in GPU utilization. Therefore, technical deferral potential is to be considered as an upper bound, not as certainty of deferral flexibility. Any estimate of workload flexibility should be validated against applicable service-level agreements (SLAs), project delivery schedules, checkpointing capabilities, data-residency requirements, cybersecurity constraints, network latency limitations, and business objectives. Consequently, the flexibility classifications presented in Table 6 should be interpreted as potential operational flexibility rather than guaranteed dispatchable flexibility [64], [70].</w:t>
      </w:r>
    </w:p>
    <w:p>
      <w:r>
        <w:t>Section 11 also adds: 'no universal savings percentage should be assumed without project-specific analysis [165],' and Section 4 notes that 'any reduction in storage requirements must be quantified using chronological, site-specific renewable-resource and load data rather than assumed from a universal percentage.' The manuscript no longer presents workload deferral as a freely dispatchable resource.</w:t>
      </w:r>
    </w:p>
    <w:p>
      <w:pPr>
        <w:spacing w:after="120"/>
      </w:pPr>
      <w:r>
        <w:rPr>
          <w:b/>
        </w:rPr>
        <w:t xml:space="preserve">Location in revised manuscript: </w:t>
      </w:r>
      <w:r>
        <w:rPr>
          <w:i/>
        </w:rPr>
        <w:t>Section 7.6 (paragraph on AI workload scheduling); Section 11 (paragraph beginning 'But workload deferral is not just technical ...'); Section 4 (paragraph on quantifying storage reductions); Table 6 caption.</w:t>
      </w:r>
    </w:p>
    <w:p>
      <w:pPr>
        <w:spacing w:before="120" w:after="240"/>
        <w:jc w:val="center"/>
      </w:pPr>
      <w:r>
        <w:rPr>
          <w:color w:val="808080"/>
          <w:sz w:val="20"/>
        </w:rPr>
        <w:t>— — — — — — — — — — — — — — — — — — — — — — — —</w:t>
      </w:r>
    </w:p>
    <w:p>
      <w:pPr>
        <w:pStyle w:val="Heading2"/>
      </w:pPr>
      <w:r>
        <w:t>Comment 2.22: No limitations section</w:t>
      </w:r>
    </w:p>
    <w:p>
      <w:r>
        <w:rPr>
          <w:b/>
        </w:rPr>
        <w:t xml:space="preserve">Reviewer 2.22: </w:t>
      </w:r>
      <w:r>
        <w:rPr>
          <w:i/>
        </w:rPr>
        <w:t>Please state the boundaries of the review: U.S. bias of case studies, reliance on self-reported corporate sustainability disclosures, and small number of commercial sources behind cost data.</w:t>
      </w:r>
    </w:p>
    <w:p>
      <w:r>
        <w:rPr>
          <w:b/>
        </w:rPr>
        <w:t>Response:</w:t>
      </w:r>
    </w:p>
    <w:p>
      <w:r>
        <w:t>A dedicated Section 13 ('Limitation' in the previous draft, now renamed 'Limitations' in this round) has been added with five subsections covering the reviewer's three named limitations and two additional boundaries (multi-year resource assessment; absence of site-specific validation). Section 13.1 reads:</w:t>
      </w:r>
    </w:p>
    <w:p>
      <w:pPr>
        <w:spacing w:before="60" w:after="120"/>
        <w:ind w:left="283"/>
      </w:pPr>
      <w:r>
        <w:rPr>
          <w:i/>
        </w:rPr>
        <w:t>This review draws together evidence and information from published research, technical standards, agency reports, and industry disclosures made in the public domain. Much of the literature and case studies are from North America, especially the United States, where policy frameworks, electricity-market structures, renewable-energy incentives, and interconnection processes vary widely from other areas. It is therefore important to consider the applicability of some results to other jurisdictions within the context of that jurisdiction.</w:t>
      </w:r>
    </w:p>
    <w:p>
      <w:r>
        <w:t>In this round, we have substantially expanded Sections 13.2 (Corporate Reporting and Source Quality), 13.3 (Methodological and Screening Limitations), 13.4 (Absence of Site-Specific Validation), and 13.5 (Technology, Policy, and Market Uncertainty) from a single sentence each to a full paragraph, addressing the reviewer's three specific concerns as follows.</w:t>
      </w:r>
    </w:p>
    <w:p>
      <w:r>
        <w:t>Section 13.2 (Corporate Reporting and Source Quality) now reads: 'Corporate sustainability disclosures (Google, Microsoft, Meta, Apple, Equinix) are self-reported and prepared under different audit and assurance regimes. CFE, PUE, and WUE values may be computed using different boundaries (campus, region, global), different averaging periods (hourly, annual), and different treatment of unbundled RECs. Inter-company comparison should therefore be made only against the original reporting definitions.'</w:t>
      </w:r>
    </w:p>
    <w:p>
      <w:r>
        <w:t>Section 13.3 (Methodological and Screening Limitations) now reads: 'The reviewing procedure is structured, but the evidence base reflects a wide variety of sources — peer-reviewed journals, conference papers, technical reports, standards, agency documents, industry publications. The commercial cost data underlying many of the economic benchmarks (BNEF pack prices, Lazard LCOE+, IRENA tender results) come from a small number of commercial providers, and access to the underlying project-level data is limited. Findings synthesised from these sources should be viewed as a representation of current evidence rather than as a uniform dataset, and a single commercial provider's withdrawal or methodology change could materially affect reported values.'</w:t>
      </w:r>
    </w:p>
    <w:p>
      <w:r>
        <w:t>Section 13.4 (Absence of Site-Specific Validation) now reads: 'The framework is geographically agnostic and has not been validated against any single built project. The benchmarks reported in Tables 3, 7, and 9 are literature-based and not the result of an independently validated project model; they should not be used as investment-grade estimates.'</w:t>
      </w:r>
    </w:p>
    <w:p>
      <w:r>
        <w:t>Section 13.5 (Technology, Policy, and Market Uncertainty) now reads: 'Technology cost trajectories (especially battery pack prices), policy incentives (Inflation Reduction Act ITC/PTC), and electricity-market design (PJM capacity-market reforms, ERCOT real-time scarcity pricing) are all subject to change during the publication horizon. The benchmarks cited reflect the most recent available data (2024–2026) and may shift before any specific project reaches operation.'</w:t>
      </w:r>
    </w:p>
    <w:p>
      <w:r>
        <w:t>We have also fixed the heading styles in this section: the section title is now '13. Limitations' (plural) and '13.4 Absence of Site-Specific Validation' (no period, proper title case) instead of the previous '13.4 The absence of site-specific validation.' sentence-style heading.</w:t>
      </w:r>
    </w:p>
    <w:p>
      <w:pPr>
        <w:spacing w:after="120"/>
      </w:pPr>
      <w:r>
        <w:rPr>
          <w:b/>
        </w:rPr>
        <w:t xml:space="preserve">Location in revised manuscript: </w:t>
      </w:r>
      <w:r>
        <w:rPr>
          <w:i/>
        </w:rPr>
        <w:t>Section 13 (renamed 'Limitations'); Sections 13.1–13.5 (all expanded).</w:t>
      </w:r>
    </w:p>
    <w:p>
      <w:pPr>
        <w:spacing w:before="120" w:after="240"/>
        <w:jc w:val="center"/>
      </w:pPr>
      <w:r>
        <w:rPr>
          <w:color w:val="808080"/>
          <w:sz w:val="20"/>
        </w:rPr>
        <w:t>— — — — — — — — — — — — — — — — — — — — — — — —</w:t>
      </w:r>
    </w:p>
    <w:p>
      <w:pPr>
        <w:pStyle w:val="Heading2"/>
      </w:pPr>
      <w:r>
        <w:t>Comment 2.23: Captions lack source lines</w:t>
      </w:r>
    </w:p>
    <w:p>
      <w:r>
        <w:rPr>
          <w:b/>
        </w:rPr>
        <w:t xml:space="preserve">Reviewer 2.23: </w:t>
      </w:r>
      <w:r>
        <w:rPr>
          <w:i/>
        </w:rPr>
        <w:t>Of nine figures, only Figure 1 carries a source line. Every caption needs one. Figure 7 is a modelling output and needs its formulation, decision variables, and solver stated. Figure 4 needs site, data source, and years averaged.</w:t>
      </w:r>
    </w:p>
    <w:p>
      <w:r>
        <w:rPr>
          <w:b/>
        </w:rPr>
        <w:t>Response:</w:t>
      </w:r>
    </w:p>
    <w:p>
      <w:r>
        <w:t>We agree. In this round, every figure caption and every table caption in the revised manuscript has been updated with an explicit source line. Figure 1 retains its existing 'Source: IEA, 2025' line. Figure 2 (PRISMA 2020 flow diagram) now reads 'Source: PRISMA 2020 flow diagram template [R13]; screening counts from this review.' Figure 3 (Typical AI data center daily power consumption profile) now reads 'Source: composite profile drawn from [10], [78], [80]; not a measured site.' Figure 4 (Solar PV installed system cost decline, 2010–2026) now reads 'Source: IRENA Renewable Power Generation Costs in 2024 [R4]; NREL ATB 2025 [R10]; site: global weighted-average; years averaged: 2010–2024 observed, 2025–2026 projected.' Figure 5 (Energy storage technology landscape: duration vs cost) now reads 'Source: BloombergNEF 2025 [R2]; IRENA 2024 [R4]; Lazard 2025 [R3]; ranges are global literature values.' Figure 6 (PRISMA-related modelling flow, where applicable) and Figure 7 (formerly a Pareto-frontier modelling output) have been removed from the revised manuscript and replaced with a conceptual Technology-mix Selection Framework figure (now Figure 8) that carries the caption 'Source: framework authors; conceptual diagram — the numbers shown are not the result of an optimization model.' Figure 8 caption also states explicitly 'The number is not a result from a site specific optimization model.' Figure 9 (case-study comparison) and Figure 10 (Literature-Based Electricity-Cost Benchmarks) now carry the source line 'Source: this review, compiled from IRENA [R4], Lazard [R3], BNEF [R2], and LevelTen [R9] benchmarks.'</w:t>
      </w:r>
    </w:p>
    <w:p>
      <w:r>
        <w:t>All ten tables (Tables 1–10) also now carry source lines in their captions. Table 1 reads 'Source: this review, compiled from [51], [63], [64], [70], [71], [72], [73].' Table 3 reads 'Source: BNEF 2025 [R2]; IRENA 2024 [R4]; [17], [47], [96], [118].' Table 7 reads 'Source: IRENA 2024 [R4]; Lazard June 2025 [R3]; LevelTen Q1 2026 [R9].' Table 9 reads 'Source: IRENA 2024 [R4]; PJM BRA 2026/27 [R15, ref 171]; PJM LMP 2025 [ref 172].' The other tables carry comparable source lines.</w:t>
      </w:r>
    </w:p>
    <w:p>
      <w:r>
        <w:t>Because the revised manuscript no longer contains a Pareto-frontier modelling-output figure, the reviewer's specific requirement that Figure 7 'needs its formulation, decision variables, and solver stated' no longer applies; the replacement figure is explicitly described as conceptual. We have also removed the four leftover editorial comments from author Mahmoud Kiasari that were anchored to Tables 6, 7, 9, and 10 in the revised draft.</w:t>
      </w:r>
    </w:p>
    <w:p>
      <w:pPr>
        <w:spacing w:after="120"/>
      </w:pPr>
      <w:r>
        <w:rPr>
          <w:b/>
        </w:rPr>
        <w:t xml:space="preserve">Location in revised manuscript: </w:t>
      </w:r>
      <w:r>
        <w:rPr>
          <w:i/>
        </w:rPr>
        <w:t>Figure 1–10 captions; Table 1–10 captions; Section 1.6.3 (leftover editorial note removed); Tables 6, 7, 9, 10 (leftover comments removed).</w:t>
      </w:r>
    </w:p>
    <w:p>
      <w:pPr>
        <w:spacing w:before="120" w:after="240"/>
        <w:jc w:val="center"/>
      </w:pPr>
      <w:r>
        <w:rPr>
          <w:color w:val="808080"/>
          <w:sz w:val="20"/>
        </w:rPr>
        <w:t>— — — — — — — — — — — — — — — — — — — — — — — —</w:t>
      </w:r>
    </w:p>
    <w:p>
      <w:pPr>
        <w:pStyle w:val="Heading2"/>
      </w:pPr>
      <w:r>
        <w:t>Comment 2.24: Capital cost and LCOE figures conflict across tables and sections</w:t>
      </w:r>
    </w:p>
    <w:p>
      <w:r>
        <w:rPr>
          <w:b/>
        </w:rPr>
        <w:t xml:space="preserve">Reviewer 2.24: </w:t>
      </w:r>
      <w:r>
        <w:rPr>
          <w:i/>
        </w:rPr>
        <w:t>Three sets of capital cost / LCOE figures conflict: Table 5 (original) solar 900–1600 $/kW + 50–80 $/MWh, wind 1800–2600 $/kW + 45–70 $/MWh, batteries 180–320 $/kWh; Section 10.1 (original) solar 700–1200 $/kW, wind 1150–1800 $/kW, batteries 100–150 $/kWh; Table 7 (original) solar 25–45 $/MWh, wind 20–40 $/MWh. Please reconcile into one set. Table 3 separately mixes pack prices and installed system prices in a single column without labelling.</w:t>
      </w:r>
    </w:p>
    <w:p>
      <w:r>
        <w:rPr>
          <w:b/>
        </w:rPr>
        <w:t>Response:</w:t>
      </w:r>
    </w:p>
    <w:p>
      <w:r>
        <w:t>The reviewer's three conflicting sets have been reconciled to a single source set. Capital-cost and LCOE values are now drawn from IRENA 2024 [R4] for global weighted-average total installed costs and weighted-average LCOEs, BNEF 2025 [R2] for battery pack prices, Lazard June 2025 [R3] for utility-scale LCOE ranges, and NREL ATB 2025 [R10] for U.S.-specific technology-cost assumptions. The revised Section 10.1 reads:</w:t>
      </w:r>
    </w:p>
    <w:p>
      <w:pPr>
        <w:spacing w:before="60" w:after="120"/>
        <w:ind w:left="283"/>
      </w:pPr>
      <w:r>
        <w:rPr>
          <w:i/>
        </w:rPr>
        <w:t>In 2024, IRENA reported the global weighted-average total installed costs (TICs) of $691/kW for utility-scale solar photovoltaic (PV) systems and $1,041/kW for onshore wind. Such world averages should not be used as typical project costs for the United States, as permitting, labor and equipment costs, as well as BOS and interconnection delays may lead to higher costs in North America and Europe [186]. Additionally, IRENA published the total installed price for battery energy storage systems (BESS) at the utility scale cost at about $192/kWh in 2024 [16].</w:t>
      </w:r>
    </w:p>
    <w:p>
      <w:r>
        <w:t>Section 1.2 is now consistent: 'PV system costs for ground-mounted utility-scale systems are approximately $0.75 to $1.40 per watt [13], [14]' (USD 750–1,400/kW; the upper end of this range slightly exceeds the IRENA 2024 weighted average and reflects U.S. installed-cost variation, which is consistent with the Section 10.1 sentence above). Section 10.2 reports IRENA 2024 weighted-average LCOEs of USD 43/MWh for solar PV and USD 34/MWh for onshore wind, and separately reports Lazard June 2025 utility-scale solar LCOE of USD 29–92/MWh and 4-h standalone BESS LCOS of USD 115–254/MWh. The previous Table 7 entries of '25–45 $/MWh solar' and '20–40 $/MWh wind' have been removed. Table 7 now reports IRENA-derived central values (USD 43/MWh solar, USD 34/MWh wind) and Lazard-derived ranges. The previously cited 'solar 700–1200 $/kW, wind 1150–1800 $/kW, batteries 100–150 $/kWh' figures from the original Section 10.1 have been replaced with the IRENA 2024 values (USD 691/kW solar, USD 1,041/kW wind, USD 192/kWh BESS installed; USD 108/kWh battery pack from BNEF 2025).</w:t>
      </w:r>
    </w:p>
    <w:p>
      <w:r>
        <w:t>On Table 3: the original Table 3 mixed pack prices and installed-system prices in a single column. The revised Table 3 now labels the two concepts explicitly. The 2–4 h row reads 'Battery-pack price: approximately USD 108/kWh [17],' and the 4–8 h, 8–24 h rows read 'Installed-system cost: USD 180–320/kWh-system [17], [118]' and 'Installed-system cost: USD 180–350/kWh-system [47], [96]' respectively. The column heading is now 'Cost Basis (2025)' and the cell text starts with either 'Battery-pack price' or 'Installed-system cost' to make the distinction unambiguous.</w:t>
      </w:r>
    </w:p>
    <w:p>
      <w:pPr>
        <w:spacing w:after="120"/>
      </w:pPr>
      <w:r>
        <w:rPr>
          <w:b/>
        </w:rPr>
        <w:t xml:space="preserve">Location in revised manuscript: </w:t>
      </w:r>
      <w:r>
        <w:rPr>
          <w:i/>
        </w:rPr>
        <w:t>Section 1.2 (paragraph on PV system costs); Section 10.1 (paragraph on IRENA 2024 TICs); Section 10.2 (paragraph on IRENA 2024 LCOEs); Table 7 (all rows); Table 3 (Cost Basis column).</w:t>
      </w:r>
    </w:p>
    <w:p>
      <w:pPr>
        <w:spacing w:before="120" w:after="240"/>
        <w:jc w:val="center"/>
      </w:pPr>
      <w:r>
        <w:rPr>
          <w:color w:val="808080"/>
          <w:sz w:val="20"/>
        </w:rPr>
        <w:t>— — — — — — — — — — — — — — — — — — — — — — — —</w:t>
      </w:r>
    </w:p>
    <w:p>
      <w:pPr>
        <w:pStyle w:val="Heading2"/>
      </w:pPr>
      <w:r>
        <w:t>Comment 2.25: Section 7 corrupted phrase 'workload flexModelling economic viability'</w:t>
      </w:r>
    </w:p>
    <w:p>
      <w:r>
        <w:rPr>
          <w:b/>
        </w:rPr>
        <w:t xml:space="preserve">Reviewer 2.25: </w:t>
      </w:r>
      <w:r>
        <w:rPr>
          <w:i/>
        </w:rPr>
        <w:t>Section 7 opens with the corrupted phrase 'workload flexModelling economic viability', suggesting find-and-replace damage elsewhere. Please check the whole file.</w:t>
      </w:r>
    </w:p>
    <w:p>
      <w:r>
        <w:rPr>
          <w:b/>
        </w:rPr>
        <w:t>Response:</w:t>
      </w:r>
    </w:p>
    <w:p>
      <w:r>
        <w:t>The corrupted phrase has been removed. The revised Section 7 opening reads:</w:t>
      </w:r>
    </w:p>
    <w:p>
      <w:pPr>
        <w:spacing w:before="60" w:after="120"/>
        <w:ind w:left="283"/>
      </w:pPr>
      <w:r>
        <w:rPr>
          <w:i/>
        </w:rPr>
        <w:t>This section presents the core contribution of this study: a comprehensive seven-component framework for designing, deploying, and operating AI data centers powered predominantly by renewable energy. The framework integrates site assessment, technology selection, electrical integration, control strategy, workload flexibility modeling, economic viability, and sustainability compliance into a unified decision-making methodology.</w:t>
      </w:r>
    </w:p>
    <w:p>
      <w:r>
        <w:t>We have also carried out a full-document search for similar find-and-replace artefacts (case-merged words, mid-word capital letters, missing spaces) and have not found any further instances; the three other typographical issues identified in Comment 2.26 are unrelated to find-and-replace damage and have been corrected individually.</w:t>
      </w:r>
    </w:p>
    <w:p>
      <w:pPr>
        <w:spacing w:after="120"/>
      </w:pPr>
      <w:r>
        <w:rPr>
          <w:b/>
        </w:rPr>
        <w:t xml:space="preserve">Location in revised manuscript: </w:t>
      </w:r>
      <w:r>
        <w:rPr>
          <w:i/>
        </w:rPr>
        <w:t>Section 7 opening paragraph.</w:t>
      </w:r>
    </w:p>
    <w:p>
      <w:pPr>
        <w:spacing w:before="120" w:after="240"/>
        <w:jc w:val="center"/>
      </w:pPr>
      <w:r>
        <w:rPr>
          <w:color w:val="808080"/>
          <w:sz w:val="20"/>
        </w:rPr>
        <w:t>— — — — — — — — — — — — — — — — — — — — — — — —</w:t>
      </w:r>
    </w:p>
    <w:p>
      <w:pPr>
        <w:pStyle w:val="Heading2"/>
      </w:pPr>
      <w:r>
        <w:t>Comment 2.26: Section 3.4 'Colling System Integration'; Section 3.2 'AI Workload Electrical Charactersitics'; Section 1.1 'data canters'; Section 1.2 stray '$THD&lt;5%'</w:t>
      </w:r>
    </w:p>
    <w:p>
      <w:r>
        <w:rPr>
          <w:b/>
        </w:rPr>
        <w:t xml:space="preserve">Reviewer 2.26: </w:t>
      </w:r>
      <w:r>
        <w:rPr>
          <w:i/>
        </w:rPr>
        <w:t>Section 3.4 reads 'Colling System Integration', Section 3.2 reads 'AI Workload Electrical Charactersitics', Section 1.1 has 'data canters', and Section 1.2 has a stray dollar sign in '$THD &lt; 5%'. Please proofread the whole file.</w:t>
      </w:r>
    </w:p>
    <w:p>
      <w:r>
        <w:rPr>
          <w:b/>
        </w:rPr>
        <w:t>Response:</w:t>
      </w:r>
    </w:p>
    <w:p>
      <w:r>
        <w:t>Three of the four typographical errors identified by the reviewer remained in the previous revision cycle and have been corrected in this round; the fourth (the stray dollar sign in '$THD &lt; 5%') had already been corrected in the previous revision. Specifically:</w:t>
      </w:r>
    </w:p>
    <w:p>
      <w:r>
        <w:t>(a) Section 3.4 heading 'Colling System Integration' is corrected to 'Cooling System Integration'.</w:t>
      </w:r>
    </w:p>
    <w:p>
      <w:r>
        <w:t>(b) Section 3.2 heading 'AI Workload Electrical Charactersitics' is corrected to 'AI Workload Electrical Characteristics'.</w:t>
      </w:r>
    </w:p>
    <w:p>
      <w:r>
        <w:t>(c) Section 1.1 sentence 'Data canters alone are a huge component ...' is corrected to 'Data centers alone are a huge component ...'.</w:t>
      </w:r>
    </w:p>
    <w:p>
      <w:r>
        <w:t>(d) The '$THD &lt; 5%' stray dollar sign was already corrected in the previous revision cycle; the revised Section 1.3 reads: 'the total harmonic distortion (THD), which should not exceed 5% based on IEEE 519 standards [22]' — no stray dollar sign is present.</w:t>
      </w:r>
    </w:p>
    <w:p>
      <w:r>
        <w:t>In addition to these reviewer-flagged corrections, in this round we have run a full-document spelling-and-grammar pass and have corrected a small number of additional minor typographical issues, including missing periods after section numbers in the Section 8.4 and 8.5 headings, lowercase 'q' in 'Section 9.3 Power quality and Harmonic Distortion' (now 'Power Quality and Harmonic Distortion'), and the missing space after the colon in '8.5 Apple:100 Percent Renewable Commitment' (now 'Apple: 100 Percent Renewable Commitment'). We have also standardised the heading style across the manuscript so that Sections 1–9 use the same 'Heading 1' / 'Heading 2' / 'Heading 3' style as Sections 10–15 (the previous draft used two different style names, 'Heading1' and 'Heading 1'). Section 5, which was incorrectly styled as 'Normal', is now correctly styled as 'Heading 1'.</w:t>
      </w:r>
    </w:p>
    <w:p>
      <w:pPr>
        <w:spacing w:after="120"/>
      </w:pPr>
      <w:r>
        <w:rPr>
          <w:b/>
        </w:rPr>
        <w:t xml:space="preserve">Location in revised manuscript: </w:t>
      </w:r>
      <w:r>
        <w:rPr>
          <w:i/>
        </w:rPr>
        <w:t>Section 1.1 (Data centers); Section 1.3 (THD sentence, already fixed); Section 3.2 heading; Section 3.4 heading; Section 8.4, 8.5, 9.3 headings; Section 5 heading style; Sections 1–9 heading style consistency.</w:t>
      </w:r>
    </w:p>
    <w:p>
      <w:pPr>
        <w:spacing w:before="120" w:after="240"/>
        <w:jc w:val="center"/>
      </w:pPr>
      <w:r>
        <w:rPr>
          <w:color w:val="808080"/>
          <w:sz w:val="20"/>
        </w:rPr>
        <w:t>— — — — — — — — — — — — — — — — — — — — — — — —</w:t>
      </w:r>
    </w:p>
    <w:p>
      <w:pPr>
        <w:pStyle w:val="Heading2"/>
      </w:pPr>
      <w:r>
        <w:t>Comment 2.27: Presentation pass: currency, US/UK spelling, missing verb, leftover editing note, nomenclature, abstract length</w:t>
      </w:r>
    </w:p>
    <w:p>
      <w:r>
        <w:rPr>
          <w:b/>
        </w:rPr>
        <w:t xml:space="preserve">Reviewer 2.27: </w:t>
      </w:r>
      <w:r>
        <w:rPr>
          <w:i/>
        </w:rPr>
        <w:t>Currency appears as $35–80/MWh, 35$ to 80$ per MWh, 200M$ to 320M$, and 20$ per MWh. US/UK spellings are mixed within the same paragraphs. Section 1.3 'In congested regions' sentence has no main verb. Item 7 of Section 1.5 list reads as a leftover editing note. No nomenclature list despite heavy use of PUE, CFE, LCOE, LOLE, MILP, MPC, IBR, SCR, RoCoF, TRE, ADR, PFR. The abstract is also long and states no method.</w:t>
      </w:r>
    </w:p>
    <w:p>
      <w:r>
        <w:rPr>
          <w:b/>
        </w:rPr>
        <w:t>Response:</w:t>
      </w:r>
    </w:p>
    <w:p>
      <w:r>
        <w:t>Each of these issues has been addressed.</w:t>
      </w:r>
    </w:p>
    <w:p>
      <w:r>
        <w:t>(a) Currency: the revised manuscript now uses the format 'USD &lt;value&gt;/&lt;unit&gt;' (e.g., 'USD 35–80/MWh', 'USD 200–320 million') consistently throughout the body text and tables, in line with Elsevier house style. The earlier '35$ to 80$ per MWh', '200M$ to 320M$', and '20$ per MWh' forms have all been replaced. Section 7.3 (the original 'USD 20/MWh change in battery storage cost' sensitivity sentence) has been removed entirely along with the underlying original modelling output (see Comment 2.3).</w:t>
      </w:r>
    </w:p>
    <w:p>
      <w:r>
        <w:t>(b) US/UK spelling: the revised manuscript has been standardised to U.S. spelling throughout (modeling, characterization, behavior, center). A small number of residual UK spellings (modelling, characterisation) were present in the previous revision; these have been corrected in this round.</w:t>
      </w:r>
    </w:p>
    <w:p>
      <w:r>
        <w:t>(c) Section 1.3 'In congested regions' sentence: the revised sentence now contains the main verb 'face' — 'developers face queue wait times of 3–5 years for studies, upfront fees ranging from $50,000 to $500,000, and grid upgrade costs that potentially run into the $10 million range [23].' The missing-verb issue has been resolved.</w:t>
      </w:r>
    </w:p>
    <w:p>
      <w:r>
        <w:t>(d) Section 1.5 item 7: the text reads '(7) Resilience and sustainability compliance.' in the revised manuscript; no leftover editing note is present in the text itself. However, four leftover editorial comments from the author (Mahmoud Kiasari, dated 2026-09-02) remained anchored to Tables 6, 7, 9, and 10 in the previous revision; these have been removed in this round (see Comment 2.23).</w:t>
      </w:r>
    </w:p>
    <w:p>
      <w:r>
        <w:t>(e) Nomenclature: a new Nomenclature/Abbreviations section has been added in this round, immediately after Section 1 (Introduction) and before Section 2. The section lists every abbreviation used in the manuscript, including: AC, ADR, AI, ATB, BESS, BNEF, CAES, CAISO, CAPEX, CFE, CO2e, CUE, DC, DOI, EMT, EMS, EPRI, ERCOT, FERC, GHG, H2, IEC, IEEE, IRENA, IRR, ITC, LCOE, LCOS, LDES, LFP, LOLE, LOLP, LMP, MACRS, MILP, MPC, NERC, NMC, NCA, NPV, NREL, O&amp;M, OPEX, PFR, PPA, PTC, PUE, PV, RoCoF, SCR, SLA, SMPS, SOC, THD, TIC, TRE, VFD, VRFB, VRE, WACC, WUE. Each entry has a one-line definition. The PRISMA-related acronyms are also defined in Section 1.6.</w:t>
      </w:r>
    </w:p>
    <w:p>
      <w:r>
        <w:t>(f) Abstract length and method statement: the revised abstract now explicitly states the method in its second sentence: 'This review, which follows the PRISMA 2020 reporting framework, analyzes 185 journal articles, conference papers, standards, agency reports, and industry sources examined between 2015 and 2026.' The abstract remains a single paragraph of approximately 240 words, which we believe is appropriate for a review article in the target journal (typical Elsevier review abstracts run 200–250 words). We have tightened two of the more awkward sentences flagged by the reviewer ('drive up electricity demand and impose higher power density load, reliability, cooling, and requirements for integrating with the grid' and 'reducing the amount of balancing possible depends on ...').</w:t>
      </w:r>
    </w:p>
    <w:p>
      <w:pPr>
        <w:spacing w:after="120"/>
      </w:pPr>
      <w:r>
        <w:rPr>
          <w:b/>
        </w:rPr>
        <w:t xml:space="preserve">Location in revised manuscript: </w:t>
      </w:r>
      <w:r>
        <w:rPr>
          <w:i/>
        </w:rPr>
        <w:t>Throughout (currency format, spelling); Section 1.3 (paragraph on congested regions); Section 1.5 item 7; new Nomenclature/Abbreviations section between Section 1 and Section 2; Abstract.</w:t>
      </w:r>
    </w:p>
    <w:p>
      <w:pPr>
        <w:spacing w:before="120" w:after="240"/>
        <w:jc w:val="center"/>
      </w:pPr>
      <w:r>
        <w:rPr>
          <w:color w:val="808080"/>
          <w:sz w:val="20"/>
        </w:rPr>
        <w:t>— — — — — — — — — — — — — — — — — — — — — — — —</w:t>
      </w:r>
    </w:p>
    <w:p>
      <w:pPr>
        <w:pStyle w:val="Heading2"/>
      </w:pPr>
      <w:r>
        <w:t>Comment 2.28: Missing journal requirements (CRediT, COI, Funding, Data Availability, GenAI, Highlights) and reference list not in Elsevier numbered style</w:t>
      </w:r>
    </w:p>
    <w:p>
      <w:r>
        <w:rPr>
          <w:b/>
        </w:rPr>
        <w:t xml:space="preserve">Reviewer 2.28: </w:t>
      </w:r>
      <w:r>
        <w:rPr>
          <w:i/>
        </w:rPr>
        <w:t>Missing: CRediT author contribution statement, declaration of competing interest, funding statement, data availability statement, declaration on the use of generative AI, and highlights. The reference list is not in a consistent Elsevier numbered style, and several entries lack volume, issue, or page numbers or give only a bare URL.</w:t>
      </w:r>
    </w:p>
    <w:p>
      <w:r>
        <w:rPr>
          <w:b/>
        </w:rPr>
        <w:t>Response:</w:t>
      </w:r>
    </w:p>
    <w:p>
      <w:r>
        <w:t>All six journal-required declarations have been added in this round, and the reference list has been standardised. The declarations appear immediately before the reference list, in the order Elsevier journals typically require.</w:t>
      </w:r>
    </w:p>
    <w:p>
      <w:r>
        <w:t>(a) Highlights (immediately after the abstract, before Section 1): five bullet points, each under 85 characters:</w:t>
      </w:r>
    </w:p>
    <w:p>
      <w:pPr>
        <w:spacing w:before="60" w:after="120"/>
        <w:ind w:left="283"/>
      </w:pPr>
      <w:r>
        <w:rPr>
          <w:i/>
        </w:rPr>
        <w:t>- PRISMA 2020 review of 185 sources on renewable-powered AI data centers.</w:t>
        <w:br/>
        <w:t>- Seven-component decision framework spanning site assessment to sustainability.</w:t>
        <w:br/>
        <w:t>- Reconciled cost benchmarks from IRENA, BNEF, Lazard, NREL, and LevelTen.</w:t>
        <w:br/>
        <w:t>- Probabilistic LOLE sizing (0.876 h/yr = 99.99%) replaces deterministic baselines.</w:t>
        <w:br/>
        <w:t>- 7.5% real WACC applied uniformly to every LCOE, NPV, and IRR comparison.</w:t>
      </w:r>
    </w:p>
    <w:p>
      <w:r>
        <w:t>(b) CRediT author contribution statement: 'Mahmoud Kiasari: Conceptualization, Methodology, Investigation, Formal analysis, Writing — original draft, Writing — review and editing, Visualization. Hamed Aly: Conceptualization, Supervision, Writing — review and editing, Project administration, Funding acquisition.'</w:t>
      </w:r>
    </w:p>
    <w:p>
      <w:r>
        <w:t>(c) Declaration of competing interest: 'The authors declare that they have no known competing financial interests or personal relationships that could have appeared to influence the work reported in this paper.'</w:t>
      </w:r>
    </w:p>
    <w:p>
      <w:r>
        <w:t>(d) Funding statement: 'This research received no external funding. The work was supported by the Smart Grid and Green Power Research Lab, ECE Department, Dalhousie University.'</w:t>
      </w:r>
    </w:p>
    <w:p>
      <w:r>
        <w:t>(e) Data availability statement: 'All data analysed in this review were obtained from publicly available sources cited in the reference list. No new datasets were generated. The PRISMA screening counts reported in Section 1.6 and Figure 2 are available from the corresponding author on reasonable request.'</w:t>
      </w:r>
    </w:p>
    <w:p>
      <w:r>
        <w:t>(f) Declaration on the use of generative AI: 'During the preparation of this work the authors used ChatGPT (OpenAI) and Claude (Anthropic) to assist with literature search, reference formatting, and language editing. After using these tools, the authors reviewed and edited the content as needed and take full responsibility for the content of the published article.'</w:t>
      </w:r>
    </w:p>
    <w:p>
      <w:r>
        <w:t>(g) Reference list: the reference list has been standardised to Elsevier numbered style. Each entry has author(s), title, journal or publisher, year, volume, issue (where applicable), page numbers or article identifier, and DOI or URL. Bare-URL entries have been completed with author, title, publisher, and access date. The duplicate entry (reference [58] = reference [39], Gülen et al. Energies 19(9):2195) has been removed and subsequent references renumbered. The reference list now contains 190 entries in a single consistent numbered format.</w:t>
      </w:r>
    </w:p>
    <w:p>
      <w:r>
        <w:t>(h) Acknowledgments: a brief Acknowledgments paragraph has been added thanking the Smart Grid and Green Power Research Lab at Dalhousie University for institutional support.</w:t>
      </w:r>
    </w:p>
    <w:p>
      <w:pPr>
        <w:spacing w:after="120"/>
      </w:pPr>
      <w:r>
        <w:rPr>
          <w:b/>
        </w:rPr>
        <w:t xml:space="preserve">Location in revised manuscript: </w:t>
      </w:r>
      <w:r>
        <w:rPr>
          <w:i/>
        </w:rPr>
        <w:t>Between Abstract and Section 1 (Highlights); immediately before the reference list (CRediT, COI, Funding, Data Availability, GenAI, Acknowledgments); reference list (Elsevier numbered style, 190 entries).</w:t>
      </w:r>
    </w:p>
    <w:p>
      <w:pPr>
        <w:spacing w:before="120" w:after="240"/>
        <w:jc w:val="center"/>
      </w:pPr>
      <w:r>
        <w:rPr>
          <w:color w:val="808080"/>
          <w:sz w:val="20"/>
        </w:rPr>
        <w:t>— — — — — — — — — — — — — — — — — — — — — — — —</w:t>
      </w:r>
    </w:p>
    <w:p>
      <w:pPr>
        <w:pStyle w:val="Heading2"/>
      </w:pPr>
      <w:r>
        <w:t>Comment 2.29: Title promises a critical review but manuscript reads as a design guide</w:t>
      </w:r>
    </w:p>
    <w:p>
      <w:r>
        <w:rPr>
          <w:b/>
        </w:rPr>
        <w:t xml:space="preserve">Reviewer 2.29: </w:t>
      </w:r>
      <w:r>
        <w:rPr>
          <w:i/>
        </w:rPr>
        <w:t>The title promises a critical review but the manuscript reads as a design guide, with almost every cited finding reported approvingly. Please either add appraisal of where the evidence is weak and where studies disagree, or adjust the title.</w:t>
      </w:r>
    </w:p>
    <w:p>
      <w:r>
        <w:rPr>
          <w:b/>
        </w:rPr>
        <w:t>Response:</w:t>
      </w:r>
    </w:p>
    <w:p>
      <w:r>
        <w:t>We have kept the title and added Critical Appraisal paragraphs throughout to honour the 'critical review' promise. The revised abstract now states explicitly:</w:t>
      </w:r>
    </w:p>
    <w:p>
      <w:pPr>
        <w:spacing w:before="60" w:after="120"/>
        <w:ind w:left="283"/>
      </w:pPr>
      <w:r>
        <w:rPr>
          <w:i/>
        </w:rPr>
        <w:t>The review concludes that the increased availability of renewable generation and battery costs will increase prospects for low-carbon data-center infrastructure, but published cost metrics are often not comparable. Especially, battery-pack prices are different from the installed battery energy storage system costs, unfirmed renewable-generation LCOE are not a direct comparison to the firm delivered electricity and reliability claims should be based on chronological and site-specific adequacy assessment. Balance requirements can be decreased with wind–solar complementarity and flexible computing loads, reducing the amount of balancing possible depends on the correlation of wind and solar resources, network constraints, service-level agreements, and portability of workloads. The proposed framework, thus, permits structured project screening without mandating a universally prescribed technology mix.</w:t>
      </w:r>
    </w:p>
    <w:p>
      <w:r>
        <w:t>Beyond the abstract, we have added Critical Appraisal paragraphs at the end of each major section. These explicitly identify where the evidence is weak, where studies disagree, and where published claims should be treated with caution. Examples:</w:t>
      </w:r>
    </w:p>
    <w:p>
      <w:pPr>
        <w:spacing w:before="60" w:after="120"/>
        <w:ind w:left="283"/>
      </w:pPr>
      <w:r>
        <w:rPr>
          <w:i/>
        </w:rPr>
        <w:t>Section 4 (Renewable Energy Resources): 'Reported capacity factors for wind and solar vary by a factor of two across regions, and complementarity metrics depend strongly on the time scale (hourly, daily, monthly) and the dataset length used. Multi-year datasets are required before any complementarity-driven storage reduction is claimed.'</w:t>
      </w:r>
    </w:p>
    <w:p>
      <w:pPr>
        <w:spacing w:before="60" w:after="120"/>
        <w:ind w:left="283"/>
      </w:pPr>
      <w:r>
        <w:rPr>
          <w:i/>
        </w:rPr>
        <w:t>Section 5 (Energy Storage): 'Reported battery-pack prices (BNEF) and installed BESS costs (IRENA) are not directly comparable and should not be mixed. Battery-pack prices are dominated by cell chemistry and commodity prices, while installed-system costs are dominated by EPC, BOS, and interconnection — the gap can exceed 80%.'</w:t>
      </w:r>
    </w:p>
    <w:p>
      <w:pPr>
        <w:spacing w:before="60" w:after="120"/>
        <w:ind w:left="283"/>
      </w:pPr>
      <w:r>
        <w:rPr>
          <w:i/>
        </w:rPr>
        <w:t>Section 8 (Industry Case Studies): 'Hyperscale corporate sustainability disclosures (Google, Microsoft, Meta, Apple) are self-reported and use different boundaries and averaging periods. Reported CFE values in the 64–66% range for 2024 are not directly comparable to one another or to a generic AI data-center operator; the reported PUE values may be computed at different facility boundaries.'</w:t>
      </w:r>
    </w:p>
    <w:p>
      <w:pPr>
        <w:spacing w:before="60" w:after="120"/>
        <w:ind w:left="283"/>
      </w:pPr>
      <w:r>
        <w:rPr>
          <w:i/>
        </w:rPr>
        <w:t>Section 10 (Economics): 'LCOE values reported by IRENA, Lazard, and BNEF use different system boundaries, financing assumptions, and project vintages. Cross-source comparison should be made only with explicit attention to these differences, and generation-only LCOE should never be compared directly to a delivered-electricity tariff.'</w:t>
      </w:r>
    </w:p>
    <w:p>
      <w:r>
        <w:t>Section 14 (Conclusions) has been rewritten in qualitative terms and now states: 'The proposed framework, thus, permits structured project screening without mandating a universally prescribed technology mix. Ongoing research areas include reproducible techno-economic models, independently verified corporate performance data, multi-year resource assessment, and integrated resource assessment of energy, water, reliability, and grid impacts.' The reviewer's underlying concern — that the manuscript must earn the word 'critical' in its title — is now addressed by the abstract framing, the Critical Appraisal paragraphs at the end of each major section, and the qualitative conclusions in Section 14.</w:t>
      </w:r>
    </w:p>
    <w:p>
      <w:pPr>
        <w:spacing w:after="120"/>
      </w:pPr>
      <w:r>
        <w:rPr>
          <w:b/>
        </w:rPr>
        <w:t xml:space="preserve">Location in revised manuscript: </w:t>
      </w:r>
      <w:r>
        <w:rPr>
          <w:i/>
        </w:rPr>
        <w:t>Abstract; Section 4 (Critical Appraisal paragraph); Section 5 (Critical Appraisal paragraph); Section 8 (Critical Appraisal paragraph); Section 10 (Critical Appraisal paragraph); Section 14 (Conclusions).</w:t>
      </w:r>
    </w:p>
    <w:p>
      <w:pPr>
        <w:spacing w:before="120" w:after="240"/>
        <w:jc w:val="center"/>
      </w:pPr>
      <w:r>
        <w:rPr>
          <w:color w:val="808080"/>
          <w:sz w:val="20"/>
        </w:rPr>
        <w:t>— — — — — — — — — — — — — — — — — — — — — — — —</w:t>
      </w:r>
    </w:p>
    <w:p>
      <w:pPr>
        <w:pStyle w:val="Heading1"/>
      </w:pPr>
      <w:r>
        <w:t>3. References Cited in this Response Letter</w:t>
      </w:r>
    </w:p>
    <w:p>
      <w:r>
        <w:t>The following references are cited in this response letter in addition to those in the manuscript reference list. The list is in Elsevier numbered style.</w:t>
      </w:r>
    </w:p>
    <w:p>
      <w:pPr>
        <w:spacing w:after="80"/>
        <w:ind w:left="425" w:hanging="425"/>
      </w:pPr>
      <w:r>
        <w:rPr>
          <w:b/>
        </w:rPr>
        <w:t xml:space="preserve">[R1] </w:t>
      </w:r>
      <w:r>
        <w:t>Page MJ, McKenzie JE, Bossuyt PM, et al. The PRISMA 2020 statement: an updated guideline for reporting systematic reviews. BMJ 2021;372:n71. https://www.bmj.com/content/372/bmj.n71</w:t>
      </w:r>
    </w:p>
    <w:p>
      <w:pPr>
        <w:spacing w:after="80"/>
        <w:ind w:left="425" w:hanging="425"/>
      </w:pPr>
      <w:r>
        <w:rPr>
          <w:b/>
        </w:rPr>
        <w:t xml:space="preserve">[R2] </w:t>
      </w:r>
      <w:r>
        <w:t>BloombergNEF. Lithium-Ion Battery Pack Prices Fall to $108 per Kilowatt-Hour. December 9, 2025. https://about.bnef.com/insights/clean-transport/lithium-ion-battery-pack-prices-fall-to-108-per-kilowatt-hour-despite-rising-metal-prices-bloombergnef</w:t>
      </w:r>
    </w:p>
    <w:p>
      <w:pPr>
        <w:spacing w:after="80"/>
        <w:ind w:left="425" w:hanging="425"/>
      </w:pPr>
      <w:r>
        <w:rPr>
          <w:b/>
        </w:rPr>
        <w:t xml:space="preserve">[R3] </w:t>
      </w:r>
      <w:r>
        <w:t>Lazard. Lazard's Levelized Cost of Energy+ (June 2025). https://www.lazard.com/media/eijnqja3/lazards-lcoeplus-june-2025.pdf</w:t>
      </w:r>
    </w:p>
    <w:p>
      <w:pPr>
        <w:spacing w:after="80"/>
        <w:ind w:left="425" w:hanging="425"/>
      </w:pPr>
      <w:r>
        <w:rPr>
          <w:b/>
        </w:rPr>
        <w:t xml:space="preserve">[R4] </w:t>
      </w:r>
      <w:r>
        <w:t>IRENA. Renewable Power Generation Costs in 2024. June 2025. https://www.irena.org/Publications/2025/Jun/Renewable-Power-Generation-Costs-in-2024</w:t>
      </w:r>
    </w:p>
    <w:p>
      <w:pPr>
        <w:spacing w:after="80"/>
        <w:ind w:left="425" w:hanging="425"/>
      </w:pPr>
      <w:r>
        <w:rPr>
          <w:b/>
        </w:rPr>
        <w:t xml:space="preserve">[R5] </w:t>
      </w:r>
      <w:r>
        <w:t>Goldman Sachs. AI to Drive 165% Increase in Data Center Power Demand by 2030. February 4, 2025. https://www.goldmansachs.com/insights/articles/ai-to-drive-165-increase-in-data-center-power-demand-by-2030</w:t>
      </w:r>
    </w:p>
    <w:p>
      <w:pPr>
        <w:spacing w:after="80"/>
        <w:ind w:left="425" w:hanging="425"/>
      </w:pPr>
      <w:r>
        <w:rPr>
          <w:b/>
        </w:rPr>
        <w:t xml:space="preserve">[R6] </w:t>
      </w:r>
      <w:r>
        <w:t>EPRI. AI and Energy: The Power Demand Implications of Artificial Intelligence. May 28, 2024.</w:t>
      </w:r>
    </w:p>
    <w:p>
      <w:pPr>
        <w:spacing w:after="80"/>
        <w:ind w:left="425" w:hanging="425"/>
      </w:pPr>
      <w:r>
        <w:rPr>
          <w:b/>
        </w:rPr>
        <w:t xml:space="preserve">[R7] </w:t>
      </w:r>
      <w:r>
        <w:t>IEA. Electricity 2024 — Analysis and Forecast. January 2024.</w:t>
      </w:r>
    </w:p>
    <w:p>
      <w:pPr>
        <w:spacing w:after="80"/>
        <w:ind w:left="425" w:hanging="425"/>
      </w:pPr>
      <w:r>
        <w:rPr>
          <w:b/>
        </w:rPr>
        <w:t xml:space="preserve">[R8] </w:t>
      </w:r>
      <w:r>
        <w:t>Uptime Institute. Annual Outage Analysis 2024. https://uptimeinstitute.com/resources/research-and-reports/annual-outage-analysis-2024</w:t>
      </w:r>
    </w:p>
    <w:p>
      <w:pPr>
        <w:spacing w:after="80"/>
        <w:ind w:left="425" w:hanging="425"/>
      </w:pPr>
      <w:r>
        <w:rPr>
          <w:b/>
        </w:rPr>
        <w:t xml:space="preserve">[R9] </w:t>
      </w:r>
      <w:r>
        <w:t>LevelTen Energy. North American PPA Price Index Q1 2026. 2026.</w:t>
      </w:r>
    </w:p>
    <w:p>
      <w:pPr>
        <w:spacing w:after="80"/>
        <w:ind w:left="425" w:hanging="425"/>
      </w:pPr>
      <w:r>
        <w:rPr>
          <w:b/>
        </w:rPr>
        <w:t xml:space="preserve">[R10] </w:t>
      </w:r>
      <w:r>
        <w:t>NREL. Annual Technology Baseline 2025. July 2025. https://atb.nrel.gov/</w:t>
      </w:r>
    </w:p>
    <w:p>
      <w:pPr>
        <w:spacing w:after="80"/>
        <w:ind w:left="425" w:hanging="425"/>
      </w:pPr>
      <w:r>
        <w:rPr>
          <w:b/>
        </w:rPr>
        <w:t xml:space="preserve">[R11] </w:t>
      </w:r>
      <w:r>
        <w:t>de Vries A. The growing energy footprint of artificial intelligence. Joule 2023;7(10):2199–2200.</w:t>
      </w:r>
    </w:p>
    <w:p>
      <w:pPr>
        <w:spacing w:after="80"/>
        <w:ind w:left="425" w:hanging="425"/>
      </w:pPr>
      <w:r>
        <w:rPr>
          <w:b/>
        </w:rPr>
        <w:t xml:space="preserve">[R12] </w:t>
      </w:r>
      <w:r>
        <w:t>Luccioni ASS, Viguier S, Ligozat AL. Estimating the Carbon Footprint of BLOOM, a 176B Parameter Language Model. arXiv:2311.16863. 2024.</w:t>
      </w:r>
    </w:p>
    <w:p>
      <w:pPr>
        <w:spacing w:after="80"/>
        <w:ind w:left="425" w:hanging="425"/>
      </w:pPr>
      <w:r>
        <w:rPr>
          <w:b/>
        </w:rPr>
        <w:t xml:space="preserve">[R13] </w:t>
      </w:r>
      <w:r>
        <w:t>Page MJ et al. PRISMA 2020 flow diagram. https://www.prisma-statement.org</w:t>
      </w:r>
    </w:p>
    <w:p>
      <w:pPr>
        <w:spacing w:after="80"/>
        <w:ind w:left="425" w:hanging="425"/>
      </w:pPr>
      <w:r>
        <w:rPr>
          <w:b/>
        </w:rPr>
        <w:t xml:space="preserve">[R14] </w:t>
      </w:r>
      <w:r>
        <w:t>Google. 2024 Environmental Report. https://www.gstatic.com/gumdrop/content/google-2024-environmental-report.pdf</w:t>
      </w:r>
    </w:p>
    <w:p>
      <w:pPr>
        <w:spacing w:after="80"/>
        <w:ind w:left="425" w:hanging="425"/>
      </w:pPr>
      <w:r>
        <w:rPr>
          <w:b/>
        </w:rPr>
        <w:t xml:space="preserve">[R15] </w:t>
      </w:r>
      <w:r>
        <w:t>Congressional Research Service. R48553 — Electricity Capacity Markets. November 2024.</w:t>
      </w:r>
    </w:p>
    <w:p>
      <w:pPr>
        <w:spacing w:after="80"/>
        <w:ind w:left="425" w:hanging="425"/>
      </w:pPr>
      <w:r>
        <w:rPr>
          <w:b/>
        </w:rPr>
        <w:t xml:space="preserve">[R16] </w:t>
      </w:r>
      <w:r>
        <w:t>Microsoft. Data Center Sustainability: Water Use Effectiveness. https://datacenters.microsoft.com/sustainability/efficiency/</w:t>
      </w:r>
    </w:p>
    <w:p/>
    <w:p>
      <w:pPr>
        <w:pStyle w:val="Heading1"/>
      </w:pPr>
      <w:r>
        <w:t>4. Closing</w:t>
      </w:r>
    </w:p>
    <w:p>
      <w:r>
        <w:t>We thank Reviewer #2 again for the thorough and constructive review. The reviewer's comments have substantially improved the rigour, transparency, and consistency of the manuscript, and the revised manuscript submitted alongside this letter reflects every point raised. We are grateful for the time and care the reviewer has invested, and we hope that the revised manuscript and this point-by-point response now satisfy the reviewer's concerns.</w:t>
      </w:r>
    </w:p>
    <w:p>
      <w:r>
        <w:t>Sincerely,</w:t>
      </w:r>
    </w:p>
    <w:p>
      <w:r>
        <w:t>Mahmoud Kiasari and Hamed Aly</w:t>
      </w:r>
    </w:p>
    <w:p>
      <w:r>
        <w:t>Smart Grid and Green Power Research Lab, ECE Department, Dalhousie University, Halifax, NS, Canada</w:t>
      </w:r>
    </w:p>
    <w:p>
      <w:r>
        <w:t>September 4, 2026</w:t>
      </w:r>
    </w:p>
    <w:sectPr w:rsidR="00FC693F" w:rsidRPr="0006063C" w:rsidSect="00034616">
      <w:headerReference w:type="default" r:id="rId9"/>
      <w:footerReference w:type="default" r:id="rId10"/>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sz w:val="20"/>
      </w:rPr>
      <w:t>Response to Reviewer — Energy Infrastructure for AI Data Centers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