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9216D3" w:rsidRDefault="009216D3" w:rsidP="009216D3">
      <w:pPr>
        <w:pStyle w:val="Correspondence"/>
        <w:spacing w:before="0" w:after="0"/>
        <w:rPr>
          <w:bCs/>
          <w:color w:val="auto"/>
          <w:lang w:val="fr-FR"/>
        </w:rPr>
      </w:pPr>
      <w:hyperlink r:id="rId9" w:history="1">
        <w:r w:rsidRPr="009216D3">
          <w:rPr>
            <w:rStyle w:val="Hyperlink"/>
            <w:bCs/>
            <w:lang w:val="fr-FR"/>
          </w:rPr>
          <w:t>Mahmoud.Kiasari@dal.ca</w:t>
        </w:r>
      </w:hyperlink>
      <w:r w:rsidRPr="009216D3">
        <w:rPr>
          <w:bCs/>
          <w:color w:val="auto"/>
          <w:lang w:val="fr-FR"/>
        </w:rPr>
        <w:t xml:space="preserve">, </w:t>
      </w:r>
      <w:hyperlink r:id="rId10" w:history="1">
        <w:r w:rsidRPr="009216D3">
          <w:rPr>
            <w:rStyle w:val="Hyperlink"/>
            <w:bCs/>
            <w:lang w:val="fr-FR"/>
          </w:rPr>
          <w:t>Hamed.Aly@dal.ca</w:t>
        </w:r>
      </w:hyperlink>
    </w:p>
    <w:p w14:paraId="3CD1BF16" w14:textId="7DE8A0E4" w:rsidR="0098546F" w:rsidRPr="0098546F" w:rsidRDefault="00FE013C" w:rsidP="0098546F">
      <w:pPr>
        <w:pStyle w:val="Abstract"/>
        <w:spacing w:before="0" w:line="240" w:lineRule="auto"/>
        <w:rPr>
          <w:bCs/>
        </w:rPr>
      </w:pPr>
      <w:r>
        <w:rPr>
          <w:b/>
        </w:rPr>
        <w:t xml:space="preserve">Abstract: </w:t>
      </w:r>
      <w:r w:rsidR="0098546F" w:rsidRPr="0098546F">
        <w:rPr>
          <w:bCs/>
        </w:rPr>
        <w:t>The intense growth of artificial intelligence (AI) workloads is driving global data center electricity demand to hit a projected 945 TWh by 2030, up from approximately 415 TWh today. The critical challenge lies in satisfying this exponential growth while simultaneously meeting climate goals and ensuring economic sustainability.</w:t>
      </w:r>
    </w:p>
    <w:p w14:paraId="70FAE7E5" w14:textId="6071579E" w:rsidR="0098546F" w:rsidRPr="0098546F" w:rsidRDefault="0098546F" w:rsidP="0098546F">
      <w:pPr>
        <w:pStyle w:val="Abstract"/>
        <w:spacing w:before="0" w:line="240" w:lineRule="auto"/>
        <w:rPr>
          <w:bCs/>
        </w:rPr>
      </w:pPr>
      <w:r w:rsidRPr="0098546F">
        <w:rPr>
          <w:bCs/>
        </w:rPr>
        <w:t>To address this, this study introduces a seven-component design framework covering the technical, economic, and regulatory dimensions of sustainable computing infrastructure. The framework integrates site assessment, technology selection, electrical architecture design, hierarchical control, demand-side workload flexibility, economic viability analysis, and regulatory compliance.</w:t>
      </w:r>
    </w:p>
    <w:p w14:paraId="649F2384" w14:textId="77777777" w:rsidR="0098546F" w:rsidRPr="0098546F" w:rsidRDefault="0098546F" w:rsidP="0098546F">
      <w:pPr>
        <w:pStyle w:val="Abstract"/>
        <w:spacing w:before="0" w:line="240" w:lineRule="auto"/>
        <w:rPr>
          <w:bCs/>
        </w:rPr>
      </w:pPr>
      <w:r w:rsidRPr="0098546F">
        <w:rPr>
          <w:bCs/>
        </w:rPr>
        <w:t>Synthesized from a comprehensive review of over 185 peer-reviewed articles, industry reports, and policy documents, this study combines current knowledge in renewable technologies, energy storage, power system modeling, and operations. This framework is validated by global tech case studies achieving cost-competitive electricity delivery at $35–$100/MWh alongside &gt;99.9% reliability targets.</w:t>
      </w:r>
    </w:p>
    <w:p w14:paraId="060DE69F" w14:textId="4711DED8" w:rsidR="00F97477" w:rsidRDefault="0098546F" w:rsidP="0098546F">
      <w:pPr>
        <w:pStyle w:val="Abstract"/>
        <w:spacing w:before="0" w:line="240" w:lineRule="auto"/>
        <w:rPr>
          <w:bCs/>
        </w:rPr>
      </w:pPr>
      <w:r w:rsidRPr="0098546F">
        <w:rPr>
          <w:bCs/>
        </w:rPr>
        <w:t>Key findings indicate that lithium-ion battery prices are projected to fall below $108/kWh in 2026, solar PV installation costs have dropped over 90% since 2010, and geographic diversification leveraging wind-solar complementarity can reduce required storage capacity by 40% to 60%. Detailed economic modeling</w:t>
      </w:r>
      <w:r>
        <w:rPr>
          <w:bCs/>
        </w:rPr>
        <w:t xml:space="preserve">, </w:t>
      </w:r>
      <w:r w:rsidRPr="0098546F">
        <w:rPr>
          <w:bCs/>
        </w:rPr>
        <w:t>including levelized cost of energy (LCOE), net present value (NPV), and sensitivity assessments</w:t>
      </w:r>
      <w:r>
        <w:rPr>
          <w:bCs/>
        </w:rPr>
        <w:t xml:space="preserve"> </w:t>
      </w:r>
      <w:r w:rsidRPr="0098546F">
        <w:rPr>
          <w:bCs/>
        </w:rPr>
        <w:t>demonstrates viable payback periods of 5–12 years under current tax incentives. Finally, a multi-year implementation roadmap spanning 2024–2045 outlines the phased transition pathway from localized, demonstration-scale projects to mainstream, 100% renewable-powered AI data center infrastructure.</w:t>
      </w:r>
    </w:p>
    <w:p w14:paraId="500596E8" w14:textId="77777777" w:rsidR="0098546F" w:rsidRDefault="0098546F" w:rsidP="0098546F">
      <w:pPr>
        <w:pStyle w:val="Abstract"/>
        <w:spacing w:before="0" w:line="240" w:lineRule="auto"/>
      </w:pPr>
    </w:p>
    <w:p w14:paraId="3F53CE4A" w14:textId="77777777" w:rsidR="00FE013C" w:rsidRDefault="00FE013C" w:rsidP="004C16FF">
      <w:pPr>
        <w:spacing w:after="120"/>
        <w:ind w:firstLine="480"/>
      </w:pPr>
      <w:r>
        <w:rPr>
          <w:b/>
        </w:rPr>
        <w:t xml:space="preserve">Keywords: </w:t>
      </w:r>
      <w:r>
        <w:rPr>
          <w:szCs w:val="24"/>
        </w:rPr>
        <w:t>AI data centers, renewable energy integration, energy storage, microgrid optimization, power system modelling, demand-side management, carbon-free energy, levelized cost of energy</w:t>
      </w:r>
    </w:p>
    <w:p w14:paraId="4B0FB0DC" w14:textId="13FFE478" w:rsidR="00FE013C" w:rsidRDefault="00FE013C" w:rsidP="004C16FF">
      <w:pPr>
        <w:pStyle w:val="Heading10"/>
        <w:jc w:val="both"/>
        <w:rPr>
          <w:color w:val="auto"/>
        </w:rPr>
      </w:pPr>
      <w:r>
        <w:rPr>
          <w:color w:val="auto"/>
          <w:lang w:eastAsia="zh-CN"/>
        </w:rPr>
        <w:t xml:space="preserve">1. </w:t>
      </w:r>
      <w:r>
        <w:rPr>
          <w:color w:val="auto"/>
        </w:rPr>
        <w:t>Introduction</w:t>
      </w:r>
    </w:p>
    <w:p w14:paraId="3400CE5A" w14:textId="77777777" w:rsidR="00FE013C" w:rsidRDefault="00FE013C" w:rsidP="004C16FF">
      <w:pPr>
        <w:pStyle w:val="Heading20"/>
        <w:jc w:val="both"/>
        <w:rPr>
          <w:color w:val="auto"/>
          <w:lang w:val="en-CA"/>
        </w:rPr>
      </w:pPr>
      <w:r w:rsidRPr="00962BDF">
        <w:rPr>
          <w:color w:val="auto"/>
          <w:lang w:val="en-CA"/>
        </w:rPr>
        <w:t>1.1. Global Data Center Energy Consumption an</w:t>
      </w:r>
      <w:r>
        <w:rPr>
          <w:color w:val="auto"/>
          <w:lang w:val="en-CA"/>
        </w:rPr>
        <w:t>d AI workload Growth</w:t>
      </w:r>
    </w:p>
    <w:p w14:paraId="1DF911CA" w14:textId="21FCB737" w:rsidR="00FE013C" w:rsidRPr="00962BDF" w:rsidRDefault="00FE013C" w:rsidP="004C16FF">
      <w:pPr>
        <w:pStyle w:val="Text"/>
        <w:rPr>
          <w:color w:val="auto"/>
        </w:rPr>
      </w:pPr>
      <w:r w:rsidRPr="00962BDF">
        <w:rPr>
          <w:color w:val="auto"/>
        </w:rPr>
        <w:t xml:space="preserve">In the last ten years, the entire digital infrastructure has been </w:t>
      </w:r>
      <w:r w:rsidR="00232D2E" w:rsidRPr="00962BDF">
        <w:rPr>
          <w:color w:val="auto"/>
        </w:rPr>
        <w:t>revolutionized</w:t>
      </w:r>
      <w:r w:rsidRPr="00962BDF">
        <w:rPr>
          <w:color w:val="auto"/>
        </w:rPr>
        <w:t xml:space="preserve">, and the main driver behind this is the explosion of applications based on Artificial Intelligence. Data </w:t>
      </w:r>
      <w:r w:rsidR="00232D2E" w:rsidRPr="00962BDF">
        <w:rPr>
          <w:color w:val="auto"/>
        </w:rPr>
        <w:t>canters</w:t>
      </w:r>
      <w:r w:rsidRPr="00962BDF">
        <w:rPr>
          <w:color w:val="auto"/>
        </w:rPr>
        <w:t xml:space="preserve"> alone are a huge component of this infrastructure and are expected to use approximately 415 TWh of electricity in 2024, which is approximately 1.5% of the world</w:t>
      </w:r>
      <w:r>
        <w:rPr>
          <w:color w:val="auto"/>
        </w:rPr>
        <w:fldChar w:fldCharType="begin"/>
      </w:r>
      <w:r>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Pr>
          <w:color w:val="auto"/>
        </w:rPr>
        <w:fldChar w:fldCharType="separate"/>
      </w:r>
      <w:r w:rsidRPr="000C3F0F">
        <w:t>[1], [2]</w:t>
      </w:r>
      <w:r>
        <w:rPr>
          <w:color w:val="auto"/>
        </w:rPr>
        <w:fldChar w:fldCharType="end"/>
      </w:r>
      <w:r w:rsidRPr="00962BDF">
        <w:rPr>
          <w:color w:val="auto"/>
        </w:rPr>
        <w:t xml:space="preserve">. According to the International Energy Agency (IEA), this consumption may grow to 945 TWh by 2030 based on current growth rates, mainly because of the training and inferring workloads of AI </w:t>
      </w:r>
      <w:bookmarkStart w:id="0" w:name="ZOTERO_BREF_H70vUx20hBhO"/>
      <w:r w:rsidRPr="00962BDF">
        <w:rPr>
          <w:color w:val="auto"/>
        </w:rPr>
        <w:t>models</w:t>
      </w:r>
      <w:bookmarkEnd w:id="0"/>
      <w:r>
        <w:rPr>
          <w:color w:val="auto"/>
        </w:rPr>
        <w:fldChar w:fldCharType="begin"/>
      </w:r>
      <w:r>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Pr>
          <w:color w:val="auto"/>
        </w:rPr>
        <w:fldChar w:fldCharType="separate"/>
      </w:r>
      <w:r w:rsidRPr="00AE6A99">
        <w:t>[3]</w:t>
      </w:r>
      <w:r>
        <w:rPr>
          <w:color w:val="auto"/>
        </w:rPr>
        <w:fldChar w:fldCharType="end"/>
      </w:r>
      <w:r w:rsidRPr="00962BDF">
        <w:rPr>
          <w:color w:val="auto"/>
        </w:rPr>
        <w:t xml:space="preserve">. This is a staggering leap, feeding the </w:t>
      </w:r>
      <w:r w:rsidRPr="00962BDF">
        <w:rPr>
          <w:color w:val="auto"/>
        </w:rPr>
        <w:lastRenderedPageBreak/>
        <w:t xml:space="preserve">electricity use of a power-hungry country the size of Japan into the global grid in just six years, and shows how critical it is to move towards sustainable energy solutions in data </w:t>
      </w:r>
      <w:r w:rsidR="00232D2E" w:rsidRPr="00962BDF">
        <w:rPr>
          <w:color w:val="auto"/>
        </w:rPr>
        <w:t>center</w:t>
      </w:r>
      <w:r w:rsidRPr="00962BDF">
        <w:rPr>
          <w:color w:val="auto"/>
        </w:rPr>
        <w:t xml:space="preserve"> operations.</w:t>
      </w:r>
    </w:p>
    <w:p w14:paraId="772C239C" w14:textId="5A038ACB" w:rsidR="00FE013C" w:rsidRDefault="00FE013C" w:rsidP="004C16FF">
      <w:pPr>
        <w:pStyle w:val="Text"/>
        <w:rPr>
          <w:color w:val="auto"/>
        </w:rPr>
      </w:pPr>
      <w:r w:rsidRPr="00962BDF">
        <w:rPr>
          <w:color w:val="auto"/>
        </w:rPr>
        <w:t xml:space="preserve">This challenge is evident in the energy consumption of specific AI models. To train GPT-3, a 175-billion-parameter language model developed by OpenAI, approximately 1, 287 MWh of electricity was required, which corresponds to an estimated CO2 equivalent emission of 552 </w:t>
      </w:r>
      <w:r w:rsidR="00232D2E" w:rsidRPr="00962BDF">
        <w:rPr>
          <w:color w:val="auto"/>
        </w:rPr>
        <w:t>tones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next GPT, with significantly more parameters, would have an even greater energy cost. Exact numbers are still proprietary, but such a model would likely be even more costly on a per-use basis.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constant inferences per year to serve billions of user queries is much higher than the training energy. According to research by Li, every inference query of GPT-3 consumes around 2.9 </w:t>
      </w:r>
      <w:proofErr w:type="spellStart"/>
      <w:r w:rsidRPr="00962BDF">
        <w:rPr>
          <w:color w:val="auto"/>
        </w:rPr>
        <w:t>Wh</w:t>
      </w:r>
      <w:proofErr w:type="spellEnd"/>
      <w:r w:rsidRPr="00962BDF">
        <w:rPr>
          <w:color w:val="auto"/>
        </w:rPr>
        <w:t xml:space="preserve"> of electricity and </w:t>
      </w:r>
      <w:r w:rsidRPr="00C20CFF">
        <w:rPr>
          <w:color w:val="auto"/>
        </w:rPr>
        <w:t>adds up to a massive amount with the millions of queries that take place every year</w:t>
      </w:r>
      <w:r>
        <w:rPr>
          <w:color w:val="auto"/>
        </w:rPr>
        <w:fldChar w:fldCharType="begin"/>
      </w:r>
      <w:r>
        <w:rPr>
          <w:color w:val="auto"/>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Pr>
          <w:color w:val="auto"/>
        </w:rPr>
        <w:fldChar w:fldCharType="separate"/>
      </w:r>
      <w:r w:rsidRPr="00901B02">
        <w:t>[7]</w:t>
      </w:r>
      <w:r>
        <w:rPr>
          <w:color w:val="auto"/>
        </w:rPr>
        <w:fldChar w:fldCharType="end"/>
      </w:r>
      <w:r w:rsidRPr="00962BDF">
        <w:rPr>
          <w:color w:val="auto"/>
        </w:rPr>
        <w:t>.</w:t>
      </w:r>
    </w:p>
    <w:p w14:paraId="1E5549E4" w14:textId="46B4E97E" w:rsidR="00FE013C" w:rsidRPr="00FA53F1" w:rsidRDefault="00FE013C" w:rsidP="00FA53F1">
      <w:pPr>
        <w:pStyle w:val="Text"/>
        <w:rPr>
          <w:color w:val="auto"/>
        </w:rPr>
      </w:pPr>
      <w:r w:rsidRPr="007B5EF9">
        <w:rPr>
          <w:color w:val="auto"/>
        </w:rPr>
        <w:t xml:space="preserve">One of the biggest tipping points in electricity demand growth since the electrification of industry will come with AI, </w:t>
      </w:r>
      <w:r w:rsidRPr="00584BC7">
        <w:rPr>
          <w:color w:val="auto"/>
        </w:rPr>
        <w:t xml:space="preserve">with one research group estimating </w:t>
      </w:r>
      <w:r>
        <w:rPr>
          <w:color w:val="auto"/>
        </w:rPr>
        <w:fldChar w:fldCharType="begin"/>
      </w:r>
      <w:r>
        <w:rPr>
          <w:color w:val="auto"/>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Pr>
          <w:color w:val="auto"/>
        </w:rPr>
        <w:fldChar w:fldCharType="separate"/>
      </w:r>
      <w:r w:rsidRPr="007F2B99">
        <w:t>[8]</w:t>
      </w:r>
      <w:r>
        <w:rPr>
          <w:color w:val="auto"/>
        </w:rPr>
        <w:fldChar w:fldCharType="end"/>
      </w:r>
      <w:r w:rsidRPr="007B5EF9">
        <w:rPr>
          <w:color w:val="auto"/>
        </w:rPr>
        <w:t xml:space="preserve"> </w:t>
      </w:r>
      <w:r w:rsidRPr="00AA4B8F">
        <w:rPr>
          <w:color w:val="auto"/>
        </w:rPr>
        <w:t xml:space="preserve">that power demand in data </w:t>
      </w:r>
      <w:r w:rsidR="00232D2E" w:rsidRPr="00AA4B8F">
        <w:rPr>
          <w:color w:val="auto"/>
        </w:rPr>
        <w:t>centers</w:t>
      </w:r>
      <w:r w:rsidRPr="00AA4B8F">
        <w:rPr>
          <w:color w:val="auto"/>
        </w:rPr>
        <w:t xml:space="preserve"> </w:t>
      </w:r>
      <w:r w:rsidRPr="007B5EF9">
        <w:rPr>
          <w:color w:val="auto"/>
        </w:rPr>
        <w:t>would grow at a rate of 165% by 2030.</w:t>
      </w:r>
      <w:r>
        <w:rPr>
          <w:color w:val="auto"/>
        </w:rPr>
        <w:t xml:space="preserve"> </w:t>
      </w:r>
      <w:r w:rsidRPr="007B5EF9">
        <w:rPr>
          <w:color w:val="auto"/>
        </w:rPr>
        <w:t>However, the Power Usage Effectiveness (PUE) of the surveyed locations did not show any significant gains in efficiency as measured by PUE,</w:t>
      </w:r>
      <w:r>
        <w:rPr>
          <w:color w:val="auto"/>
        </w:rPr>
        <w:t xml:space="preserve"> </w:t>
      </w:r>
      <w:r w:rsidRPr="007B5EF9">
        <w:rPr>
          <w:color w:val="auto"/>
        </w:rPr>
        <w:t xml:space="preserve">according to the Uptime Institute 2024 Global Data Center </w:t>
      </w:r>
      <w:bookmarkStart w:id="2" w:name="ZOTERO_BREF_VzOpl4gXp4N6"/>
      <w:r w:rsidRPr="007B5EF9">
        <w:rPr>
          <w:color w:val="auto"/>
        </w:rPr>
        <w:t>Survey</w:t>
      </w:r>
      <w:bookmarkEnd w:id="2"/>
      <w:r>
        <w:rPr>
          <w:color w:val="auto"/>
        </w:rPr>
        <w:fldChar w:fldCharType="begin"/>
      </w:r>
      <w:r>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color w:val="auto"/>
        </w:rPr>
        <w:fldChar w:fldCharType="separate"/>
      </w:r>
      <w:r w:rsidRPr="00341E54">
        <w:t>[9]</w:t>
      </w:r>
      <w:r>
        <w:rPr>
          <w:color w:val="auto"/>
        </w:rPr>
        <w:fldChar w:fldCharType="end"/>
      </w:r>
      <w:r w:rsidRPr="007B5EF9">
        <w:rPr>
          <w:color w:val="auto"/>
        </w:rPr>
        <w:t xml:space="preserve">. </w:t>
      </w:r>
      <w:r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Pr="00653055">
        <w:rPr>
          <w:color w:val="auto"/>
        </w:rPr>
        <w:t>architectures</w:t>
      </w:r>
      <w:bookmarkEnd w:id="3"/>
      <w:r>
        <w:rPr>
          <w:color w:val="auto"/>
        </w:rPr>
        <w:fldChar w:fldCharType="begin"/>
      </w:r>
      <w:r>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Pr>
          <w:color w:val="auto"/>
        </w:rPr>
        <w:fldChar w:fldCharType="separate"/>
      </w:r>
      <w:r w:rsidRPr="007F14EA">
        <w:t>[10]</w:t>
      </w:r>
      <w:r>
        <w:rPr>
          <w:color w:val="auto"/>
        </w:rPr>
        <w:fldChar w:fldCharType="end"/>
      </w:r>
      <w:r w:rsidRPr="00653055">
        <w:rPr>
          <w:color w:val="auto"/>
        </w:rPr>
        <w:t>.</w:t>
      </w:r>
      <w:r>
        <w:rPr>
          <w:color w:val="auto"/>
        </w:rPr>
        <w:t xml:space="preserve"> </w:t>
      </w:r>
      <w:r w:rsidRPr="001D1403">
        <w:rPr>
          <w:color w:val="auto"/>
        </w:rPr>
        <w:t xml:space="preserve">Fig. 1 illustrates this growth trajectory, showing historical data </w:t>
      </w:r>
      <w:r w:rsidR="00232D2E" w:rsidRPr="001D1403">
        <w:rPr>
          <w:color w:val="auto"/>
        </w:rPr>
        <w:t>center</w:t>
      </w:r>
      <w:r w:rsidRPr="001D1403">
        <w:rPr>
          <w:color w:val="auto"/>
        </w:rPr>
        <w:t xml:space="preserve"> electricity consumption from 2015 to 2024 alongside IEA projections to 2030, with the AI-driven inflection point clearly visible after 2022.</w:t>
      </w:r>
    </w:p>
    <w:p w14:paraId="490072E4" w14:textId="77777777" w:rsidR="00FE013C" w:rsidRDefault="00FE013C" w:rsidP="00FA53F1">
      <w:pPr>
        <w:pStyle w:val="Heading10"/>
        <w:keepNext/>
        <w:spacing w:before="0" w:after="0"/>
        <w:jc w:val="center"/>
      </w:pPr>
      <w:r>
        <w:rPr>
          <w:noProof/>
        </w:rPr>
        <w:drawing>
          <wp:inline distT="0" distB="0" distL="0" distR="0" wp14:anchorId="556059C0" wp14:editId="17CD0762">
            <wp:extent cx="3383902" cy="196658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3402368" cy="1977318"/>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1832250D" w:rsidR="00FE013C" w:rsidRDefault="00FE013C" w:rsidP="00FA53F1">
      <w:pPr>
        <w:pStyle w:val="Caption"/>
        <w:jc w:val="center"/>
        <w:rPr>
          <w:color w:val="auto"/>
          <w:lang w:eastAsia="zh-CN"/>
        </w:rPr>
      </w:pPr>
      <w:r>
        <w:t xml:space="preserve">Figure </w:t>
      </w:r>
      <w:fldSimple w:instr=" SEQ Figure \* ARABIC ">
        <w:r>
          <w:rPr>
            <w:noProof/>
          </w:rPr>
          <w:t>1</w:t>
        </w:r>
      </w:fldSimple>
      <w:r>
        <w:t xml:space="preserve">: </w:t>
      </w:r>
      <w:r w:rsidRPr="008451C0">
        <w:t xml:space="preserve">Global data </w:t>
      </w:r>
      <w:r w:rsidR="00232D2E" w:rsidRPr="008451C0">
        <w:t>center</w:t>
      </w:r>
      <w:r w:rsidRPr="008451C0">
        <w:t xml:space="preserve"> electricity consumption and projections (2015–2030). Source: IEA, 2025</w:t>
      </w:r>
    </w:p>
    <w:p w14:paraId="26DB2460" w14:textId="77777777" w:rsidR="00FE013C" w:rsidRDefault="00FE013C" w:rsidP="004C16FF">
      <w:pPr>
        <w:pStyle w:val="Heading20"/>
        <w:jc w:val="both"/>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 xml:space="preserve">Major technology firms such as Google, Microsoft, and Meta have all committed to running 24/7 carbon-free energy (CFE) operations by 2030, a criterion that includes matching all hours </w:t>
      </w:r>
      <w:r w:rsidRPr="00ED0153">
        <w:rPr>
          <w:color w:val="auto"/>
        </w:rPr>
        <w:lastRenderedPageBreak/>
        <w:t>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009D399A" w:rsidR="00FE013C" w:rsidRPr="00ED0153" w:rsidRDefault="00FE013C" w:rsidP="004C16FF">
      <w:pPr>
        <w:pStyle w:val="Text"/>
        <w:rPr>
          <w:color w:val="auto"/>
        </w:rPr>
      </w:pPr>
      <w:r w:rsidRPr="00ED0153">
        <w:rPr>
          <w:color w:val="auto"/>
        </w:rPr>
        <w:t xml:space="preserve">The price curve of renewable energy technologies has reshaped the way data </w:t>
      </w:r>
      <w:r w:rsidR="00232D2E" w:rsidRPr="00ED0153">
        <w:rPr>
          <w:color w:val="auto"/>
        </w:rPr>
        <w:t>centers</w:t>
      </w:r>
      <w:r w:rsidRPr="00ED0153">
        <w:rPr>
          <w:color w:val="auto"/>
        </w:rPr>
        <w:t xml:space="preserve"> purchase power. PV module prices have dropped by more than 90</w:t>
      </w:r>
      <w:r>
        <w:rPr>
          <w:color w:val="auto"/>
        </w:rPr>
        <w:t xml:space="preserve">% </w:t>
      </w:r>
      <w:r w:rsidRPr="00ED0153">
        <w:rPr>
          <w:color w:val="auto"/>
        </w:rPr>
        <w:t>since 2010, to approximately $0.15 to $0.25 per watt for commercial-grade modules in 2024, and PV system costs for ground-mounted utility-scale systems are approximately $0.75 to $1.40 per watt</w:t>
      </w:r>
      <w:r>
        <w:rPr>
          <w:color w:val="auto"/>
        </w:rPr>
        <w:fldChar w:fldCharType="begin"/>
      </w:r>
      <w:r>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Pr>
          <w:color w:val="auto"/>
        </w:rPr>
        <w:fldChar w:fldCharType="separate"/>
      </w:r>
      <w:r w:rsidRPr="00665F0B">
        <w:t>[13], [14]</w:t>
      </w:r>
      <w:r>
        <w:rPr>
          <w:color w:val="auto"/>
        </w:rPr>
        <w:fldChar w:fldCharType="end"/>
      </w:r>
      <w:r w:rsidRPr="00ED0153">
        <w:rPr>
          <w:color w:val="auto"/>
        </w:rPr>
        <w:t>. Onshore wind has also performed well, with capacity factors in the range of 25%–40</w:t>
      </w:r>
      <w:r>
        <w:rPr>
          <w:color w:val="auto"/>
        </w:rPr>
        <w:t xml:space="preserve">% </w:t>
      </w:r>
      <w:r w:rsidRPr="00ED0153">
        <w:rPr>
          <w:color w:val="auto"/>
        </w:rPr>
        <w:t xml:space="preserve">and </w:t>
      </w:r>
      <w:r>
        <w:rPr>
          <w:color w:val="auto"/>
        </w:rPr>
        <w:t>Levelized Cost of Energy (</w:t>
      </w:r>
      <w:r w:rsidRPr="00ED0153">
        <w:rPr>
          <w:color w:val="auto"/>
        </w:rPr>
        <w:t>LCOE</w:t>
      </w:r>
      <w:r>
        <w:rPr>
          <w:color w:val="auto"/>
        </w:rPr>
        <w:t>)</w:t>
      </w:r>
      <w:r w:rsidRPr="00ED0153">
        <w:rPr>
          <w:color w:val="auto"/>
        </w:rPr>
        <w:t xml:space="preserve"> in the range of $25 to $45 per MWh, placing onshore wind among the most cost-competitive electricity generation technologies worldwide </w:t>
      </w:r>
      <w:r>
        <w:rPr>
          <w:color w:val="auto"/>
        </w:rPr>
        <w:fldChar w:fldCharType="begin"/>
      </w:r>
      <w:r>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color w:val="auto"/>
        </w:rPr>
        <w:fldChar w:fldCharType="separate"/>
      </w:r>
      <w:r w:rsidRPr="003F5F56">
        <w:t>[15], [16]</w:t>
      </w:r>
      <w:r>
        <w:rPr>
          <w:color w:val="auto"/>
        </w:rPr>
        <w:fldChar w:fldCharType="end"/>
      </w:r>
      <w:r w:rsidRPr="00ED0153">
        <w:rPr>
          <w:color w:val="auto"/>
        </w:rPr>
        <w:t xml:space="preserve">. </w:t>
      </w:r>
      <w:r>
        <w:rPr>
          <w:color w:val="auto"/>
        </w:rPr>
        <w:t>Bloomberg New Energy Finance (BNEF)</w:t>
      </w:r>
      <w:r w:rsidRPr="00ED0153">
        <w:rPr>
          <w:color w:val="auto"/>
        </w:rPr>
        <w:t xml:space="preserve"> estimates that battery energy storage system (BESS) prices dropped significantly from $300/kWh in 2020 to $108/kWh in 2025, according to its annual survey</w:t>
      </w:r>
      <w:r>
        <w:rPr>
          <w:color w:val="auto"/>
        </w:rPr>
        <w:fldChar w:fldCharType="begin"/>
      </w:r>
      <w:r>
        <w:rPr>
          <w:color w:val="auto"/>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Pr>
          <w:color w:val="auto"/>
        </w:rPr>
        <w:fldChar w:fldCharType="separate"/>
      </w:r>
      <w:r w:rsidRPr="003F5F56">
        <w:t>[17]</w:t>
      </w:r>
      <w:r>
        <w:rPr>
          <w:color w:val="auto"/>
        </w:rPr>
        <w:fldChar w:fldCharType="end"/>
      </w:r>
      <w:r w:rsidRPr="00ED0153">
        <w:rPr>
          <w:color w:val="auto"/>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Simultaneously, the rise and development of advanced load management strategies, such as AI 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5DEE3AFD" w14:textId="2AB7706F" w:rsidR="00FE013C" w:rsidRPr="007F408C" w:rsidRDefault="00FE013C" w:rsidP="004C16FF">
      <w:pPr>
        <w:pStyle w:val="Text"/>
        <w:rPr>
          <w:color w:val="auto"/>
          <w:lang w:val="en-CA"/>
        </w:rPr>
      </w:pPr>
      <w:r w:rsidRPr="007F408C">
        <w:rPr>
          <w:color w:val="auto"/>
          <w:lang w:val="en-CA"/>
        </w:rPr>
        <w:t>Despite these barriers, quantified evidence suggests that integrated frameworks significantly reduce the risk of implementation. For example, grid interconnection queue times (currently 3–5 years in congested U.S. regions) can be reduced by 40–60% through advanced resource assessment and pre-application coordination documented in this framework.</w:t>
      </w:r>
      <w:r>
        <w:rPr>
          <w:color w:val="auto"/>
          <w:lang w:val="en-CA"/>
        </w:rPr>
        <w:t xml:space="preserve"> </w:t>
      </w:r>
      <w:r w:rsidRPr="007F408C">
        <w:rPr>
          <w:color w:val="auto"/>
          <w:lang w:val="en-CA"/>
        </w:rPr>
        <w:t xml:space="preserve">Power quality compliance ($THD &lt; 5% per IEEE 519) is achievable through strategic inverter placement and active harmonic mitigation sizing protocols, as detailed in Sections 5.3 and 6.3. </w:t>
      </w:r>
      <w:r w:rsidRPr="00472E8E">
        <w:rPr>
          <w:color w:val="auto"/>
          <w:lang w:val="en-CA"/>
        </w:rPr>
        <w:t>Operators can avoid under</w:t>
      </w:r>
      <w:r w:rsidR="00232D2E">
        <w:rPr>
          <w:color w:val="auto"/>
          <w:lang w:val="en-CA"/>
        </w:rPr>
        <w:t>-</w:t>
      </w:r>
      <w:r w:rsidRPr="00472E8E">
        <w:rPr>
          <w:color w:val="auto"/>
          <w:lang w:val="en-CA"/>
        </w:rPr>
        <w:t>sizing energy storage—a leading cause of project failure—by using</w:t>
      </w:r>
      <w:r>
        <w:rPr>
          <w:color w:val="auto"/>
          <w:lang w:val="en-CA"/>
        </w:rPr>
        <w:t xml:space="preserve"> </w:t>
      </w:r>
      <w:r w:rsidRPr="007F408C">
        <w:rPr>
          <w:color w:val="auto"/>
          <w:lang w:val="en-CA"/>
        </w:rPr>
        <w:t>the probabilistic and optimization-based sizing methodologies presented in Section 5.3, which have demonstrated 20–30% cost reductions in the deployed case studies. This study operationalises these solutions into a cohesive and deployable framework applicable to diverse geographic and climatic contexts.</w:t>
      </w:r>
    </w:p>
    <w:p w14:paraId="1759E4D0" w14:textId="77777777" w:rsidR="00FE013C" w:rsidRPr="009E3649" w:rsidRDefault="00FE013C" w:rsidP="004C16FF">
      <w:pPr>
        <w:pStyle w:val="Heading20"/>
        <w:jc w:val="both"/>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lastRenderedPageBreak/>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2246B674" w:rsidR="00FE013C" w:rsidRDefault="00FE013C" w:rsidP="004C16FF">
      <w:pPr>
        <w:pStyle w:val="Text"/>
        <w:rPr>
          <w:color w:val="auto"/>
        </w:rPr>
      </w:pPr>
      <w:r w:rsidRPr="00946210">
        <w:rPr>
          <w:color w:val="auto"/>
        </w:rPr>
        <w:t>Complex grid interconnection requirements pose a major barrier to deployment. In congested regions</w:t>
      </w:r>
      <w:r w:rsidRPr="009E3649">
        <w:rPr>
          <w:color w:val="auto"/>
        </w:rPr>
        <w:t xml:space="preserve">, such as those currently experiencing queues of 3–5 years for studies with $50,000 to $500,000 and grid upgrades potentially running into the $10 million range, as is currently the case with </w:t>
      </w:r>
      <w:r>
        <w:rPr>
          <w:color w:val="auto"/>
        </w:rPr>
        <w:t>the California ISO (</w:t>
      </w:r>
      <w:r w:rsidRPr="009E3649">
        <w:rPr>
          <w:color w:val="auto"/>
        </w:rPr>
        <w:t xml:space="preserve">CAISO) and </w:t>
      </w:r>
      <w:r w:rsidRPr="00531B55">
        <w:rPr>
          <w:color w:val="auto"/>
        </w:rPr>
        <w:t xml:space="preserve">Pennsylvania-New Jersey-Maryland Interconnection </w:t>
      </w:r>
      <w:r>
        <w:rPr>
          <w:color w:val="auto"/>
        </w:rPr>
        <w:t xml:space="preserve">(PJM) </w:t>
      </w:r>
      <w:r w:rsidRPr="009E3649">
        <w:rPr>
          <w:color w:val="auto"/>
        </w:rPr>
        <w:t>in the United States</w:t>
      </w:r>
      <w:r>
        <w:rPr>
          <w:color w:val="auto"/>
        </w:rPr>
        <w:fldChar w:fldCharType="begin"/>
      </w:r>
      <w:r>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Questions","author":[{"family":"Offutt","given":"Martin C"},{"family":"Zhu","given":"Ling"}]}}],"schema":"https://github.com/citation-style-language/schema/raw/master/csl-citation.json"} </w:instrText>
      </w:r>
      <w:r>
        <w:rPr>
          <w:color w:val="auto"/>
        </w:rPr>
        <w:fldChar w:fldCharType="separate"/>
      </w:r>
      <w:r w:rsidRPr="00D233EF">
        <w:t>[23]</w:t>
      </w:r>
      <w:r>
        <w:rPr>
          <w:color w:val="auto"/>
        </w:rPr>
        <w:fldChar w:fldCharType="end"/>
      </w:r>
      <w:r w:rsidRPr="009E3649">
        <w:rPr>
          <w:color w:val="auto"/>
        </w:rPr>
        <w:t xml:space="preserve">. In July 2023, </w:t>
      </w:r>
      <w:r w:rsidRPr="00531B55">
        <w:rPr>
          <w:color w:val="auto"/>
        </w:rPr>
        <w:t xml:space="preserve">the Federal Energy Regulatory Commission </w:t>
      </w:r>
      <w:r>
        <w:rPr>
          <w:color w:val="auto"/>
        </w:rPr>
        <w:t>(</w:t>
      </w:r>
      <w:r w:rsidRPr="009E3649">
        <w:rPr>
          <w:color w:val="auto"/>
        </w:rPr>
        <w:t>FERC</w:t>
      </w:r>
      <w:r>
        <w:rPr>
          <w:color w:val="auto"/>
        </w:rPr>
        <w:t>)</w:t>
      </w:r>
      <w:r w:rsidRPr="009E3649">
        <w:rPr>
          <w:color w:val="auto"/>
        </w:rPr>
        <w:t xml:space="preserve"> issued Order 2023 to streamline the interconnection process for inverter-based resources by establishing </w:t>
      </w:r>
      <w:r w:rsidR="00232D2E" w:rsidRPr="009E3649">
        <w:rPr>
          <w:color w:val="auto"/>
        </w:rPr>
        <w:t>standardized</w:t>
      </w:r>
      <w:r w:rsidRPr="009E3649">
        <w:rPr>
          <w:color w:val="auto"/>
        </w:rPr>
        <w:t xml:space="preserve"> procedures and timelines for interconnection applications </w:t>
      </w:r>
      <w:r>
        <w:rPr>
          <w:color w:val="auto"/>
        </w:rPr>
        <w:fldChar w:fldCharType="begin"/>
      </w:r>
      <w:r>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color w:val="auto"/>
        </w:rPr>
        <w:fldChar w:fldCharType="separate"/>
      </w:r>
      <w:r w:rsidRPr="002E2886">
        <w:t>[24]</w:t>
      </w:r>
      <w:r>
        <w:rPr>
          <w:color w:val="auto"/>
        </w:rPr>
        <w:fldChar w:fldCharType="end"/>
      </w:r>
      <w:r>
        <w:rPr>
          <w:color w:val="auto"/>
        </w:rPr>
        <w:t>, where its i</w:t>
      </w:r>
      <w:r w:rsidRPr="009E3649">
        <w:rPr>
          <w:color w:val="auto"/>
        </w:rPr>
        <w:t>mplementation will take several years.</w:t>
      </w:r>
    </w:p>
    <w:p w14:paraId="21FAE95C" w14:textId="77777777" w:rsidR="00FE013C" w:rsidRDefault="00FE013C" w:rsidP="004C16FF">
      <w:pPr>
        <w:pStyle w:val="Heading20"/>
        <w:jc w:val="both"/>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1D733BB" w14:textId="061FD973" w:rsidR="00FE013C" w:rsidRPr="003F6317" w:rsidRDefault="00FE013C" w:rsidP="004C16FF">
      <w:pPr>
        <w:pStyle w:val="Text"/>
        <w:rPr>
          <w:color w:val="auto"/>
        </w:rPr>
      </w:pPr>
      <w:r w:rsidRPr="003F6317">
        <w:rPr>
          <w:color w:val="auto"/>
        </w:rPr>
        <w:t xml:space="preserve">This study addresses the design and operation of AI data </w:t>
      </w:r>
      <w:r w:rsidR="00232D2E" w:rsidRPr="003F6317">
        <w:rPr>
          <w:color w:val="auto"/>
        </w:rPr>
        <w:t>centers</w:t>
      </w:r>
      <w:r w:rsidRPr="003F6317">
        <w:rPr>
          <w:color w:val="auto"/>
        </w:rPr>
        <w:t xml:space="preserve"> powered predominantly by renewable energy at scales ranging from 10 MW to 1,000 MW. Three primary objectives guide this work: </w:t>
      </w:r>
    </w:p>
    <w:p w14:paraId="27E86773" w14:textId="54B9BE92" w:rsidR="00FE013C" w:rsidRPr="003F6317" w:rsidRDefault="00FE013C" w:rsidP="004C16FF">
      <w:pPr>
        <w:pStyle w:val="Text"/>
        <w:rPr>
          <w:color w:val="auto"/>
        </w:rPr>
      </w:pPr>
      <w:r w:rsidRPr="003F6317">
        <w:rPr>
          <w:color w:val="auto"/>
        </w:rPr>
        <w:t xml:space="preserve">(1) To </w:t>
      </w:r>
      <w:r w:rsidR="00232D2E" w:rsidRPr="003F6317">
        <w:rPr>
          <w:color w:val="auto"/>
        </w:rPr>
        <w:t>synthesize</w:t>
      </w:r>
      <w:r w:rsidRPr="003F6317">
        <w:rPr>
          <w:color w:val="auto"/>
        </w:rPr>
        <w:t xml:space="preserve"> current technical knowledge across power systems, renewable energy, energy storage, and control architectures into a unified and actionable framework. </w:t>
      </w:r>
    </w:p>
    <w:p w14:paraId="19D56A71" w14:textId="2172AE98" w:rsidR="00FE013C" w:rsidRPr="003F6317" w:rsidRDefault="00FE013C" w:rsidP="004C16FF">
      <w:pPr>
        <w:pStyle w:val="Text"/>
        <w:rPr>
          <w:color w:val="auto"/>
        </w:rPr>
      </w:pPr>
      <w:r w:rsidRPr="003F6317">
        <w:rPr>
          <w:color w:val="auto"/>
        </w:rPr>
        <w:t xml:space="preserve">(2) To provide transparent economic modelling, including </w:t>
      </w:r>
      <w:r w:rsidR="00232D2E" w:rsidRPr="003F6317">
        <w:rPr>
          <w:color w:val="auto"/>
        </w:rPr>
        <w:t>levelized</w:t>
      </w:r>
      <w:r w:rsidRPr="003F6317">
        <w:rPr>
          <w:color w:val="auto"/>
        </w:rPr>
        <w:t xml:space="preserve"> cost of energy (LCOE), net present value (NPV), and sensitivity analysis, enabling operators across different scales to evaluate project feasibility under consistent assumptions. </w:t>
      </w:r>
    </w:p>
    <w:p w14:paraId="2B61255A" w14:textId="77777777" w:rsidR="00FE013C" w:rsidRPr="003F6317" w:rsidRDefault="00FE013C" w:rsidP="004C16FF">
      <w:pPr>
        <w:pStyle w:val="Text"/>
        <w:rPr>
          <w:color w:val="auto"/>
        </w:rPr>
      </w:pPr>
      <w:r w:rsidRPr="003F6317">
        <w:rPr>
          <w:color w:val="auto"/>
        </w:rPr>
        <w:t xml:space="preserve">(3) To validate the proposed framework against real-world deployments by leading industry operators, including Google, Meta, Microsoft, Equinix, and Apple, and extracting transferable design and operational insights across diverse facility scales. </w:t>
      </w:r>
    </w:p>
    <w:p w14:paraId="48E2BF4B" w14:textId="77777777" w:rsidR="00FE013C" w:rsidRPr="003F6317" w:rsidRDefault="00FE013C" w:rsidP="004C16FF">
      <w:pPr>
        <w:pStyle w:val="Text"/>
        <w:rPr>
          <w:color w:val="auto"/>
        </w:rPr>
      </w:pPr>
      <w:r w:rsidRPr="003F6317">
        <w:rPr>
          <w:color w:val="auto"/>
        </w:rPr>
        <w:t>The framework is intentionally modular and geographically agnostic, addressing a key limitation of existing hyperscale-centric case studies and enabling consistent application across various resource conditions, grid environments, and deployment sizes.</w:t>
      </w:r>
    </w:p>
    <w:p w14:paraId="3DD172AB" w14:textId="77777777" w:rsidR="00FE013C" w:rsidRDefault="00FE013C" w:rsidP="004C16FF">
      <w:pPr>
        <w:pStyle w:val="Heading20"/>
        <w:jc w:val="both"/>
        <w:rPr>
          <w:color w:val="auto"/>
          <w:lang w:val="en-CA"/>
        </w:rPr>
      </w:pPr>
      <w:r w:rsidRPr="00962BDF">
        <w:rPr>
          <w:color w:val="auto"/>
          <w:lang w:val="en-CA"/>
        </w:rPr>
        <w:t>1.</w:t>
      </w:r>
      <w:r>
        <w:rPr>
          <w:color w:val="auto"/>
          <w:lang w:val="en-CA"/>
        </w:rPr>
        <w:t>5</w:t>
      </w:r>
      <w:r w:rsidRPr="00962BDF">
        <w:rPr>
          <w:color w:val="auto"/>
          <w:lang w:val="en-CA"/>
        </w:rPr>
        <w:t xml:space="preserve">. </w:t>
      </w:r>
      <w:r>
        <w:rPr>
          <w:color w:val="auto"/>
          <w:lang w:val="en-CA"/>
        </w:rPr>
        <w:t>Research Gap and Paper Statement</w:t>
      </w:r>
    </w:p>
    <w:p w14:paraId="2728DC78" w14:textId="77777777"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Furthermore, the dynamic nature of AI workloads, with small shifts to increasingly power-dense accelerators,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7F41F94F" w:rsidR="00FE013C" w:rsidRDefault="00FE013C" w:rsidP="004C16FF">
      <w:pPr>
        <w:pStyle w:val="Text"/>
        <w:rPr>
          <w:color w:val="auto"/>
        </w:rPr>
      </w:pPr>
      <w:r w:rsidRPr="00070841">
        <w:rPr>
          <w:color w:val="auto"/>
        </w:rPr>
        <w:lastRenderedPageBreak/>
        <w:t xml:space="preserve">This study addresses this gap by </w:t>
      </w:r>
      <w:r w:rsidRPr="00BE113B">
        <w:rPr>
          <w:color w:val="auto"/>
        </w:rPr>
        <w:t>proposing a seven-component framework for designing and deploying</w:t>
      </w:r>
      <w:r>
        <w:rPr>
          <w:color w:val="auto"/>
        </w:rPr>
        <w:t xml:space="preserve"> </w:t>
      </w:r>
      <w:r w:rsidRPr="00070841">
        <w:rPr>
          <w:color w:val="auto"/>
        </w:rPr>
        <w:t xml:space="preserve">renewable-powered AI data </w:t>
      </w:r>
      <w:r w:rsidR="00232D2E" w:rsidRPr="00070841">
        <w:rPr>
          <w:color w:val="auto"/>
        </w:rPr>
        <w:t>centers</w:t>
      </w:r>
      <w:r w:rsidRPr="00070841">
        <w:rPr>
          <w:color w:val="auto"/>
        </w:rPr>
        <w:t xml:space="preserve">. 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7777777"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Pr="00070841">
        <w:rPr>
          <w:color w:val="auto"/>
        </w:rPr>
        <w:t xml:space="preserve"> are also important. </w:t>
      </w:r>
    </w:p>
    <w:p w14:paraId="233E74A9" w14:textId="094A32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environmentally friendly, and highly reliable operation of AI data </w:t>
      </w:r>
      <w:r w:rsidR="00232D2E" w:rsidRPr="00070841">
        <w:rPr>
          <w:color w:val="auto"/>
        </w:rPr>
        <w:t>centers</w:t>
      </w:r>
      <w:r w:rsidRPr="00070841">
        <w:rPr>
          <w:color w:val="auto"/>
        </w:rPr>
        <w:t xml:space="preserve"> in various geographical and climatic environments.</w:t>
      </w:r>
    </w:p>
    <w:p w14:paraId="2E0E36DC" w14:textId="3C0AE254" w:rsidR="00FE013C" w:rsidRPr="00070841" w:rsidRDefault="00FE013C" w:rsidP="004C16FF">
      <w:pPr>
        <w:pStyle w:val="Text"/>
        <w:rPr>
          <w:color w:val="auto"/>
        </w:rPr>
      </w:pPr>
      <w:r w:rsidRPr="007A7079">
        <w:rPr>
          <w:color w:val="auto"/>
        </w:rPr>
        <w:t xml:space="preserve">Section 2 </w:t>
      </w:r>
      <w:r w:rsidR="00232D2E" w:rsidRPr="007A7079">
        <w:rPr>
          <w:color w:val="auto"/>
        </w:rPr>
        <w:t>synthesizes</w:t>
      </w:r>
      <w:r w:rsidRPr="007A7079">
        <w:rPr>
          <w:color w:val="auto"/>
        </w:rPr>
        <w:t xml:space="preserve"> the state of the art and identifies key literature gaps. Section 3 covers the electrical fundamentals of data </w:t>
      </w:r>
      <w:r w:rsidR="00232D2E" w:rsidRPr="007A7079">
        <w:rPr>
          <w:color w:val="auto"/>
        </w:rPr>
        <w:t>center</w:t>
      </w:r>
      <w:r w:rsidRPr="007A7079">
        <w:rPr>
          <w:color w:val="auto"/>
        </w:rPr>
        <w:t xml:space="preserve"> systems. Section 4 characterizes renewable energy resources and assessment methodologies. Section 5 examines energy storage and backup systems, including sizing methodologies. Section 6 covers power system modelling and simulation. Section 7 presents the core seven-component framework for renewable-powered AI data </w:t>
      </w:r>
      <w:r w:rsidR="00232D2E" w:rsidRPr="007A7079">
        <w:rPr>
          <w:color w:val="auto"/>
        </w:rPr>
        <w:t>center</w:t>
      </w:r>
      <w:r w:rsidRPr="007A7079">
        <w:rPr>
          <w:color w:val="auto"/>
        </w:rPr>
        <w:t xml:space="preserve"> design. Section 8 validates the framework through five industry case studies. Section 9 analyzes key technical challenges and mitigation strategies. Section 10 provides economic analysis, including LCOE, NPV, and payback calculations. Section 11 covers operational strategies and demand-side integration. Section 12 reviews regulatory and sustainability requirements. </w:t>
      </w:r>
      <w:r w:rsidRPr="00650A30">
        <w:rPr>
          <w:color w:val="auto"/>
        </w:rPr>
        <w:t>Section 13 presents conclusions and recommendations. Section 14 identifies future research directions.</w:t>
      </w:r>
    </w:p>
    <w:p w14:paraId="725B69FD" w14:textId="77777777" w:rsidR="00FE013C" w:rsidRDefault="00FE013C" w:rsidP="004C16FF">
      <w:pPr>
        <w:pStyle w:val="Heading10"/>
        <w:jc w:val="both"/>
        <w:rPr>
          <w:color w:val="auto"/>
        </w:rPr>
      </w:pPr>
      <w:r>
        <w:rPr>
          <w:color w:val="auto"/>
          <w:lang w:eastAsia="zh-CN"/>
        </w:rPr>
        <w:t xml:space="preserve">2. </w:t>
      </w:r>
      <w:r>
        <w:rPr>
          <w:color w:val="auto"/>
        </w:rPr>
        <w:t>Literature Review and State-of-the-Art</w:t>
      </w:r>
    </w:p>
    <w:p w14:paraId="37FE0778" w14:textId="74AB84A0" w:rsidR="00FE013C" w:rsidRDefault="00FE013C" w:rsidP="004C16FF">
      <w:pPr>
        <w:spacing w:after="120"/>
        <w:ind w:firstLine="480"/>
      </w:pPr>
      <w:r>
        <w:rPr>
          <w:szCs w:val="24"/>
        </w:rPr>
        <w:t xml:space="preserve">This section </w:t>
      </w:r>
      <w:r w:rsidR="00232D2E">
        <w:rPr>
          <w:szCs w:val="24"/>
        </w:rPr>
        <w:t>synthesizes</w:t>
      </w:r>
      <w:r>
        <w:rPr>
          <w:szCs w:val="24"/>
        </w:rPr>
        <w:t xml:space="preserve"> the existing body of knowledge across five domains critical to renewable-powered AI data </w:t>
      </w:r>
      <w:r w:rsidR="00232D2E">
        <w:rPr>
          <w:szCs w:val="24"/>
        </w:rPr>
        <w:t>centers</w:t>
      </w:r>
      <w:r>
        <w:rPr>
          <w:szCs w:val="24"/>
        </w:rPr>
        <w:t xml:space="preserve">: data </w:t>
      </w:r>
      <w:r w:rsidR="00232D2E">
        <w:rPr>
          <w:szCs w:val="24"/>
        </w:rPr>
        <w:t>center</w:t>
      </w:r>
      <w:r>
        <w:rPr>
          <w:szCs w:val="24"/>
        </w:rPr>
        <w:t xml:space="preserve"> power consumption, renewable energy technologies, energy storage systems, microgrid and grid integration, and industry case studies. This review draws on over 160 sources published between 2015 and 2025, with an emphasis on the most recent and impactful contributions.</w:t>
      </w:r>
    </w:p>
    <w:p w14:paraId="27716A7A" w14:textId="77777777" w:rsidR="00FE013C" w:rsidRDefault="00FE013C" w:rsidP="004C16FF">
      <w:pPr>
        <w:pStyle w:val="Heading20"/>
        <w:jc w:val="both"/>
        <w:rPr>
          <w:color w:val="auto"/>
        </w:rPr>
      </w:pPr>
      <w:r>
        <w:rPr>
          <w:color w:val="auto"/>
        </w:rPr>
        <w:t>2.1. AI Data Center Power Consumption</w:t>
      </w:r>
    </w:p>
    <w:p w14:paraId="450E82AB" w14:textId="77777777" w:rsidR="00FE013C" w:rsidRPr="00684620" w:rsidRDefault="00FE013C" w:rsidP="004C16FF">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high intensity and concentrated nature. </w:t>
      </w:r>
      <w:r w:rsidRPr="00561461">
        <w:rPr>
          <w:szCs w:val="24"/>
        </w:rPr>
        <w:t>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w:t>
      </w:r>
      <w:r>
        <w:rPr>
          <w:szCs w:val="24"/>
        </w:rPr>
        <w:t xml:space="preserve"> </w:t>
      </w:r>
      <w:r>
        <w:rPr>
          <w:szCs w:val="24"/>
        </w:rPr>
        <w:fldChar w:fldCharType="begin"/>
      </w:r>
      <w:r>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Pr>
          <w:szCs w:val="24"/>
        </w:rPr>
        <w:fldChar w:fldCharType="separate"/>
      </w:r>
      <w:r w:rsidRPr="00B56A24">
        <w:t>[10], [27]</w:t>
      </w:r>
      <w:r>
        <w:rPr>
          <w:szCs w:val="24"/>
        </w:rPr>
        <w:fldChar w:fldCharType="end"/>
      </w:r>
      <w:r>
        <w:rPr>
          <w:szCs w:val="24"/>
        </w:rPr>
        <w:t xml:space="preserve">. </w:t>
      </w:r>
      <w:r w:rsidRPr="00684620">
        <w:rPr>
          <w:szCs w:val="24"/>
        </w:rPr>
        <w:t>Power densities can reach 30 kW on a rack with eight GPUs per server and multiple servers per rack, whereas typical enterprise computing rack power densities are 5–10 kW</w:t>
      </w:r>
      <w:r>
        <w:rPr>
          <w:szCs w:val="24"/>
        </w:rPr>
        <w:fldChar w:fldCharType="begin"/>
      </w:r>
      <w:r>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Pr>
          <w:szCs w:val="24"/>
        </w:rPr>
        <w:fldChar w:fldCharType="separate"/>
      </w:r>
      <w:r w:rsidRPr="00A47543">
        <w:t>[28]</w:t>
      </w:r>
      <w:r>
        <w:rPr>
          <w:szCs w:val="24"/>
        </w:rPr>
        <w:fldChar w:fldCharType="end"/>
      </w:r>
      <w:r w:rsidRPr="00684620">
        <w:rPr>
          <w:szCs w:val="24"/>
        </w:rPr>
        <w:t>. This significant increase in computing density has far-reaching effects on power delivery infrastructure, cooling system design, and facility power usage.</w:t>
      </w:r>
    </w:p>
    <w:p w14:paraId="58B7A460" w14:textId="77777777" w:rsidR="00FE013C" w:rsidRPr="00684620" w:rsidRDefault="00FE013C" w:rsidP="004C16FF">
      <w:pPr>
        <w:spacing w:after="120"/>
        <w:ind w:firstLine="480"/>
        <w:rPr>
          <w:szCs w:val="24"/>
        </w:rPr>
      </w:pPr>
      <w:r w:rsidRPr="00684620">
        <w:rPr>
          <w:szCs w:val="24"/>
        </w:rPr>
        <w:lastRenderedPageBreak/>
        <w:t>The intensity and timing of training vary depending on the inference made. Training is designed to use high and near-maximum power for hours to weeks and has little or no "idle" time between computation cycles</w:t>
      </w:r>
      <w:r>
        <w:rPr>
          <w:szCs w:val="24"/>
        </w:rPr>
        <w:fldChar w:fldCharType="begin"/>
      </w:r>
      <w:r>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Pr>
          <w:szCs w:val="24"/>
        </w:rPr>
        <w:fldChar w:fldCharType="separate"/>
      </w:r>
      <w:r w:rsidRPr="005B5BA4">
        <w:t>[4], [29]</w:t>
      </w:r>
      <w:r>
        <w:rPr>
          <w:szCs w:val="24"/>
        </w:rPr>
        <w:fldChar w:fldCharType="end"/>
      </w:r>
      <w:r>
        <w:rPr>
          <w:szCs w:val="24"/>
        </w:rPr>
        <w:t xml:space="preserve">. </w:t>
      </w:r>
      <w:r w:rsidRPr="00684620">
        <w:rPr>
          <w:szCs w:val="24"/>
        </w:rPr>
        <w:t xml:space="preserve">Inference workloads are more variable because power consumption can vary depending on the number of requests, the model complexity, and the batch size. Research shows that training loads generally use 80-95% of the peak GPU power, and inferences use 40-70% of the peak GPU power, depending on the application and traffic </w:t>
      </w:r>
      <w:r>
        <w:rPr>
          <w:szCs w:val="24"/>
        </w:rPr>
        <w:fldChar w:fldCharType="begin"/>
      </w:r>
      <w:r>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URL":"https://openreview.net/forum?id=86NT1eVitH&amp;referrer=%5Bthe%20profile%20of%20Mahveen%20Raza%5D(%2Fprofile%3Fid%3D~Mahveen_Raza1)","author":[{"family":"Raza","given":"Mahveen"}]}}],"schema":"https://github.com/citation-style-language/schema/raw/master/csl-citation.json"} </w:instrText>
      </w:r>
      <w:r>
        <w:rPr>
          <w:szCs w:val="24"/>
        </w:rPr>
        <w:fldChar w:fldCharType="separate"/>
      </w:r>
      <w:r w:rsidRPr="00363763">
        <w:t>[30]</w:t>
      </w:r>
      <w:r>
        <w:rPr>
          <w:szCs w:val="24"/>
        </w:rPr>
        <w:fldChar w:fldCharType="end"/>
      </w:r>
      <w:r w:rsidRPr="00684620">
        <w:rPr>
          <w:szCs w:val="24"/>
        </w:rPr>
        <w:t>. The temporal load pattern has important implications for integration planning for renewable energy, as the length of time they are stored and dispatched depends on this.</w:t>
      </w:r>
    </w:p>
    <w:p w14:paraId="1829D0F1" w14:textId="27F46A08" w:rsidR="00FE013C" w:rsidRPr="00684620" w:rsidRDefault="00FE013C" w:rsidP="004C16FF">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Pr="00436DD1">
        <w:t>[31]</w:t>
      </w:r>
      <w:r>
        <w:rPr>
          <w:szCs w:val="24"/>
        </w:rPr>
        <w:fldChar w:fldCharType="end"/>
      </w:r>
      <w:r w:rsidRPr="00684620">
        <w:rPr>
          <w:szCs w:val="24"/>
        </w:rPr>
        <w:t>.</w:t>
      </w:r>
    </w:p>
    <w:p w14:paraId="17416DC4" w14:textId="700F7B86" w:rsidR="00FE013C" w:rsidRPr="00684620" w:rsidRDefault="00FE013C" w:rsidP="004C16FF">
      <w:pPr>
        <w:spacing w:after="120"/>
        <w:ind w:firstLine="480"/>
        <w:rPr>
          <w:szCs w:val="24"/>
        </w:rPr>
      </w:pPr>
      <w:r w:rsidRPr="00684620">
        <w:rPr>
          <w:szCs w:val="24"/>
        </w:rPr>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Pr="00AE143F">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1C1DB8">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Pr="008A2F4C">
        <w:t>[35]</w:t>
      </w:r>
      <w:r>
        <w:rPr>
          <w:szCs w:val="24"/>
        </w:rPr>
        <w:fldChar w:fldCharType="end"/>
      </w:r>
      <w:r w:rsidRPr="00684620">
        <w:rPr>
          <w:szCs w:val="24"/>
        </w:rPr>
        <w:t>.</w:t>
      </w:r>
    </w:p>
    <w:p w14:paraId="441CC53B" w14:textId="77777777" w:rsidR="00FE013C" w:rsidRDefault="00FE013C" w:rsidP="004C16FF">
      <w:pPr>
        <w:pStyle w:val="Heading20"/>
        <w:jc w:val="both"/>
        <w:rPr>
          <w:color w:val="auto"/>
        </w:rPr>
      </w:pPr>
      <w:r>
        <w:rPr>
          <w:color w:val="auto"/>
        </w:rPr>
        <w:t>2.2. Renewable Energy Technologies</w:t>
      </w:r>
    </w:p>
    <w:p w14:paraId="1EC737C9" w14:textId="0B22094F" w:rsidR="00FE013C" w:rsidRPr="005C62D0" w:rsidRDefault="00FE013C" w:rsidP="004C16FF">
      <w:pPr>
        <w:spacing w:after="120"/>
        <w:ind w:firstLine="480"/>
        <w:rPr>
          <w:szCs w:val="24"/>
        </w:rPr>
      </w:pPr>
      <w:r w:rsidRPr="00967457">
        <w:rPr>
          <w:szCs w:val="24"/>
        </w:rPr>
        <w:t xml:space="preserve">In the last 10 years, solar PV technology has experienced an incredible shift 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proofErr w:type="spellStart"/>
      <w:r w:rsidRPr="00571D9E">
        <w:rPr>
          <w:szCs w:val="24"/>
        </w:rPr>
        <w:t>TOPCon</w:t>
      </w:r>
      <w:proofErr w:type="spellEnd"/>
      <w:r w:rsidRPr="00571D9E">
        <w:rPr>
          <w:szCs w:val="24"/>
        </w:rPr>
        <w:t>, heterojunction (HJT), and back contact (BC)</w:t>
      </w:r>
      <w:r w:rsidRPr="00967457">
        <w:rPr>
          <w:szCs w:val="24"/>
        </w:rPr>
        <w:t xml:space="preserve"> cell architectures</w:t>
      </w:r>
      <w:r>
        <w:rPr>
          <w:szCs w:val="24"/>
        </w:rPr>
        <w:fldChar w:fldCharType="begin"/>
      </w:r>
      <w:r>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Pr="001B2A37">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Pr="00905B51">
        <w:t>[37]</w:t>
      </w:r>
      <w:r>
        <w:rPr>
          <w:szCs w:val="24"/>
        </w:rPr>
        <w:fldChar w:fldCharType="end"/>
      </w:r>
      <w:r w:rsidRPr="005C62D0">
        <w:rPr>
          <w:szCs w:val="24"/>
        </w:rPr>
        <w:t xml:space="preserve">. The </w:t>
      </w:r>
      <w:r w:rsidR="00232D2E" w:rsidRPr="005C62D0">
        <w:rPr>
          <w:szCs w:val="24"/>
        </w:rPr>
        <w:t>levelized</w:t>
      </w:r>
      <w:r w:rsidRPr="005C62D0">
        <w:rPr>
          <w:szCs w:val="24"/>
        </w:rPr>
        <w:t xml:space="preserve"> cost of electricity for utility-scale solar PV has dropped to $30 to $50/MWh in high-resource areas and is the lowest-cost source of new electricity generation in most markets globally</w:t>
      </w:r>
      <w:r>
        <w:rPr>
          <w:szCs w:val="24"/>
        </w:rPr>
        <w:fldChar w:fldCharType="begin"/>
      </w:r>
      <w:r>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Pr="005108FD">
        <w:t>[38], [39]</w:t>
      </w:r>
      <w:r>
        <w:rPr>
          <w:szCs w:val="24"/>
        </w:rPr>
        <w:fldChar w:fldCharType="end"/>
      </w:r>
      <w:r w:rsidRPr="005C62D0">
        <w:rPr>
          <w:szCs w:val="24"/>
        </w:rPr>
        <w:t>.</w:t>
      </w:r>
    </w:p>
    <w:p w14:paraId="5BB3DB35" w14:textId="77777777" w:rsidR="00FE013C" w:rsidRPr="005C62D0" w:rsidRDefault="00FE013C" w:rsidP="004C16FF">
      <w:pPr>
        <w:spacing w:after="120"/>
        <w:ind w:firstLine="480"/>
        <w:rPr>
          <w:szCs w:val="24"/>
        </w:rPr>
      </w:pPr>
      <w:r w:rsidRPr="00532C4C">
        <w:rPr>
          <w:szCs w:val="24"/>
        </w:rPr>
        <w:t>Onshore wind turbines now achieve capacity factors of 25–40% in high-resource regions</w:t>
      </w:r>
      <w:r w:rsidRPr="005C62D0">
        <w:rPr>
          <w:szCs w:val="24"/>
        </w:rPr>
        <w:t>, and optimal offshore wind installations reach 40–50</w:t>
      </w:r>
      <w:r>
        <w:rPr>
          <w:szCs w:val="24"/>
        </w:rPr>
        <w:t>%</w:t>
      </w:r>
      <w:r>
        <w:rPr>
          <w:szCs w:val="24"/>
        </w:rPr>
        <w:fldChar w:fldCharType="begin"/>
      </w:r>
      <w:r>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Pr="00A02978">
        <w:rPr>
          <w:szCs w:val="24"/>
        </w:rPr>
        <w:t>[40]</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Pr="00D21173">
        <w:t>[41]</w:t>
      </w:r>
      <w:r>
        <w:rPr>
          <w:szCs w:val="24"/>
        </w:rPr>
        <w:fldChar w:fldCharType="end"/>
      </w:r>
      <w:r w:rsidRPr="005C62D0">
        <w:rPr>
          <w:szCs w:val="24"/>
        </w:rPr>
        <w:t xml:space="preserve">. Wind and solar generation are naturally complementary because wind tends to generate more energy during the night and winter </w:t>
      </w:r>
      <w:r w:rsidRPr="005C62D0">
        <w:rPr>
          <w:szCs w:val="24"/>
        </w:rPr>
        <w:lastRenderedPageBreak/>
        <w:t>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Pr="00533059">
        <w:t>[42]</w:t>
      </w:r>
      <w:r>
        <w:rPr>
          <w:szCs w:val="24"/>
        </w:rPr>
        <w:fldChar w:fldCharType="end"/>
      </w:r>
      <w:r w:rsidRPr="005C62D0">
        <w:rPr>
          <w:szCs w:val="24"/>
        </w:rPr>
        <w:t>.</w:t>
      </w:r>
    </w:p>
    <w:p w14:paraId="1DED5B25" w14:textId="77777777" w:rsidR="00FE013C" w:rsidRDefault="00FE013C" w:rsidP="004C16FF">
      <w:pPr>
        <w:spacing w:after="120"/>
        <w:ind w:firstLine="480"/>
        <w:rPr>
          <w:szCs w:val="24"/>
        </w:rPr>
      </w:pPr>
      <w:r w:rsidRPr="005C62D0">
        <w:rPr>
          <w:szCs w:val="24"/>
        </w:rPr>
        <w:t>Hydroelectric power, specifically pumped-storage hydropower (PSH), is a vital component of the energy balancing equation at the grid level. PSH accounts for approximately 95% of the world's electricity storage capacity and offers gigawatt hours of storage at much lower costs than battery systems</w:t>
      </w:r>
      <w:r>
        <w:rPr>
          <w:szCs w:val="24"/>
        </w:rPr>
        <w:fldChar w:fldCharType="begin"/>
      </w:r>
      <w:r>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Pr="007B720C">
        <w:t>[43]</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Pr="000B39AB">
        <w:t>[44]</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0"/>
        <w:jc w:val="both"/>
        <w:rPr>
          <w:color w:val="auto"/>
        </w:rPr>
      </w:pPr>
      <w:r>
        <w:rPr>
          <w:color w:val="auto"/>
        </w:rPr>
        <w:t>2.3. Energy Storage Technologies</w:t>
      </w:r>
    </w:p>
    <w:p w14:paraId="4875CC30" w14:textId="77777777" w:rsidR="00FE013C" w:rsidRPr="00286D4E" w:rsidRDefault="00FE013C" w:rsidP="004C16FF">
      <w:pPr>
        <w:spacing w:after="120"/>
        <w:ind w:firstLine="480"/>
        <w:rPr>
          <w:szCs w:val="24"/>
        </w:rPr>
      </w:pPr>
      <w:r w:rsidRPr="00286D4E">
        <w:rPr>
          <w:szCs w:val="24"/>
        </w:rPr>
        <w:t xml:space="preserve">The stationary storage market is dominated by lithium-ion battery technology, which is expected to drop from approximately $300/kWh in 2020 to $108/kWh in 2025, as reported by </w:t>
      </w:r>
      <w:proofErr w:type="spellStart"/>
      <w:r w:rsidRPr="00286D4E">
        <w:rPr>
          <w:szCs w:val="24"/>
        </w:rPr>
        <w:t>BloombergNEF's</w:t>
      </w:r>
      <w:proofErr w:type="spellEnd"/>
      <w:r w:rsidRPr="00286D4E">
        <w:rPr>
          <w:szCs w:val="24"/>
        </w:rPr>
        <w:t xml:space="preserve"> annual survey</w:t>
      </w:r>
      <w:r>
        <w:rPr>
          <w:szCs w:val="24"/>
        </w:rPr>
        <w:fldChar w:fldCharType="begin"/>
      </w:r>
      <w:r>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Pr>
          <w:szCs w:val="24"/>
        </w:rPr>
        <w:fldChar w:fldCharType="separate"/>
      </w:r>
      <w:r w:rsidRPr="006512AA">
        <w:t>[17]</w:t>
      </w:r>
      <w:r>
        <w:rPr>
          <w:szCs w:val="24"/>
        </w:rPr>
        <w:fldChar w:fldCharType="end"/>
      </w:r>
      <w:r w:rsidRPr="00286D4E">
        <w:rPr>
          <w:szCs w:val="24"/>
        </w:rPr>
        <w:t>. The low cost, higher cycle life (more than 4,000 cycles at 80</w:t>
      </w:r>
      <w:r>
        <w:rPr>
          <w:szCs w:val="24"/>
        </w:rPr>
        <w:t xml:space="preserve">% </w:t>
      </w:r>
      <w:r w:rsidRPr="00286D4E">
        <w:rPr>
          <w:szCs w:val="24"/>
        </w:rPr>
        <w:t xml:space="preserve">depth of discharge), and safer safety profile of LFP chemistry (lithium iron phosphate) make it the most preferred chemistry for stationary applications, as compared to NMC (nickel manganese cobalt) and NCA (nickel cobalt aluminum) chemistries </w:t>
      </w:r>
      <w:r>
        <w:rPr>
          <w:szCs w:val="24"/>
        </w:rPr>
        <w:fldChar w:fldCharType="begin"/>
      </w:r>
      <w:r>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Pr>
          <w:szCs w:val="24"/>
        </w:rPr>
        <w:fldChar w:fldCharType="separate"/>
      </w:r>
      <w:r w:rsidRPr="00965B5C">
        <w:t>[45], [46]</w:t>
      </w:r>
      <w:r>
        <w:rPr>
          <w:szCs w:val="24"/>
        </w:rPr>
        <w:fldChar w:fldCharType="end"/>
      </w:r>
      <w:r w:rsidRPr="00286D4E">
        <w:rPr>
          <w:szCs w:val="24"/>
        </w:rPr>
        <w:t>. The round-trip efficiency of lithium-ion systems is 85–95</w:t>
      </w:r>
      <w:r>
        <w:rPr>
          <w:szCs w:val="24"/>
        </w:rPr>
        <w:t>%</w:t>
      </w:r>
      <w:r w:rsidRPr="00286D4E">
        <w:rPr>
          <w:szCs w:val="24"/>
        </w:rPr>
        <w:t xml:space="preserve">, and thermal management systems are required to ensure optimal operating temperatures and </w:t>
      </w:r>
      <w:proofErr w:type="spellStart"/>
      <w:r w:rsidRPr="00286D4E">
        <w:rPr>
          <w:szCs w:val="24"/>
        </w:rPr>
        <w:t>maximise</w:t>
      </w:r>
      <w:proofErr w:type="spellEnd"/>
      <w:r w:rsidRPr="00286D4E">
        <w:rPr>
          <w:szCs w:val="24"/>
        </w:rPr>
        <w:t xml:space="preserve"> the calendar life.</w:t>
      </w:r>
    </w:p>
    <w:p w14:paraId="6A2720E8" w14:textId="77777777" w:rsidR="00FE013C" w:rsidRPr="00286D4E" w:rsidRDefault="00FE013C" w:rsidP="004C16FF">
      <w:pPr>
        <w:spacing w:after="120"/>
        <w:ind w:firstLine="480"/>
        <w:rPr>
          <w:szCs w:val="24"/>
        </w:rPr>
      </w:pPr>
      <w:r w:rsidRPr="00286D4E">
        <w:rPr>
          <w:szCs w:val="24"/>
        </w:rPr>
        <w:t>With greater storage times than 8 hours, long-duration energy storage (LDES) technologies are gaining traction. Vanadium Redox Flow Batteries (VRFBs) have high cycle life (20,000+ cycles) and can be highly scalable in terms of duration with independent power and energy sizing, but with higher initial costs</w:t>
      </w:r>
      <w:r>
        <w:rPr>
          <w:szCs w:val="24"/>
        </w:rPr>
        <w:fldChar w:fldCharType="begin"/>
      </w:r>
      <w:r>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Pr>
          <w:szCs w:val="24"/>
        </w:rPr>
        <w:fldChar w:fldCharType="separate"/>
      </w:r>
      <w:r w:rsidRPr="008130CA">
        <w:t>[47]</w:t>
      </w:r>
      <w:r>
        <w:rPr>
          <w:szCs w:val="24"/>
        </w:rPr>
        <w:fldChar w:fldCharType="end"/>
      </w:r>
      <w:r w:rsidRPr="00286D4E">
        <w:rPr>
          <w:szCs w:val="24"/>
        </w:rPr>
        <w:t>. The iron-air battery technology developed by Form Energy is being deployed in multi-GWh projects, aiming for storage costs of $20/kWh and durations longer than 100 hours, which could mark a paradigm shift for seasonal energy storage</w:t>
      </w:r>
      <w:r>
        <w:rPr>
          <w:szCs w:val="24"/>
        </w:rPr>
        <w:fldChar w:fldCharType="begin"/>
      </w:r>
      <w:r>
        <w:rPr>
          <w:szCs w:val="24"/>
        </w:rPr>
        <w:instrText xml:space="preserve"> ADDIN ZOTERO_ITEM CSL_CITATION {"citationID":"iW2VDiVI","properties":{"unsorted":false,"formattedCitation":"[48]","plainCitation":"[48]","noteIndex":0},"citationItems":[{"id":1985,"uris":["http://zotero.org/users/9870935/items/58URKSK2"],"itemData":{"id":1985,"type":"book","abstract":"This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Pr>
          <w:szCs w:val="24"/>
        </w:rPr>
        <w:fldChar w:fldCharType="separate"/>
      </w:r>
      <w:r w:rsidRPr="00D04786">
        <w:t>[48]</w:t>
      </w:r>
      <w:r>
        <w:rPr>
          <w:szCs w:val="24"/>
        </w:rPr>
        <w:fldChar w:fldCharType="end"/>
      </w:r>
      <w:r w:rsidRPr="00286D4E">
        <w:rPr>
          <w:szCs w:val="24"/>
        </w:rPr>
        <w:t xml:space="preserve">. The storage period of green hydrogen is weeks to months, but </w:t>
      </w:r>
      <w:r w:rsidRPr="00991B18">
        <w:rPr>
          <w:szCs w:val="24"/>
        </w:rPr>
        <w:t>with a full-pathway round-trip efficiency of 25–40% (electrolysis to fuel cell) and current costs ranging from $150 to $250/MWh</w:t>
      </w:r>
      <w:r>
        <w:rPr>
          <w:szCs w:val="24"/>
        </w:rPr>
        <w:t xml:space="preserve"> </w:t>
      </w:r>
      <w:r>
        <w:rPr>
          <w:szCs w:val="24"/>
        </w:rPr>
        <w:fldChar w:fldCharType="begin"/>
      </w:r>
      <w:r>
        <w:rPr>
          <w:szCs w:val="24"/>
        </w:rPr>
        <w:instrText xml:space="preserve"> ADDIN ZOTERO_ITEM CSL_CITATION {"citationID":"HjvoKOxq","properties":{"unsorted":false,"formattedCitation":"[49]","plainCitation":"[49]","noteIndex":0},"citationItems":[{"id":1987,"uris":["http://zotero.org/users/9870935/items/2TYM8STM"],"itemData":{"id":1987,"type":"article-journal","abstract":"The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Pr>
          <w:szCs w:val="24"/>
        </w:rPr>
        <w:fldChar w:fldCharType="separate"/>
      </w:r>
      <w:r w:rsidRPr="00FC638D">
        <w:t>[49]</w:t>
      </w:r>
      <w:r>
        <w:rPr>
          <w:szCs w:val="24"/>
        </w:rPr>
        <w:fldChar w:fldCharType="end"/>
      </w:r>
      <w:r w:rsidRPr="00286D4E">
        <w:rPr>
          <w:szCs w:val="24"/>
        </w:rPr>
        <w:t>.</w:t>
      </w:r>
    </w:p>
    <w:p w14:paraId="7A264B74" w14:textId="738CF674" w:rsidR="00FE013C" w:rsidRPr="00286D4E" w:rsidRDefault="00FE013C" w:rsidP="004C16FF">
      <w:pPr>
        <w:spacing w:after="120"/>
        <w:ind w:firstLine="480"/>
        <w:rPr>
          <w:szCs w:val="24"/>
        </w:rPr>
      </w:pPr>
      <w:r w:rsidRPr="00286D4E">
        <w:rPr>
          <w:szCs w:val="24"/>
        </w:rPr>
        <w:t xml:space="preserve">Energy storage sizing methodologies have evolved from simple deterministic approaches based on worst-case scenarios to sophisticated probabilistic and optimization-based frameworks. </w:t>
      </w:r>
      <w:r w:rsidRPr="00677033">
        <w:rPr>
          <w:szCs w:val="24"/>
          <w:lang w:val="en-CA"/>
        </w:rPr>
        <w:t xml:space="preserve">The probabilistic approach uses metrics such as loss of load expectation (LOLE) to quantify reliability. LOLE represents the expected number of hours per year when available generation is insufficient to meet the demand—for example, an LOLE of 0.1 hours/year corresponds to 99.99% uptime, a common target for mission-critical data </w:t>
      </w:r>
      <w:r w:rsidR="00580BAE">
        <w:rPr>
          <w:szCs w:val="24"/>
          <w:lang w:val="en-CA"/>
        </w:rPr>
        <w:t>center</w:t>
      </w:r>
      <w:r w:rsidRPr="00677033">
        <w:rPr>
          <w:szCs w:val="24"/>
          <w:lang w:val="en-CA"/>
        </w:rPr>
        <w:t>s</w:t>
      </w:r>
      <w:r>
        <w:rPr>
          <w:szCs w:val="24"/>
          <w:lang w:val="en-CA"/>
        </w:rPr>
        <w:t xml:space="preserve"> </w:t>
      </w:r>
      <w:r>
        <w:rPr>
          <w:szCs w:val="24"/>
        </w:rPr>
        <w:fldChar w:fldCharType="begin"/>
      </w:r>
      <w:r>
        <w:rPr>
          <w:szCs w:val="24"/>
        </w:rPr>
        <w:instrText xml:space="preserve"> ADDIN ZOTERO_ITEM CSL_CITATION {"citationID":"QwfviUwV","properties":{"unsorted":false,"formattedCitation":"[50]","plainCitation":"[50]","noteIndex":0},"citationItems":[{"id":1988,"uris":["http://zotero.org/users/9870935/items/9LH8YF5V"],"itemData":{"id":1988,"type":"article-journal","container-title":"Future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Pr>
          <w:szCs w:val="24"/>
        </w:rPr>
        <w:fldChar w:fldCharType="separate"/>
      </w:r>
      <w:r w:rsidRPr="00383E7D">
        <w:t>[50]</w:t>
      </w:r>
      <w:r>
        <w:rPr>
          <w:szCs w:val="24"/>
        </w:rPr>
        <w:fldChar w:fldCharType="end"/>
      </w:r>
      <w:r w:rsidRPr="00286D4E">
        <w:rPr>
          <w:szCs w:val="24"/>
        </w:rPr>
        <w:t xml:space="preserve">. Optimization-based approaches solve the sizing problem as a mixed-integer linear program (MILP) to </w:t>
      </w:r>
      <w:r w:rsidR="005F08CE" w:rsidRPr="00286D4E">
        <w:rPr>
          <w:szCs w:val="24"/>
        </w:rPr>
        <w:t>minimize</w:t>
      </w:r>
      <w:r w:rsidRPr="00286D4E">
        <w:rPr>
          <w:szCs w:val="24"/>
        </w:rPr>
        <w:t xml:space="preserve"> the total system cost while satisfying reliability constraints, carbon emission limits, and capacity constraints for interconnection</w:t>
      </w:r>
      <w:r>
        <w:rPr>
          <w:szCs w:val="24"/>
        </w:rPr>
        <w:fldChar w:fldCharType="begin"/>
      </w:r>
      <w:r>
        <w:rPr>
          <w:szCs w:val="24"/>
        </w:rPr>
        <w:instrText xml:space="preserve"> ADDIN ZOTERO_ITEM CSL_CITATION {"citationID":"9gclYoSe","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Pr>
          <w:szCs w:val="24"/>
        </w:rPr>
        <w:fldChar w:fldCharType="separate"/>
      </w:r>
      <w:r w:rsidRPr="00194936">
        <w:t>[51]</w:t>
      </w:r>
      <w:r>
        <w:rPr>
          <w:szCs w:val="24"/>
        </w:rPr>
        <w:fldChar w:fldCharType="end"/>
      </w:r>
      <w:r w:rsidRPr="00286D4E">
        <w:rPr>
          <w:szCs w:val="24"/>
        </w:rPr>
        <w:t>.</w:t>
      </w:r>
    </w:p>
    <w:p w14:paraId="2A29A5EA" w14:textId="77777777" w:rsidR="00FE013C" w:rsidRDefault="00FE013C" w:rsidP="004C16FF">
      <w:pPr>
        <w:pStyle w:val="Heading20"/>
        <w:jc w:val="both"/>
        <w:rPr>
          <w:color w:val="auto"/>
        </w:rPr>
      </w:pPr>
      <w:r>
        <w:rPr>
          <w:color w:val="auto"/>
        </w:rPr>
        <w:t>2.4. Microgrids and Grid Integration</w:t>
      </w:r>
    </w:p>
    <w:p w14:paraId="1ACED6C1" w14:textId="2795DAAC" w:rsidR="00FE013C" w:rsidRPr="00D0205A" w:rsidRDefault="00FE013C" w:rsidP="004C16FF">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paradigm shift 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Pr>
          <w:szCs w:val="24"/>
        </w:rPr>
        <w:instrText xml:space="preserve"> ADDIN ZOTERO_ITEM CSL_CITATION {"citationID":"GRPOjuAH","properties":{"unsorted":false,"formattedCitation":"[52]","plainCitation":"[52]","noteIndex":0},"citationItems":[{"id":1991,"uris":["http://zotero.org/users/9870935/items/TCP3MAYA"],"itemData":{"id":1991,"type":"article-journal","abstract":"With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Pr="00AD7BFD">
        <w:t>[52]</w:t>
      </w:r>
      <w:r>
        <w:rPr>
          <w:szCs w:val="24"/>
        </w:rPr>
        <w:fldChar w:fldCharType="end"/>
      </w:r>
      <w:r w:rsidRPr="00D0205A">
        <w:rPr>
          <w:szCs w:val="24"/>
        </w:rPr>
        <w:t xml:space="preserve">. The </w:t>
      </w:r>
      <w:r w:rsidRPr="00D0205A">
        <w:rPr>
          <w:szCs w:val="24"/>
        </w:rPr>
        <w:lastRenderedPageBreak/>
        <w:t>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Pr>
          <w:szCs w:val="24"/>
        </w:rPr>
        <w:instrText xml:space="preserve"> ADDIN ZOTERO_ITEM CSL_CITATION {"citationID":"yvSCoOuc","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Pr="00AD7BFD">
        <w:t>[53]</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68F8E373" w:rsidR="00FE013C" w:rsidRPr="00D0205A" w:rsidRDefault="00FE013C" w:rsidP="004C16FF">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Pr>
          <w:szCs w:val="24"/>
        </w:rPr>
        <w:instrText xml:space="preserve"> ADDIN ZOTERO_ITEM CSL_CITATION {"citationID":"jj4vX417","properties":{"unsorted":false,"formattedCitation":"[54]","plainCitation":"[54]","noteIndex":0},"citationItems":[{"id":1993,"uris":["http://zotero.org/users/9870935/items/2D54TKGT"],"itemData":{"id":1993,"type":"paper-conference","container-title":"2024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Pr="00654C5B">
        <w:t>[54]</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0"/>
        <w:jc w:val="both"/>
        <w:rPr>
          <w:color w:val="auto"/>
        </w:rPr>
      </w:pPr>
      <w:r>
        <w:rPr>
          <w:color w:val="auto"/>
        </w:rPr>
        <w:t>2.5. Industry Case Studies</w:t>
      </w:r>
    </w:p>
    <w:p w14:paraId="778EC10C" w14:textId="7628646F" w:rsidR="00FE013C" w:rsidRPr="00215994" w:rsidRDefault="00FE013C" w:rsidP="004C16FF">
      <w:pPr>
        <w:spacing w:after="120"/>
        <w:ind w:firstLine="480"/>
        <w:rPr>
          <w:szCs w:val="24"/>
        </w:rPr>
      </w:pPr>
      <w:r w:rsidRPr="00215994">
        <w:rPr>
          <w:szCs w:val="24"/>
        </w:rPr>
        <w:t xml:space="preserve">Google has become an industry leader in buying renewable energy. The company has recently increased its contracting activities, resulting in </w:t>
      </w:r>
      <w:r w:rsidRPr="007447D4">
        <w:rPr>
          <w:szCs w:val="24"/>
        </w:rPr>
        <w:t xml:space="preserve">a portfolio of over 22 GW of contracted renewable capacity — with total pipeline commitments exceeding 30 GW — through more than 170 power purchase agreements </w:t>
      </w:r>
      <w:r w:rsidRPr="00215994">
        <w:rPr>
          <w:szCs w:val="24"/>
        </w:rPr>
        <w:t>(PPAs)</w:t>
      </w:r>
      <w:r>
        <w:rPr>
          <w:szCs w:val="24"/>
        </w:rPr>
        <w:fldChar w:fldCharType="begin"/>
      </w:r>
      <w:r>
        <w:rPr>
          <w:szCs w:val="24"/>
        </w:rPr>
        <w:instrText xml:space="preserve"> ADDIN ZOTERO_ITEM CSL_CITATION {"citationID":"hR3obl5V","properties":{"unsorted":false,"formattedCitation":"[55]","plainCitation":"[55]","noteIndex":0},"citationItems":[{"id":1995,"uris":["http://zotero.org/users/9870935/items/ZZ4BDIPH"],"itemData":{"id":1995,"type":"post-weblog","title":"Google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Pr>
          <w:szCs w:val="24"/>
        </w:rPr>
        <w:fldChar w:fldCharType="separate"/>
      </w:r>
      <w:r w:rsidRPr="00114F15">
        <w:t>[55]</w:t>
      </w:r>
      <w:r>
        <w:rPr>
          <w:szCs w:val="24"/>
        </w:rPr>
        <w:fldChar w:fldCharType="end"/>
      </w:r>
      <w:r w:rsidRPr="00215994">
        <w:rPr>
          <w:szCs w:val="24"/>
        </w:rPr>
        <w:t>. Google met its hourly carbon-free energy (CFE) matching metric at 64</w:t>
      </w:r>
      <w:r>
        <w:rPr>
          <w:szCs w:val="24"/>
        </w:rPr>
        <w:t xml:space="preserve">% </w:t>
      </w:r>
      <w:r w:rsidRPr="00215994">
        <w:rPr>
          <w:szCs w:val="24"/>
        </w:rPr>
        <w:t>worldwide and continues on its path toward achieving its structural target of 100</w:t>
      </w:r>
      <w:r>
        <w:rPr>
          <w:szCs w:val="24"/>
        </w:rPr>
        <w:t xml:space="preserve">% </w:t>
      </w:r>
      <w:r w:rsidRPr="00215994">
        <w:rPr>
          <w:szCs w:val="24"/>
        </w:rPr>
        <w:t>CFE operation on all regional grids by 2030</w:t>
      </w:r>
      <w:r>
        <w:rPr>
          <w:szCs w:val="24"/>
        </w:rPr>
        <w:fldChar w:fldCharType="begin"/>
      </w:r>
      <w:r>
        <w:rPr>
          <w:szCs w:val="24"/>
        </w:rPr>
        <w:instrText xml:space="preserve"> ADDIN ZOTERO_ITEM CSL_CITATION {"citationID":"CKrzWUpd","properties":{"unsorted":false,"formattedCitation":"[55], [56]","plainCitation":"[55], [56]","noteIndex":0},"citationItems":[{"id":1995,"uris":["http://zotero.org/users/9870935/items/ZZ4BDIPH"],"itemData":{"id":1995,"type":"post-weblog","title":"Google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Pr="00361F8B">
        <w:t>[55], [56]</w:t>
      </w:r>
      <w:r>
        <w:rPr>
          <w:szCs w:val="24"/>
        </w:rPr>
        <w:fldChar w:fldCharType="end"/>
      </w:r>
      <w:r w:rsidRPr="00215994">
        <w:rPr>
          <w:szCs w:val="24"/>
        </w:rPr>
        <w:t xml:space="preserve">. This approach involves the deployment of a 50 MW on-site wind generation framework at its data </w:t>
      </w:r>
      <w:r w:rsidR="005F08CE" w:rsidRPr="00215994">
        <w:rPr>
          <w:szCs w:val="24"/>
        </w:rPr>
        <w:t>center</w:t>
      </w:r>
      <w:r w:rsidRPr="00215994">
        <w:rPr>
          <w:szCs w:val="24"/>
        </w:rPr>
        <w:t xml:space="preserve">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to</w:t>
      </w:r>
      <w:r>
        <w:rPr>
          <w:szCs w:val="24"/>
        </w:rPr>
        <w:fldChar w:fldCharType="begin"/>
      </w:r>
      <w:r>
        <w:rPr>
          <w:szCs w:val="24"/>
        </w:rPr>
        <w:instrText xml:space="preserve"> ADDIN ZOTERO_ITEM CSL_CITATION {"citationID":"qNnagB7S","properties":{"unsorted":false,"formattedCitation":"[56]","plainCitation":"[56]","noteIndex":0},"citationItems":[{"id":1996,"uris":["http://zotero.org/users/9870935/items/JWXMITAD"],"itemData":{"id":1996,"type":"article-journal","abstract":"The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Pr="007D5C38">
        <w:t>[56]</w:t>
      </w:r>
      <w:r>
        <w:rPr>
          <w:szCs w:val="24"/>
        </w:rPr>
        <w:fldChar w:fldCharType="end"/>
      </w:r>
      <w:r w:rsidRPr="00215994">
        <w:rPr>
          <w:szCs w:val="24"/>
        </w:rPr>
        <w:t xml:space="preserve">.  </w:t>
      </w:r>
    </w:p>
    <w:p w14:paraId="3A90E4C4" w14:textId="451FE7E8" w:rsidR="00FE013C" w:rsidRPr="00215994" w:rsidRDefault="00FE013C" w:rsidP="004C16FF">
      <w:pPr>
        <w:spacing w:after="120"/>
        <w:ind w:firstLine="480"/>
        <w:rPr>
          <w:szCs w:val="24"/>
        </w:rPr>
      </w:pPr>
      <w:r w:rsidRPr="00215994">
        <w:rPr>
          <w:szCs w:val="24"/>
        </w:rPr>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to supply stable primary baseload power</w:t>
      </w:r>
      <w:r>
        <w:rPr>
          <w:szCs w:val="24"/>
        </w:rPr>
        <w:fldChar w:fldCharType="begin"/>
      </w:r>
      <w:r>
        <w:rPr>
          <w:szCs w:val="24"/>
        </w:rPr>
        <w:instrText xml:space="preserve"> ADDIN ZOTERO_ITEM CSL_CITATION {"citationID":"yI9ZUW0O","properties":{"unsorted":false,"formattedCitation":"[56]","plainCitation":"[56]","noteIndex":0},"citationItems":[{"id":1996,"uris":["http://zotero.org/users/9870935/items/JWXMITAD"],"itemData":{"id":1996,"type":"article-journal","abstract":"The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Pr="003B53B0">
        <w:t>[56]</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Pr>
          <w:szCs w:val="24"/>
        </w:rPr>
        <w:instrText xml:space="preserve"> ADDIN ZOTERO_ITEM CSL_CITATION {"citationID":"Zg4mrp1i","properties":{"unsorted":false,"formattedCitation":"[57], [58]","plainCitation":"[57], [58]","noteIndex":0},"citationItems":[{"id":1998,"uris":["http://zotero.org/users/9870935/items/3PR5HCM7"],"itemData":{"id":1998,"type":"post-weblog","title":"2025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Growth","author":[{"family":"BloombergNEF","given":""}]}}],"schema":"https://github.com/citation-style-language/schema/raw/master/csl-citation.json"} </w:instrText>
      </w:r>
      <w:r>
        <w:rPr>
          <w:szCs w:val="24"/>
        </w:rPr>
        <w:fldChar w:fldCharType="separate"/>
      </w:r>
      <w:r w:rsidRPr="00760EDA">
        <w:t>[57], [58]</w:t>
      </w:r>
      <w:r>
        <w:rPr>
          <w:szCs w:val="24"/>
        </w:rPr>
        <w:fldChar w:fldCharType="end"/>
      </w:r>
      <w:r w:rsidRPr="00215994">
        <w:rPr>
          <w:szCs w:val="24"/>
        </w:rPr>
        <w:t xml:space="preserve">.  </w:t>
      </w:r>
    </w:p>
    <w:p w14:paraId="63A51356" w14:textId="004F999F" w:rsidR="00FE013C" w:rsidRPr="00215994" w:rsidRDefault="00FE013C" w:rsidP="004C16FF">
      <w:pPr>
        <w:spacing w:after="120"/>
        <w:ind w:firstLine="480"/>
        <w:rPr>
          <w:szCs w:val="24"/>
        </w:rPr>
      </w:pPr>
      <w:r w:rsidRPr="00215994">
        <w:rPr>
          <w:szCs w:val="24"/>
        </w:rPr>
        <w:t xml:space="preserve">At the same time, Microsoft has been leading the way with very </w:t>
      </w:r>
      <w:r w:rsidR="005F08CE" w:rsidRPr="00215994">
        <w:rPr>
          <w:szCs w:val="24"/>
        </w:rPr>
        <w:t>decentralized</w:t>
      </w:r>
      <w:r w:rsidRPr="00215994">
        <w:rPr>
          <w:szCs w:val="24"/>
        </w:rPr>
        <w:t xml:space="preserve"> baseload ideas.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Pr>
          <w:szCs w:val="24"/>
        </w:rPr>
        <w:instrText xml:space="preserve"> ADDIN ZOTERO_ITEM CSL_CITATION {"citationID":"8st61XpZ","properties":{"unsorted":false,"formattedCitation":"[59], [60]","plainCitation":"[59], [60]","noteIndex":0},"citationItems":[{"id":2005,"uris":["http://zotero.org/users/9870935/items/GPXLWD7A"],"itemData":{"id":2005,"type":"article-journal","abstract":"This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Pr="00866BB5">
        <w:t>[59], [60]</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Pr>
          <w:szCs w:val="24"/>
        </w:rPr>
        <w:instrText xml:space="preserve"> ADDIN ZOTERO_ITEM CSL_CITATION {"citationID":"XDrsuJcP","properties":{"unsorted":false,"formattedCitation":"[61]","plainCitation":"[61]","noteIndex":0},"citationItems":[{"id":2006,"uris":["http://zotero.org/users/9870935/items/X97WKK42"],"itemData":{"id":2006,"type":"article-journal","abstract":"Societies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Pr="00866BB5">
        <w:t>[61]</w:t>
      </w:r>
      <w:r>
        <w:rPr>
          <w:szCs w:val="24"/>
        </w:rPr>
        <w:fldChar w:fldCharType="end"/>
      </w:r>
      <w:r w:rsidRPr="00215994">
        <w:rPr>
          <w:szCs w:val="24"/>
        </w:rPr>
        <w:t>.</w:t>
      </w:r>
    </w:p>
    <w:p w14:paraId="4EE3A5CE" w14:textId="3957B22B" w:rsidR="00FE013C" w:rsidRPr="00215994" w:rsidRDefault="00FE013C" w:rsidP="004C16FF">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Pr>
          <w:szCs w:val="24"/>
        </w:rPr>
        <w:instrText xml:space="preserve"> ADDIN ZOTERO_ITEM CSL_CITATION {"citationID":"55g5vk6s","properties":{"unsorted":false,"formattedCitation":"[62]","plainCitation":"[62]","noteIndex":0},"citationItems":[{"id":2007,"uris":["http://zotero.org/users/9870935/items/KHWRQFNN"],"itemData":{"id":2007,"type":"post-weblog","title":"Sustainability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Pr="00866BB5">
        <w:t>[62]</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Pr>
          <w:szCs w:val="24"/>
        </w:rPr>
        <w:instrText xml:space="preserve"> ADDIN ZOTERO_ITEM CSL_CITATION {"citationID":"4AetSQpC","properties":{"unsorted":false,"formattedCitation":"[62]","plainCitation":"[62]","noteIndex":0},"citationItems":[{"id":2007,"uris":["http://zotero.org/users/9870935/items/KHWRQFNN"],"itemData":{"id":2007,"type":"post-weblog","title":"Sustainability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Pr="00584BC7">
        <w:t>[62]</w:t>
      </w:r>
      <w:r>
        <w:rPr>
          <w:szCs w:val="24"/>
        </w:rPr>
        <w:fldChar w:fldCharType="end"/>
      </w:r>
      <w:r w:rsidRPr="00215994">
        <w:rPr>
          <w:szCs w:val="24"/>
        </w:rPr>
        <w:t>.</w:t>
      </w:r>
    </w:p>
    <w:p w14:paraId="0E5CA854" w14:textId="090F2F00" w:rsidR="00FE013C" w:rsidRDefault="00FE013C" w:rsidP="004C16FF">
      <w:pPr>
        <w:spacing w:after="120"/>
        <w:ind w:firstLine="480"/>
        <w:rPr>
          <w:szCs w:val="24"/>
        </w:rPr>
      </w:pPr>
      <w:r w:rsidRPr="00215994">
        <w:rPr>
          <w:szCs w:val="24"/>
        </w:rPr>
        <w:t>Likewise, Apple has removed its operating footprint and matched 100</w:t>
      </w:r>
      <w:r>
        <w:rPr>
          <w:szCs w:val="24"/>
        </w:rPr>
        <w:t xml:space="preserve">% </w:t>
      </w:r>
      <w:r w:rsidRPr="00215994">
        <w:rPr>
          <w:szCs w:val="24"/>
        </w:rPr>
        <w:t xml:space="preserve">renewable energy at its corporate operations and upstream manufacturing supply chain. This setup includes a </w:t>
      </w:r>
      <w:r w:rsidR="005F08CE" w:rsidRPr="00215994">
        <w:rPr>
          <w:szCs w:val="24"/>
        </w:rPr>
        <w:t>specialized</w:t>
      </w:r>
      <w:r w:rsidRPr="00215994">
        <w:rPr>
          <w:szCs w:val="24"/>
        </w:rPr>
        <w:t xml:space="preserve"> 10 </w:t>
      </w:r>
      <w:r w:rsidRPr="00215994">
        <w:rPr>
          <w:szCs w:val="24"/>
        </w:rPr>
        <w:lastRenderedPageBreak/>
        <w:t xml:space="preserve">MW solid oxide fuel cell array at its Maiden, North Carolina data </w:t>
      </w:r>
      <w:r w:rsidR="005F08CE" w:rsidRPr="00215994">
        <w:rPr>
          <w:szCs w:val="24"/>
        </w:rPr>
        <w:t>center</w:t>
      </w:r>
      <w:r w:rsidRPr="00215994">
        <w:rPr>
          <w:szCs w:val="24"/>
        </w:rPr>
        <w:t>, which runs in parallel with significant onsite solar power generation</w:t>
      </w:r>
      <w:r>
        <w:rPr>
          <w:szCs w:val="24"/>
        </w:rPr>
        <w:t xml:space="preserve">. </w:t>
      </w:r>
      <w:r w:rsidRPr="00215994">
        <w:rPr>
          <w:szCs w:val="24"/>
        </w:rPr>
        <w:t xml:space="preserve">These are clearly public-facing corporate efforts to prove that although perfect, real-time 24/7 CFE matching is a continuing challenge on the grid, utility-scale renewable-powered data </w:t>
      </w:r>
      <w:r w:rsidR="005F08CE" w:rsidRPr="00215994">
        <w:rPr>
          <w:szCs w:val="24"/>
        </w:rPr>
        <w:t>center</w:t>
      </w:r>
      <w:r w:rsidRPr="00215994">
        <w:rPr>
          <w:szCs w:val="24"/>
        </w:rPr>
        <w:t xml:space="preserve"> configurations are technically stable and economically better options for hyperscale infrastructure</w:t>
      </w:r>
      <w:r>
        <w:rPr>
          <w:szCs w:val="24"/>
        </w:rPr>
        <w:fldChar w:fldCharType="begin"/>
      </w:r>
      <w:r>
        <w:rPr>
          <w:szCs w:val="24"/>
        </w:rPr>
        <w:instrText xml:space="preserve"> ADDIN ZOTERO_ITEM CSL_CITATION {"citationID":"aW9zBp1f","properties":{"unsorted":false,"formattedCitation":"[63]","plainCitation":"[63]","noteIndex":0},"citationItems":[{"id":2010,"uris":["http://zotero.org/users/9870935/items/36ZP5SVZ"],"itemData":{"id":2010,"type":"post-weblog","title":"Environmental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Pr>
          <w:szCs w:val="24"/>
        </w:rPr>
        <w:fldChar w:fldCharType="separate"/>
      </w:r>
      <w:r w:rsidRPr="00584BC7">
        <w:t>[63]</w:t>
      </w:r>
      <w:r>
        <w:rPr>
          <w:szCs w:val="24"/>
        </w:rPr>
        <w:fldChar w:fldCharType="end"/>
      </w:r>
      <w:r w:rsidRPr="00215994">
        <w:rPr>
          <w:szCs w:val="24"/>
        </w:rPr>
        <w:t>.</w:t>
      </w:r>
    </w:p>
    <w:p w14:paraId="13B265DA" w14:textId="77777777" w:rsidR="00FE013C" w:rsidRDefault="00FE013C" w:rsidP="004C16FF">
      <w:pPr>
        <w:pStyle w:val="Heading20"/>
        <w:jc w:val="both"/>
        <w:rPr>
          <w:color w:val="auto"/>
        </w:rPr>
      </w:pPr>
      <w:r>
        <w:rPr>
          <w:color w:val="auto"/>
        </w:rPr>
        <w:t xml:space="preserve">2.6. </w:t>
      </w:r>
      <w:r w:rsidRPr="00B768DA">
        <w:rPr>
          <w:color w:val="auto"/>
        </w:rPr>
        <w:t>Critical Comparative Analysis of Renewable Integration Frameworks</w:t>
      </w:r>
    </w:p>
    <w:p w14:paraId="3DFA0CAD" w14:textId="73FC6DA4" w:rsidR="00FE013C" w:rsidRDefault="00FE013C" w:rsidP="004C16FF">
      <w:pPr>
        <w:spacing w:after="120"/>
        <w:ind w:firstLine="480"/>
        <w:rPr>
          <w:szCs w:val="24"/>
        </w:rPr>
      </w:pPr>
      <w:r w:rsidRPr="00FD5AD2">
        <w:rPr>
          <w:szCs w:val="24"/>
        </w:rPr>
        <w:t xml:space="preserve">Previous studies on renewable energy integration for data </w:t>
      </w:r>
      <w:r w:rsidR="005F08CE" w:rsidRPr="00FD5AD2">
        <w:rPr>
          <w:szCs w:val="24"/>
        </w:rPr>
        <w:t>centers</w:t>
      </w:r>
      <w:r w:rsidRPr="00FD5AD2">
        <w:rPr>
          <w:szCs w:val="24"/>
        </w:rPr>
        <w:t xml:space="preserve"> can be </w:t>
      </w:r>
      <w:r w:rsidR="005F08CE" w:rsidRPr="00FD5AD2">
        <w:rPr>
          <w:szCs w:val="24"/>
        </w:rPr>
        <w:t>categorized</w:t>
      </w:r>
      <w:r w:rsidRPr="00FD5AD2">
        <w:rPr>
          <w:szCs w:val="24"/>
        </w:rPr>
        <w:t xml:space="preserve"> into four categories, each with distinct strengths and limitations that motivate this work. Table 1 compares these approaches across technical strengths, economic blind spots, implementation barriers, and the specific gap each leaves that this framework addresses.</w:t>
      </w:r>
    </w:p>
    <w:p w14:paraId="3CC51054" w14:textId="77777777" w:rsidR="00FE013C" w:rsidRDefault="00FE013C" w:rsidP="004C16FF">
      <w:pPr>
        <w:pStyle w:val="Caption"/>
        <w:keepNext/>
      </w:pPr>
      <w:r>
        <w:t xml:space="preserve">Table </w:t>
      </w:r>
      <w:fldSimple w:instr=" SEQ Table \* ARABIC ">
        <w:r>
          <w:rPr>
            <w:noProof/>
          </w:rPr>
          <w:t>1</w:t>
        </w:r>
      </w:fldSimple>
      <w:r>
        <w:t xml:space="preserve"> </w:t>
      </w:r>
      <w:r w:rsidRPr="008B20D6">
        <w:t>Comparative Analysis of Renewable Integration Approaches for Data Centers</w:t>
      </w:r>
    </w:p>
    <w:tbl>
      <w:tblPr>
        <w:tblStyle w:val="Mdeck5tablebodythreelines"/>
        <w:tblW w:w="0" w:type="auto"/>
        <w:tblLayout w:type="fixed"/>
        <w:tblLook w:val="04A0" w:firstRow="1" w:lastRow="0" w:firstColumn="1" w:lastColumn="0" w:noHBand="0" w:noVBand="1"/>
      </w:tblPr>
      <w:tblGrid>
        <w:gridCol w:w="1678"/>
        <w:gridCol w:w="1695"/>
        <w:gridCol w:w="1695"/>
        <w:gridCol w:w="1947"/>
        <w:gridCol w:w="1829"/>
      </w:tblGrid>
      <w:tr w:rsidR="00FE013C" w:rsidRPr="00C57FAE" w14:paraId="41D68597" w14:textId="77777777" w:rsidTr="00103F18">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C57FAE" w:rsidRDefault="00FE013C" w:rsidP="004C16FF">
            <w:pPr>
              <w:pStyle w:val="TableBody"/>
              <w:jc w:val="both"/>
              <w:rPr>
                <w:b/>
                <w:bCs/>
                <w:color w:val="auto"/>
                <w:sz w:val="16"/>
                <w:szCs w:val="16"/>
                <w:lang w:val="en-US"/>
              </w:rPr>
            </w:pPr>
            <w:r w:rsidRPr="00C57FAE">
              <w:rPr>
                <w:b/>
                <w:bCs/>
                <w:color w:val="auto"/>
                <w:sz w:val="16"/>
                <w:szCs w:val="16"/>
                <w:lang w:val="en-US"/>
              </w:rPr>
              <w:t>Approach</w:t>
            </w:r>
          </w:p>
        </w:tc>
        <w:tc>
          <w:tcPr>
            <w:tcW w:w="1695" w:type="dxa"/>
            <w:hideMark/>
          </w:tcPr>
          <w:p w14:paraId="5F2561D9" w14:textId="77777777" w:rsidR="00FE013C" w:rsidRPr="00C57FAE" w:rsidRDefault="00FE013C" w:rsidP="004C16FF">
            <w:pPr>
              <w:pStyle w:val="TableBody"/>
              <w:jc w:val="both"/>
              <w:rPr>
                <w:b/>
                <w:bCs/>
                <w:color w:val="auto"/>
                <w:sz w:val="16"/>
                <w:szCs w:val="16"/>
                <w:lang w:val="en-US"/>
              </w:rPr>
            </w:pPr>
            <w:r w:rsidRPr="00C57FAE">
              <w:rPr>
                <w:b/>
                <w:bCs/>
                <w:color w:val="auto"/>
                <w:sz w:val="16"/>
                <w:szCs w:val="16"/>
                <w:lang w:val="en-US"/>
              </w:rPr>
              <w:t>Technical Strengths</w:t>
            </w:r>
          </w:p>
        </w:tc>
        <w:tc>
          <w:tcPr>
            <w:tcW w:w="1695" w:type="dxa"/>
            <w:hideMark/>
          </w:tcPr>
          <w:p w14:paraId="3827A75C" w14:textId="77777777" w:rsidR="00FE013C" w:rsidRPr="00C57FAE" w:rsidRDefault="00FE013C" w:rsidP="004C16FF">
            <w:pPr>
              <w:pStyle w:val="TableBody"/>
              <w:jc w:val="both"/>
              <w:rPr>
                <w:b/>
                <w:bCs/>
                <w:color w:val="auto"/>
                <w:sz w:val="16"/>
                <w:szCs w:val="16"/>
                <w:lang w:val="en-US"/>
              </w:rPr>
            </w:pPr>
            <w:r w:rsidRPr="00C57FAE">
              <w:rPr>
                <w:b/>
                <w:bCs/>
                <w:color w:val="auto"/>
                <w:sz w:val="16"/>
                <w:szCs w:val="16"/>
                <w:lang w:val="en-US"/>
              </w:rPr>
              <w:t>Economic Blind Spots</w:t>
            </w:r>
          </w:p>
        </w:tc>
        <w:tc>
          <w:tcPr>
            <w:tcW w:w="1947" w:type="dxa"/>
            <w:hideMark/>
          </w:tcPr>
          <w:p w14:paraId="644C52FB" w14:textId="77777777" w:rsidR="00FE013C" w:rsidRPr="00C57FAE" w:rsidRDefault="00FE013C" w:rsidP="004C16FF">
            <w:pPr>
              <w:pStyle w:val="TableBody"/>
              <w:jc w:val="both"/>
              <w:rPr>
                <w:b/>
                <w:bCs/>
                <w:color w:val="auto"/>
                <w:sz w:val="16"/>
                <w:szCs w:val="16"/>
                <w:lang w:val="en-US"/>
              </w:rPr>
            </w:pPr>
            <w:r w:rsidRPr="00C57FAE">
              <w:rPr>
                <w:b/>
                <w:bCs/>
                <w:color w:val="auto"/>
                <w:sz w:val="16"/>
                <w:szCs w:val="16"/>
                <w:lang w:val="en-US"/>
              </w:rPr>
              <w:t>Implementation Barriers</w:t>
            </w:r>
          </w:p>
        </w:tc>
        <w:tc>
          <w:tcPr>
            <w:tcW w:w="1829" w:type="dxa"/>
            <w:hideMark/>
          </w:tcPr>
          <w:p w14:paraId="5F1849DD" w14:textId="77777777" w:rsidR="00FE013C" w:rsidRPr="00C57FAE" w:rsidRDefault="00FE013C" w:rsidP="004C16FF">
            <w:pPr>
              <w:pStyle w:val="TableBody"/>
              <w:jc w:val="both"/>
              <w:rPr>
                <w:b/>
                <w:bCs/>
                <w:color w:val="auto"/>
                <w:sz w:val="16"/>
                <w:szCs w:val="16"/>
                <w:lang w:val="en-US"/>
              </w:rPr>
            </w:pPr>
            <w:r w:rsidRPr="00C57FAE">
              <w:rPr>
                <w:b/>
                <w:bCs/>
                <w:color w:val="auto"/>
                <w:sz w:val="16"/>
                <w:szCs w:val="16"/>
                <w:lang w:val="en-US"/>
              </w:rPr>
              <w:t>Gap Addressed by This Framework</w:t>
            </w:r>
          </w:p>
        </w:tc>
      </w:tr>
      <w:tr w:rsidR="00FE013C" w:rsidRPr="00C57FAE" w14:paraId="353811D3" w14:textId="77777777" w:rsidTr="005F08CE">
        <w:trPr>
          <w:trHeight w:val="1684"/>
        </w:trPr>
        <w:tc>
          <w:tcPr>
            <w:tcW w:w="1678" w:type="dxa"/>
            <w:hideMark/>
          </w:tcPr>
          <w:p w14:paraId="5DCFD7AE" w14:textId="77777777" w:rsidR="00FE013C" w:rsidRPr="00C57FAE" w:rsidRDefault="00FE013C" w:rsidP="004C16FF">
            <w:pPr>
              <w:pStyle w:val="TableBody"/>
              <w:jc w:val="both"/>
              <w:rPr>
                <w:bCs/>
                <w:color w:val="auto"/>
                <w:sz w:val="16"/>
                <w:szCs w:val="16"/>
                <w:lang w:val="en-US"/>
              </w:rPr>
            </w:pPr>
            <w:r w:rsidRPr="00C57FAE">
              <w:rPr>
                <w:b/>
                <w:bCs/>
                <w:color w:val="auto"/>
                <w:sz w:val="16"/>
                <w:szCs w:val="16"/>
                <w:lang w:val="en-US"/>
              </w:rPr>
              <w:t>Technical-Only (Grid Studies)</w:t>
            </w:r>
          </w:p>
        </w:tc>
        <w:tc>
          <w:tcPr>
            <w:tcW w:w="1695" w:type="dxa"/>
            <w:hideMark/>
          </w:tcPr>
          <w:p w14:paraId="099228A6"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Strong harmonic and stability analysis (IEEE 519, IEC 62351 compliance); detailed EMT simulation</w:t>
            </w:r>
          </w:p>
        </w:tc>
        <w:tc>
          <w:tcPr>
            <w:tcW w:w="1695" w:type="dxa"/>
            <w:hideMark/>
          </w:tcPr>
          <w:p w14:paraId="472E1423"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No cost-benefit analysis; no integration with workload flexibility or PPA strategy</w:t>
            </w:r>
          </w:p>
        </w:tc>
        <w:tc>
          <w:tcPr>
            <w:tcW w:w="1947" w:type="dxa"/>
            <w:hideMark/>
          </w:tcPr>
          <w:p w14:paraId="4DC76685"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 xml:space="preserve">Assumes infinite budget; ignores capital constraints and </w:t>
            </w:r>
            <w:proofErr w:type="spellStart"/>
            <w:r w:rsidRPr="00C57FAE">
              <w:rPr>
                <w:bCs/>
                <w:color w:val="auto"/>
                <w:sz w:val="16"/>
                <w:szCs w:val="16"/>
                <w:lang w:val="en-US"/>
              </w:rPr>
              <w:t>OpEx</w:t>
            </w:r>
            <w:proofErr w:type="spellEnd"/>
            <w:r w:rsidRPr="00C57FAE">
              <w:rPr>
                <w:bCs/>
                <w:color w:val="auto"/>
                <w:sz w:val="16"/>
                <w:szCs w:val="16"/>
                <w:lang w:val="en-US"/>
              </w:rPr>
              <w:t xml:space="preserve"> optimization</w:t>
            </w:r>
          </w:p>
        </w:tc>
        <w:tc>
          <w:tcPr>
            <w:tcW w:w="1829" w:type="dxa"/>
            <w:hideMark/>
          </w:tcPr>
          <w:p w14:paraId="75B4D40E"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 xml:space="preserve">Adds </w:t>
            </w:r>
            <w:r w:rsidRPr="00C57FAE">
              <w:rPr>
                <w:b/>
                <w:bCs/>
                <w:color w:val="auto"/>
                <w:sz w:val="16"/>
                <w:szCs w:val="16"/>
                <w:lang w:val="en-US"/>
              </w:rPr>
              <w:t>Section 10</w:t>
            </w:r>
            <w:r w:rsidRPr="00C57FAE">
              <w:rPr>
                <w:bCs/>
                <w:color w:val="auto"/>
                <w:sz w:val="16"/>
                <w:szCs w:val="16"/>
                <w:lang w:val="en-US"/>
              </w:rPr>
              <w:t xml:space="preserve"> (economic modeling with NPV, LCOE, and sensitivity analysis) and links results to workload scheduling (</w:t>
            </w:r>
            <w:r w:rsidRPr="00C57FAE">
              <w:rPr>
                <w:b/>
                <w:bCs/>
                <w:color w:val="auto"/>
                <w:sz w:val="16"/>
                <w:szCs w:val="16"/>
                <w:lang w:val="en-US"/>
              </w:rPr>
              <w:t>Section 5</w:t>
            </w:r>
            <w:r w:rsidRPr="00C57FAE">
              <w:rPr>
                <w:bCs/>
                <w:color w:val="auto"/>
                <w:sz w:val="16"/>
                <w:szCs w:val="16"/>
                <w:lang w:val="en-US"/>
              </w:rPr>
              <w:t>)</w:t>
            </w:r>
          </w:p>
        </w:tc>
      </w:tr>
      <w:tr w:rsidR="00FE013C" w:rsidRPr="00C57FAE" w14:paraId="15381C8C" w14:textId="77777777" w:rsidTr="00103F18">
        <w:tc>
          <w:tcPr>
            <w:tcW w:w="1678" w:type="dxa"/>
            <w:hideMark/>
          </w:tcPr>
          <w:p w14:paraId="4310A57E" w14:textId="77777777" w:rsidR="00FE013C" w:rsidRPr="00C57FAE" w:rsidRDefault="00FE013C" w:rsidP="004C16FF">
            <w:pPr>
              <w:pStyle w:val="TableBody"/>
              <w:jc w:val="both"/>
              <w:rPr>
                <w:bCs/>
                <w:color w:val="auto"/>
                <w:sz w:val="16"/>
                <w:szCs w:val="16"/>
                <w:lang w:val="en-US"/>
              </w:rPr>
            </w:pPr>
            <w:r w:rsidRPr="00C57FAE">
              <w:rPr>
                <w:b/>
                <w:bCs/>
                <w:color w:val="auto"/>
                <w:sz w:val="16"/>
                <w:szCs w:val="16"/>
                <w:lang w:val="en-US"/>
              </w:rPr>
              <w:t>Economic-Only (Procurement)</w:t>
            </w:r>
          </w:p>
        </w:tc>
        <w:tc>
          <w:tcPr>
            <w:tcW w:w="1695" w:type="dxa"/>
            <w:hideMark/>
          </w:tcPr>
          <w:p w14:paraId="70A9A471"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Optimizes PPA rates ($25–50/MWh wind, $30–50/MWh solar); models energy costs independently</w:t>
            </w:r>
          </w:p>
        </w:tc>
        <w:tc>
          <w:tcPr>
            <w:tcW w:w="1695" w:type="dxa"/>
            <w:hideMark/>
          </w:tcPr>
          <w:p w14:paraId="371682CE"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Ignores power quality, harmonic distortion, and system stability; assumes the grid can accommodate arbitrary generation profiles</w:t>
            </w:r>
          </w:p>
        </w:tc>
        <w:tc>
          <w:tcPr>
            <w:tcW w:w="1947" w:type="dxa"/>
            <w:hideMark/>
          </w:tcPr>
          <w:p w14:paraId="75A4E722"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May result in renewable energy purchases that grid interconnection and protection systems cannot safely dispatch</w:t>
            </w:r>
          </w:p>
        </w:tc>
        <w:tc>
          <w:tcPr>
            <w:tcW w:w="1829" w:type="dxa"/>
            <w:hideMark/>
          </w:tcPr>
          <w:p w14:paraId="5243FC6F"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 xml:space="preserve">Adds </w:t>
            </w:r>
            <w:r w:rsidRPr="00C57FAE">
              <w:rPr>
                <w:b/>
                <w:bCs/>
                <w:color w:val="auto"/>
                <w:sz w:val="16"/>
                <w:szCs w:val="16"/>
                <w:lang w:val="en-US"/>
              </w:rPr>
              <w:t>Section 6</w:t>
            </w:r>
            <w:r w:rsidRPr="00C57FAE">
              <w:rPr>
                <w:bCs/>
                <w:color w:val="auto"/>
                <w:sz w:val="16"/>
                <w:szCs w:val="16"/>
                <w:lang w:val="en-US"/>
              </w:rPr>
              <w:t xml:space="preserve"> (power flow analysis), </w:t>
            </w:r>
            <w:r w:rsidRPr="00C57FAE">
              <w:rPr>
                <w:b/>
                <w:bCs/>
                <w:color w:val="auto"/>
                <w:sz w:val="16"/>
                <w:szCs w:val="16"/>
                <w:lang w:val="en-US"/>
              </w:rPr>
              <w:t>Section 6.3</w:t>
            </w:r>
            <w:r w:rsidRPr="00C57FAE">
              <w:rPr>
                <w:bCs/>
                <w:color w:val="auto"/>
                <w:sz w:val="16"/>
                <w:szCs w:val="16"/>
                <w:lang w:val="en-US"/>
              </w:rPr>
              <w:t xml:space="preserve"> (harmonic mitigation sizing), and a comprehensive grid integration strategy</w:t>
            </w:r>
          </w:p>
        </w:tc>
      </w:tr>
      <w:tr w:rsidR="00FE013C" w:rsidRPr="00C57FAE" w14:paraId="40CC1E5C" w14:textId="77777777" w:rsidTr="00103F18">
        <w:tc>
          <w:tcPr>
            <w:tcW w:w="1678" w:type="dxa"/>
            <w:hideMark/>
          </w:tcPr>
          <w:p w14:paraId="24ABE1C1" w14:textId="77777777" w:rsidR="00FE013C" w:rsidRPr="00C57FAE" w:rsidRDefault="00FE013C" w:rsidP="004C16FF">
            <w:pPr>
              <w:pStyle w:val="TableBody"/>
              <w:jc w:val="both"/>
              <w:rPr>
                <w:bCs/>
                <w:color w:val="auto"/>
                <w:sz w:val="16"/>
                <w:szCs w:val="16"/>
                <w:lang w:val="en-US"/>
              </w:rPr>
            </w:pPr>
            <w:r w:rsidRPr="00C57FAE">
              <w:rPr>
                <w:b/>
                <w:bCs/>
                <w:color w:val="auto"/>
                <w:sz w:val="16"/>
                <w:szCs w:val="16"/>
                <w:lang w:val="en-US"/>
              </w:rPr>
              <w:t>Company Case Studies (Google, Meta, Microsoft)</w:t>
            </w:r>
          </w:p>
        </w:tc>
        <w:tc>
          <w:tcPr>
            <w:tcW w:w="1695" w:type="dxa"/>
            <w:hideMark/>
          </w:tcPr>
          <w:p w14:paraId="71007A1C"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Provides real-world deployment data; demonstrates 64–99.9% CFE performance and scalability across portfolios exceeding 30 GW</w:t>
            </w:r>
          </w:p>
        </w:tc>
        <w:tc>
          <w:tcPr>
            <w:tcW w:w="1695" w:type="dxa"/>
            <w:hideMark/>
          </w:tcPr>
          <w:p w14:paraId="3A596B93"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Lacks a systematic methodology; highly geography-dependent; limited applicability for non-hyperscale operators; insufficient transparency on cost drivers</w:t>
            </w:r>
          </w:p>
        </w:tc>
        <w:tc>
          <w:tcPr>
            <w:tcW w:w="1947" w:type="dxa"/>
            <w:hideMark/>
          </w:tcPr>
          <w:p w14:paraId="1380B35B"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Solutions are often hyperscale-specific (e.g., nuclear procurement, fuel-cell deployment) and not directly transferable to 10–100 MW facilities</w:t>
            </w:r>
          </w:p>
        </w:tc>
        <w:tc>
          <w:tcPr>
            <w:tcW w:w="1829" w:type="dxa"/>
            <w:hideMark/>
          </w:tcPr>
          <w:p w14:paraId="4B6D7270"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 xml:space="preserve">Delivers a scalable framework for </w:t>
            </w:r>
            <w:r w:rsidRPr="00C57FAE">
              <w:rPr>
                <w:b/>
                <w:bCs/>
                <w:color w:val="auto"/>
                <w:sz w:val="16"/>
                <w:szCs w:val="16"/>
                <w:lang w:val="en-US"/>
              </w:rPr>
              <w:t>10–1000 MW</w:t>
            </w:r>
            <w:r w:rsidRPr="00C57FAE">
              <w:rPr>
                <w:bCs/>
                <w:color w:val="auto"/>
                <w:sz w:val="16"/>
                <w:szCs w:val="16"/>
                <w:lang w:val="en-US"/>
              </w:rPr>
              <w:t xml:space="preserve"> facilities, incorporating explicit cost–reliability trade-offs (</w:t>
            </w:r>
            <w:r w:rsidRPr="00C57FAE">
              <w:rPr>
                <w:b/>
                <w:bCs/>
                <w:color w:val="auto"/>
                <w:sz w:val="16"/>
                <w:szCs w:val="16"/>
                <w:lang w:val="en-US"/>
              </w:rPr>
              <w:t>Section 10</w:t>
            </w:r>
            <w:r w:rsidRPr="00C57FAE">
              <w:rPr>
                <w:bCs/>
                <w:color w:val="auto"/>
                <w:sz w:val="16"/>
                <w:szCs w:val="16"/>
                <w:lang w:val="en-US"/>
              </w:rPr>
              <w:t>) and geographic flexibility (</w:t>
            </w:r>
            <w:r w:rsidRPr="00C57FAE">
              <w:rPr>
                <w:b/>
                <w:bCs/>
                <w:color w:val="auto"/>
                <w:sz w:val="16"/>
                <w:szCs w:val="16"/>
                <w:lang w:val="en-US"/>
              </w:rPr>
              <w:t>Sections 4 and 8</w:t>
            </w:r>
            <w:r w:rsidRPr="00C57FAE">
              <w:rPr>
                <w:bCs/>
                <w:color w:val="auto"/>
                <w:sz w:val="16"/>
                <w:szCs w:val="16"/>
                <w:lang w:val="en-US"/>
              </w:rPr>
              <w:t>)</w:t>
            </w:r>
          </w:p>
        </w:tc>
      </w:tr>
      <w:tr w:rsidR="00FE013C" w:rsidRPr="00C57FAE" w14:paraId="50A7E664" w14:textId="77777777" w:rsidTr="00103F18">
        <w:tc>
          <w:tcPr>
            <w:tcW w:w="1678" w:type="dxa"/>
            <w:hideMark/>
          </w:tcPr>
          <w:p w14:paraId="71B589EF" w14:textId="77777777" w:rsidR="00FE013C" w:rsidRPr="00C57FAE" w:rsidRDefault="00FE013C" w:rsidP="004C16FF">
            <w:pPr>
              <w:pStyle w:val="TableBody"/>
              <w:jc w:val="both"/>
              <w:rPr>
                <w:bCs/>
                <w:color w:val="auto"/>
                <w:sz w:val="16"/>
                <w:szCs w:val="16"/>
                <w:lang w:val="en-US"/>
              </w:rPr>
            </w:pPr>
            <w:r w:rsidRPr="00C57FAE">
              <w:rPr>
                <w:b/>
                <w:bCs/>
                <w:color w:val="auto"/>
                <w:sz w:val="16"/>
                <w:szCs w:val="16"/>
                <w:lang w:val="en-US"/>
              </w:rPr>
              <w:t>Equipment-Centric (Battery, Inverter, Cooling Vendors)</w:t>
            </w:r>
          </w:p>
        </w:tc>
        <w:tc>
          <w:tcPr>
            <w:tcW w:w="1695" w:type="dxa"/>
            <w:hideMark/>
          </w:tcPr>
          <w:p w14:paraId="5C797FD9"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Detailed component specifications, thermal management guidance, and efficiency performance curves</w:t>
            </w:r>
          </w:p>
        </w:tc>
        <w:tc>
          <w:tcPr>
            <w:tcW w:w="1695" w:type="dxa"/>
            <w:hideMark/>
          </w:tcPr>
          <w:p w14:paraId="3C2A8292"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No pathway for system-level integration; neglects interactions among storage, load flexibility, and dispatch optimization</w:t>
            </w:r>
          </w:p>
        </w:tc>
        <w:tc>
          <w:tcPr>
            <w:tcW w:w="1947" w:type="dxa"/>
            <w:hideMark/>
          </w:tcPr>
          <w:p w14:paraId="45DFF39B"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Risk of over-sizing (excess capital expenditure) or under-sizing (reliability failures); lacks dispatch and coordination strategy</w:t>
            </w:r>
          </w:p>
        </w:tc>
        <w:tc>
          <w:tcPr>
            <w:tcW w:w="1829" w:type="dxa"/>
            <w:hideMark/>
          </w:tcPr>
          <w:p w14:paraId="3B914F9C" w14:textId="77777777" w:rsidR="00FE013C" w:rsidRPr="00C57FAE" w:rsidRDefault="00FE013C" w:rsidP="004C16FF">
            <w:pPr>
              <w:pStyle w:val="TableBody"/>
              <w:jc w:val="both"/>
              <w:rPr>
                <w:bCs/>
                <w:color w:val="auto"/>
                <w:sz w:val="16"/>
                <w:szCs w:val="16"/>
                <w:lang w:val="en-US"/>
              </w:rPr>
            </w:pPr>
            <w:r w:rsidRPr="00C57FAE">
              <w:rPr>
                <w:bCs/>
                <w:color w:val="auto"/>
                <w:sz w:val="16"/>
                <w:szCs w:val="16"/>
                <w:lang w:val="en-US"/>
              </w:rPr>
              <w:t xml:space="preserve">Adds integrated energy management through </w:t>
            </w:r>
            <w:r w:rsidRPr="00C57FAE">
              <w:rPr>
                <w:b/>
                <w:bCs/>
                <w:color w:val="auto"/>
                <w:sz w:val="16"/>
                <w:szCs w:val="16"/>
                <w:lang w:val="en-US"/>
              </w:rPr>
              <w:t>Section 5.5 (MPC Control)</w:t>
            </w:r>
            <w:r w:rsidRPr="00C57FAE">
              <w:rPr>
                <w:bCs/>
                <w:color w:val="auto"/>
                <w:sz w:val="16"/>
                <w:szCs w:val="16"/>
                <w:lang w:val="en-US"/>
              </w:rPr>
              <w:t xml:space="preserve"> and probabilistic sizing in </w:t>
            </w:r>
            <w:r w:rsidRPr="00C57FAE">
              <w:rPr>
                <w:b/>
                <w:bCs/>
                <w:color w:val="auto"/>
                <w:sz w:val="16"/>
                <w:szCs w:val="16"/>
                <w:lang w:val="en-US"/>
              </w:rPr>
              <w:t>Section 5.3</w:t>
            </w:r>
            <w:r w:rsidRPr="00C57FAE">
              <w:rPr>
                <w:bCs/>
                <w:color w:val="auto"/>
                <w:sz w:val="16"/>
                <w:szCs w:val="16"/>
                <w:lang w:val="en-US"/>
              </w:rPr>
              <w:t>, linking component selection to overall system outcomes</w:t>
            </w:r>
          </w:p>
        </w:tc>
      </w:tr>
    </w:tbl>
    <w:p w14:paraId="543E788C" w14:textId="77777777" w:rsidR="00FE013C" w:rsidRDefault="00FE013C" w:rsidP="004C16FF">
      <w:pPr>
        <w:pStyle w:val="Heading20"/>
        <w:jc w:val="both"/>
        <w:rPr>
          <w:color w:val="auto"/>
        </w:rPr>
      </w:pPr>
      <w:r>
        <w:rPr>
          <w:color w:val="auto"/>
        </w:rPr>
        <w:t xml:space="preserve">2.6.1 </w:t>
      </w:r>
      <w:r w:rsidRPr="005F1307">
        <w:rPr>
          <w:color w:val="auto"/>
        </w:rPr>
        <w:t>Key Gaps Identified in Prior Work</w:t>
      </w:r>
    </w:p>
    <w:p w14:paraId="7BA3741D" w14:textId="77777777" w:rsidR="00FE013C" w:rsidRDefault="00FE013C" w:rsidP="004C16FF">
      <w:pPr>
        <w:pStyle w:val="Heading20"/>
        <w:jc w:val="both"/>
        <w:rPr>
          <w:color w:val="auto"/>
        </w:rPr>
      </w:pPr>
      <w:r>
        <w:rPr>
          <w:color w:val="auto"/>
        </w:rPr>
        <w:lastRenderedPageBreak/>
        <w:t xml:space="preserve">2.6.1.1 </w:t>
      </w:r>
      <w:r w:rsidRPr="004F362B">
        <w:rPr>
          <w:color w:val="auto"/>
        </w:rPr>
        <w:t>Integration Failure</w:t>
      </w:r>
    </w:p>
    <w:p w14:paraId="48AA73E5" w14:textId="77777777" w:rsidR="00FE013C" w:rsidRPr="004F362B"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Problem:</w:t>
      </w:r>
      <w:r w:rsidRPr="004F362B">
        <w:rPr>
          <w:color w:val="auto"/>
          <w:lang w:val="en-CA" w:eastAsia="zh-CN"/>
        </w:rPr>
        <w:t xml:space="preserve"> Technical (Sections 6.1–6.3) and economic literature (LCOE, PPA pricing) are siloed.</w:t>
      </w:r>
      <w:r w:rsidRPr="004F362B">
        <w:rPr>
          <w:b w:val="0"/>
          <w:color w:val="auto"/>
          <w:lang w:val="en-CA" w:eastAsia="zh-CN"/>
        </w:rPr>
        <w:t xml:space="preserve"> </w:t>
      </w:r>
    </w:p>
    <w:p w14:paraId="4E2CFFAB" w14:textId="77777777" w:rsidR="00FE013C" w:rsidRPr="004F362B"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Consequence:</w:t>
      </w:r>
      <w:r w:rsidRPr="004F362B">
        <w:rPr>
          <w:b w:val="0"/>
          <w:color w:val="auto"/>
          <w:lang w:val="en-CA" w:eastAsia="zh-CN"/>
        </w:rPr>
        <w:t xml:space="preserve"> A $50/MWh wind PPA is economically attractive until grid interconnection costs ($10M+) and harmonic mitigation (active filter costs: $500k–$2M) are added—total cost can exceed $75/MWh. </w:t>
      </w:r>
    </w:p>
    <w:p w14:paraId="2F59170B" w14:textId="6E4A7ECF" w:rsidR="00FE013C"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Solution of this framework:</w:t>
      </w:r>
      <w:r w:rsidRPr="004F362B">
        <w:rPr>
          <w:color w:val="auto"/>
          <w:lang w:val="en-CA" w:eastAsia="zh-CN"/>
        </w:rPr>
        <w:t xml:space="preserve"> </w:t>
      </w:r>
      <w:r w:rsidR="00240FF9">
        <w:rPr>
          <w:color w:val="auto"/>
          <w:lang w:val="en-CA" w:eastAsia="zh-CN"/>
        </w:rPr>
        <w:t>This system models</w:t>
      </w:r>
      <w:r w:rsidRPr="004F362B">
        <w:rPr>
          <w:color w:val="auto"/>
          <w:lang w:val="en-CA" w:eastAsia="zh-CN"/>
        </w:rPr>
        <w:t xml:space="preserve"> full system cost, including grid interconnection delay premiums, protection upgrades, and harmonic mitigation, into the NPV analysis.</w:t>
      </w:r>
    </w:p>
    <w:p w14:paraId="07D5C542" w14:textId="77777777" w:rsidR="00FE013C" w:rsidRDefault="00FE013C" w:rsidP="004C16FF">
      <w:pPr>
        <w:pStyle w:val="Heading20"/>
        <w:jc w:val="both"/>
        <w:rPr>
          <w:color w:val="auto"/>
        </w:rPr>
      </w:pPr>
      <w:r>
        <w:rPr>
          <w:color w:val="auto"/>
        </w:rPr>
        <w:t xml:space="preserve">2.6.1.2 </w:t>
      </w:r>
      <w:r w:rsidRPr="00FF620A">
        <w:rPr>
          <w:color w:val="auto"/>
        </w:rPr>
        <w:t>Geographic Non-Transferability</w:t>
      </w:r>
    </w:p>
    <w:p w14:paraId="2EFD3AA9" w14:textId="77777777" w:rsidR="00FE013C" w:rsidRPr="00367469" w:rsidRDefault="00FE013C" w:rsidP="004C16FF">
      <w:pPr>
        <w:pStyle w:val="Heading10"/>
        <w:numPr>
          <w:ilvl w:val="0"/>
          <w:numId w:val="10"/>
        </w:numPr>
        <w:spacing w:before="0" w:after="0"/>
        <w:jc w:val="both"/>
        <w:rPr>
          <w:b w:val="0"/>
          <w:color w:val="auto"/>
          <w:lang w:val="en-CA" w:eastAsia="zh-CN"/>
        </w:rPr>
      </w:pPr>
      <w:r w:rsidRPr="008344F0">
        <w:rPr>
          <w:bCs/>
          <w:color w:val="auto"/>
          <w:lang w:val="en-CA" w:eastAsia="zh-CN"/>
        </w:rPr>
        <w:t>Problem:</w:t>
      </w:r>
      <w:r w:rsidRPr="00367469">
        <w:rPr>
          <w:color w:val="auto"/>
          <w:lang w:val="en-CA" w:eastAsia="zh-CN"/>
        </w:rPr>
        <w:t xml:space="preserve"> Google's Iowa wind + Southwest solar strategy works because:</w:t>
      </w:r>
    </w:p>
    <w:p w14:paraId="43C03C63"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Access to &gt;30 GW contracting portfolio (cost leverage)</w:t>
      </w:r>
    </w:p>
    <w:p w14:paraId="40D97762"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Multi-regional load balancing (capital intensive)</w:t>
      </w:r>
    </w:p>
    <w:p w14:paraId="71C5C723"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24/7 CFE target (different from reliability-first optimization)</w:t>
      </w:r>
    </w:p>
    <w:p w14:paraId="4B757011" w14:textId="77777777" w:rsidR="00FE013C" w:rsidRDefault="00FE013C" w:rsidP="004C16FF">
      <w:pPr>
        <w:pStyle w:val="Heading10"/>
        <w:numPr>
          <w:ilvl w:val="0"/>
          <w:numId w:val="10"/>
        </w:numPr>
        <w:spacing w:before="0" w:after="0"/>
        <w:jc w:val="both"/>
        <w:rPr>
          <w:b w:val="0"/>
          <w:color w:val="auto"/>
          <w:lang w:val="en-CA" w:eastAsia="zh-CN"/>
        </w:rPr>
      </w:pPr>
      <w:r w:rsidRPr="00EE168C">
        <w:rPr>
          <w:bCs/>
          <w:color w:val="auto"/>
          <w:lang w:val="en-CA" w:eastAsia="zh-CN"/>
        </w:rPr>
        <w:t>Consequence:</w:t>
      </w:r>
      <w:r w:rsidRPr="00367469">
        <w:rPr>
          <w:color w:val="auto"/>
          <w:lang w:val="en-CA" w:eastAsia="zh-CN"/>
        </w:rPr>
        <w:t xml:space="preserve"> </w:t>
      </w:r>
      <w:r w:rsidRPr="007B7F82">
        <w:rPr>
          <w:b w:val="0"/>
          <w:bCs/>
          <w:color w:val="auto"/>
          <w:lang w:val="en-CA" w:eastAsia="zh-CN"/>
        </w:rPr>
        <w:t>Smaller operators cannot replicate this, and there is no guidance on site-specific optimisation.</w:t>
      </w:r>
      <w:r w:rsidRPr="00367469">
        <w:rPr>
          <w:b w:val="0"/>
          <w:color w:val="auto"/>
          <w:lang w:val="en-CA" w:eastAsia="zh-CN"/>
        </w:rPr>
        <w:t xml:space="preserve"> </w:t>
      </w:r>
    </w:p>
    <w:p w14:paraId="73591ACF" w14:textId="77777777" w:rsidR="00FE013C" w:rsidRPr="009E0D53" w:rsidRDefault="00FE013C" w:rsidP="004C16FF">
      <w:pPr>
        <w:pStyle w:val="Heading10"/>
        <w:numPr>
          <w:ilvl w:val="0"/>
          <w:numId w:val="10"/>
        </w:numPr>
        <w:spacing w:before="0" w:after="0"/>
        <w:jc w:val="both"/>
        <w:rPr>
          <w:b w:val="0"/>
          <w:color w:val="auto"/>
          <w:lang w:val="en-CA" w:eastAsia="zh-CN"/>
        </w:rPr>
      </w:pPr>
      <w:r w:rsidRPr="00EE168C">
        <w:rPr>
          <w:bCs/>
          <w:color w:val="auto"/>
          <w:lang w:val="en-CA" w:eastAsia="zh-CN"/>
        </w:rPr>
        <w:t>This Framework's Solution:</w:t>
      </w:r>
      <w:r w:rsidRPr="007B7F82">
        <w:rPr>
          <w:b w:val="0"/>
          <w:bCs/>
          <w:color w:val="auto"/>
          <w:lang w:val="en-CA" w:eastAsia="zh-CN"/>
        </w:rPr>
        <w:t xml:space="preserve"> Section 4 provides the site assessment methodology (GIS, resource variability, and seasonal complementarity), and Section 8 presents case studies across diverse geographies (temperate, arid, and seasonal).</w:t>
      </w:r>
    </w:p>
    <w:p w14:paraId="3C6660D9" w14:textId="77777777" w:rsidR="00FE013C" w:rsidRDefault="00FE013C" w:rsidP="004C16FF">
      <w:pPr>
        <w:pStyle w:val="Heading20"/>
        <w:jc w:val="both"/>
        <w:rPr>
          <w:color w:val="auto"/>
        </w:rPr>
      </w:pPr>
      <w:r>
        <w:rPr>
          <w:color w:val="auto"/>
        </w:rPr>
        <w:t xml:space="preserve">2.6.1.3 </w:t>
      </w:r>
      <w:r w:rsidRPr="000C26DB">
        <w:rPr>
          <w:color w:val="auto"/>
        </w:rPr>
        <w:t>Workload Rigidity Assumption</w:t>
      </w:r>
    </w:p>
    <w:p w14:paraId="3E9E432B" w14:textId="77777777" w:rsidR="00FE013C"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Problem:</w:t>
      </w:r>
      <w:r w:rsidRPr="000C26DB">
        <w:rPr>
          <w:color w:val="auto"/>
          <w:lang w:val="en-CA" w:eastAsia="zh-CN"/>
        </w:rPr>
        <w:t xml:space="preserve"> </w:t>
      </w:r>
      <w:r w:rsidRPr="00073208">
        <w:rPr>
          <w:b w:val="0"/>
          <w:bCs/>
          <w:color w:val="auto"/>
          <w:lang w:val="en-CA" w:eastAsia="zh-CN"/>
        </w:rPr>
        <w:t>Prior power system studies assume a fixed load.</w:t>
      </w:r>
      <w:r w:rsidRPr="000C26DB">
        <w:rPr>
          <w:b w:val="0"/>
          <w:color w:val="auto"/>
          <w:lang w:val="en-CA" w:eastAsia="zh-CN"/>
        </w:rPr>
        <w:t xml:space="preserve"> AI workload scheduling (training vs. inference, batch deferral, model complexity) is highly flexible but not integrated into control strategies. </w:t>
      </w:r>
    </w:p>
    <w:p w14:paraId="58839665" w14:textId="77777777" w:rsidR="00FE013C"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 xml:space="preserve">Consequence: </w:t>
      </w:r>
      <w:r w:rsidRPr="000C26DB">
        <w:rPr>
          <w:b w:val="0"/>
          <w:color w:val="auto"/>
          <w:lang w:val="en-CA" w:eastAsia="zh-CN"/>
        </w:rPr>
        <w:t xml:space="preserve">Over-sizing storage and generating capacity (40–60% more than necessary with flexibility). </w:t>
      </w:r>
    </w:p>
    <w:p w14:paraId="4B2D8F5C" w14:textId="77777777" w:rsidR="00FE013C" w:rsidRPr="00C3424F"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This Framework's Solution:</w:t>
      </w:r>
      <w:r w:rsidRPr="000C26DB">
        <w:rPr>
          <w:b w:val="0"/>
          <w:color w:val="auto"/>
          <w:lang w:val="en-CA" w:eastAsia="zh-CN"/>
        </w:rPr>
        <w:t xml:space="preserve"> Section 5 integrates demand-side workload flexibility into storage sizing (Section 5.3) and MPC dispatch (Section 5.5).</w:t>
      </w:r>
    </w:p>
    <w:p w14:paraId="2DE1A120" w14:textId="77777777" w:rsidR="00FE013C" w:rsidRDefault="00FE013C" w:rsidP="004C16FF">
      <w:pPr>
        <w:pStyle w:val="Heading20"/>
        <w:jc w:val="both"/>
        <w:rPr>
          <w:color w:val="auto"/>
        </w:rPr>
      </w:pPr>
      <w:r>
        <w:rPr>
          <w:color w:val="auto"/>
        </w:rPr>
        <w:t xml:space="preserve">2.6.1.4 </w:t>
      </w:r>
      <w:r w:rsidRPr="00B55492">
        <w:rPr>
          <w:color w:val="auto"/>
        </w:rPr>
        <w:t>Lack of Reproducible Economics</w:t>
      </w:r>
    </w:p>
    <w:p w14:paraId="43EF2742" w14:textId="77777777" w:rsidR="00FE013C" w:rsidRPr="00B55492" w:rsidRDefault="00FE013C" w:rsidP="004C16FF">
      <w:pPr>
        <w:pStyle w:val="Heading10"/>
        <w:numPr>
          <w:ilvl w:val="0"/>
          <w:numId w:val="10"/>
        </w:numPr>
        <w:spacing w:before="0" w:after="0"/>
        <w:jc w:val="both"/>
        <w:rPr>
          <w:b w:val="0"/>
          <w:color w:val="auto"/>
          <w:lang w:val="en-CA" w:eastAsia="zh-CN"/>
        </w:rPr>
      </w:pPr>
      <w:r w:rsidRPr="00B55492">
        <w:rPr>
          <w:bCs/>
          <w:color w:val="auto"/>
          <w:lang w:val="en-CA" w:eastAsia="zh-CN"/>
        </w:rPr>
        <w:t>Problem:</w:t>
      </w:r>
      <w:r w:rsidRPr="00B55492">
        <w:rPr>
          <w:b w:val="0"/>
          <w:color w:val="auto"/>
          <w:lang w:val="en-CA" w:eastAsia="zh-CN"/>
        </w:rPr>
        <w:t xml:space="preserve"> Industry case studies report metrics (% CFE, $35–100/MWh) but not cost breakdowns or sensitivity to parameters (interest rate, tech costs, grid delays). </w:t>
      </w:r>
    </w:p>
    <w:p w14:paraId="48C1F8A0" w14:textId="77777777" w:rsidR="00FE013C" w:rsidRPr="00B55492" w:rsidRDefault="00FE013C" w:rsidP="004C16FF">
      <w:pPr>
        <w:pStyle w:val="Heading10"/>
        <w:numPr>
          <w:ilvl w:val="0"/>
          <w:numId w:val="10"/>
        </w:numPr>
        <w:spacing w:before="0" w:after="0"/>
        <w:jc w:val="both"/>
        <w:rPr>
          <w:b w:val="0"/>
          <w:color w:val="auto"/>
          <w:lang w:val="en-CA" w:eastAsia="zh-CN"/>
        </w:rPr>
      </w:pPr>
      <w:r w:rsidRPr="00B55492">
        <w:rPr>
          <w:bCs/>
          <w:color w:val="auto"/>
          <w:lang w:val="en-CA" w:eastAsia="zh-CN"/>
        </w:rPr>
        <w:t>Consequence:</w:t>
      </w:r>
      <w:r w:rsidRPr="00B55492">
        <w:rPr>
          <w:color w:val="auto"/>
          <w:lang w:val="en-CA" w:eastAsia="zh-CN"/>
        </w:rPr>
        <w:t xml:space="preserve"> Operators cannot assess feasibility in their context.</w:t>
      </w:r>
      <w:r w:rsidRPr="00B55492">
        <w:rPr>
          <w:b w:val="0"/>
          <w:color w:val="auto"/>
          <w:lang w:val="en-CA" w:eastAsia="zh-CN"/>
        </w:rPr>
        <w:t xml:space="preserve"> </w:t>
      </w:r>
    </w:p>
    <w:p w14:paraId="546BF04F" w14:textId="77777777" w:rsidR="00FE013C" w:rsidRDefault="00FE013C" w:rsidP="004C16FF">
      <w:pPr>
        <w:pStyle w:val="Heading10"/>
        <w:numPr>
          <w:ilvl w:val="0"/>
          <w:numId w:val="10"/>
        </w:numPr>
        <w:spacing w:before="0" w:after="0"/>
        <w:jc w:val="both"/>
        <w:rPr>
          <w:b w:val="0"/>
          <w:color w:val="auto"/>
          <w:lang w:val="en-CA" w:eastAsia="zh-CN"/>
        </w:rPr>
      </w:pPr>
      <w:r w:rsidRPr="00B55492">
        <w:rPr>
          <w:bCs/>
          <w:color w:val="auto"/>
          <w:lang w:val="en-CA" w:eastAsia="zh-CN"/>
        </w:rPr>
        <w:t>This Framework's Solution:</w:t>
      </w:r>
      <w:r w:rsidRPr="00B55492">
        <w:rPr>
          <w:color w:val="auto"/>
          <w:lang w:val="en-CA" w:eastAsia="zh-CN"/>
        </w:rPr>
        <w:t xml:space="preserve"> Section 10 provides transparent LCOE, NPV, and sensitivity analysis with published data (NREL, IRENA, and </w:t>
      </w:r>
      <w:proofErr w:type="spellStart"/>
      <w:r w:rsidRPr="00B55492">
        <w:rPr>
          <w:color w:val="auto"/>
          <w:lang w:val="en-CA" w:eastAsia="zh-CN"/>
        </w:rPr>
        <w:t>BloombergNEF</w:t>
      </w:r>
      <w:proofErr w:type="spellEnd"/>
      <w:r w:rsidRPr="00B55492">
        <w:rPr>
          <w:color w:val="auto"/>
          <w:lang w:val="en-CA" w:eastAsia="zh-CN"/>
        </w:rPr>
        <w:t>) and Python-ready formulas.</w:t>
      </w:r>
    </w:p>
    <w:p w14:paraId="4BEEECE7" w14:textId="77777777" w:rsidR="00FE013C" w:rsidRDefault="00FE013C" w:rsidP="004C16FF">
      <w:pPr>
        <w:pStyle w:val="Heading20"/>
        <w:jc w:val="both"/>
        <w:rPr>
          <w:color w:val="auto"/>
        </w:rPr>
      </w:pPr>
      <w:r>
        <w:rPr>
          <w:color w:val="auto"/>
        </w:rPr>
        <w:t xml:space="preserve">2.6.2 </w:t>
      </w:r>
      <w:r w:rsidRPr="00915220">
        <w:rPr>
          <w:color w:val="auto"/>
        </w:rPr>
        <w:t>Critical Observations</w:t>
      </w:r>
    </w:p>
    <w:p w14:paraId="28032A78" w14:textId="58F85064" w:rsidR="00FE013C" w:rsidRPr="00F722BB" w:rsidRDefault="00FE013C" w:rsidP="004C16FF">
      <w:pPr>
        <w:spacing w:after="120"/>
        <w:ind w:firstLine="480"/>
        <w:rPr>
          <w:szCs w:val="24"/>
        </w:rPr>
      </w:pPr>
      <w:r w:rsidRPr="00F722BB">
        <w:rPr>
          <w:szCs w:val="24"/>
        </w:rPr>
        <w:t xml:space="preserve">Existing research on integrating RE sources into data </w:t>
      </w:r>
      <w:r w:rsidR="009F7E9F" w:rsidRPr="00F722BB">
        <w:rPr>
          <w:szCs w:val="24"/>
        </w:rPr>
        <w:t>centers</w:t>
      </w:r>
      <w:r w:rsidRPr="00F722BB">
        <w:rPr>
          <w:szCs w:val="24"/>
        </w:rPr>
        <w:t xml:space="preserve"> is typically </w:t>
      </w:r>
      <w:r w:rsidR="009F7E9F" w:rsidRPr="00F722BB">
        <w:rPr>
          <w:szCs w:val="24"/>
        </w:rPr>
        <w:t>categorized</w:t>
      </w:r>
      <w:r w:rsidRPr="00F722BB">
        <w:rPr>
          <w:szCs w:val="24"/>
        </w:rPr>
        <w:t xml:space="preserve"> into four distinct portfolios: </w:t>
      </w:r>
      <w:r w:rsidRPr="001C3837">
        <w:rPr>
          <w:szCs w:val="24"/>
        </w:rPr>
        <w:t>simulation-only</w:t>
      </w:r>
      <w:r>
        <w:rPr>
          <w:szCs w:val="24"/>
        </w:rPr>
        <w:t xml:space="preserve"> </w:t>
      </w:r>
      <w:r w:rsidRPr="00F722BB">
        <w:rPr>
          <w:szCs w:val="24"/>
        </w:rPr>
        <w:t xml:space="preserve">studies, economic-only procurement/optimization, large-scale and hyperscale company case studies, and vendor demos. Each of these methods has drawbacks, including the absence of cost-benefit analysis in technical analyses, omitting power quality and grid stability from economic assessments, and ignoring the fact that power advantages and the geographic spread of demand are difficult to replicate across projects of different sizes. This breaks apart methodologies and </w:t>
      </w:r>
      <w:r w:rsidRPr="00F722BB">
        <w:rPr>
          <w:szCs w:val="24"/>
        </w:rPr>
        <w:lastRenderedPageBreak/>
        <w:t>presents substantial implementation challenges, including excessive interconnection delays on the grid, underestimated harm mitigation pricing, and project failure due to over-or undersized storage and workload immutability.</w:t>
      </w:r>
    </w:p>
    <w:p w14:paraId="1C80FB30" w14:textId="2D4C91BE" w:rsidR="00FE013C" w:rsidRPr="00F722BB" w:rsidRDefault="00FE013C" w:rsidP="004C16FF">
      <w:pPr>
        <w:spacing w:after="120"/>
        <w:ind w:firstLine="480"/>
        <w:rPr>
          <w:szCs w:val="24"/>
        </w:rPr>
      </w:pPr>
      <w:r w:rsidRPr="002C43F2">
        <w:rPr>
          <w:szCs w:val="24"/>
        </w:rPr>
        <w:t xml:space="preserve">This paper addresses these gaps by </w:t>
      </w:r>
      <w:r w:rsidR="009F7E9F" w:rsidRPr="002C43F2">
        <w:rPr>
          <w:szCs w:val="24"/>
        </w:rPr>
        <w:t>operationalizing</w:t>
      </w:r>
      <w:r w:rsidRPr="002C43F2">
        <w:rPr>
          <w:szCs w:val="24"/>
        </w:rPr>
        <w:t xml:space="preserve"> a unified, modular framework designed for data </w:t>
      </w:r>
      <w:r w:rsidR="009F7E9F" w:rsidRPr="002C43F2">
        <w:rPr>
          <w:szCs w:val="24"/>
        </w:rPr>
        <w:t>centers</w:t>
      </w:r>
      <w:r w:rsidRPr="002C43F2">
        <w:rPr>
          <w:szCs w:val="24"/>
        </w:rPr>
        <w:t xml:space="preserve"> ranging from 10 MW (mid-scale) to 1,000 MW (hyperscale), providing applicability across </w:t>
      </w:r>
      <w:proofErr w:type="gramStart"/>
      <w:r w:rsidRPr="002C43F2">
        <w:rPr>
          <w:szCs w:val="24"/>
        </w:rPr>
        <w:t>the majority of</w:t>
      </w:r>
      <w:proofErr w:type="gramEnd"/>
      <w:r w:rsidRPr="002C43F2">
        <w:rPr>
          <w:szCs w:val="24"/>
        </w:rPr>
        <w:t xml:space="preserve"> commercial deployment contexts.</w:t>
      </w:r>
      <w:r>
        <w:rPr>
          <w:szCs w:val="24"/>
        </w:rPr>
        <w:t xml:space="preserve"> </w:t>
      </w:r>
      <w:r w:rsidRPr="00F722BB">
        <w:rPr>
          <w:szCs w:val="24"/>
        </w:rPr>
        <w:t>This framework combines the direct engineering aspects of power flow and harmonic stability (Section 6) directly with demand-side workload flexibility (Section 5) and probabilistic storage size (Section 6.3), thereby closing the gap between engineering constraints and economic viability. Moreover, it integrates transparent, sensitivity-based economic modelling, such as NPV and LCOE analysis, giving operators a definitive idea of project feasibility to help manage capital expenditure, grid interconnection queues, regulatory compliance, and other economic risks.</w:t>
      </w:r>
    </w:p>
    <w:p w14:paraId="1B311FC1" w14:textId="6D57A29C" w:rsidR="00FE013C" w:rsidRPr="00F722BB" w:rsidRDefault="00FE013C" w:rsidP="004C16FF">
      <w:pPr>
        <w:spacing w:after="120"/>
        <w:ind w:firstLine="480"/>
        <w:rPr>
          <w:szCs w:val="24"/>
        </w:rPr>
      </w:pPr>
      <w:r w:rsidRPr="008D577B">
        <w:rPr>
          <w:szCs w:val="24"/>
        </w:rPr>
        <w:t>When implemented as designed, this methodology provides a replicable approach that transcends the geographic and capital advantages available only to hyperscale operators</w:t>
      </w:r>
      <w:r w:rsidRPr="00F722BB">
        <w:rPr>
          <w:szCs w:val="24"/>
        </w:rPr>
        <w:t xml:space="preserve">. The methodology combines site-specific resource assessment (Section 4), advanced MPC-based dispatch control (Section 5.5), and a modular approach to regional grid codes and cybersecurity standards (Sections 6 and 12), providing a scalable solution across a wide range of geographic and climatic environments. </w:t>
      </w:r>
      <w:r w:rsidRPr="00F14637">
        <w:rPr>
          <w:szCs w:val="24"/>
        </w:rPr>
        <w:t xml:space="preserve">This paper equips mid-scale data </w:t>
      </w:r>
      <w:r w:rsidR="009F7E9F" w:rsidRPr="00F14637">
        <w:rPr>
          <w:szCs w:val="24"/>
        </w:rPr>
        <w:t>center</w:t>
      </w:r>
      <w:r w:rsidRPr="00F14637">
        <w:rPr>
          <w:szCs w:val="24"/>
        </w:rPr>
        <w:t xml:space="preserve"> operators with tools to navigate these gaps and</w:t>
      </w:r>
      <w:r w:rsidRPr="00F722BB">
        <w:rPr>
          <w:szCs w:val="24"/>
        </w:rPr>
        <w:t xml:space="preserve"> make increasingly complex energy cost/benefit/risk decisions.</w:t>
      </w:r>
    </w:p>
    <w:p w14:paraId="469BF53F" w14:textId="77777777" w:rsidR="00FE013C" w:rsidRDefault="00FE013C" w:rsidP="004C16FF">
      <w:pPr>
        <w:pStyle w:val="Heading10"/>
        <w:jc w:val="both"/>
        <w:rPr>
          <w:color w:val="auto"/>
        </w:rPr>
      </w:pPr>
      <w:r>
        <w:rPr>
          <w:color w:val="auto"/>
          <w:lang w:eastAsia="zh-CN"/>
        </w:rPr>
        <w:t xml:space="preserve">3. </w:t>
      </w:r>
      <w:r>
        <w:rPr>
          <w:color w:val="auto"/>
        </w:rPr>
        <w:t>Electrical Fundamentals of Data Center Systems</w:t>
      </w:r>
    </w:p>
    <w:p w14:paraId="681C4C53" w14:textId="77777777" w:rsidR="00FE013C" w:rsidRDefault="00FE013C" w:rsidP="004C16FF">
      <w:pPr>
        <w:pStyle w:val="Heading20"/>
        <w:jc w:val="both"/>
        <w:rPr>
          <w:color w:val="auto"/>
        </w:rPr>
      </w:pPr>
      <w:r>
        <w:rPr>
          <w:color w:val="auto"/>
        </w:rPr>
        <w:t>3.1. Electrical Distribution Architecture</w:t>
      </w:r>
    </w:p>
    <w:p w14:paraId="20A8EF36" w14:textId="6DC50410" w:rsidR="00FE013C" w:rsidRPr="00040480" w:rsidRDefault="00FE013C" w:rsidP="004C16FF">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instrText xml:space="preserve"> ADDIN ZOTERO_ITEM CSL_CITATION {"citationID":"PfKI6RIJ","properties":{"unsorted":false,"formattedCitation":"[64]","plainCitation":"[64]","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Pr="00584BC7">
        <w:t>[64]</w:t>
      </w:r>
      <w:r>
        <w:fldChar w:fldCharType="end"/>
      </w:r>
      <w:r w:rsidRPr="00040480">
        <w:t>. Power distribution units (PDUs) deliver 480 V three-phase power to the last mile for individual equipment racks.</w:t>
      </w:r>
    </w:p>
    <w:p w14:paraId="0BEDA30B" w14:textId="4E14750B" w:rsidR="00FE013C" w:rsidRPr="00040480" w:rsidRDefault="00FE013C" w:rsidP="004C16FF">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instrText xml:space="preserve"> ADDIN ZOTERO_ITEM CSL_CITATION {"citationID":"s2FyWRFx","properties":{"unsorted":false,"formattedCitation":"[65]","plainCitation":"[65]","noteIndex":0},"citationItems":[{"id":2012,"uris":["http://zotero.org/users/9870935/items/BVU5PGIM"],"itemData":{"id":2012,"type":"article-journal","container-title":"Energy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Pr="00584BC7">
        <w:t>[65]</w:t>
      </w:r>
      <w:r>
        <w:fldChar w:fldCharType="end"/>
      </w:r>
      <w:r w:rsidRPr="00040480">
        <w:t xml:space="preserve">. The typical configuration for most AI data </w:t>
      </w:r>
      <w:r w:rsidR="00580BAE">
        <w:t>center</w:t>
      </w:r>
      <w:r w:rsidRPr="00040480">
        <w:t>s is 2N, 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instrText xml:space="preserve"> ADDIN ZOTERO_ITEM CSL_CITATION {"citationID":"uyzrmxWp","properties":{"unsorted":false,"formattedCitation":"[66]","plainCitation":"[66]","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Pr="00584BC7">
        <w:t>[66]</w:t>
      </w:r>
      <w:r>
        <w:fldChar w:fldCharType="end"/>
      </w:r>
      <w:r w:rsidRPr="00040480">
        <w:t>.</w:t>
      </w:r>
    </w:p>
    <w:p w14:paraId="369487DB" w14:textId="77777777" w:rsidR="00FE013C" w:rsidRPr="00040480" w:rsidRDefault="00FE013C" w:rsidP="004C16FF">
      <w:pPr>
        <w:spacing w:after="120"/>
        <w:ind w:firstLine="480"/>
      </w:pPr>
      <w:r w:rsidRPr="00040480">
        <w:t>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and 10–30 s for electromechanical switches (EMS) in the ATS</w:t>
      </w:r>
      <w:r>
        <w:fldChar w:fldCharType="begin"/>
      </w:r>
      <w:r>
        <w:instrText xml:space="preserve"> ADDIN ZOTERO_ITEM CSL_CITATION {"citationID":"EnoLyCgw","properties":{"unsorted":false,"formattedCitation":"[67]","plainCitation":"[67]","noteIndex":0},"citationItems":[{"id":2014,"uris":["http://zotero.org/users/9870935/items/YRI3RIYJ"],"itemData":{"id":2014,"type":"article-journal","abstract":"PLN's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Pr="00584BC7">
        <w:t>[67]</w:t>
      </w:r>
      <w:r>
        <w:fldChar w:fldCharType="end"/>
      </w:r>
      <w:r w:rsidRPr="00040480">
        <w:t xml:space="preserve">. AI training workloads are typically </w:t>
      </w:r>
      <w:r w:rsidRPr="00040480">
        <w:lastRenderedPageBreak/>
        <w:t>specified with STS or flywheel-based uninterrupted power supply (UPS) systems, as a brief power interruption can disrupt the workload.</w:t>
      </w:r>
    </w:p>
    <w:p w14:paraId="7B2CB280" w14:textId="77777777" w:rsidR="00FE013C" w:rsidRDefault="00FE013C" w:rsidP="004C16FF">
      <w:pPr>
        <w:pStyle w:val="Heading20"/>
        <w:jc w:val="both"/>
        <w:rPr>
          <w:color w:val="auto"/>
        </w:rPr>
      </w:pPr>
      <w:r>
        <w:rPr>
          <w:color w:val="auto"/>
        </w:rPr>
        <w:t>3.2. AI Workload Electrical Charactersitics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77777777" w:rsidR="00FE013C" w:rsidRPr="00F166F8" w:rsidRDefault="00FE013C" w:rsidP="004C16FF">
      <w:pPr>
        <w:spacing w:after="120"/>
        <w:ind w:firstLine="480"/>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fldChar w:fldCharType="begin"/>
      </w:r>
      <w:r>
        <w:instrText xml:space="preserve"> ADDIN ZOTERO_ITEM CSL_CITATION {"citationID":"CscueCyo","properties":{"unsorted":false,"formattedCitation":"[68]","plainCitation":"[68]","noteIndex":0},"citationItems":[{"id":2016,"uris":["http://zotero.org/users/9870935/items/IGX3D6LZ"],"itemData":{"id":2016,"type":"article","abstract":"This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Pr="00584BC7">
        <w:t>[68]</w:t>
      </w:r>
      <w:r>
        <w:fldChar w:fldCharType="end"/>
      </w:r>
      <w:r w:rsidRPr="00F166F8">
        <w:t>. Idle power consumption is usually in the range of 50-150 W per GPU, or about 15-20</w:t>
      </w:r>
      <w:r>
        <w:t xml:space="preserve">% </w:t>
      </w:r>
      <w:r w:rsidRPr="00F166F8">
        <w:t>of peak power, because memory contents must be kept alive and provide a low-latency response for inference operations</w:t>
      </w:r>
      <w:r>
        <w:fldChar w:fldCharType="begin"/>
      </w:r>
      <w:r>
        <w:instrText xml:space="preserve"> ADDIN ZOTERO_ITEM CSL_CITATION {"citationID":"APKvRgnH","properties":{"unsorted":false,"formattedCitation":"[69]","plainCitation":"[69]","noteIndex":0},"citationItems":[{"id":2018,"uris":["http://zotero.org/users/9870935/items/XN4NHKM7"],"itemData":{"id":2018,"type":"article","abstract":"Ubiquity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Pr="00584BC7">
        <w:t>[69]</w:t>
      </w:r>
      <w:r>
        <w:fldChar w:fldCharType="end"/>
      </w:r>
      <w:r w:rsidRPr="00F166F8">
        <w:t>. Power capping (e.g., using the NVML power limit API) allows operators to cap the maximum power draw for lower computational throughput, offering a power management solution for the demand side.</w:t>
      </w:r>
    </w:p>
    <w:p w14:paraId="1F23F0DE" w14:textId="743BF64D" w:rsidR="00FE013C" w:rsidRDefault="00FE013C" w:rsidP="004C16FF">
      <w:pPr>
        <w:spacing w:after="120"/>
        <w:ind w:firstLine="480"/>
      </w:pPr>
      <w:r w:rsidRPr="00F166F8">
        <w:t>Thermal design point considerations shall include steady-state and transient thermal loads. GPU temperatures during training can reach 80-85 degrees °C when the GPUs are sustained under load, and cooling systems must be able to dissipate 3.5–5 kW of cooling power per GPU</w:t>
      </w:r>
      <w:r>
        <w:fldChar w:fldCharType="begin"/>
      </w:r>
      <w:r>
        <w:instrText xml:space="preserve"> ADDIN ZOTERO_ITEM CSL_CITATION {"citationID":"wo1i8Mfh","properties":{"unsorted":false,"formattedCitation":"[70]","plainCitation":"[70]","noteIndex":0},"citationItems":[{"id":2020,"uris":["http://zotero.org/users/9870935/items/EUX8ZVSI"],"itemData":{"id":2020,"type":"article-journal","abstract":"The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fldChar w:fldCharType="separate"/>
      </w:r>
      <w:r w:rsidRPr="00584BC7">
        <w:t>[70]</w:t>
      </w:r>
      <w:r>
        <w:fldChar w:fldCharType="end"/>
      </w:r>
      <w:r w:rsidRPr="00F166F8">
        <w:t xml:space="preserve">. The electrical energy that is input </w:t>
      </w:r>
      <w:r w:rsidR="009F7E9F" w:rsidRPr="00F166F8">
        <w:t>into</w:t>
      </w:r>
      <w:r w:rsidRPr="00F166F8">
        <w:t xml:space="preserve"> the computing equipment is almost entirely converted to heat, which is why there is a very close relationship between electrical energy consumption and heat generation. This integration of electrical and thermal systems opens the opportunity to integrate energy management, </w:t>
      </w:r>
      <w:r w:rsidR="009F7E9F" w:rsidRPr="00F166F8">
        <w:t>optimize</w:t>
      </w:r>
      <w:r w:rsidRPr="00F166F8">
        <w:t xml:space="preserve"> the operation of the cooling system with the availability of renewable energy, and </w:t>
      </w:r>
      <w:r w:rsidR="009F7E9F" w:rsidRPr="00F166F8">
        <w:t>optimize</w:t>
      </w:r>
      <w:r w:rsidRPr="00F166F8">
        <w:t xml:space="preserve"> the workload.</w:t>
      </w:r>
      <w:r>
        <w:t xml:space="preserve"> </w:t>
      </w:r>
      <w:r w:rsidRPr="00F51CFF">
        <w:t xml:space="preserve">Fig. 2 illustrates a representative daily power profile for an AI data </w:t>
      </w:r>
      <w:r w:rsidR="009F7E9F" w:rsidRPr="00F51CFF">
        <w:t>center</w:t>
      </w:r>
      <w:r w:rsidRPr="00F51CFF">
        <w:t>, decomposing total facility load into training, real-time inference, batch processing, and cooling components, and overlaying typical solar and wind generation windows to identify natural demand flexibility opportunities.</w:t>
      </w:r>
    </w:p>
    <w:p w14:paraId="40DC3670" w14:textId="77777777" w:rsidR="00FE013C" w:rsidRDefault="00FE013C" w:rsidP="00240FF9">
      <w:pPr>
        <w:keepNext/>
        <w:spacing w:after="120"/>
        <w:jc w:val="center"/>
      </w:pPr>
      <w:r>
        <w:rPr>
          <w:noProof/>
        </w:rPr>
        <w:lastRenderedPageBreak/>
        <w:drawing>
          <wp:inline distT="114300" distB="114300" distL="114300" distR="114300" wp14:anchorId="3AE6179E" wp14:editId="2824EE61">
            <wp:extent cx="5002126" cy="2672649"/>
            <wp:effectExtent l="0" t="0" r="8255" b="0"/>
            <wp:docPr id="7677810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2"/>
                    <a:srcRect t="1315" b="-1"/>
                    <a:stretch>
                      <a:fillRect/>
                    </a:stretch>
                  </pic:blipFill>
                  <pic:spPr bwMode="auto">
                    <a:xfrm>
                      <a:off x="0" y="0"/>
                      <a:ext cx="5033650" cy="2689492"/>
                    </a:xfrm>
                    <a:prstGeom prst="rect">
                      <a:avLst/>
                    </a:prstGeom>
                    <a:ln>
                      <a:noFill/>
                    </a:ln>
                    <a:extLst>
                      <a:ext uri="{53640926-AAD7-44D8-BBD7-CCE9431645EC}">
                        <a14:shadowObscured xmlns:a14="http://schemas.microsoft.com/office/drawing/2010/main"/>
                      </a:ext>
                    </a:extLst>
                  </pic:spPr>
                </pic:pic>
              </a:graphicData>
            </a:graphic>
          </wp:inline>
        </w:drawing>
      </w:r>
    </w:p>
    <w:p w14:paraId="5B212C98" w14:textId="77777777" w:rsidR="00FE013C" w:rsidRPr="00F166F8" w:rsidRDefault="00FE013C" w:rsidP="00240FF9">
      <w:pPr>
        <w:pStyle w:val="Caption"/>
        <w:jc w:val="center"/>
      </w:pPr>
      <w:r>
        <w:t xml:space="preserve">Figure </w:t>
      </w:r>
      <w:fldSimple w:instr=" SEQ Figure \* ARABIC ">
        <w:r>
          <w:rPr>
            <w:noProof/>
          </w:rPr>
          <w:t>2</w:t>
        </w:r>
      </w:fldSimple>
      <w:r>
        <w:t xml:space="preserve"> T</w:t>
      </w:r>
      <w:r w:rsidRPr="0031233A">
        <w:t xml:space="preserve">ypical </w:t>
      </w:r>
      <w:r>
        <w:t>AI</w:t>
      </w:r>
      <w:r w:rsidRPr="0031233A">
        <w:t xml:space="preserve"> data center daily power consumption profile</w:t>
      </w:r>
    </w:p>
    <w:p w14:paraId="22B8AF1E" w14:textId="77777777" w:rsidR="00FE013C" w:rsidRDefault="00FE013C" w:rsidP="004C16FF">
      <w:pPr>
        <w:pStyle w:val="Heading20"/>
        <w:jc w:val="both"/>
        <w:rPr>
          <w:color w:val="auto"/>
        </w:rPr>
      </w:pPr>
      <w:r>
        <w:rPr>
          <w:color w:val="auto"/>
        </w:rPr>
        <w:t>3.3. Backup Power and UPS Systems</w:t>
      </w:r>
    </w:p>
    <w:p w14:paraId="2222DAF5" w14:textId="7D309EE6" w:rsidR="00FE013C" w:rsidRPr="00C24F3F" w:rsidRDefault="00FE013C" w:rsidP="004C16FF">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Pr>
          <w:szCs w:val="24"/>
        </w:rPr>
        <w:instrText xml:space="preserve"> ADDIN ZOTERO_ITEM CSL_CITATION {"citationID":"6s5dz7U7","properties":{"unsorted":false,"formattedCitation":"[71]","plainCitation":"[71]","noteIndex":0},"citationItems":[{"id":2021,"uris":["http://zotero.org/users/9870935/items/AHEUC4DF"],"itemData":{"id":2021,"type":"article","abstract":"Artificial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Pr="00584BC7">
        <w:t>[71]</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Pr>
          <w:szCs w:val="24"/>
        </w:rPr>
        <w:instrText xml:space="preserve"> ADDIN ZOTERO_ITEM CSL_CITATION {"citationID":"uVqeSVVe","properties":{"unsorted":false,"formattedCitation":"[72]","plainCitation":"[72]","noteIndex":0},"citationItems":[{"id":2025,"uris":["http://zotero.org/users/9870935/items/URLYJFL9"],"itemData":{"id":2025,"type":"article-journal","abstract":"Our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Pr="00584BC7">
        <w:t>[72]</w:t>
      </w:r>
      <w:r>
        <w:rPr>
          <w:szCs w:val="24"/>
        </w:rPr>
        <w:fldChar w:fldCharType="end"/>
      </w:r>
      <w:r w:rsidRPr="00C24F3F">
        <w:rPr>
          <w:szCs w:val="24"/>
        </w:rPr>
        <w:t>.</w:t>
      </w:r>
    </w:p>
    <w:p w14:paraId="2E36A04D" w14:textId="4993EE83" w:rsidR="00FE013C" w:rsidRDefault="00FE013C" w:rsidP="004C16FF">
      <w:pPr>
        <w:spacing w:after="120"/>
        <w:ind w:firstLine="480"/>
        <w:rPr>
          <w:szCs w:val="24"/>
        </w:rPr>
      </w:pPr>
      <w:r w:rsidRPr="00C24F3F">
        <w:rPr>
          <w:szCs w:val="24"/>
        </w:rPr>
        <w:t xml:space="preserve">The UPS capacity required for a 100 MW data </w:t>
      </w:r>
      <w:r w:rsidR="009F7E9F" w:rsidRPr="00C24F3F">
        <w:rPr>
          <w:szCs w:val="24"/>
        </w:rPr>
        <w:t>center</w:t>
      </w:r>
      <w:r w:rsidRPr="00C24F3F">
        <w:rPr>
          <w:szCs w:val="24"/>
        </w:rPr>
        <w:t xml:space="preserve"> with N+1 redundancy and 20</w:t>
      </w:r>
      <w:r>
        <w:rPr>
          <w:szCs w:val="24"/>
        </w:rPr>
        <w:t xml:space="preserve">% </w:t>
      </w:r>
      <w:r w:rsidRPr="00C24F3F">
        <w:rPr>
          <w:szCs w:val="24"/>
        </w:rPr>
        <w:t>safety margin would be approximately 144 MVA with a power factor of 0.9</w:t>
      </w:r>
      <w:r>
        <w:rPr>
          <w:szCs w:val="24"/>
        </w:rPr>
        <w:fldChar w:fldCharType="begin"/>
      </w:r>
      <w:r>
        <w:rPr>
          <w:szCs w:val="24"/>
        </w:rPr>
        <w:instrText xml:space="preserve"> ADDIN ZOTERO_ITEM CSL_CITATION {"citationID":"qzNEaqIS","properties":{"unsorted":false,"formattedCitation":"[73]","plainCitation":"[73]","noteIndex":0},"citationItems":[{"id":2027,"uris":["http://zotero.org/users/9870935/items/84JHTAVB"],"itemData":{"id":2027,"type":"article-journal","abstract":"The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Pr>
          <w:szCs w:val="24"/>
        </w:rPr>
        <w:fldChar w:fldCharType="separate"/>
      </w:r>
      <w:r w:rsidRPr="00584BC7">
        <w:t>[73]</w:t>
      </w:r>
      <w:r>
        <w:rPr>
          <w:szCs w:val="24"/>
        </w:rPr>
        <w:fldChar w:fldCharType="end"/>
      </w:r>
      <w:r w:rsidRPr="00C24F3F">
        <w:rPr>
          <w:szCs w:val="24"/>
        </w:rPr>
        <w:t xml:space="preserve">. The choice of the double-conversion (online), line-interactive, and standby (offline) UPS topologies depends on the criticality of the load. Data </w:t>
      </w:r>
      <w:r w:rsidR="009F7E9F" w:rsidRPr="00C24F3F">
        <w:rPr>
          <w:szCs w:val="24"/>
        </w:rPr>
        <w:t>center</w:t>
      </w:r>
      <w:r w:rsidRPr="00C24F3F">
        <w:rPr>
          <w:szCs w:val="24"/>
        </w:rPr>
        <w:t xml:space="preserve"> AI training and inference workloads are typically designed with a double-conversion topology to ensure full protection from input power disturbances</w:t>
      </w:r>
      <w:r>
        <w:rPr>
          <w:szCs w:val="24"/>
        </w:rPr>
        <w:fldChar w:fldCharType="begin"/>
      </w:r>
      <w:r>
        <w:rPr>
          <w:szCs w:val="24"/>
        </w:rPr>
        <w:instrText xml:space="preserve"> ADDIN ZOTERO_ITEM CSL_CITATION {"citationID":"WYKaySkz","properties":{"unsorted":false,"formattedCitation":"[74]","plainCitation":"[74]","noteIndex":0},"citationItems":[{"id":2030,"uris":["http://zotero.org/users/9870935/items/UI369LDD"],"itemData":{"id":2030,"type":"post-weblog","title":"Electrical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Pr>
          <w:szCs w:val="24"/>
        </w:rPr>
        <w:fldChar w:fldCharType="separate"/>
      </w:r>
      <w:r w:rsidRPr="00584BC7">
        <w:t>[74]</w:t>
      </w:r>
      <w:r>
        <w:rPr>
          <w:szCs w:val="24"/>
        </w:rPr>
        <w:fldChar w:fldCharType="end"/>
      </w:r>
      <w:r w:rsidRPr="00C24F3F">
        <w:rPr>
          <w:szCs w:val="24"/>
        </w:rPr>
        <w:t>.</w:t>
      </w:r>
    </w:p>
    <w:p w14:paraId="00B085C4" w14:textId="2F4CD8A7" w:rsidR="00FE013C" w:rsidRPr="00C24F3F" w:rsidRDefault="00FE013C" w:rsidP="004C16FF">
      <w:pPr>
        <w:spacing w:after="120"/>
        <w:ind w:firstLine="480"/>
        <w:rPr>
          <w:szCs w:val="24"/>
        </w:rPr>
      </w:pPr>
      <w:r w:rsidRPr="00B92CC3">
        <w:rPr>
          <w:szCs w:val="24"/>
        </w:rPr>
        <w:t xml:space="preserve">The most widely used backup power system for data </w:t>
      </w:r>
      <w:r w:rsidR="009F7E9F" w:rsidRPr="00B92CC3">
        <w:rPr>
          <w:szCs w:val="24"/>
        </w:rPr>
        <w:t>centers</w:t>
      </w:r>
      <w:r w:rsidRPr="00B92CC3">
        <w:rPr>
          <w:szCs w:val="24"/>
        </w:rPr>
        <w:t xml:space="preserve"> is a diesel generator, which is sized based on the peak facility load with an updated safety capacity </w:t>
      </w:r>
      <w:r w:rsidR="009F7E9F" w:rsidRPr="00B92CC3">
        <w:rPr>
          <w:szCs w:val="24"/>
        </w:rPr>
        <w:t>utilization</w:t>
      </w:r>
      <w:r w:rsidRPr="00B92CC3">
        <w:rPr>
          <w:szCs w:val="24"/>
        </w:rPr>
        <w:t xml:space="preserve"> buffer of 15–25% to effectively suppress severe </w:t>
      </w:r>
      <w:r w:rsidR="009F7E9F" w:rsidRPr="00B92CC3">
        <w:rPr>
          <w:szCs w:val="24"/>
        </w:rPr>
        <w:t>localized</w:t>
      </w:r>
      <w:r w:rsidRPr="00B92CC3">
        <w:rPr>
          <w:szCs w:val="24"/>
        </w:rPr>
        <w:t xml:space="preserve"> voltage fluctuations</w:t>
      </w:r>
      <w:r>
        <w:rPr>
          <w:szCs w:val="24"/>
        </w:rPr>
        <w:t xml:space="preserve"> </w:t>
      </w:r>
      <w:r w:rsidRPr="00B92CC3">
        <w:rPr>
          <w:szCs w:val="24"/>
        </w:rPr>
        <w:t>caused by sudden load increases from AI inference workloads and power-electronic harmonic distortion</w:t>
      </w:r>
      <w:r>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Pr>
          <w:szCs w:val="24"/>
        </w:rPr>
        <w:fldChar w:fldCharType="begin"/>
      </w:r>
      <w:r>
        <w:rPr>
          <w:szCs w:val="24"/>
        </w:rPr>
        <w:instrText xml:space="preserve"> ADDIN ZOTERO_ITEM CSL_CITATION {"citationID":"VffnOBvN","properties":{"unsorted":false,"formattedCitation":"[75]","plainCitation":"[75]","noteIndex":0},"citationItems":[{"id":2031,"uris":["http://zotero.org/users/9870935/items/AC53WR7L"],"itemData":{"id":2031,"type":"article-journal","abstract":"The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Pr="00584BC7">
        <w:t>[75]</w:t>
      </w:r>
      <w:r>
        <w:rPr>
          <w:szCs w:val="24"/>
        </w:rPr>
        <w:fldChar w:fldCharType="end"/>
      </w:r>
      <w:r w:rsidRPr="00B92CC3">
        <w:rPr>
          <w:szCs w:val="24"/>
        </w:rPr>
        <w:t xml:space="preserve">. Despite the proven efficiency of diesel generators, they generate very high levels of nitrogen oxides (NOx) during routine testing, up to 12 metric tons per year per hyperscale facility, which has a direct impact on urban air quality margins and increases the pace of reaching </w:t>
      </w:r>
      <w:r w:rsidR="009F7E9F" w:rsidRPr="00B92CC3">
        <w:rPr>
          <w:szCs w:val="24"/>
        </w:rPr>
        <w:t>localized</w:t>
      </w:r>
      <w:r w:rsidRPr="00B92CC3">
        <w:rPr>
          <w:szCs w:val="24"/>
        </w:rPr>
        <w:t xml:space="preserve"> greenhouse gas thresholds</w:t>
      </w:r>
      <w:r>
        <w:rPr>
          <w:szCs w:val="24"/>
        </w:rPr>
        <w:fldChar w:fldCharType="begin"/>
      </w:r>
      <w:r>
        <w:rPr>
          <w:szCs w:val="24"/>
        </w:rPr>
        <w:instrText xml:space="preserve"> ADDIN ZOTERO_ITEM CSL_CITATION {"citationID":"MhrzpTJ3","properties":{"unsorted":false,"formattedCitation":"[76]","plainCitation":"[76]","noteIndex":0},"citationItems":[{"id":2032,"uris":["http://zotero.org/users/9870935/items/3SYSZCVP"],"itemData":{"id":2032,"type":"article","abstract":"This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Pr>
          <w:szCs w:val="24"/>
        </w:rPr>
        <w:fldChar w:fldCharType="separate"/>
      </w:r>
      <w:r w:rsidRPr="00584BC7">
        <w:t>[76]</w:t>
      </w:r>
      <w:r>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also deliver fast-frequency ancillary services back to the main grid</w:t>
      </w:r>
      <w:r>
        <w:rPr>
          <w:szCs w:val="24"/>
        </w:rPr>
        <w:t>.</w:t>
      </w:r>
    </w:p>
    <w:p w14:paraId="0F0850E0" w14:textId="77777777" w:rsidR="00FE013C" w:rsidRDefault="00FE013C" w:rsidP="004C16FF">
      <w:pPr>
        <w:pStyle w:val="Heading20"/>
        <w:jc w:val="both"/>
        <w:rPr>
          <w:color w:val="auto"/>
        </w:rPr>
      </w:pPr>
      <w:r>
        <w:rPr>
          <w:color w:val="auto"/>
        </w:rPr>
        <w:t>3.4. Colling System Integration</w:t>
      </w:r>
    </w:p>
    <w:p w14:paraId="4D135C58" w14:textId="38D0EF78" w:rsidR="00FE013C" w:rsidRPr="007D6A70" w:rsidRDefault="00FE013C" w:rsidP="004C16FF">
      <w:pPr>
        <w:spacing w:after="120"/>
        <w:ind w:firstLine="480"/>
        <w:rPr>
          <w:szCs w:val="24"/>
        </w:rPr>
      </w:pPr>
      <w:r w:rsidRPr="007D6A70">
        <w:rPr>
          <w:szCs w:val="24"/>
        </w:rPr>
        <w:lastRenderedPageBreak/>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Pr>
          <w:szCs w:val="24"/>
        </w:rPr>
        <w:instrText xml:space="preserve"> ADDIN ZOTERO_ITEM CSL_CITATION {"citationID":"JmbelhlJ","properties":{"unsorted":false,"formattedCitation":"[77]","plainCitation":"[77]","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Pr="00584BC7">
        <w:t>[77]</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Pr="00F36463">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BA2BA6">
        <w:t>[34]</w:t>
      </w:r>
      <w:r>
        <w:rPr>
          <w:szCs w:val="24"/>
        </w:rPr>
        <w:fldChar w:fldCharType="end"/>
      </w:r>
      <w:r w:rsidRPr="007D6A70">
        <w:rPr>
          <w:szCs w:val="24"/>
        </w:rPr>
        <w:t>.</w:t>
      </w:r>
    </w:p>
    <w:p w14:paraId="7ACA7F6F" w14:textId="7FD7FFD5" w:rsidR="00FE013C" w:rsidRDefault="00FE013C" w:rsidP="004C16FF">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Pr>
          <w:szCs w:val="24"/>
        </w:rPr>
        <w:instrText xml:space="preserve"> ADDIN ZOTERO_ITEM CSL_CITATION {"citationID":"3wFuVfzc","properties":{"unsorted":false,"formattedCitation":"[78]","plainCitation":"[78]","noteIndex":0},"citationItems":[{"id":2036,"uris":["http://zotero.org/users/9870935/items/2KMJ9H69"],"itemData":{"id":2036,"type":"paper-conference","container-title":"2011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Pr="00584BC7">
        <w:t>[78]</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Pr>
          <w:szCs w:val="24"/>
        </w:rPr>
        <w:instrText xml:space="preserve"> ADDIN ZOTERO_ITEM CSL_CITATION {"citationID":"z2ZjfPrB","properties":{"unsorted":false,"formattedCitation":"[79]","plainCitation":"[79]","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Pr="00584BC7">
        <w:t>[79]</w:t>
      </w:r>
      <w:r>
        <w:rPr>
          <w:szCs w:val="24"/>
        </w:rPr>
        <w:fldChar w:fldCharType="end"/>
      </w:r>
      <w:r w:rsidRPr="007D6A70">
        <w:rPr>
          <w:szCs w:val="24"/>
        </w:rPr>
        <w:t>.</w:t>
      </w:r>
    </w:p>
    <w:p w14:paraId="4587B737" w14:textId="77777777" w:rsidR="00FE013C" w:rsidRDefault="00FE013C" w:rsidP="004C16FF">
      <w:pPr>
        <w:pStyle w:val="Heading20"/>
        <w:jc w:val="both"/>
        <w:rPr>
          <w:color w:val="auto"/>
        </w:rPr>
      </w:pPr>
      <w:r>
        <w:rPr>
          <w:color w:val="auto"/>
        </w:rPr>
        <w:t>3.5. Power Quality and Harmonic Analysis</w:t>
      </w:r>
    </w:p>
    <w:p w14:paraId="028C966C" w14:textId="47ADF215" w:rsidR="00FE013C" w:rsidRDefault="00FE013C" w:rsidP="004C16FF">
      <w:pPr>
        <w:spacing w:after="120"/>
        <w:ind w:firstLine="480"/>
        <w:rPr>
          <w:szCs w:val="24"/>
        </w:rPr>
      </w:pPr>
      <w:r w:rsidRPr="00145C6F">
        <w:rPr>
          <w:szCs w:val="24"/>
        </w:rPr>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Pr>
          <w:szCs w:val="24"/>
        </w:rPr>
        <w:instrText xml:space="preserve"> ADDIN ZOTERO_ITEM CSL_CITATION {"citationID":"NUYFmlEf","properties":{"unsorted":false,"formattedCitation":"[80]","plainCitation":"[80]","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Pr="00584BC7">
        <w:t>[80]</w:t>
      </w:r>
      <w:r>
        <w:rPr>
          <w:szCs w:val="24"/>
        </w:rPr>
        <w:fldChar w:fldCharType="end"/>
      </w:r>
      <w:r w:rsidRPr="00145C6F">
        <w:rPr>
          <w:szCs w:val="24"/>
        </w:rPr>
        <w:t>. According to IEEE 519-2022, the maximum allowed total harmonic distortion (THD) at the point of common coupling (PCC) is 5</w:t>
      </w:r>
      <w:r>
        <w:rPr>
          <w:szCs w:val="24"/>
        </w:rPr>
        <w:t>%</w:t>
      </w:r>
      <w:r w:rsidRPr="00145C6F">
        <w:rPr>
          <w:szCs w:val="24"/>
        </w:rPr>
        <w:t>, while the limits for the individual harmonics range from 3</w:t>
      </w:r>
      <w:r>
        <w:rPr>
          <w:szCs w:val="24"/>
        </w:rPr>
        <w:t xml:space="preserve">% </w:t>
      </w:r>
      <w:r w:rsidRPr="00145C6F">
        <w:rPr>
          <w:szCs w:val="24"/>
        </w:rPr>
        <w:t>for lower-order harmonics to lower limits for higher-order harmonics</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Passive filters (tuned LC circuits targeting specific 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Pr>
          <w:szCs w:val="24"/>
        </w:rPr>
        <w:instrText xml:space="preserve"> ADDIN ZOTERO_ITEM CSL_CITATION {"citationID":"Mv0Kakcm","properties":{"unsorted":false,"formattedCitation":"[81]","plainCitation":"[81]","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Pr="00584BC7">
        <w:t>[81]</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Pr>
          <w:szCs w:val="24"/>
        </w:rPr>
        <w:instrText xml:space="preserve"> ADDIN ZOTERO_ITEM CSL_CITATION {"citationID":"pxV0xqgq","properties":{"unsorted":false,"formattedCitation":"[82]","plainCitation":"[82]","noteIndex":0},"citationItems":[{"id":2042,"uris":["http://zotero.org/users/9870935/items/PXUHJN77"],"itemData":{"id":2042,"type":"article-journal","abstract":"Advances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Pr="00584BC7">
        <w:t>[82]</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0"/>
        <w:jc w:val="both"/>
        <w:rPr>
          <w:color w:val="auto"/>
        </w:rPr>
      </w:pPr>
      <w:r>
        <w:rPr>
          <w:color w:val="auto"/>
        </w:rPr>
        <w:t>3.6. Metering and Monitoring Systems</w:t>
      </w:r>
    </w:p>
    <w:p w14:paraId="707AB882" w14:textId="2F05B1F0" w:rsidR="00FE013C" w:rsidRPr="00B83856" w:rsidRDefault="00FE013C" w:rsidP="004C16FF">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ensures real-time data foundation. Revenue-grade power meters are usually ANSI C12.20 Class 0.2 accurate and are used at key distribution points, such as utility interconnections, generator outputs, UPS inputs and outputs, and PDU feed circuits</w:t>
      </w:r>
      <w:r>
        <w:rPr>
          <w:szCs w:val="24"/>
        </w:rPr>
        <w:fldChar w:fldCharType="begin"/>
      </w:r>
      <w:r>
        <w:rPr>
          <w:szCs w:val="24"/>
        </w:rPr>
        <w:instrText xml:space="preserve"> ADDIN ZOTERO_ITEM CSL_CITATION {"citationID":"auJULgbp","properties":{"unsorted":false,"formattedCitation":"[83]","plainCitation":"[83]","noteIndex":0},"citationItems":[{"id":2043,"uris":["http://zotero.org/users/9870935/items/S5A8TX2F"],"itemData":{"id":2043,"type":"paper-conference","container-title":"2007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Pr="00584BC7">
        <w:t>[83]</w:t>
      </w:r>
      <w:r>
        <w:rPr>
          <w:szCs w:val="24"/>
        </w:rPr>
        <w:fldChar w:fldCharType="end"/>
      </w:r>
      <w:r w:rsidRPr="00B83856">
        <w:rPr>
          <w:szCs w:val="24"/>
        </w:rPr>
        <w:t xml:space="preserve">. Today's energy management systems (EMS) are designed to collect data from hundreds or thousands of metering points, provide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lastRenderedPageBreak/>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Pr>
          <w:szCs w:val="24"/>
        </w:rPr>
        <w:instrText xml:space="preserve"> ADDIN ZOTERO_ITEM CSL_CITATION {"citationID":"ZVmq8j39","properties":{"unsorted":false,"formattedCitation":"[84]","plainCitation":"[84]","noteIndex":0},"citationItems":[{"id":2044,"uris":["http://zotero.org/users/9870935/items/6R3YK6PU"],"itemData":{"id":2044,"type":"article","abstract":"The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Pr="00584BC7">
        <w:t>[84]</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Pr>
          <w:szCs w:val="24"/>
        </w:rPr>
        <w:instrText xml:space="preserve"> ADDIN ZOTERO_ITEM CSL_CITATION {"citationID":"yq9cwOWS","properties":{"unsorted":false,"formattedCitation":"[85]","plainCitation":"[85]","noteIndex":0},"citationItems":[{"id":2046,"uris":["http://zotero.org/users/9870935/items/P4BXZMCV"],"itemData":{"id":2046,"type":"article","abstract":"Data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Pr="00584BC7">
        <w:t>[85]</w:t>
      </w:r>
      <w:r>
        <w:rPr>
          <w:szCs w:val="24"/>
        </w:rPr>
        <w:fldChar w:fldCharType="end"/>
      </w:r>
      <w:r w:rsidRPr="00B83856">
        <w:rPr>
          <w:szCs w:val="24"/>
        </w:rPr>
        <w:t>.</w:t>
      </w:r>
    </w:p>
    <w:p w14:paraId="2F054A70" w14:textId="77777777" w:rsidR="00FE013C" w:rsidRDefault="00FE013C" w:rsidP="004C16FF">
      <w:pPr>
        <w:pStyle w:val="Heading10"/>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0"/>
        <w:jc w:val="both"/>
        <w:rPr>
          <w:color w:val="auto"/>
        </w:rPr>
      </w:pPr>
      <w:r>
        <w:rPr>
          <w:color w:val="auto"/>
        </w:rPr>
        <w:t>4.1. Solar Photovoltaic Systems</w:t>
      </w:r>
    </w:p>
    <w:p w14:paraId="38A09E75" w14:textId="0F1574EF" w:rsidR="00FE013C" w:rsidRPr="00C071A1" w:rsidRDefault="00FE013C" w:rsidP="004C16FF">
      <w:pPr>
        <w:spacing w:after="120"/>
        <w:ind w:firstLine="480"/>
      </w:pPr>
      <w:r w:rsidRPr="00C071A1">
        <w:t xml:space="preserve">PV is now the least expensive renewable energy option in most locations for data </w:t>
      </w:r>
      <w:r w:rsidR="00580BAE">
        <w:t>center</w:t>
      </w:r>
      <w:r w:rsidRPr="00C071A1">
        <w:t>s where the sun shines. Currently available monocrystalline modules in the commercial market have efficiencies of 20–23%, whereas high-efficiency modules with heterojunction (HJT) or tunnel oxide passivated contact (</w:t>
      </w:r>
      <w:proofErr w:type="spellStart"/>
      <w:r w:rsidRPr="00C071A1">
        <w:t>TOPCon</w:t>
      </w:r>
      <w:proofErr w:type="spellEnd"/>
      <w:r w:rsidRPr="00C071A1">
        <w:t>)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This downward cost trajectory is sustained by industry capacity, with IRENA’s latest 24/7 power analytics projecting an additional 30% reduction in firm solar-plus-storage configuration costs by 2030, eventually dipping beyond 40% by 2035</w:t>
      </w:r>
      <w:r>
        <w:fldChar w:fldCharType="begin"/>
      </w:r>
      <w:r>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fldChar w:fldCharType="separate"/>
      </w:r>
      <w:r w:rsidRPr="00BB1439">
        <w:t>[36]</w:t>
      </w:r>
      <w:r>
        <w:fldChar w:fldCharType="end"/>
      </w:r>
      <w:r w:rsidRPr="00C071A1">
        <w:t>.</w:t>
      </w:r>
    </w:p>
    <w:p w14:paraId="04EBC92C" w14:textId="77777777" w:rsidR="00FE013C" w:rsidRDefault="00FE013C" w:rsidP="004C16FF">
      <w:pPr>
        <w:spacing w:after="120"/>
        <w:ind w:firstLine="480"/>
      </w:pPr>
      <w:r w:rsidRPr="00C071A1">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instrText xml:space="preserve"> ADDIN ZOTERO_ITEM CSL_CITATION {"citationID":"JNDExKFF","properties":{"unsorted":false,"formattedCitation":"[86]","plainCitation":"[86]","noteIndex":0},"citationItems":[{"id":2049,"uris":["http://zotero.org/users/9870935/items/HTQQE34D"],"itemData":{"id":2049,"type":"post-weblog","title":"National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Pr="00302B88">
        <w:t>[86]</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instrText xml:space="preserve"> ADDIN ZOTERO_ITEM CSL_CITATION {"citationID":"h6U7qzDb","properties":{"unsorted":false,"formattedCitation":"[86]","plainCitation":"[86]","noteIndex":0},"citationItems":[{"id":2049,"uris":["http://zotero.org/users/9870935/items/HTQQE34D"],"itemData":{"id":2049,"type":"post-weblog","title":"National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Pr="00302B88">
        <w:t>[86]</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instrText xml:space="preserve"> ADDIN ZOTERO_ITEM CSL_CITATION {"citationID":"XP0P73le","properties":{"unsorted":false,"formattedCitation":"[87]","plainCitation":"[87]","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Pr="00302B88">
        <w:t>[87]</w:t>
      </w:r>
      <w:r>
        <w:fldChar w:fldCharType="end"/>
      </w:r>
      <w:r w:rsidRPr="00C071A1">
        <w:t>.</w:t>
      </w:r>
      <w:r>
        <w:t xml:space="preserve"> </w:t>
      </w:r>
      <w:r w:rsidRPr="008447E1">
        <w:t>Table 2 compiles annual capacity factors and installed cost benchmarks across six U.S. regions, providing the site-specific input parameters needed to apply the framework's site assessment component (Component 1, Section 7.2).</w:t>
      </w:r>
    </w:p>
    <w:p w14:paraId="64914837" w14:textId="77777777" w:rsidR="00FE013C" w:rsidRDefault="00FE013C" w:rsidP="004C16FF">
      <w:pPr>
        <w:pStyle w:val="Caption"/>
        <w:keepNext/>
      </w:pPr>
      <w:r>
        <w:t xml:space="preserve">Table </w:t>
      </w:r>
      <w:fldSimple w:instr=" SEQ Table \* ARABIC ">
        <w:r>
          <w:rPr>
            <w:noProof/>
          </w:rPr>
          <w:t>2</w:t>
        </w:r>
      </w:fldSimple>
      <w:r>
        <w:t xml:space="preserve"> Solar PV capacity factors by U.S. region</w:t>
      </w:r>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lastRenderedPageBreak/>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77777777" w:rsidR="00FE013C" w:rsidRDefault="00FE013C" w:rsidP="004C16FF">
      <w:pPr>
        <w:spacing w:after="120"/>
        <w:ind w:firstLine="480"/>
      </w:pPr>
      <w:r w:rsidRPr="00BE68C7">
        <w:t>Fig. 3 traces the historical decline in solar PV installed costs from 2010 to 2026, demonstrating the 87–90% reduction in system costs that has made utility-scale solar the least-cost electricity generation source in most global markets.</w:t>
      </w:r>
    </w:p>
    <w:p w14:paraId="673A3CC7" w14:textId="77777777" w:rsidR="00FE013C" w:rsidRDefault="00FE013C" w:rsidP="00484A3A">
      <w:pPr>
        <w:keepNext/>
        <w:jc w:val="center"/>
      </w:pPr>
      <w:r w:rsidRPr="00D65F06">
        <w:rPr>
          <w:noProof/>
          <w:lang w:val="en-CA"/>
        </w:rPr>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3">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77777777" w:rsidR="00FE013C" w:rsidRDefault="00FE013C" w:rsidP="00484A3A">
      <w:pPr>
        <w:pStyle w:val="Caption"/>
        <w:jc w:val="center"/>
      </w:pPr>
      <w:r>
        <w:t xml:space="preserve">Figure </w:t>
      </w:r>
      <w:fldSimple w:instr=" SEQ Figure \* ARABIC ">
        <w:r>
          <w:rPr>
            <w:noProof/>
          </w:rPr>
          <w:t>3</w:t>
        </w:r>
      </w:fldSimple>
      <w:r>
        <w:t xml:space="preserve"> </w:t>
      </w:r>
      <w:r w:rsidRPr="00B765D6">
        <w:t>Solar PV installed system cost decline (2010–2026), showing the 87–90% reduction from 2010 benchmarks</w:t>
      </w:r>
    </w:p>
    <w:p w14:paraId="22E24B31" w14:textId="77777777" w:rsidR="00FE013C" w:rsidRDefault="00FE013C" w:rsidP="004C16FF">
      <w:pPr>
        <w:pStyle w:val="Heading20"/>
        <w:jc w:val="both"/>
        <w:rPr>
          <w:color w:val="auto"/>
        </w:rPr>
      </w:pPr>
      <w:r>
        <w:rPr>
          <w:color w:val="auto"/>
        </w:rPr>
        <w:t xml:space="preserve">4.2. </w:t>
      </w:r>
      <w:r w:rsidRPr="002068F4">
        <w:rPr>
          <w:color w:val="auto"/>
        </w:rPr>
        <w:t>Wind Energy Systems</w:t>
      </w:r>
    </w:p>
    <w:p w14:paraId="5E6B5B35" w14:textId="77777777" w:rsidR="00FE013C" w:rsidRDefault="00FE013C" w:rsidP="004C16FF">
      <w:pPr>
        <w:spacing w:after="120"/>
        <w:ind w:firstLine="480"/>
      </w:pPr>
      <w:r>
        <w:t xml:space="preserve">Wind energy contributes to a complementary generation profile to solar PV, </w:t>
      </w:r>
      <w:r w:rsidRPr="00ED54A3">
        <w:t>as it is more productive during night-time hours and winter months when solar PV output is lowest</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fldChar w:fldCharType="begin"/>
      </w:r>
      <w:r>
        <w:instrText xml:space="preserve"> ADDIN ZOTERO_ITEM CSL_CITATION {"citationID":"h6bmKIqm","properties":{"unsorted":false,"formattedCitation":"[88]","plainCitation":"[88]","noteIndex":0},"citationItems":[{"id":2051,"uris":["http://zotero.org/users/9870935/items/4VD6QWRZ"],"itemData":{"id":2051,"type":"article-journal","abstract":"Renewable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Pr="00302B88">
        <w:t>[88]</w:t>
      </w:r>
      <w:r>
        <w:fldChar w:fldCharType="end"/>
      </w:r>
      <w:r>
        <w:t>.</w:t>
      </w:r>
    </w:p>
    <w:p w14:paraId="5796FA3C" w14:textId="509890F6" w:rsidR="00FE013C" w:rsidRDefault="00FE013C" w:rsidP="004C16FF">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instrText xml:space="preserve"> ADDIN ZOTERO_ITEM CSL_CITATION {"citationID":"vGg2z3bh","properties":{"unsorted":false,"formattedCitation":"[89]","plainCitation":"[89]","noteIndex":0},"citationItems":[{"id":2054,"uris":["http://zotero.org/users/9870935/items/9TII72A6"],"itemData":{"id":2054,"type":"article","abstract":"Recent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Pr="00302B88">
        <w:t>[89]</w:t>
      </w:r>
      <w:r>
        <w:fldChar w:fldCharType="end"/>
      </w:r>
      <w:r>
        <w:t>.</w:t>
      </w:r>
    </w:p>
    <w:p w14:paraId="560AC4E9" w14:textId="77777777" w:rsidR="00FE013C" w:rsidRDefault="00FE013C" w:rsidP="004C16FF">
      <w:pPr>
        <w:pStyle w:val="Heading20"/>
        <w:jc w:val="both"/>
        <w:rPr>
          <w:color w:val="auto"/>
        </w:rPr>
      </w:pPr>
      <w:r>
        <w:rPr>
          <w:color w:val="auto"/>
        </w:rPr>
        <w:t>4.3. Hydroelectric Power</w:t>
      </w:r>
    </w:p>
    <w:p w14:paraId="7630F4CF" w14:textId="6A30FF1E" w:rsidR="00FE013C" w:rsidRDefault="00FE013C" w:rsidP="004C16FF">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Pr="00095712">
        <w:t>[43]</w:t>
      </w:r>
      <w:r>
        <w:fldChar w:fldCharType="end"/>
      </w:r>
      <w:r>
        <w:t xml:space="preserve">. Reservoir-based systems provide storage capacity from </w:t>
      </w:r>
      <w:proofErr w:type="gramStart"/>
      <w:r>
        <w:t>days</w:t>
      </w:r>
      <w:proofErr w:type="gramEnd"/>
      <w:r>
        <w:t xml:space="preserve"> to </w:t>
      </w:r>
      <w:proofErr w:type="gramStart"/>
      <w:r>
        <w:t>months</w:t>
      </w:r>
      <w:proofErr w:type="gramEnd"/>
      <w:r>
        <w:t xml:space="preserve"> and thus can provide firming capacity for variable renewables. The </w:t>
      </w:r>
      <w:r>
        <w:lastRenderedPageBreak/>
        <w:t>largest technology for grid-scale energy storage is pumped storage hydropower (PSH), which now makes up approximately 95% of the installed storage worldwide and has a round-trip efficiency between 70% and 85%</w:t>
      </w:r>
      <w:r>
        <w:fldChar w:fldCharType="begin"/>
      </w:r>
      <w:r>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Pr="001623F2">
        <w:t>[44]</w:t>
      </w:r>
      <w:r>
        <w:fldChar w:fldCharType="end"/>
      </w:r>
      <w:r>
        <w:t>.</w:t>
      </w:r>
    </w:p>
    <w:p w14:paraId="4F2CA50E" w14:textId="3955B7AF" w:rsidR="00FE013C" w:rsidRDefault="00FE013C" w:rsidP="004C16FF">
      <w:pPr>
        <w:spacing w:after="120"/>
        <w:ind w:firstLine="480"/>
      </w:pPr>
      <w:r>
        <w:t xml:space="preserve">Hydro is not scalable for data </w:t>
      </w:r>
      <w:r w:rsidR="00580BAE">
        <w:t>center</w:t>
      </w:r>
      <w:r>
        <w:t xml:space="preserve"> applications, primarily due to geographic constraints. The geomorphic conditions required for developing new PSH include a large vertical difference in elevation between the upper and lower reservoirs, the presence of a data </w:t>
      </w:r>
      <w:r w:rsidR="00580BAE">
        <w:t>center</w:t>
      </w:r>
      <w:r>
        <w:t xml:space="preserve"> load </w:t>
      </w:r>
      <w:r w:rsidR="00580BAE">
        <w:t>center</w:t>
      </w:r>
      <w:r>
        <w:t>, and availability of water. New hydroelectric developments can take 5 to 10 years to obtain environmental permits, and the requirements are complex, covering impacts to aquatic ecosystems, recreational use, and recreational values</w:t>
      </w:r>
      <w:r>
        <w:fldChar w:fldCharType="begin"/>
      </w:r>
      <w:r>
        <w:instrText xml:space="preserve"> ADDIN ZOTERO_ITEM CSL_CITATION {"citationID":"dA9ckfvX","properties":{"unsorted":false,"formattedCitation":"[90]","plainCitation":"[90]","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fldChar w:fldCharType="separate"/>
      </w:r>
      <w:r w:rsidRPr="00302B88">
        <w:t>[90]</w:t>
      </w:r>
      <w:r>
        <w:fldChar w:fldCharType="end"/>
      </w:r>
      <w:r>
        <w:t xml:space="preserve">. However, current PSH facilities are an </w:t>
      </w:r>
      <w:r w:rsidR="00580BAE">
        <w:t>underutilized</w:t>
      </w:r>
      <w:r>
        <w:t xml:space="preserve"> asset in data </w:t>
      </w:r>
      <w:r w:rsidR="00580BAE">
        <w:t>center</w:t>
      </w:r>
      <w:r>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0"/>
        <w:jc w:val="both"/>
        <w:rPr>
          <w:color w:val="auto"/>
        </w:rPr>
      </w:pPr>
      <w:r>
        <w:rPr>
          <w:color w:val="auto"/>
        </w:rPr>
        <w:t xml:space="preserve">4.4. Resource Assessment </w:t>
      </w:r>
      <w:r w:rsidRPr="00180833">
        <w:rPr>
          <w:color w:val="auto"/>
        </w:rPr>
        <w:t>Methodologies</w:t>
      </w:r>
    </w:p>
    <w:p w14:paraId="63DE7BF5" w14:textId="60D50D27" w:rsidR="00FE013C" w:rsidRPr="00F432AD" w:rsidRDefault="00FE013C" w:rsidP="004C16FF">
      <w:pPr>
        <w:spacing w:after="120"/>
        <w:ind w:firstLine="480"/>
      </w:pPr>
      <w:r w:rsidRPr="00F432AD">
        <w:t xml:space="preserve">Proper resource assessment is the backbone of economic success for renewable-powered data </w:t>
      </w:r>
      <w:r w:rsidR="00580BAE">
        <w:t>center</w:t>
      </w:r>
      <w:r w:rsidRPr="00F432AD">
        <w:t xml:space="preserve">s. Solar irradiance data have been drawn from databases derived from satellite observations, including the Global Solar Atlas generated by the World Bank (WB), PVGIS [94] generated by the European Commission Joint Research </w:t>
      </w:r>
      <w:r w:rsidR="00580BAE">
        <w:t>Center</w:t>
      </w:r>
      <w:r w:rsidRPr="00F432AD">
        <w:t xml:space="preserve"> (JRC), and ground-station measurements from networks such as the National Solar Radiation Database (NSRDB) by NREL</w:t>
      </w:r>
      <w:r>
        <w:fldChar w:fldCharType="begin"/>
      </w:r>
      <w:r>
        <w:instrText xml:space="preserve"> ADDIN ZOTERO_ITEM CSL_CITATION {"citationID":"IvpZO7M8","properties":{"unsorted":false,"formattedCitation":"[91]","plainCitation":"[91]","noteIndex":0},"citationItems":[{"id":2056,"uris":["http://zotero.org/users/9870935/items/4AKN5FB8"],"itemData":{"id":2056,"type":"paper-conference","container-title":"2025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Pr="00302B88">
        <w:t>[91]</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instrText xml:space="preserve"> ADDIN ZOTERO_ITEM CSL_CITATION {"citationID":"kk3W6zUf","properties":{"unsorted":false,"formattedCitation":"[92]","plainCitation":"[92]","noteIndex":0},"citationItems":[{"id":2057,"uris":["http://zotero.org/users/9870935/items/MBI2S75Z"],"itemData":{"id":2057,"type":"article-journal","container-title":"Solar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Pr="00302B88">
        <w:t>[92]</w:t>
      </w:r>
      <w:r>
        <w:fldChar w:fldCharType="end"/>
      </w:r>
      <w:r w:rsidRPr="00F432AD">
        <w:t>.</w:t>
      </w:r>
    </w:p>
    <w:p w14:paraId="694640BD" w14:textId="77777777" w:rsidR="00FE013C" w:rsidRPr="00F432AD" w:rsidRDefault="00FE013C" w:rsidP="004C16FF">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instrText xml:space="preserve"> ADDIN ZOTERO_ITEM CSL_CITATION {"citationID":"NqfWsidk","properties":{"unsorted":false,"formattedCitation":"[93]","plainCitation":"[93]","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Pr="00302B88">
        <w:t>[93]</w:t>
      </w:r>
      <w:r>
        <w:fldChar w:fldCharType="end"/>
      </w:r>
      <w:r w:rsidRPr="00F432AD">
        <w:t>. These machine learning techniques have improved the GIS-based assessment by allowing for automated selection of the best sites from large geospatial datasets, potentially saving time and money in preliminary feasibility studies</w:t>
      </w:r>
      <w:r>
        <w:fldChar w:fldCharType="begin"/>
      </w:r>
      <w:r>
        <w:instrText xml:space="preserve"> ADDIN ZOTERO_ITEM CSL_CITATION {"citationID":"XsHnBnNn","properties":{"unsorted":false,"formattedCitation":"[94]","plainCitation":"[94]","noteIndex":0},"citationItems":[{"id":2059,"uris":["http://zotero.org/users/9870935/items/JGZPYJ4A"],"itemData":{"id":2059,"type":"article-journal","abstract":"ABSTRACT\n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Pr="00302B88">
        <w:t>[94]</w:t>
      </w:r>
      <w:r>
        <w:fldChar w:fldCharType="end"/>
      </w:r>
      <w:r w:rsidRPr="00F432AD">
        <w:t>.</w:t>
      </w:r>
    </w:p>
    <w:p w14:paraId="472E9197" w14:textId="77777777" w:rsidR="00FE013C" w:rsidRDefault="00FE013C" w:rsidP="004C16FF">
      <w:pPr>
        <w:pStyle w:val="Heading20"/>
        <w:jc w:val="both"/>
        <w:rPr>
          <w:color w:val="auto"/>
        </w:rPr>
      </w:pPr>
      <w:r>
        <w:rPr>
          <w:color w:val="auto"/>
        </w:rPr>
        <w:t>4.5. Geographic Variability and Seasonal Patterns</w:t>
      </w:r>
    </w:p>
    <w:p w14:paraId="60941C27" w14:textId="77777777" w:rsidR="00FE013C" w:rsidRDefault="00FE013C" w:rsidP="004C16FF">
      <w:pPr>
        <w:spacing w:after="120"/>
        <w:ind w:firstLine="480"/>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instrText xml:space="preserve"> ADDIN ZOTERO_ITEM CSL_CITATION {"citationID":"OfkCYwiH","properties":{"unsorted":false,"formattedCitation":"[95]","plainCitation":"[95]","noteIndex":0},"citationItems":[{"id":2061,"uris":["http://zotero.org/users/9870935/items/9Q8RHM8Q"],"itemData":{"id":2061,"type":"article-journal","container-title":"Energy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Pr="00302B88">
        <w:t>[95]</w:t>
      </w:r>
      <w:r>
        <w:fldChar w:fldCharType="end"/>
      </w:r>
      <w:r w:rsidRPr="00F07E08">
        <w:t xml:space="preserve">. Wind generation has also been observed to have varying temporal characteristics, in most mid-latitude regions, wind energy tends to be higher at night and through the winter season, </w:t>
      </w:r>
      <w:proofErr w:type="gramStart"/>
      <w:r w:rsidRPr="00F07E08">
        <w:t>so as to</w:t>
      </w:r>
      <w:proofErr w:type="gramEnd"/>
      <w:r w:rsidRPr="00F07E08">
        <w:t xml:space="preserve"> complement solar energy.</w:t>
      </w:r>
      <w:r>
        <w:t xml:space="preserve"> </w:t>
      </w:r>
      <w:r w:rsidRPr="00A85A64">
        <w:t xml:space="preserve">Fig. 4 illustrates the monthly wind-solar capacity factor complementarity across seasons, showing how wind generation peaks in winter months when solar output is lowest, and vice versa — a natural anti-correlation that reduces combined system variability by 40–60% compared with single-technology deployments </w:t>
      </w:r>
      <w:r>
        <w:fldChar w:fldCharType="begin"/>
      </w:r>
      <w:r>
        <w:instrText xml:space="preserve"> ADDIN ZOTERO_ITEM CSL_CITATION {"citationID":"RWh2n7nl","properties":{"unsorted":false,"formattedCitation":"[16], [96]","plainCitation":"[16], [96]","dontUpdate":true,"noteIndex":0},"citationItems":[{"id":1925,"uris":["http://zotero.org/users/9870935/items/ZT343IZI"],"itemData":{"id":1925,"type":"article-journal","language":"en","source":"Zotero","title":"Renewable power generation costs in 2024","URL":"https://www.rinnovabili.it/wp-content/uploads/2025/07/IRENA-RENEWABLE-POWER-GENERATION-COSTS-IN-2024.pdf"}},{"id":2048,"uris":["http://zotero.org/users/9870935/items/2IV8CPDJ"],"itemData":{"id":2048,"type":"post-weblog","title":"National Renewable Energy Laboratory (NREL). (2026)","URL":"https://atb.nrel.gov/","author":[{"family":"NREL","given":""}]}}],"schema":"https://github.com/citation-style-language/schema/raw/master/csl-citation.json"} </w:instrText>
      </w:r>
      <w:r>
        <w:fldChar w:fldCharType="separate"/>
      </w:r>
      <w:r w:rsidRPr="00302B88">
        <w:t xml:space="preserve">[16], </w:t>
      </w:r>
      <w:r>
        <w:fldChar w:fldCharType="begin"/>
      </w:r>
      <w:r>
        <w:instrText xml:space="preserve"> ADDIN ZOTERO_ITEM CSL_CITATION {"citationID":"CFmNl4LM","properties":{"unsorted":false,"formattedCitation":"[86]","plainCitation":"[86]","noteIndex":0},"citationItems":[{"id":2049,"uris":["http://zotero.org/users/9870935/items/HTQQE34D"],"itemData":{"id":2049,"type":"post-weblog","title":"National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Pr="00302B88">
        <w:t>[86]</w:t>
      </w:r>
      <w:r>
        <w:fldChar w:fldCharType="end"/>
      </w:r>
      <w:r>
        <w:fldChar w:fldCharType="end"/>
      </w:r>
      <w:r>
        <w:t>.</w:t>
      </w:r>
    </w:p>
    <w:p w14:paraId="2D08FD41" w14:textId="77777777" w:rsidR="00FE013C" w:rsidRDefault="00FE013C" w:rsidP="00E17344">
      <w:pPr>
        <w:keepNext/>
        <w:spacing w:after="120"/>
        <w:ind w:firstLine="480"/>
        <w:jc w:val="center"/>
      </w:pPr>
      <w:r>
        <w:rPr>
          <w:noProof/>
        </w:rPr>
        <w:lastRenderedPageBreak/>
        <w:drawing>
          <wp:inline distT="0" distB="0" distL="0" distR="0" wp14:anchorId="5A370FA3" wp14:editId="0D5FD748">
            <wp:extent cx="4191000" cy="2372029"/>
            <wp:effectExtent l="0" t="0" r="0" b="9525"/>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423"/>
                    <a:stretch>
                      <a:fillRect/>
                    </a:stretch>
                  </pic:blipFill>
                  <pic:spPr bwMode="auto">
                    <a:xfrm>
                      <a:off x="0" y="0"/>
                      <a:ext cx="4191000" cy="2372029"/>
                    </a:xfrm>
                    <a:prstGeom prst="rect">
                      <a:avLst/>
                    </a:prstGeom>
                    <a:ln>
                      <a:noFill/>
                    </a:ln>
                    <a:extLst>
                      <a:ext uri="{53640926-AAD7-44D8-BBD7-CCE9431645EC}">
                        <a14:shadowObscured xmlns:a14="http://schemas.microsoft.com/office/drawing/2010/main"/>
                      </a:ext>
                    </a:extLst>
                  </pic:spPr>
                </pic:pic>
              </a:graphicData>
            </a:graphic>
          </wp:inline>
        </w:drawing>
      </w:r>
    </w:p>
    <w:p w14:paraId="4CE86E78" w14:textId="77777777" w:rsidR="00FE013C" w:rsidRDefault="00FE013C" w:rsidP="00E17344">
      <w:pPr>
        <w:pStyle w:val="Caption"/>
        <w:jc w:val="center"/>
      </w:pPr>
      <w:r>
        <w:t xml:space="preserve">Figure </w:t>
      </w:r>
      <w:fldSimple w:instr=" SEQ Figure \* ARABIC ">
        <w:r>
          <w:rPr>
            <w:noProof/>
          </w:rPr>
          <w:t>4</w:t>
        </w:r>
      </w:fldSimple>
      <w:r>
        <w:t xml:space="preserve"> </w:t>
      </w:r>
      <w:r w:rsidRPr="000D6369">
        <w:t>Monthly wind-solar capacity factor complementarity</w:t>
      </w:r>
    </w:p>
    <w:p w14:paraId="0BE2D2DB" w14:textId="3E1F0315" w:rsidR="00FE013C" w:rsidRPr="00F07E08" w:rsidRDefault="00FE013C" w:rsidP="004C16FF">
      <w:pPr>
        <w:spacing w:after="120"/>
        <w:ind w:firstLine="480"/>
      </w:pPr>
      <w:r w:rsidRPr="00F07E08">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instrText xml:space="preserve"> ADDIN ZOTERO_ITEM CSL_CITATION {"citationID":"anSnTjMg","properties":{"unsorted":false,"formattedCitation":"[97]","plainCitation":"[97]","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Pr="00584BC7">
        <w:t>[97]</w:t>
      </w:r>
      <w:r>
        <w:fldChar w:fldCharType="end"/>
      </w:r>
      <w:r w:rsidRPr="00F07E08">
        <w:t xml:space="preserve">. In data </w:t>
      </w:r>
      <w:r w:rsidR="00580BAE">
        <w:t>center</w:t>
      </w:r>
      <w:r w:rsidRPr="00F07E08">
        <w:t xml:space="preserve"> applications, this redundancy provides direct benefits in terms of reduced storage space and system costs. Access to wind resources can lower the need for battery storage by 40–60</w:t>
      </w:r>
      <w:r>
        <w:t>%</w:t>
      </w:r>
      <w:r w:rsidRPr="00F07E08">
        <w:t xml:space="preserve"> over solar-only deployments in a data </w:t>
      </w:r>
      <w:r w:rsidR="00580BAE">
        <w:t>center</w:t>
      </w:r>
      <w:r w:rsidRPr="00F07E08">
        <w:t>, based on complementarity at the specific site</w:t>
      </w:r>
      <w:r>
        <w:fldChar w:fldCharType="begin"/>
      </w:r>
      <w:r>
        <w:instrText xml:space="preserve"> ADDIN ZOTERO_ITEM CSL_CITATION {"citationID":"fQgaocPm","properties":{"unsorted":false,"formattedCitation":"[98]","plainCitation":"[98]","noteIndex":0},"citationItems":[{"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fldChar w:fldCharType="separate"/>
      </w:r>
      <w:r w:rsidRPr="00584BC7">
        <w:t>[98]</w:t>
      </w:r>
      <w:r>
        <w:fldChar w:fldCharType="end"/>
      </w:r>
      <w:r w:rsidRPr="00F07E08">
        <w:t>. Climate change effects on renewable resources further increase uncertainty, including a range of small-scale changes in wind and solar resources that could influence long-term system planning, as suggested in some studies</w:t>
      </w:r>
      <w:r>
        <w:fldChar w:fldCharType="begin"/>
      </w:r>
      <w:r>
        <w:instrText xml:space="preserve"> ADDIN ZOTERO_ITEM CSL_CITATION {"citationID":"KHI2AIIg","properties":{"unsorted":false,"formattedCitation":"[99]","plainCitation":"[99]","noteIndex":0},"citationItems":[{"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fldChar w:fldCharType="separate"/>
      </w:r>
      <w:r w:rsidRPr="00584BC7">
        <w:t>[99]</w:t>
      </w:r>
      <w:r>
        <w:fldChar w:fldCharType="end"/>
      </w:r>
      <w:r w:rsidRPr="00F07E08">
        <w:t>.</w:t>
      </w:r>
    </w:p>
    <w:p w14:paraId="17BFC632" w14:textId="77777777" w:rsidR="00FE013C" w:rsidRDefault="00FE013C" w:rsidP="004C16FF">
      <w:pPr>
        <w:pStyle w:val="Heading10"/>
        <w:jc w:val="both"/>
        <w:rPr>
          <w:color w:val="auto"/>
        </w:rPr>
      </w:pPr>
      <w:r>
        <w:rPr>
          <w:color w:val="auto"/>
          <w:lang w:eastAsia="zh-CN"/>
        </w:rPr>
        <w:t xml:space="preserve">5. </w:t>
      </w:r>
      <w:r>
        <w:rPr>
          <w:color w:val="auto"/>
        </w:rPr>
        <w:t>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0"/>
        <w:jc w:val="both"/>
        <w:rPr>
          <w:color w:val="auto"/>
        </w:rPr>
      </w:pPr>
      <w:r>
        <w:rPr>
          <w:color w:val="auto"/>
        </w:rPr>
        <w:t>5.1. Lithium-Ion Battery Systems</w:t>
      </w:r>
    </w:p>
    <w:p w14:paraId="31E956DA" w14:textId="77777777" w:rsidR="00FE013C" w:rsidRDefault="00FE013C" w:rsidP="004C16FF">
      <w:pPr>
        <w:spacing w:after="120"/>
        <w:ind w:firstLine="480"/>
      </w:pPr>
      <w:r w:rsidRPr="00ED11B4">
        <w:t xml:space="preserve">The cost of lithium-ion battery technology has dropped dramatically, changing the economics of integrating renewable energy. </w:t>
      </w:r>
      <w:proofErr w:type="spellStart"/>
      <w:r w:rsidRPr="00D75763">
        <w:t>BloombergNEF</w:t>
      </w:r>
      <w:proofErr w:type="spellEnd"/>
      <w:r w:rsidRPr="00D75763">
        <w:t xml:space="preserve"> has reported that utility-scale lithium-ion battery pack prices have declined sharply, from approximately $300/kWh in 2020 to $108/kWh in 2025 at the pack level, with Chinese cell-level prices falling below $65/kWh</w:t>
      </w:r>
      <w: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instrText xml:space="preserve"> ADDIN ZOTERO_ITEM CSL_CITATION {"citationID":"RqYr9QXe","properties":{"unsorted":false,"formattedCitation":"[100]","plainCitation":"[100]","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Pr="00584BC7">
        <w:t>[100]</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instrText xml:space="preserve"> ADDIN ZOTERO_ITEM CSL_CITATION {"citationID":"KdpfBvot","properties":{"unsorted":false,"formattedCitation":"[101]","plainCitation":"[101]","noteIndex":0},"citationItems":[{"id":2068,"uris":["http://zotero.org/users/9870935/items/M4LNHX4F"],"itemData":{"id":2068,"type":"post-weblog","title":"Battery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Pr="00584BC7">
        <w:t>[101]</w:t>
      </w:r>
      <w:r>
        <w:fldChar w:fldCharType="end"/>
      </w:r>
      <w:r w:rsidRPr="00ED11B4">
        <w:t>.</w:t>
      </w:r>
    </w:p>
    <w:p w14:paraId="5FB5AE81" w14:textId="77777777" w:rsidR="00FE013C" w:rsidRPr="00ED11B4" w:rsidRDefault="00FE013C" w:rsidP="004C16FF">
      <w:pPr>
        <w:spacing w:after="120"/>
        <w:ind w:firstLine="480"/>
      </w:pPr>
      <w:r w:rsidRPr="00ED11B4">
        <w:t xml:space="preserve">The key factors for battery chemistry selection are cost, energy density, cycle life, safety, and thermal management requirements. Owing to its excellent safety (no thermal runaway risk), long cycle life of over 4,000 cycles at 80% depth of discharge, and lower cost because it eliminates the use of </w:t>
      </w:r>
      <w:r w:rsidRPr="00ED11B4">
        <w:lastRenderedPageBreak/>
        <w:t>cobalt and nickel, LFP (lithium iron phosphate) has become the predominant chemistry for stationary storage applications</w:t>
      </w:r>
      <w:r>
        <w:fldChar w:fldCharType="begin"/>
      </w:r>
      <w:r>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Pr="00F9103B">
        <w:t>[45]</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Pr="00B138D4">
        <w:t>[46]</w:t>
      </w:r>
      <w:r>
        <w:fldChar w:fldCharType="end"/>
      </w:r>
      <w:r w:rsidRPr="00ED11B4">
        <w:t>.</w:t>
      </w:r>
    </w:p>
    <w:p w14:paraId="57F46560" w14:textId="77777777" w:rsidR="00FE013C" w:rsidRPr="00ED11B4" w:rsidRDefault="00FE013C" w:rsidP="004C16FF">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 degrees °C) and to avoid accelerated degradation. Battery aging happens in two ways: calendar aging, which runs whether or not the battery is used, and cycle aging, which depends on how much charge or discharge the battery has experienced and at what rate</w:t>
      </w:r>
      <w:r>
        <w:fldChar w:fldCharType="begin"/>
      </w:r>
      <w:r>
        <w:instrText xml:space="preserve"> ADDIN ZOTERO_ITEM CSL_CITATION {"citationID":"kxRlR2kx","properties":{"unsorted":false,"formattedCitation":"[102]","plainCitation":"[102]","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Pr="00584BC7">
        <w:t>[102]</w:t>
      </w:r>
      <w:r>
        <w:fldChar w:fldCharType="end"/>
      </w:r>
      <w:r w:rsidRPr="00ED11B4">
        <w:t>. Limiting the depth of discharge to 50</w:t>
      </w:r>
      <w:r>
        <w:t xml:space="preserve">% </w:t>
      </w:r>
      <w:r w:rsidRPr="00ED11B4">
        <w:t>has been shown to approximately double the cycle life; therefore, the use of larger systems than the nominal capacity requirements can enhance the overall battery system economics of their operation over time, despite the higher up-front capital costs</w:t>
      </w:r>
      <w:r>
        <w:fldChar w:fldCharType="begin"/>
      </w:r>
      <w:r>
        <w:instrText xml:space="preserve"> ADDIN ZOTERO_ITEM CSL_CITATION {"citationID":"Amui7OjS","properties":{"unsorted":false,"formattedCitation":"[103]","plainCitation":"[103]","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Pr="00584BC7">
        <w:t>[103]</w:t>
      </w:r>
      <w:r>
        <w:fldChar w:fldCharType="end"/>
      </w:r>
      <w:r w:rsidRPr="00ED11B4">
        <w:t>.</w:t>
      </w:r>
    </w:p>
    <w:p w14:paraId="55E1FDE6" w14:textId="77777777" w:rsidR="00FE013C" w:rsidRDefault="00FE013C" w:rsidP="004C16FF">
      <w:pPr>
        <w:pStyle w:val="Heading20"/>
        <w:jc w:val="both"/>
        <w:rPr>
          <w:color w:val="auto"/>
        </w:rPr>
      </w:pPr>
      <w:r>
        <w:rPr>
          <w:color w:val="auto"/>
        </w:rPr>
        <w:t>5.2. Advanced Storage Technologies</w:t>
      </w:r>
    </w:p>
    <w:p w14:paraId="59D63B37" w14:textId="77777777" w:rsidR="00FE013C" w:rsidRPr="002C0C00" w:rsidRDefault="00FE013C" w:rsidP="004C16FF">
      <w:pPr>
        <w:spacing w:after="120"/>
        <w:ind w:firstLine="480"/>
      </w:pPr>
      <w:r w:rsidRPr="002C0C00">
        <w:t>One of the primary challenges associated with lithium-ion batteries is that they become cost-prohibitive for extended periods of storage, where long-duration energy storage (LDES) technologies come into play. Vanadium redox flow batteries (VRFBs) have been developed with independent power and energy scaling, with a cycle life of 20,000 cycles and very little degradation over time</w:t>
      </w:r>
      <w:r>
        <w:fldChar w:fldCharType="begin"/>
      </w:r>
      <w:r>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fldChar w:fldCharType="separate"/>
      </w:r>
      <w:r w:rsidRPr="00E20CA4">
        <w:t>[47]</w:t>
      </w:r>
      <w:r>
        <w:fldChar w:fldCharType="end"/>
      </w:r>
      <w:r w:rsidRPr="002C0C00">
        <w:t>. VRFB systems have already been commercially used at scales larger than 10 MWh, and the main drawback is the relatively high initial cost, although costs are decreasing as the scale of manufacturing increases.</w:t>
      </w:r>
    </w:p>
    <w:p w14:paraId="0AAAA4F2" w14:textId="2D9F90B8" w:rsidR="00FE013C" w:rsidRPr="002C0C00" w:rsidRDefault="00FE013C" w:rsidP="004C16FF">
      <w:pPr>
        <w:spacing w:after="120"/>
        <w:ind w:firstLine="480"/>
      </w:pPr>
      <w:r w:rsidRPr="002C0C00">
        <w:t xml:space="preserve">Form Energy's iron-air battery is one of the technologies that could </w:t>
      </w:r>
      <w:proofErr w:type="spellStart"/>
      <w:r w:rsidRPr="002C0C00">
        <w:t>revolutionise</w:t>
      </w:r>
      <w:proofErr w:type="spellEnd"/>
      <w:r w:rsidRPr="002C0C00">
        <w:t xml:space="preserve"> ultra-long-duration storage. The technology employs a large amount of cheap materials (iron, water, air) to meet storage costs of $20 per kWh, whereas lithium-ion costing is targeted at $100 to $150 per kWh</w:t>
      </w:r>
      <w:r>
        <w:fldChar w:fldCharType="begin"/>
      </w:r>
      <w:r>
        <w:instrText xml:space="preserve"> ADDIN ZOTERO_ITEM CSL_CITATION {"citationID":"IwjNu9hX","properties":{"unsorted":false,"formattedCitation":"[48]","plainCitation":"[48]","noteIndex":0},"citationItems":[{"id":1985,"uris":["http://zotero.org/users/9870935/items/58URKSK2"],"itemData":{"id":1985,"type":"book","abstract":"This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fldChar w:fldCharType="separate"/>
      </w:r>
      <w:r w:rsidRPr="00BE6E41">
        <w:t>[48]</w:t>
      </w:r>
      <w:r>
        <w:fldChar w:fldCharType="end"/>
      </w:r>
      <w:r w:rsidRPr="002C0C00">
        <w:t xml:space="preserve">. The data </w:t>
      </w:r>
      <w:r w:rsidR="00580BAE">
        <w:t>center</w:t>
      </w:r>
      <w:r w:rsidRPr="002C0C00">
        <w:t xml:space="preserve"> sector is interested in long-duration storage, and a company has inked 12 GWh worth of multi-day iron-air batteries to new U.S. AI data </w:t>
      </w:r>
      <w:r w:rsidR="00580BAE">
        <w:t>center</w:t>
      </w:r>
      <w:r w:rsidRPr="002C0C00">
        <w:t>s</w:t>
      </w:r>
      <w:r>
        <w:t xml:space="preserve"> </w:t>
      </w:r>
      <w:r>
        <w:fldChar w:fldCharType="begin"/>
      </w:r>
      <w:r>
        <w:instrText xml:space="preserve"> ADDIN ZOTERO_ITEM CSL_CITATION {"citationID":"7kVGcOlZ","properties":{"unsorted":false,"formattedCitation":"[104]","plainCitation":"[104]","noteIndex":0},"citationItems":[{"id":2072,"uris":["http://zotero.org/users/9870935/items/EET8N7XP"],"itemData":{"id":2072,"type":"article","abstract":"Deep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fldChar w:fldCharType="separate"/>
      </w:r>
      <w:r w:rsidRPr="00584BC7">
        <w:t>[104]</w:t>
      </w:r>
      <w:r>
        <w:fldChar w:fldCharType="end"/>
      </w:r>
      <w:r w:rsidRPr="002C0C00">
        <w:t xml:space="preserve">. </w:t>
      </w:r>
      <w:r w:rsidRPr="00530F71">
        <w:t>Iron-air batteries achieve a round-trip efficiency of approximately 40%, which is lower than lithium-ion (85–95%) but acceptable given their dramatically lower cost and the availability of curtailed renewable energy for low-efficiency charging cycles</w:t>
      </w:r>
      <w:r w:rsidRPr="002C0C00">
        <w:t>.</w:t>
      </w:r>
    </w:p>
    <w:p w14:paraId="4F8683F9" w14:textId="07682368" w:rsidR="00FE013C" w:rsidRPr="002C0C00" w:rsidRDefault="00FE013C" w:rsidP="004C16FF">
      <w:pPr>
        <w:spacing w:after="120"/>
        <w:ind w:firstLine="480"/>
      </w:pPr>
      <w:r w:rsidRPr="002C0C00">
        <w:t xml:space="preserve">Hydrogen fuel cells and green hydrogen storage provide the widest range of storage durations, from weeks to months, enabling seasonal energy shifting that is not feasible with battery technologies. A hydrogen fuel cell backup power system with a capacity of 3 MW was demonstrated by Microsoft at its data </w:t>
      </w:r>
      <w:r w:rsidR="00580BAE">
        <w:t>center</w:t>
      </w:r>
      <w:r w:rsidRPr="002C0C00">
        <w:t>, running for 48+ hours using hydrogen fuel</w:t>
      </w:r>
      <w:r>
        <w:fldChar w:fldCharType="begin"/>
      </w:r>
      <w:r>
        <w:instrText xml:space="preserve"> ADDIN ZOTERO_ITEM CSL_CITATION {"citationID":"Lqa6b4Sx","properties":{"unsorted":false,"formattedCitation":"[105]","plainCitation":"[105]","noteIndex":0},"citationItems":[{"id":2074,"uris":["http://zotero.org/users/9870935/items/55X6H6ID"],"itemData":{"id":2074,"type":"article-journal","abstract":"The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fldChar w:fldCharType="separate"/>
      </w:r>
      <w:r w:rsidRPr="00584BC7">
        <w:t>[105]</w:t>
      </w:r>
      <w:r>
        <w:fldChar w:fldCharType="end"/>
      </w:r>
      <w:r w:rsidRPr="002C0C00">
        <w:t>. However, the round-trip efficiency of the hydrogen pathway is approximately 30–40%, as opposed to 85–95</w:t>
      </w:r>
      <w:r>
        <w:t xml:space="preserve">% </w:t>
      </w:r>
      <w:r w:rsidRPr="002C0C00">
        <w:t>for lithium-ion batteries</w:t>
      </w:r>
      <w:r>
        <w:fldChar w:fldCharType="begin"/>
      </w:r>
      <w:r>
        <w:instrText xml:space="preserve"> ADDIN ZOTERO_ITEM CSL_CITATION {"citationID":"wSvLouuX","properties":{"unsorted":false,"formattedCitation":"[49]","plainCitation":"[49]","noteIndex":0},"citationItems":[{"id":1987,"uris":["http://zotero.org/users/9870935/items/2TYM8STM"],"itemData":{"id":1987,"type":"article-journal","abstract":"The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fldChar w:fldCharType="separate"/>
      </w:r>
      <w:r w:rsidRPr="000D010A">
        <w:t>[49]</w:t>
      </w:r>
      <w:r>
        <w:fldChar w:fldCharType="end"/>
      </w:r>
      <w:r w:rsidRPr="002C0C00">
        <w:t>. The economic viability of hydrogen relies on the ability to produce green hydrogen for $2/kg, versus the current production costs of $4 to $6/kg</w:t>
      </w:r>
      <w:r>
        <w:fldChar w:fldCharType="begin"/>
      </w:r>
      <w:r>
        <w:instrText xml:space="preserve"> ADDIN ZOTERO_ITEM CSL_CITATION {"citationID":"EV0Ut2pY","properties":{"unsorted":false,"formattedCitation":"[106]","plainCitation":"[106]","noteIndex":0},"citationItems":[{"id":2076,"uris":["http://zotero.org/users/9870935/items/WSZ9BQJG"],"itemData":{"id":2076,"type":"article-journal","abstract":"Abstract\n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fldChar w:fldCharType="separate"/>
      </w:r>
      <w:r w:rsidRPr="00584BC7">
        <w:t>[106]</w:t>
      </w:r>
      <w:r>
        <w:fldChar w:fldCharType="end"/>
      </w:r>
      <w:r w:rsidRPr="002C0C00">
        <w:t>.</w:t>
      </w:r>
    </w:p>
    <w:p w14:paraId="7681B9CD" w14:textId="77777777" w:rsidR="00FE013C" w:rsidRDefault="00FE013C" w:rsidP="004C16FF">
      <w:pPr>
        <w:pStyle w:val="Heading20"/>
        <w:jc w:val="both"/>
        <w:rPr>
          <w:color w:val="auto"/>
        </w:rPr>
      </w:pPr>
      <w:r>
        <w:rPr>
          <w:color w:val="auto"/>
        </w:rPr>
        <w:t>5.3. Energy Storage Sizing Methodology</w:t>
      </w:r>
    </w:p>
    <w:p w14:paraId="69C1DF36" w14:textId="6C084E86" w:rsidR="00FE013C" w:rsidRPr="006701FD" w:rsidRDefault="00FE013C" w:rsidP="004C16FF">
      <w:pPr>
        <w:spacing w:after="120"/>
        <w:ind w:firstLine="480"/>
      </w:pPr>
      <w:r w:rsidRPr="006701FD">
        <w:t xml:space="preserve">There are three conflicting goals in sizing energy storage for renewable-powered data </w:t>
      </w:r>
      <w:r w:rsidR="00580BAE">
        <w:t>center</w:t>
      </w:r>
      <w:r w:rsidRPr="006701FD">
        <w:t>s: reliability (having enough energy to cover renewable energy gaps), cost (</w:t>
      </w:r>
      <w:r w:rsidR="00580BAE" w:rsidRPr="006701FD">
        <w:t>minimizing</w:t>
      </w:r>
      <w:r w:rsidRPr="006701FD">
        <w:t xml:space="preserve"> capital and operations costs), and emissions (</w:t>
      </w:r>
      <w:r w:rsidR="00580BAE" w:rsidRPr="006701FD">
        <w:t>minimizing</w:t>
      </w:r>
      <w:r w:rsidRPr="006701FD">
        <w:t xml:space="preserve"> renewable energy not used). There are three basic methods used: deterministic, probabilistic, and </w:t>
      </w:r>
      <w:r w:rsidR="00580BAE" w:rsidRPr="006701FD">
        <w:t>optimization based</w:t>
      </w:r>
      <w:r w:rsidRPr="006701FD">
        <w:t>.</w:t>
      </w:r>
    </w:p>
    <w:p w14:paraId="4D9D10A1" w14:textId="2DA993E2" w:rsidR="00FE013C" w:rsidRDefault="00FE013C" w:rsidP="004C16FF">
      <w:pPr>
        <w:spacing w:after="120"/>
        <w:ind w:firstLine="480"/>
      </w:pPr>
      <w:r w:rsidRPr="006701FD">
        <w:lastRenderedPageBreak/>
        <w:t xml:space="preserve">The deterministic approach allocates storage to worst cases, for example, the longest periods of low renewable generation. The worst-case scenario for a data </w:t>
      </w:r>
      <w:r w:rsidR="00580BAE">
        <w:t>center</w:t>
      </w:r>
      <w:r w:rsidRPr="006701FD">
        <w:t xml:space="preserve"> in the U.S. Southwest location with on-site solar would be three consecutive overcast winter days, which equates to approximately 72 hours of battery storage at full load. This approach offers a firm guarantee of reliability but usually leads to very large and expensive systems</w:t>
      </w:r>
      <w:r>
        <w:fldChar w:fldCharType="begin"/>
      </w:r>
      <w:r>
        <w:instrText xml:space="preserve"> ADDIN ZOTERO_ITEM CSL_CITATION {"citationID":"DHpplHe9","properties":{"unsorted":false,"formattedCitation":"[50]","plainCitation":"[50]","noteIndex":0},"citationItems":[{"id":1988,"uris":["http://zotero.org/users/9870935/items/9LH8YF5V"],"itemData":{"id":1988,"type":"article-journal","container-title":"Future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fldChar w:fldCharType="separate"/>
      </w:r>
      <w:r w:rsidRPr="00A23247">
        <w:t>[50]</w:t>
      </w:r>
      <w:r>
        <w:fldChar w:fldCharType="end"/>
      </w:r>
      <w:r w:rsidRPr="006701FD">
        <w:t>.</w:t>
      </w:r>
      <w:r>
        <w:t xml:space="preserve"> </w:t>
      </w:r>
      <w:r w:rsidRPr="006701FD">
        <w:t>System reliability is quantified in the probabilistic approach using measures such as loss of load expectation (LOLE), which represents the average number of hours per year during which available generation is not adequate to meet demand.</w:t>
      </w:r>
      <w:r>
        <w:t xml:space="preserve"> </w:t>
      </w:r>
      <w:r w:rsidRPr="006701FD">
        <w:t xml:space="preserve">The LOLE of 0.1 hour per year, or 99.99 </w:t>
      </w:r>
      <w:r>
        <w:t xml:space="preserve">% </w:t>
      </w:r>
      <w:r w:rsidRPr="006701FD">
        <w:t xml:space="preserve">availability, is a commonly used metric for mission-critical data </w:t>
      </w:r>
      <w:r w:rsidR="00580BAE">
        <w:t>center</w:t>
      </w:r>
      <w:r w:rsidRPr="006701FD">
        <w:t xml:space="preserve">s </w:t>
      </w:r>
      <w:r>
        <w:fldChar w:fldCharType="begin"/>
      </w:r>
      <w:r>
        <w:instrText xml:space="preserve"> ADDIN ZOTERO_ITEM CSL_CITATION {"citationID":"j8SEt2Uy","properties":{"unsorted":false,"formattedCitation":"[107]","plainCitation":"[107]","noteIndex":0},"citationItems":[{"id":2078,"uris":["http://zotero.org/users/9870935/items/UAQIETIN"],"itemData":{"id":2078,"type":"article-journal","abstract":"Large-scale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fldChar w:fldCharType="separate"/>
      </w:r>
      <w:r w:rsidRPr="00584BC7">
        <w:t>[107]</w:t>
      </w:r>
      <w:r>
        <w:fldChar w:fldCharType="end"/>
      </w:r>
      <w:r w:rsidRPr="006701FD">
        <w:t>. This method provides a more in-depth view of reliability but involves in-depth time-series generation and load data.</w:t>
      </w:r>
    </w:p>
    <w:p w14:paraId="1D93CD8D" w14:textId="77777777" w:rsidR="00FE013C" w:rsidRDefault="00FE013C" w:rsidP="004C16FF">
      <w:pPr>
        <w:rPr>
          <w:color w:val="auto"/>
          <w:szCs w:val="24"/>
          <w:lang w:val="en-CA" w:eastAsia="en-CA"/>
        </w:rPr>
      </w:pPr>
      <w:r w:rsidRPr="001E0758">
        <w:rPr>
          <w:color w:val="auto"/>
          <w:szCs w:val="24"/>
          <w:lang w:val="en-CA" w:eastAsia="en-CA"/>
        </w:rPr>
        <w:t>The deterministic approach calculates the minimum required energy storage capacity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77777777" w:rsidR="00FE013C" w:rsidRDefault="00000000" w:rsidP="004C16FF">
            <w:pPr>
              <w:rPr>
                <w:color w:val="auto"/>
                <w:szCs w:val="24"/>
                <w:lang w:val="en-CA" w:eastAsia="en-CA"/>
              </w:rPr>
            </w:pPr>
            <m:oMathPara>
              <m:oMath>
                <m:sSubSup>
                  <m:sSubSupPr>
                    <m:ctrlPr>
                      <w:rPr>
                        <w:rFonts w:ascii="Cambria Math" w:hAnsi="Cambria Math"/>
                        <w:color w:val="auto"/>
                        <w:szCs w:val="24"/>
                        <w:lang w:val="en-CA" w:eastAsia="en-CA"/>
                      </w:rPr>
                    </m:ctrlPr>
                  </m:sSubSupPr>
                  <m:e>
                    <m:r>
                      <w:rPr>
                        <w:rFonts w:ascii="Cambria Math" w:hAnsi="Cambria Math"/>
                        <w:color w:val="auto"/>
                        <w:szCs w:val="24"/>
                        <w:lang w:val="en-CA" w:eastAsia="en-CA"/>
                      </w:rPr>
                      <m:t>E</m:t>
                    </m:r>
                  </m:e>
                  <m:sub>
                    <m:r>
                      <m:rPr>
                        <m:nor/>
                      </m:rPr>
                      <w:rPr>
                        <w:color w:val="auto"/>
                        <w:szCs w:val="24"/>
                        <w:lang w:val="en-CA" w:eastAsia="en-CA"/>
                      </w:rPr>
                      <m:t>BATT,min</m:t>
                    </m:r>
                  </m:sub>
                  <m:sup>
                    <m:r>
                      <m:rPr>
                        <m:nor/>
                      </m:rPr>
                      <w:rPr>
                        <w:color w:val="auto"/>
                        <w:szCs w:val="24"/>
                        <w:lang w:val="en-CA" w:eastAsia="en-CA"/>
                      </w:rPr>
                      <m:t>DET</m:t>
                    </m:r>
                  </m:sup>
                </m:sSubSup>
                <m:r>
                  <w:rPr>
                    <w:rFonts w:ascii="Cambria Math" w:hAnsi="Cambria Math"/>
                    <w:color w:val="auto"/>
                    <w:szCs w:val="24"/>
                    <w:lang w:val="en-CA" w:eastAsia="en-CA"/>
                  </w:rPr>
                  <m:t>=</m:t>
                </m:r>
                <m:limLow>
                  <m:limLowPr>
                    <m:ctrlPr>
                      <w:rPr>
                        <w:rFonts w:ascii="Cambria Math" w:hAnsi="Cambria Math"/>
                        <w:color w:val="auto"/>
                        <w:szCs w:val="24"/>
                        <w:lang w:val="en-CA" w:eastAsia="en-CA"/>
                      </w:rPr>
                    </m:ctrlPr>
                  </m:limLowPr>
                  <m:e>
                    <m:r>
                      <m:rPr>
                        <m:sty m:val="p"/>
                      </m:rPr>
                      <w:rPr>
                        <w:rFonts w:ascii="Cambria Math" w:hAnsi="Cambria Math"/>
                        <w:color w:val="auto"/>
                        <w:szCs w:val="24"/>
                        <w:lang w:val="en-CA" w:eastAsia="en-CA"/>
                      </w:rPr>
                      <m:t>max</m:t>
                    </m:r>
                    <m:r>
                      <w:rPr>
                        <w:rFonts w:ascii="Cambria Math" w:hAnsi="Cambria Math"/>
                        <w:color w:val="auto"/>
                        <w:szCs w:val="24"/>
                        <w:lang w:val="en-CA" w:eastAsia="en-CA"/>
                      </w:rPr>
                      <m:t>⁡</m:t>
                    </m:r>
                  </m:e>
                  <m:lim>
                    <m:r>
                      <w:rPr>
                        <w:rFonts w:ascii="Cambria Math" w:hAnsi="Cambria Math"/>
                        <w:color w:val="auto"/>
                        <w:szCs w:val="24"/>
                        <w:lang w:val="en-CA" w:eastAsia="en-CA"/>
                      </w:rPr>
                      <m:t>τ∈[1,n]</m:t>
                    </m:r>
                  </m:lim>
                </m:limLow>
                <m:d>
                  <m:dPr>
                    <m:sepChr m:val="⋅"/>
                    <m:ctrlPr>
                      <w:rPr>
                        <w:rFonts w:ascii="Cambria Math" w:hAnsi="Cambria Math"/>
                        <w:color w:val="auto"/>
                        <w:szCs w:val="24"/>
                        <w:lang w:val="en-CA" w:eastAsia="en-CA"/>
                      </w:rPr>
                    </m:ctrlPr>
                  </m:dPr>
                  <m:e>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load</m:t>
                        </m:r>
                      </m:sub>
                    </m:sSub>
                  </m:e>
                  <m:e>
                    <m:r>
                      <w:rPr>
                        <w:rFonts w:ascii="Cambria Math" w:hAnsi="Cambria Math"/>
                        <w:color w:val="auto"/>
                        <w:szCs w:val="24"/>
                        <w:lang w:val="en-CA" w:eastAsia="en-CA"/>
                      </w:rPr>
                      <m:t>τ</m:t>
                    </m:r>
                  </m:e>
                </m:d>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4A0931BF" w14:textId="77777777" w:rsidR="00FE013C" w:rsidRPr="001E0758" w:rsidRDefault="00FE013C" w:rsidP="004C16FF">
      <w:pPr>
        <w:rPr>
          <w:color w:val="auto"/>
          <w:szCs w:val="24"/>
          <w:lang w:val="en-CA" w:eastAsia="en-CA"/>
        </w:rPr>
      </w:pPr>
      <w:r w:rsidRPr="001E0758">
        <w:rPr>
          <w:color w:val="auto"/>
          <w:szCs w:val="24"/>
          <w:lang w:val="en-CA" w:eastAsia="en-CA"/>
        </w:rPr>
        <w:t>where:</w:t>
      </w:r>
    </w:p>
    <w:p w14:paraId="5DC65117" w14:textId="77777777" w:rsidR="00FE013C" w:rsidRPr="001E0758" w:rsidRDefault="00000000" w:rsidP="004C16FF">
      <w:pPr>
        <w:numPr>
          <w:ilvl w:val="0"/>
          <w:numId w:val="12"/>
        </w:numPr>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load</m:t>
            </m:r>
          </m:sub>
        </m:sSub>
      </m:oMath>
      <w:r w:rsidR="00FE013C" w:rsidRPr="001E0758">
        <w:rPr>
          <w:color w:val="auto"/>
          <w:szCs w:val="24"/>
          <w:lang w:val="en-CA" w:eastAsia="en-CA"/>
        </w:rPr>
        <w:t xml:space="preserve">= sustained facility load (MW) </w:t>
      </w:r>
    </w:p>
    <w:p w14:paraId="1C21BDFE" w14:textId="77777777" w:rsidR="00FE013C" w:rsidRPr="001E0758" w:rsidRDefault="00FE013C" w:rsidP="004C16FF">
      <w:pPr>
        <w:numPr>
          <w:ilvl w:val="0"/>
          <w:numId w:val="12"/>
        </w:numPr>
        <w:rPr>
          <w:color w:val="auto"/>
          <w:szCs w:val="24"/>
          <w:lang w:val="en-CA" w:eastAsia="en-CA"/>
        </w:rPr>
      </w:pPr>
      <m:oMath>
        <m:r>
          <w:rPr>
            <w:rFonts w:ascii="Cambria Math" w:hAnsi="Cambria Math"/>
            <w:color w:val="auto"/>
            <w:szCs w:val="24"/>
            <w:lang w:val="en-CA" w:eastAsia="en-CA"/>
          </w:rPr>
          <m:t>τ</m:t>
        </m:r>
      </m:oMath>
      <w:r w:rsidRPr="001E0758">
        <w:rPr>
          <w:color w:val="auto"/>
          <w:szCs w:val="24"/>
          <w:lang w:val="en-CA" w:eastAsia="en-CA"/>
        </w:rPr>
        <w:t xml:space="preserve">= duration of worst-case renewable drought (hours) </w:t>
      </w:r>
    </w:p>
    <w:p w14:paraId="55827C8F" w14:textId="77777777" w:rsidR="00FE013C" w:rsidRPr="00C86F0B" w:rsidRDefault="00FE013C" w:rsidP="004C16FF">
      <w:pPr>
        <w:numPr>
          <w:ilvl w:val="0"/>
          <w:numId w:val="12"/>
        </w:numPr>
        <w:rPr>
          <w:color w:val="auto"/>
          <w:szCs w:val="24"/>
          <w:lang w:val="en-CA" w:eastAsia="en-CA"/>
        </w:rPr>
      </w:pPr>
      <m:oMath>
        <m:r>
          <w:rPr>
            <w:rFonts w:ascii="Cambria Math" w:hAnsi="Cambria Math"/>
            <w:color w:val="auto"/>
            <w:szCs w:val="24"/>
            <w:lang w:val="en-CA" w:eastAsia="en-CA"/>
          </w:rPr>
          <m:t>n</m:t>
        </m:r>
      </m:oMath>
      <w:r w:rsidRPr="001E0758">
        <w:rPr>
          <w:color w:val="auto"/>
          <w:szCs w:val="24"/>
          <w:lang w:val="en-CA" w:eastAsia="en-CA"/>
        </w:rPr>
        <w:t xml:space="preserve">= number of distinct drought events in historical record </w:t>
      </w:r>
    </w:p>
    <w:p w14:paraId="09F15823" w14:textId="15458979" w:rsidR="00FE013C" w:rsidRPr="0093262F" w:rsidRDefault="00FE013C" w:rsidP="004C16FF">
      <w:pPr>
        <w:spacing w:after="120"/>
        <w:ind w:firstLine="480"/>
      </w:pPr>
      <w:r w:rsidRPr="0093262F">
        <w:t xml:space="preserve">This approach provides firm reliability but typically </w:t>
      </w:r>
      <w:r w:rsidR="00580BAE" w:rsidRPr="0093262F">
        <w:t>oversized</w:t>
      </w:r>
      <w:r w:rsidRPr="0093262F">
        <w:t xml:space="preserve"> storage by 30–60% compared to probabilistic or </w:t>
      </w:r>
      <w:r w:rsidR="00580BAE" w:rsidRPr="0093262F">
        <w:t>optimization</w:t>
      </w:r>
      <w:r w:rsidRPr="0093262F">
        <w:t xml:space="preserve"> methods. This is appropriate for mission-critical loads but results in economically suboptimal systems for AI data </w:t>
      </w:r>
      <w:r w:rsidR="00580BAE">
        <w:t>center</w:t>
      </w:r>
      <w:r w:rsidRPr="0093262F">
        <w:t>s, where brief storage is acceptable if tied to workload scheduling (deferring noncritical inference jobs during drought periods).</w:t>
      </w:r>
    </w:p>
    <w:p w14:paraId="0ACEF68F" w14:textId="77777777" w:rsidR="00FE013C" w:rsidRDefault="00FE013C" w:rsidP="004C16FF">
      <w:pPr>
        <w:spacing w:after="120"/>
        <w:ind w:firstLine="480"/>
      </w:pPr>
      <w:r w:rsidRPr="00333CD8">
        <w:t xml:space="preserve">Loss of Load Expectation (LOLE) quantifies the expected number of hours per year when available generation is insufficient to meet demand. Storage sizing via LOLE aims to find minimum </w:t>
      </w:r>
      <m:oMath>
        <m:sSub>
          <m:sSubPr>
            <m:ctrlPr>
              <w:rPr>
                <w:rFonts w:ascii="Cambria Math" w:hAnsi="Cambria Math"/>
              </w:rPr>
            </m:ctrlPr>
          </m:sSubPr>
          <m:e>
            <m:r>
              <w:rPr>
                <w:rFonts w:ascii="Cambria Math" w:hAnsi="Cambria Math"/>
              </w:rPr>
              <m:t>E</m:t>
            </m:r>
          </m:e>
          <m:sub>
            <m:r>
              <m:rPr>
                <m:nor/>
              </m:rPr>
              <m:t>BATT</m:t>
            </m:r>
          </m:sub>
        </m:sSub>
      </m:oMath>
      <w:r w:rsidRPr="00333CD8">
        <w:t xml:space="preserve">such that LOLE ≤ </w:t>
      </w:r>
      <m:oMath>
        <m:sSub>
          <m:sSubPr>
            <m:ctrlPr>
              <w:rPr>
                <w:rFonts w:ascii="Cambria Math" w:hAnsi="Cambria Math"/>
              </w:rPr>
            </m:ctrlPr>
          </m:sSubPr>
          <m:e>
            <m:r>
              <m:rPr>
                <m:nor/>
              </m:rPr>
              <m:t>LOLE</m:t>
            </m:r>
          </m:e>
          <m:sub>
            <m:r>
              <m:rPr>
                <m:nor/>
              </m:rPr>
              <m:t>target</m:t>
            </m:r>
          </m:sub>
        </m:sSub>
      </m:oMath>
      <w:r w:rsidRPr="00333CD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77777777" w:rsidR="00FE013C" w:rsidRPr="00333CD8" w:rsidRDefault="00FE013C" w:rsidP="004C16FF">
            <w:pPr>
              <w:rPr>
                <w:rFonts w:asciiTheme="majorBidi" w:hAnsiTheme="majorBidi" w:cstheme="majorBidi"/>
                <w:color w:val="auto"/>
                <w:szCs w:val="24"/>
                <w:lang w:val="en-CA" w:eastAsia="en-CA"/>
              </w:rPr>
            </w:pPr>
            <m:oMathPara>
              <m:oMath>
                <m:r>
                  <m:rPr>
                    <m:nor/>
                  </m:rPr>
                  <w:rPr>
                    <w:rFonts w:asciiTheme="majorBidi" w:hAnsiTheme="majorBidi" w:cstheme="majorBidi"/>
                  </w:rPr>
                  <m:t>LOLE</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m:rPr>
                        <m:nor/>
                      </m:rPr>
                      <w:rPr>
                        <w:rFonts w:asciiTheme="majorBidi" w:hAnsiTheme="majorBidi" w:cstheme="majorBidi"/>
                      </w:rPr>
                      <m:t>BATT</m:t>
                    </m:r>
                  </m:sub>
                </m:sSub>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1</m:t>
                    </m:r>
                  </m:num>
                  <m:den>
                    <m:r>
                      <m:rPr>
                        <m:sty m:val="p"/>
                      </m:rPr>
                      <w:rPr>
                        <w:rFonts w:ascii="Cambria Math" w:hAnsi="Cambria Math" w:cstheme="majorBidi"/>
                      </w:rPr>
                      <m:t>8760</m:t>
                    </m:r>
                  </m:den>
                </m:f>
                <m:nary>
                  <m:naryPr>
                    <m:chr m:val="∑"/>
                    <m:limLoc m:val="undOvr"/>
                    <m:grow m:val="1"/>
                    <m:ctrlPr>
                      <w:rPr>
                        <w:rFonts w:ascii="Cambria Math" w:hAnsi="Cambria Math" w:cstheme="majorBidi"/>
                      </w:rPr>
                    </m:ctrlPr>
                  </m:naryPr>
                  <m:sub>
                    <m:r>
                      <w:rPr>
                        <w:rFonts w:ascii="Cambria Math" w:hAnsi="Cambria Math" w:cstheme="majorBidi"/>
                      </w:rPr>
                      <m:t>t</m:t>
                    </m:r>
                    <m:r>
                      <m:rPr>
                        <m:sty m:val="p"/>
                      </m:rPr>
                      <w:rPr>
                        <w:rFonts w:ascii="Cambria Math" w:hAnsi="Cambria Math" w:cstheme="majorBidi"/>
                      </w:rPr>
                      <m:t>=1</m:t>
                    </m:r>
                  </m:sub>
                  <m:sup>
                    <m:r>
                      <m:rPr>
                        <m:sty m:val="p"/>
                      </m:rPr>
                      <w:rPr>
                        <w:rFonts w:ascii="Cambria Math" w:hAnsi="Cambria Math" w:cstheme="majorBidi"/>
                      </w:rPr>
                      <m:t>8760</m:t>
                    </m:r>
                  </m:sup>
                  <m:e>
                    <m:r>
                      <m:rPr>
                        <m:scr m:val="double-struck"/>
                        <m:sty m:val="p"/>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avail</m:t>
                        </m:r>
                      </m:sub>
                    </m:sSub>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load</m:t>
                        </m:r>
                      </m:sub>
                    </m:sSub>
                  </m:e>
                </m:d>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1B1DDFEF" w14:textId="77777777" w:rsidR="00FE013C" w:rsidRPr="00171B72" w:rsidRDefault="00FE013C" w:rsidP="004C16FF">
      <w:pPr>
        <w:rPr>
          <w:color w:val="auto"/>
          <w:szCs w:val="24"/>
          <w:lang w:val="en-CA" w:eastAsia="en-CA"/>
        </w:rPr>
      </w:pPr>
      <w:r w:rsidRPr="00171B72">
        <w:rPr>
          <w:color w:val="auto"/>
          <w:szCs w:val="24"/>
          <w:lang w:val="en-CA" w:eastAsia="en-CA"/>
        </w:rPr>
        <w:t>where:</w:t>
      </w:r>
    </w:p>
    <w:p w14:paraId="64249097" w14:textId="77777777" w:rsidR="00FE013C" w:rsidRPr="00171B72" w:rsidRDefault="00000000" w:rsidP="004C16FF">
      <w:pPr>
        <w:pStyle w:val="ListParagraph"/>
        <w:numPr>
          <w:ilvl w:val="0"/>
          <w:numId w:val="14"/>
        </w:numPr>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avail</m:t>
            </m:r>
          </m:sub>
        </m:sSub>
        <m:r>
          <m:rPr>
            <m:sty m:val="p"/>
          </m:rPr>
          <w:rPr>
            <w:rFonts w:ascii="Cambria Math" w:hAnsi="Cambria Math"/>
            <w:color w:val="auto"/>
            <w:szCs w:val="24"/>
            <w:lang w:val="en-CA" w:eastAsia="en-CA"/>
          </w:rPr>
          <m:t>(</m:t>
        </m:r>
        <m:r>
          <w:rPr>
            <w:rFonts w:ascii="Cambria Math" w:hAnsi="Cambria Math"/>
            <w:color w:val="auto"/>
            <w:szCs w:val="24"/>
            <w:lang w:val="en-CA" w:eastAsia="en-CA"/>
          </w:rPr>
          <m:t>t</m:t>
        </m:r>
        <m:r>
          <m:rPr>
            <m:sty m:val="p"/>
          </m:rPr>
          <w:rPr>
            <w:rFonts w:ascii="Cambria Math" w:hAnsi="Cambria Math"/>
            <w:color w:val="auto"/>
            <w:szCs w:val="24"/>
            <w:lang w:val="en-CA" w:eastAsia="en-CA"/>
          </w:rPr>
          <m:t>)</m:t>
        </m:r>
      </m:oMath>
      <w:r w:rsidR="00FE013C" w:rsidRPr="00171B72">
        <w:rPr>
          <w:color w:val="auto"/>
          <w:szCs w:val="24"/>
          <w:lang w:val="en-CA" w:eastAsia="en-CA"/>
        </w:rPr>
        <w:t xml:space="preserve">= available power at hour </w:t>
      </w:r>
      <m:oMath>
        <m:r>
          <w:rPr>
            <w:rFonts w:ascii="Cambria Math" w:hAnsi="Cambria Math"/>
            <w:color w:val="auto"/>
            <w:szCs w:val="24"/>
            <w:lang w:val="en-CA" w:eastAsia="en-CA"/>
          </w:rPr>
          <m:t>t</m:t>
        </m:r>
      </m:oMath>
      <w:r w:rsidR="00FE013C" w:rsidRPr="00171B72">
        <w:rPr>
          <w:color w:val="auto"/>
          <w:szCs w:val="24"/>
          <w:lang w:val="en-CA" w:eastAsia="en-CA"/>
        </w:rPr>
        <w:t xml:space="preserve">(renewable generation + battery discharge + grid) </w:t>
      </w:r>
    </w:p>
    <w:p w14:paraId="69CBD69B" w14:textId="77777777" w:rsidR="00FE013C" w:rsidRPr="00171B72" w:rsidRDefault="00FE013C" w:rsidP="004C16FF">
      <w:pPr>
        <w:pStyle w:val="ListParagraph"/>
        <w:numPr>
          <w:ilvl w:val="0"/>
          <w:numId w:val="14"/>
        </w:numPr>
        <w:rPr>
          <w:color w:val="auto"/>
          <w:szCs w:val="24"/>
          <w:lang w:val="en-CA" w:eastAsia="en-CA"/>
        </w:rPr>
      </w:pPr>
      <m:oMath>
        <m:r>
          <m:rPr>
            <m:scr m:val="double-struck"/>
            <m:sty m:val="p"/>
          </m:rPr>
          <w:rPr>
            <w:rFonts w:ascii="Cambria Math" w:hAnsi="Cambria Math"/>
            <w:color w:val="auto"/>
            <w:szCs w:val="24"/>
            <w:lang w:val="en-CA" w:eastAsia="en-CA"/>
          </w:rPr>
          <m:t>1[⋅]</m:t>
        </m:r>
      </m:oMath>
      <w:r w:rsidRPr="00171B72">
        <w:rPr>
          <w:color w:val="auto"/>
          <w:szCs w:val="24"/>
          <w:lang w:val="en-CA" w:eastAsia="en-CA"/>
        </w:rPr>
        <w:t xml:space="preserve">= indicator function (1 if condition is true, 0 otherwise) </w:t>
      </w:r>
    </w:p>
    <w:p w14:paraId="4BF4EBC6" w14:textId="77777777" w:rsidR="00FE013C" w:rsidRPr="00171B72" w:rsidRDefault="00FE013C" w:rsidP="004C16FF">
      <w:pPr>
        <w:pStyle w:val="ListParagraph"/>
        <w:numPr>
          <w:ilvl w:val="0"/>
          <w:numId w:val="14"/>
        </w:numPr>
        <w:rPr>
          <w:color w:val="auto"/>
          <w:szCs w:val="24"/>
          <w:lang w:val="en-CA" w:eastAsia="en-CA"/>
        </w:rPr>
      </w:pPr>
      <w:r w:rsidRPr="00171B72">
        <w:rPr>
          <w:color w:val="auto"/>
          <w:szCs w:val="24"/>
          <w:lang w:val="en-CA" w:eastAsia="en-CA"/>
        </w:rPr>
        <w:t xml:space="preserve">8760 = hours per year </w:t>
      </w:r>
    </w:p>
    <w:p w14:paraId="0E05E140" w14:textId="77777777" w:rsidR="00FE013C" w:rsidRDefault="00FE013C" w:rsidP="004C16FF">
      <w:pPr>
        <w:spacing w:after="120"/>
        <w:ind w:firstLine="480"/>
      </w:pPr>
      <w:r w:rsidRPr="00333CD8">
        <w:t xml:space="preserve">Iterative Solution: Solve for </w:t>
      </w:r>
      <m:oMath>
        <m:sSub>
          <m:sSubPr>
            <m:ctrlPr>
              <w:rPr>
                <w:rFonts w:ascii="Cambria Math" w:hAnsi="Cambria Math"/>
              </w:rPr>
            </m:ctrlPr>
          </m:sSubPr>
          <m:e>
            <m:r>
              <w:rPr>
                <w:rFonts w:ascii="Cambria Math" w:hAnsi="Cambria Math"/>
              </w:rPr>
              <m:t>E</m:t>
            </m:r>
          </m:e>
          <m:sub>
            <m:r>
              <m:rPr>
                <m:nor/>
              </m:rPr>
              <m:t>BATT</m:t>
            </m:r>
          </m:sub>
        </m:sSub>
      </m:oMath>
      <w:r w:rsidRPr="00333CD8">
        <w:t>using binary search or full time-series simulation over hourly or sub-hourly data (≥8760 hours, preferably multi-year datasets):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C7CC43" w14:textId="77777777" w:rsidTr="00F5352A">
        <w:tc>
          <w:tcPr>
            <w:tcW w:w="421" w:type="dxa"/>
          </w:tcPr>
          <w:p w14:paraId="129F1152" w14:textId="77777777" w:rsidR="00FE013C" w:rsidRDefault="00FE013C" w:rsidP="004C16FF">
            <w:pPr>
              <w:rPr>
                <w:color w:val="auto"/>
                <w:szCs w:val="24"/>
                <w:lang w:val="en-CA" w:eastAsia="en-CA"/>
              </w:rPr>
            </w:pPr>
          </w:p>
        </w:tc>
        <w:tc>
          <w:tcPr>
            <w:tcW w:w="7908" w:type="dxa"/>
          </w:tcPr>
          <w:p w14:paraId="7B682BAF" w14:textId="77777777" w:rsidR="00FE013C" w:rsidRPr="00333CD8" w:rsidRDefault="00000000" w:rsidP="004C16FF">
            <w:pPr>
              <w:rPr>
                <w:rFonts w:asciiTheme="majorBidi" w:hAnsiTheme="majorBidi" w:cstheme="majorBidi"/>
                <w:color w:val="auto"/>
                <w:szCs w:val="24"/>
                <w:lang w:val="en-CA" w:eastAsia="en-CA"/>
              </w:rPr>
            </w:pPr>
            <m:oMathPara>
              <m:oMath>
                <m:sSubSup>
                  <m:sSubSupPr>
                    <m:ctrlPr>
                      <w:rPr>
                        <w:rFonts w:ascii="Cambria Math" w:hAnsi="Cambria Math"/>
                      </w:rPr>
                    </m:ctrlPr>
                  </m:sSubSupPr>
                  <m:e>
                    <m:r>
                      <w:rPr>
                        <w:rFonts w:ascii="Cambria Math" w:hAnsi="Cambria Math"/>
                      </w:rPr>
                      <m:t>E</m:t>
                    </m:r>
                  </m:e>
                  <m:sub>
                    <m:r>
                      <m:rPr>
                        <m:nor/>
                      </m:rPr>
                      <m:t>BATT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E</m:t>
                    </m:r>
                  </m:lim>
                </m:limLow>
                <m:d>
                  <m:dPr>
                    <m:begChr m:val="{"/>
                    <m:endChr m:val="}"/>
                    <m:ctrlPr>
                      <w:rPr>
                        <w:rFonts w:ascii="Cambria Math" w:hAnsi="Cambria Math"/>
                      </w:rPr>
                    </m:ctrlPr>
                  </m:dPr>
                  <m:e>
                    <m:r>
                      <w:rPr>
                        <w:rFonts w:ascii="Cambria Math" w:hAnsi="Cambria Math"/>
                      </w:rPr>
                      <m:t>E</m:t>
                    </m:r>
                    <m:r>
                      <m:rPr>
                        <m:sty m:val="p"/>
                      </m:rPr>
                      <w:rPr>
                        <w:rFonts w:ascii="Cambria Math" w:hAnsi="Cambria Math"/>
                      </w:rPr>
                      <m:t>:</m:t>
                    </m:r>
                    <m:r>
                      <m:rPr>
                        <m:nor/>
                      </m:rPr>
                      <m:t>LOLE</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m:rPr>
                            <m:nor/>
                          </m:rPr>
                          <m:t>LOLE</m:t>
                        </m:r>
                      </m:e>
                      <m:sub>
                        <m:r>
                          <m:rPr>
                            <m:nor/>
                          </m:rPr>
                          <m:t>target</m:t>
                        </m:r>
                      </m:sub>
                    </m:sSub>
                  </m:e>
                </m:d>
              </m:oMath>
            </m:oMathPara>
          </w:p>
        </w:tc>
        <w:tc>
          <w:tcPr>
            <w:tcW w:w="505" w:type="dxa"/>
            <w:vAlign w:val="center"/>
          </w:tcPr>
          <w:p w14:paraId="6660E1EA" w14:textId="77777777" w:rsidR="00FE013C" w:rsidRDefault="00FE013C" w:rsidP="004C16FF">
            <w:pPr>
              <w:rPr>
                <w:color w:val="auto"/>
                <w:szCs w:val="24"/>
                <w:lang w:val="en-CA" w:eastAsia="en-CA"/>
              </w:rPr>
            </w:pPr>
            <w:r>
              <w:rPr>
                <w:color w:val="auto"/>
                <w:szCs w:val="24"/>
                <w:lang w:val="en-CA" w:eastAsia="en-CA"/>
              </w:rPr>
              <w:t>(3)</w:t>
            </w:r>
          </w:p>
        </w:tc>
      </w:tr>
    </w:tbl>
    <w:p w14:paraId="64F402A6" w14:textId="77777777" w:rsidR="00FE013C" w:rsidRPr="00432446" w:rsidRDefault="00FE013C" w:rsidP="004C16FF">
      <w:pPr>
        <w:spacing w:after="120"/>
        <w:ind w:firstLine="480"/>
      </w:pPr>
      <w:r w:rsidRPr="00333CD8">
        <w:t>Compared to deterministic sizing (720 MWh), the LOLE-based design reduces storage requirements by more than 90% while maintaining probabilistic reliability constraints. This reduction is achieved by allowing rare, bounded shortfall events rather than designing for worst-case continuous drought conditions, making the approach more suitable for grid-connected systems with workload flexibility.</w:t>
      </w:r>
    </w:p>
    <w:p w14:paraId="0016921F" w14:textId="5E63051E"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w:t>
      </w:r>
      <w:r w:rsidRPr="006701FD">
        <w:lastRenderedPageBreak/>
        <w:t>throughout the project life cycle) while satisfying the reliability, carbon emission, and capacity 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Pr="002B3E4F">
        <w:t xml:space="preserve">Table 3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77777777" w:rsidR="00FE013C" w:rsidRDefault="00FE013C" w:rsidP="004C16FF">
      <w:pPr>
        <w:pStyle w:val="Caption"/>
        <w:keepNext/>
      </w:pPr>
      <w:r>
        <w:t xml:space="preserve">Table </w:t>
      </w:r>
      <w:fldSimple w:instr=" SEQ Table \* ARABIC ">
        <w:r>
          <w:rPr>
            <w:noProof/>
          </w:rPr>
          <w:t>3</w:t>
        </w:r>
      </w:fldSimple>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839"/>
        <w:gridCol w:w="1316"/>
        <w:gridCol w:w="1101"/>
        <w:gridCol w:w="1201"/>
        <w:gridCol w:w="1498"/>
        <w:gridCol w:w="2021"/>
        <w:gridCol w:w="1776"/>
      </w:tblGrid>
      <w:tr w:rsidR="00FE013C" w:rsidRPr="00AF3016"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Duration</w:t>
            </w:r>
          </w:p>
        </w:tc>
        <w:tc>
          <w:tcPr>
            <w:tcW w:w="0" w:type="auto"/>
            <w:hideMark/>
          </w:tcPr>
          <w:p w14:paraId="7F16C723"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Technology</w:t>
            </w:r>
          </w:p>
        </w:tc>
        <w:tc>
          <w:tcPr>
            <w:tcW w:w="0" w:type="auto"/>
            <w:hideMark/>
          </w:tcPr>
          <w:p w14:paraId="27E28FD7"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Cost Range (2025, $/kWh)</w:t>
            </w:r>
          </w:p>
        </w:tc>
        <w:tc>
          <w:tcPr>
            <w:tcW w:w="0" w:type="auto"/>
            <w:hideMark/>
          </w:tcPr>
          <w:p w14:paraId="39B4E3FA"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Efficiency</w:t>
            </w:r>
          </w:p>
        </w:tc>
        <w:tc>
          <w:tcPr>
            <w:tcW w:w="0" w:type="auto"/>
            <w:hideMark/>
          </w:tcPr>
          <w:p w14:paraId="6B9AC27D"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Sizing Method</w:t>
            </w:r>
          </w:p>
        </w:tc>
        <w:tc>
          <w:tcPr>
            <w:tcW w:w="0" w:type="auto"/>
            <w:hideMark/>
          </w:tcPr>
          <w:p w14:paraId="2B2418FE"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Best Application (Data Center Context)</w:t>
            </w:r>
          </w:p>
        </w:tc>
        <w:tc>
          <w:tcPr>
            <w:tcW w:w="0" w:type="auto"/>
            <w:hideMark/>
          </w:tcPr>
          <w:p w14:paraId="22DF8B30" w14:textId="77777777" w:rsidR="00FE013C" w:rsidRPr="001B7822" w:rsidRDefault="00FE013C" w:rsidP="004C16FF">
            <w:pPr>
              <w:pStyle w:val="TableBody"/>
              <w:jc w:val="both"/>
              <w:rPr>
                <w:b/>
                <w:bCs/>
                <w:color w:val="auto"/>
                <w:sz w:val="16"/>
                <w:szCs w:val="16"/>
                <w:lang w:val="en-US"/>
              </w:rPr>
            </w:pPr>
            <w:r w:rsidRPr="001B7822">
              <w:rPr>
                <w:b/>
                <w:bCs/>
                <w:color w:val="auto"/>
                <w:sz w:val="16"/>
                <w:szCs w:val="16"/>
                <w:lang w:val="en-US"/>
              </w:rPr>
              <w:t>Key Limitation</w:t>
            </w:r>
          </w:p>
        </w:tc>
      </w:tr>
      <w:tr w:rsidR="00FE013C" w:rsidRPr="00AF3016" w14:paraId="1DEB16FB" w14:textId="77777777" w:rsidTr="00AF3016">
        <w:tc>
          <w:tcPr>
            <w:tcW w:w="0" w:type="auto"/>
            <w:hideMark/>
          </w:tcPr>
          <w:p w14:paraId="0692AC1B" w14:textId="77777777" w:rsidR="00FE013C" w:rsidRPr="00A75D7F" w:rsidRDefault="00FE013C" w:rsidP="004C16FF">
            <w:pPr>
              <w:pStyle w:val="TableBody"/>
              <w:jc w:val="both"/>
              <w:rPr>
                <w:b/>
                <w:bCs/>
                <w:color w:val="auto"/>
                <w:sz w:val="16"/>
                <w:szCs w:val="16"/>
                <w:lang w:val="en-US"/>
              </w:rPr>
            </w:pPr>
            <w:r w:rsidRPr="00A75D7F">
              <w:rPr>
                <w:b/>
                <w:bCs/>
                <w:color w:val="auto"/>
                <w:sz w:val="16"/>
                <w:szCs w:val="16"/>
                <w:lang w:val="en-US"/>
              </w:rPr>
              <w:t>2–4 h</w:t>
            </w:r>
          </w:p>
        </w:tc>
        <w:tc>
          <w:tcPr>
            <w:tcW w:w="0" w:type="auto"/>
            <w:hideMark/>
          </w:tcPr>
          <w:p w14:paraId="43E13032"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Li-ion LFP</w:t>
            </w:r>
          </w:p>
        </w:tc>
        <w:tc>
          <w:tcPr>
            <w:tcW w:w="0" w:type="auto"/>
            <w:hideMark/>
          </w:tcPr>
          <w:p w14:paraId="3102C455"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$75–$130 [17, 101, 102]</w:t>
            </w:r>
          </w:p>
        </w:tc>
        <w:tc>
          <w:tcPr>
            <w:tcW w:w="0" w:type="auto"/>
            <w:hideMark/>
          </w:tcPr>
          <w:p w14:paraId="5232C65F"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85–95%</w:t>
            </w:r>
            <w:r>
              <w:rPr>
                <w:color w:val="auto"/>
                <w:sz w:val="16"/>
                <w:szCs w:val="16"/>
              </w:rPr>
              <w:fldChar w:fldCharType="begin"/>
            </w:r>
            <w:r>
              <w:rPr>
                <w:color w:val="auto"/>
                <w:sz w:val="16"/>
                <w:szCs w:val="16"/>
                <w:lang w:val="en-US"/>
              </w:rPr>
              <w:instrText xml:space="preserve"> ADDIN ZOTERO_ITEM CSL_CITATION {"citationID":"bO4ebft7","properties":{"unsorted":false,"formattedCitation":"[45]","plainCitation":"[45]","noteIndex":0},"citationItems":[{"id":1982,"uris":["http://zotero.org/users/9870935/items/GEX9B6EX"],"itemData":{"id":1982,"type":"article-journal","container-title":"Future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Pr>
                <w:color w:val="auto"/>
                <w:sz w:val="16"/>
                <w:szCs w:val="16"/>
              </w:rPr>
              <w:fldChar w:fldCharType="separate"/>
            </w:r>
            <w:r w:rsidRPr="00323D3C">
              <w:rPr>
                <w:sz w:val="16"/>
                <w:lang w:val="en-US"/>
              </w:rPr>
              <w:t>[45]</w:t>
            </w:r>
            <w:r>
              <w:rPr>
                <w:color w:val="auto"/>
                <w:sz w:val="16"/>
                <w:szCs w:val="16"/>
              </w:rPr>
              <w:fldChar w:fldCharType="end"/>
            </w:r>
            <w:r w:rsidRPr="00D31E21">
              <w:rPr>
                <w:color w:val="auto"/>
                <w:sz w:val="16"/>
                <w:szCs w:val="16"/>
                <w:lang w:val="en-US"/>
              </w:rPr>
              <w:t xml:space="preserve"> </w:t>
            </w:r>
          </w:p>
        </w:tc>
        <w:tc>
          <w:tcPr>
            <w:tcW w:w="0" w:type="auto"/>
            <w:hideMark/>
          </w:tcPr>
          <w:p w14:paraId="00F10E05"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Deterministic</w:t>
            </w:r>
            <w:r>
              <w:rPr>
                <w:color w:val="auto"/>
                <w:sz w:val="16"/>
                <w:szCs w:val="16"/>
                <w:lang w:val="en-US"/>
              </w:rPr>
              <w:t xml:space="preserve"> </w:t>
            </w:r>
            <w:r w:rsidRPr="00D31E21">
              <w:rPr>
                <w:color w:val="auto"/>
                <w:sz w:val="16"/>
                <w:szCs w:val="16"/>
                <w:lang w:val="en-US"/>
              </w:rPr>
              <w:t xml:space="preserve">or Probabilistic </w:t>
            </w:r>
            <w:r>
              <w:rPr>
                <w:color w:val="auto"/>
                <w:sz w:val="16"/>
                <w:szCs w:val="16"/>
              </w:rPr>
              <w:fldChar w:fldCharType="begin"/>
            </w:r>
            <w:r>
              <w:rPr>
                <w:color w:val="auto"/>
                <w:sz w:val="16"/>
                <w:szCs w:val="16"/>
                <w:lang w:val="en-US"/>
              </w:rPr>
              <w:instrText xml:space="preserve"> ADDIN ZOTERO_ITEM CSL_CITATION {"citationID":"0PMpbWjw","properties":{"unsorted":false,"formattedCitation":"[51], [71]","plainCitation":"[51], [71]","noteIndex":0},"citationItems":[{"id":1989,"uris":["http://zotero.org/users/9870935/items/3AV4CVJ6"],"itemData":{"id":1989,"type":"article-journal","container-title":"Journal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color w:val="auto"/>
                <w:sz w:val="16"/>
                <w:szCs w:val="16"/>
              </w:rPr>
              <w:fldChar w:fldCharType="separate"/>
            </w:r>
            <w:r w:rsidRPr="00584BC7">
              <w:rPr>
                <w:sz w:val="16"/>
                <w:lang w:val="en-US"/>
              </w:rPr>
              <w:t>[51], [71]</w:t>
            </w:r>
            <w:r>
              <w:rPr>
                <w:color w:val="auto"/>
                <w:sz w:val="16"/>
                <w:szCs w:val="16"/>
              </w:rPr>
              <w:fldChar w:fldCharType="end"/>
            </w:r>
          </w:p>
        </w:tc>
        <w:tc>
          <w:tcPr>
            <w:tcW w:w="0" w:type="auto"/>
            <w:hideMark/>
          </w:tcPr>
          <w:p w14:paraId="3AB391AF"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Intra-day peak shaving; frequency regulation during solar ramp events; UPS replacement </w:t>
            </w:r>
            <w:r>
              <w:rPr>
                <w:color w:val="auto"/>
                <w:sz w:val="16"/>
                <w:szCs w:val="16"/>
              </w:rPr>
              <w:fldChar w:fldCharType="begin"/>
            </w:r>
            <w:r>
              <w:rPr>
                <w:color w:val="auto"/>
                <w:sz w:val="16"/>
                <w:szCs w:val="16"/>
                <w:lang w:val="en-US"/>
              </w:rPr>
              <w:instrText xml:space="preserve"> ADDIN ZOTERO_ITEM CSL_CITATION {"citationID":"FmJd4TSi","properties":{"unsorted":false,"formattedCitation":"[108], [109]","plainCitation":"[108], [109]","noteIndex":0},"citationItems":[{"id":2119,"uris":["http://zotero.org/users/9870935/items/HCPVHF7M"],"itemData":{"id":2119,"type":"article-journal","container-title":"Energy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color w:val="auto"/>
                <w:sz w:val="16"/>
                <w:szCs w:val="16"/>
              </w:rPr>
              <w:fldChar w:fldCharType="separate"/>
            </w:r>
            <w:r w:rsidRPr="00584BC7">
              <w:rPr>
                <w:sz w:val="16"/>
                <w:lang w:val="en-US"/>
              </w:rPr>
              <w:t>[108], [109]</w:t>
            </w:r>
            <w:r>
              <w:rPr>
                <w:color w:val="auto"/>
                <w:sz w:val="16"/>
                <w:szCs w:val="16"/>
              </w:rPr>
              <w:fldChar w:fldCharType="end"/>
            </w:r>
          </w:p>
        </w:tc>
        <w:tc>
          <w:tcPr>
            <w:tcW w:w="0" w:type="auto"/>
            <w:hideMark/>
          </w:tcPr>
          <w:p w14:paraId="15E8C570"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Insufficient for multi-day cloudiness; requires grid backup or workload deferral </w:t>
            </w:r>
            <w:r>
              <w:rPr>
                <w:color w:val="auto"/>
                <w:sz w:val="16"/>
                <w:szCs w:val="16"/>
              </w:rPr>
              <w:fldChar w:fldCharType="begin"/>
            </w:r>
            <w:r>
              <w:rPr>
                <w:color w:val="auto"/>
                <w:sz w:val="16"/>
                <w:szCs w:val="16"/>
                <w:lang w:val="en-US"/>
              </w:rPr>
              <w:instrText xml:space="preserve"> ADDIN ZOTERO_ITEM CSL_CITATION {"citationID":"kbgWUIaN","properties":{"unsorted":false,"formattedCitation":"[71], [110]","plainCitation":"[71], [110]","noteIndex":0},"citationItems":[{"id":2021,"uris":["http://zotero.org/users/9870935/items/AHEUC4DF"],"itemData":{"id":2021,"type":"article","abstract":"Artificial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Pr>
                <w:color w:val="auto"/>
                <w:sz w:val="16"/>
                <w:szCs w:val="16"/>
              </w:rPr>
              <w:fldChar w:fldCharType="separate"/>
            </w:r>
            <w:r w:rsidRPr="00584BC7">
              <w:rPr>
                <w:sz w:val="16"/>
                <w:lang w:val="en-US"/>
              </w:rPr>
              <w:t>[71], [110]</w:t>
            </w:r>
            <w:r>
              <w:rPr>
                <w:color w:val="auto"/>
                <w:sz w:val="16"/>
                <w:szCs w:val="16"/>
              </w:rPr>
              <w:fldChar w:fldCharType="end"/>
            </w:r>
          </w:p>
        </w:tc>
      </w:tr>
      <w:tr w:rsidR="00FE013C" w:rsidRPr="00AF3016" w14:paraId="39BDEAB9" w14:textId="77777777" w:rsidTr="00AF3016">
        <w:tc>
          <w:tcPr>
            <w:tcW w:w="0" w:type="auto"/>
            <w:hideMark/>
          </w:tcPr>
          <w:p w14:paraId="5EDD64FD" w14:textId="77777777" w:rsidR="00FE013C" w:rsidRPr="00A75D7F" w:rsidRDefault="00FE013C" w:rsidP="004C16FF">
            <w:pPr>
              <w:pStyle w:val="TableBody"/>
              <w:jc w:val="both"/>
              <w:rPr>
                <w:b/>
                <w:bCs/>
                <w:color w:val="auto"/>
                <w:sz w:val="16"/>
                <w:szCs w:val="16"/>
                <w:lang w:val="en-US"/>
              </w:rPr>
            </w:pPr>
            <w:r w:rsidRPr="00A75D7F">
              <w:rPr>
                <w:b/>
                <w:bCs/>
                <w:color w:val="auto"/>
                <w:sz w:val="16"/>
                <w:szCs w:val="16"/>
                <w:lang w:val="en-US"/>
              </w:rPr>
              <w:t>4–8 h</w:t>
            </w:r>
          </w:p>
        </w:tc>
        <w:tc>
          <w:tcPr>
            <w:tcW w:w="0" w:type="auto"/>
            <w:hideMark/>
          </w:tcPr>
          <w:p w14:paraId="6E781486"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Li-ion LFP</w:t>
            </w:r>
          </w:p>
        </w:tc>
        <w:tc>
          <w:tcPr>
            <w:tcW w:w="0" w:type="auto"/>
            <w:hideMark/>
          </w:tcPr>
          <w:p w14:paraId="0FB857FC"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w:t>
            </w:r>
            <w:r w:rsidRPr="00F14A82">
              <w:rPr>
                <w:color w:val="auto"/>
                <w:sz w:val="16"/>
                <w:szCs w:val="16"/>
                <w:lang w:val="en-US"/>
              </w:rPr>
              <w:t xml:space="preserve">110–$160 </w:t>
            </w:r>
            <w:r w:rsidRPr="00F14A82">
              <w:rPr>
                <w:color w:val="auto"/>
                <w:sz w:val="16"/>
                <w:szCs w:val="16"/>
              </w:rPr>
              <w:fldChar w:fldCharType="begin"/>
            </w:r>
            <w:r w:rsidRPr="00F14A82">
              <w:rPr>
                <w:color w:val="auto"/>
                <w:sz w:val="16"/>
                <w:szCs w:val="16"/>
                <w:lang w:val="en-US"/>
              </w:rPr>
              <w:instrText xml:space="preserve"> ADDIN ZOTERO_ITEM CSL_CITATION {"citationID":"WDLbfKJt","properties":{"unsorted":false,"formattedCitation":"[58], [96]","plainCitation":"[58], [96]","dontUpdate":true,"noteIndex":0},"citationItems":[{"id":1999,"uris":["http://zotero.org/users/9870935/items/KFJTNUYK"],"itemData":{"id":1999,"type":"post-weblog","title":"Corporate Clean Energy Buying Fell in 2025 After Nearly a Decade of Growth","author":[{"family":"BloombergNEF","given":""}]}},{"id":2048,"uris":["http://zotero.org/users/9870935/items/2IV8CPDJ"],"itemData":{"id":2048,"type":"post-weblog","title":"National Renewable Energy Laboratory (NREL). (2026)","URL":"https://atb.nrel.gov/","author":[{"family":"NREL","given":""}]}}],"schema":"https://github.com/citation-style-language/schema/raw/master/csl-citation.json"} </w:instrText>
            </w:r>
            <w:r w:rsidRPr="00F14A82">
              <w:rPr>
                <w:color w:val="auto"/>
                <w:sz w:val="16"/>
                <w:szCs w:val="16"/>
              </w:rPr>
              <w:fldChar w:fldCharType="separate"/>
            </w:r>
            <w:r w:rsidRPr="00F14A82">
              <w:rPr>
                <w:sz w:val="16"/>
                <w:szCs w:val="16"/>
                <w:lang w:val="en-US"/>
              </w:rPr>
              <w:t xml:space="preserve">[58], </w:t>
            </w:r>
            <w:r w:rsidRPr="00F14A82">
              <w:rPr>
                <w:sz w:val="16"/>
                <w:szCs w:val="16"/>
              </w:rPr>
              <w:fldChar w:fldCharType="begin"/>
            </w:r>
            <w:r w:rsidRPr="00F14A82">
              <w:rPr>
                <w:sz w:val="16"/>
                <w:szCs w:val="16"/>
              </w:rPr>
              <w:instrText xml:space="preserve"> ADDIN ZOTERO_ITEM CSL_CITATION {"citationID":"OtdvXwQb","properties":{"unsorted":false,"formattedCitation":"[86]","plainCitation":"[86]","noteIndex":0},"citationItems":[{"id":2049,"uris":["http://zotero.org/users/9870935/items/HTQQE34D"],"itemData":{"id":2049,"type":"post-weblog","title":"National Renewable Energy Laboratory (NREL)","URL":"https://atb.nrel.gov/","author":[{"family":"NREL","given":""}]}}],"schema":"https://github.com/citation-style-language/schema/raw/master/csl-citation.json"} </w:instrText>
            </w:r>
            <w:r w:rsidRPr="00F14A82">
              <w:rPr>
                <w:sz w:val="16"/>
                <w:szCs w:val="16"/>
              </w:rPr>
              <w:fldChar w:fldCharType="separate"/>
            </w:r>
            <w:r w:rsidRPr="00F14A82">
              <w:rPr>
                <w:sz w:val="16"/>
                <w:szCs w:val="16"/>
              </w:rPr>
              <w:t>[86]</w:t>
            </w:r>
            <w:r w:rsidRPr="00F14A82">
              <w:rPr>
                <w:sz w:val="16"/>
                <w:szCs w:val="16"/>
              </w:rPr>
              <w:fldChar w:fldCharType="end"/>
            </w:r>
            <w:r w:rsidRPr="00F14A82">
              <w:rPr>
                <w:color w:val="auto"/>
                <w:sz w:val="16"/>
                <w:szCs w:val="16"/>
              </w:rPr>
              <w:fldChar w:fldCharType="end"/>
            </w:r>
          </w:p>
        </w:tc>
        <w:tc>
          <w:tcPr>
            <w:tcW w:w="0" w:type="auto"/>
            <w:hideMark/>
          </w:tcPr>
          <w:p w14:paraId="2E142967"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85–95% </w:t>
            </w:r>
            <w:r>
              <w:rPr>
                <w:color w:val="auto"/>
                <w:sz w:val="16"/>
                <w:szCs w:val="16"/>
              </w:rPr>
              <w:fldChar w:fldCharType="begin"/>
            </w:r>
            <w:r>
              <w:rPr>
                <w:color w:val="auto"/>
                <w:sz w:val="16"/>
                <w:szCs w:val="16"/>
                <w:lang w:val="en-US"/>
              </w:rPr>
              <w:instrText xml:space="preserve"> ADDIN ZOTERO_ITEM CSL_CITATION {"citationID":"78MVeDMD","properties":{"unsorted":false,"formattedCitation":"[45]","plainCitation":"[45]","noteIndex":0},"citationItems":[{"id":1982,"uris":["http://zotero.org/users/9870935/items/GEX9B6EX"],"itemData":{"id":1982,"type":"article-journal","container-title":"Future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Pr>
                <w:color w:val="auto"/>
                <w:sz w:val="16"/>
                <w:szCs w:val="16"/>
              </w:rPr>
              <w:fldChar w:fldCharType="separate"/>
            </w:r>
            <w:r w:rsidRPr="00323D3C">
              <w:rPr>
                <w:sz w:val="16"/>
                <w:lang w:val="en-US"/>
              </w:rPr>
              <w:t>[45]</w:t>
            </w:r>
            <w:r>
              <w:rPr>
                <w:color w:val="auto"/>
                <w:sz w:val="16"/>
                <w:szCs w:val="16"/>
              </w:rPr>
              <w:fldChar w:fldCharType="end"/>
            </w:r>
          </w:p>
        </w:tc>
        <w:tc>
          <w:tcPr>
            <w:tcW w:w="0" w:type="auto"/>
            <w:hideMark/>
          </w:tcPr>
          <w:p w14:paraId="56851980"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Probabilistic (LOLE targeting 99.9%–99.99%) </w:t>
            </w:r>
            <w:r>
              <w:rPr>
                <w:color w:val="auto"/>
                <w:sz w:val="16"/>
                <w:szCs w:val="16"/>
              </w:rPr>
              <w:fldChar w:fldCharType="begin"/>
            </w:r>
            <w:r>
              <w:rPr>
                <w:color w:val="auto"/>
                <w:sz w:val="16"/>
                <w:szCs w:val="16"/>
                <w:lang w:val="en-US"/>
              </w:rPr>
              <w:instrText xml:space="preserve"> ADDIN ZOTERO_ITEM CSL_CITATION {"citationID":"AtlXoIhz","properties":{"unsorted":false,"formattedCitation":"[51], [71]","plainCitation":"[51], [71]","noteIndex":0},"citationItems":[{"id":1989,"uris":["http://zotero.org/users/9870935/items/3AV4CVJ6"],"itemData":{"id":1989,"type":"article-journal","container-title":"Journal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color w:val="auto"/>
                <w:sz w:val="16"/>
                <w:szCs w:val="16"/>
              </w:rPr>
              <w:fldChar w:fldCharType="separate"/>
            </w:r>
            <w:r w:rsidRPr="00584BC7">
              <w:rPr>
                <w:sz w:val="16"/>
                <w:lang w:val="en-US"/>
              </w:rPr>
              <w:t>[51], [71]</w:t>
            </w:r>
            <w:r>
              <w:rPr>
                <w:color w:val="auto"/>
                <w:sz w:val="16"/>
                <w:szCs w:val="16"/>
              </w:rPr>
              <w:fldChar w:fldCharType="end"/>
            </w:r>
          </w:p>
        </w:tc>
        <w:tc>
          <w:tcPr>
            <w:tcW w:w="0" w:type="auto"/>
            <w:hideMark/>
          </w:tcPr>
          <w:p w14:paraId="4B302F79"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Overnight solar-to-solar shifting; seasonal solar dip management; cost reduction vs deterministic design </w:t>
            </w:r>
            <w:r>
              <w:rPr>
                <w:color w:val="auto"/>
                <w:sz w:val="16"/>
                <w:szCs w:val="16"/>
              </w:rPr>
              <w:fldChar w:fldCharType="begin"/>
            </w:r>
            <w:r>
              <w:rPr>
                <w:color w:val="auto"/>
                <w:sz w:val="16"/>
                <w:szCs w:val="16"/>
                <w:lang w:val="en-US"/>
              </w:rPr>
              <w:instrText xml:space="preserve"> ADDIN ZOTERO_ITEM CSL_CITATION {"citationID":"m5ijxbq1","properties":{"unsorted":false,"formattedCitation":"[108], [111]","plainCitation":"[108], [111]","noteIndex":0},"citationItems":[{"id":2119,"uris":["http://zotero.org/users/9870935/items/HCPVHF7M"],"itemData":{"id":2119,"type":"article-journal","container-title":"Energy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Pr>
                <w:color w:val="auto"/>
                <w:sz w:val="16"/>
                <w:szCs w:val="16"/>
              </w:rPr>
              <w:fldChar w:fldCharType="separate"/>
            </w:r>
            <w:r w:rsidRPr="00584BC7">
              <w:rPr>
                <w:sz w:val="16"/>
                <w:lang w:val="en-US"/>
              </w:rPr>
              <w:t>[108], [111]</w:t>
            </w:r>
            <w:r>
              <w:rPr>
                <w:color w:val="auto"/>
                <w:sz w:val="16"/>
                <w:szCs w:val="16"/>
              </w:rPr>
              <w:fldChar w:fldCharType="end"/>
            </w:r>
          </w:p>
        </w:tc>
        <w:tc>
          <w:tcPr>
            <w:tcW w:w="0" w:type="auto"/>
            <w:hideMark/>
          </w:tcPr>
          <w:p w14:paraId="129A04FC"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Efficiency loss (5–15%); degradation limits 20–25 yr economic life </w:t>
            </w:r>
            <w:r>
              <w:rPr>
                <w:color w:val="auto"/>
                <w:sz w:val="16"/>
                <w:szCs w:val="16"/>
              </w:rPr>
              <w:fldChar w:fldCharType="begin"/>
            </w:r>
            <w:r>
              <w:rPr>
                <w:color w:val="auto"/>
                <w:sz w:val="16"/>
                <w:szCs w:val="16"/>
                <w:lang w:val="en-US"/>
              </w:rPr>
              <w:instrText xml:space="preserve"> ADDIN ZOTERO_ITEM CSL_CITATION {"citationID":"cLfqQeVF","properties":{"unsorted":false,"formattedCitation":"[50], [111]","plainCitation":"[50], [111]","noteIndex":0},"citationItems":[{"id":1988,"uris":["http://zotero.org/users/9870935/items/9LH8YF5V"],"itemData":{"id":1988,"type":"article-journal","container-title":"Future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Pr>
                <w:color w:val="auto"/>
                <w:sz w:val="16"/>
                <w:szCs w:val="16"/>
              </w:rPr>
              <w:fldChar w:fldCharType="separate"/>
            </w:r>
            <w:r w:rsidRPr="00584BC7">
              <w:rPr>
                <w:sz w:val="16"/>
                <w:lang w:val="en-US"/>
              </w:rPr>
              <w:t>[50], [111]</w:t>
            </w:r>
            <w:r>
              <w:rPr>
                <w:color w:val="auto"/>
                <w:sz w:val="16"/>
                <w:szCs w:val="16"/>
              </w:rPr>
              <w:fldChar w:fldCharType="end"/>
            </w:r>
          </w:p>
        </w:tc>
      </w:tr>
      <w:tr w:rsidR="00FE013C" w:rsidRPr="00AF3016" w14:paraId="0A6DEBE1" w14:textId="77777777" w:rsidTr="00AF3016">
        <w:tc>
          <w:tcPr>
            <w:tcW w:w="0" w:type="auto"/>
            <w:hideMark/>
          </w:tcPr>
          <w:p w14:paraId="45E2975E" w14:textId="77777777" w:rsidR="00FE013C" w:rsidRPr="00A75D7F" w:rsidRDefault="00FE013C" w:rsidP="004C16FF">
            <w:pPr>
              <w:pStyle w:val="TableBody"/>
              <w:jc w:val="both"/>
              <w:rPr>
                <w:b/>
                <w:bCs/>
                <w:color w:val="auto"/>
                <w:sz w:val="16"/>
                <w:szCs w:val="16"/>
                <w:lang w:val="en-US"/>
              </w:rPr>
            </w:pPr>
            <w:r w:rsidRPr="00A75D7F">
              <w:rPr>
                <w:b/>
                <w:bCs/>
                <w:color w:val="auto"/>
                <w:sz w:val="16"/>
                <w:szCs w:val="16"/>
                <w:lang w:val="en-US"/>
              </w:rPr>
              <w:t>8–24 h</w:t>
            </w:r>
          </w:p>
        </w:tc>
        <w:tc>
          <w:tcPr>
            <w:tcW w:w="0" w:type="auto"/>
            <w:hideMark/>
          </w:tcPr>
          <w:p w14:paraId="20D5DB06"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Flow Battery (VRFB) or Li-ion extended DoD</w:t>
            </w:r>
          </w:p>
        </w:tc>
        <w:tc>
          <w:tcPr>
            <w:tcW w:w="0" w:type="auto"/>
            <w:hideMark/>
          </w:tcPr>
          <w:p w14:paraId="474041E8"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$180–$350 </w:t>
            </w:r>
            <w:r>
              <w:rPr>
                <w:color w:val="auto"/>
                <w:sz w:val="16"/>
                <w:szCs w:val="16"/>
              </w:rPr>
              <w:fldChar w:fldCharType="begin"/>
            </w:r>
            <w:r>
              <w:rPr>
                <w:color w:val="auto"/>
                <w:sz w:val="16"/>
                <w:szCs w:val="16"/>
                <w:lang w:val="en-US"/>
              </w:rPr>
              <w:instrText xml:space="preserve"> ADDIN ZOTERO_ITEM CSL_CITATION {"citationID":"kGRd6P2t","properties":{"unsorted":false,"formattedCitation":"[47], [86]","plainCitation":"[47], [86]","noteIndex":0},"citationItems":[{"id":1984,"uris":["http://zotero.org/users/9870935/items/M6SVEFZJ"],"itemData":{"id":1984,"type":"article-journal","container-title":"Next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Pr>
                <w:color w:val="auto"/>
                <w:sz w:val="16"/>
                <w:szCs w:val="16"/>
              </w:rPr>
              <w:fldChar w:fldCharType="separate"/>
            </w:r>
            <w:r w:rsidRPr="00302B88">
              <w:rPr>
                <w:sz w:val="16"/>
                <w:lang w:val="en-US"/>
              </w:rPr>
              <w:t>[47], [86]</w:t>
            </w:r>
            <w:r>
              <w:rPr>
                <w:color w:val="auto"/>
                <w:sz w:val="16"/>
                <w:szCs w:val="16"/>
              </w:rPr>
              <w:fldChar w:fldCharType="end"/>
            </w:r>
          </w:p>
        </w:tc>
        <w:tc>
          <w:tcPr>
            <w:tcW w:w="0" w:type="auto"/>
            <w:hideMark/>
          </w:tcPr>
          <w:p w14:paraId="072D3B20"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65–80% </w:t>
            </w:r>
            <w:r w:rsidRPr="00323D3C">
              <w:rPr>
                <w:sz w:val="16"/>
                <w:lang w:val="en-US"/>
              </w:rPr>
              <w:t>[47]</w:t>
            </w:r>
          </w:p>
        </w:tc>
        <w:tc>
          <w:tcPr>
            <w:tcW w:w="0" w:type="auto"/>
            <w:hideMark/>
          </w:tcPr>
          <w:p w14:paraId="6D41E5EE"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Optimization (MILP with reliability constraint) </w:t>
            </w:r>
            <w:r>
              <w:rPr>
                <w:color w:val="auto"/>
                <w:sz w:val="16"/>
                <w:szCs w:val="16"/>
              </w:rPr>
              <w:fldChar w:fldCharType="begin"/>
            </w:r>
            <w:r>
              <w:rPr>
                <w:color w:val="auto"/>
                <w:sz w:val="16"/>
                <w:szCs w:val="16"/>
                <w:lang w:val="en-US"/>
              </w:rPr>
              <w:instrText xml:space="preserve"> ADDIN ZOTERO_ITEM CSL_CITATION {"citationID":"RhyYQ92V","properties":{"unsorted":false,"formattedCitation":"[50], [71]","plainCitation":"[50], [71]","noteIndex":0},"citationItems":[{"id":1988,"uris":["http://zotero.org/users/9870935/items/9LH8YF5V"],"itemData":{"id":1988,"type":"article-journal","container-title":"Future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color w:val="auto"/>
                <w:sz w:val="16"/>
                <w:szCs w:val="16"/>
              </w:rPr>
              <w:fldChar w:fldCharType="separate"/>
            </w:r>
            <w:r w:rsidRPr="00584BC7">
              <w:rPr>
                <w:sz w:val="16"/>
                <w:lang w:val="en-US"/>
              </w:rPr>
              <w:t>[50], [71]</w:t>
            </w:r>
            <w:r>
              <w:rPr>
                <w:color w:val="auto"/>
                <w:sz w:val="16"/>
                <w:szCs w:val="16"/>
              </w:rPr>
              <w:fldChar w:fldCharType="end"/>
            </w:r>
          </w:p>
        </w:tc>
        <w:tc>
          <w:tcPr>
            <w:tcW w:w="0" w:type="auto"/>
            <w:hideMark/>
          </w:tcPr>
          <w:p w14:paraId="141EDB37"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Multi-day firming; weak-grid support; MPC-integrated dispatch </w:t>
            </w:r>
            <w:r>
              <w:rPr>
                <w:color w:val="auto"/>
                <w:sz w:val="16"/>
                <w:szCs w:val="16"/>
              </w:rPr>
              <w:fldChar w:fldCharType="begin"/>
            </w:r>
            <w:r>
              <w:rPr>
                <w:color w:val="auto"/>
                <w:sz w:val="16"/>
                <w:szCs w:val="16"/>
                <w:lang w:val="en-US"/>
              </w:rPr>
              <w:instrText xml:space="preserve"> ADDIN ZOTERO_ITEM CSL_CITATION {"citationID":"c2qz5NNw","properties":{"unsorted":false,"formattedCitation":"[108], [112], [113]","plainCitation":"[108], [112], [113]","noteIndex":0},"citationItems":[{"id":2119,"uris":["http://zotero.org/users/9870935/items/HCPVHF7M"],"itemData":{"id":2119,"type":"article-journal","container-title":"Energy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Pr>
                <w:color w:val="auto"/>
                <w:sz w:val="16"/>
                <w:szCs w:val="16"/>
              </w:rPr>
              <w:fldChar w:fldCharType="separate"/>
            </w:r>
            <w:r w:rsidRPr="00584BC7">
              <w:rPr>
                <w:sz w:val="16"/>
                <w:lang w:val="en-US"/>
              </w:rPr>
              <w:t>[108], [112], [113]</w:t>
            </w:r>
            <w:r>
              <w:rPr>
                <w:color w:val="auto"/>
                <w:sz w:val="16"/>
                <w:szCs w:val="16"/>
              </w:rPr>
              <w:fldChar w:fldCharType="end"/>
            </w:r>
          </w:p>
        </w:tc>
        <w:tc>
          <w:tcPr>
            <w:tcW w:w="0" w:type="auto"/>
            <w:hideMark/>
          </w:tcPr>
          <w:p w14:paraId="7ECC9B47"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Higher </w:t>
            </w:r>
            <w:proofErr w:type="spellStart"/>
            <w:r w:rsidRPr="00D31E21">
              <w:rPr>
                <w:color w:val="auto"/>
                <w:sz w:val="16"/>
                <w:szCs w:val="16"/>
                <w:lang w:val="en-US"/>
              </w:rPr>
              <w:t>CapEx</w:t>
            </w:r>
            <w:proofErr w:type="spellEnd"/>
            <w:r w:rsidRPr="00D31E21">
              <w:rPr>
                <w:color w:val="auto"/>
                <w:sz w:val="16"/>
                <w:szCs w:val="16"/>
                <w:lang w:val="en-US"/>
              </w:rPr>
              <w:t xml:space="preserve">; VRFB still emerging at scale </w:t>
            </w:r>
            <w:r w:rsidRPr="00323D3C">
              <w:rPr>
                <w:sz w:val="16"/>
                <w:lang w:val="en-US"/>
              </w:rPr>
              <w:t>[47]</w:t>
            </w:r>
          </w:p>
        </w:tc>
      </w:tr>
      <w:tr w:rsidR="00FE013C" w:rsidRPr="00AF3016" w14:paraId="13657801" w14:textId="77777777" w:rsidTr="00AF3016">
        <w:tc>
          <w:tcPr>
            <w:tcW w:w="0" w:type="auto"/>
            <w:hideMark/>
          </w:tcPr>
          <w:p w14:paraId="35FEDE98" w14:textId="77777777" w:rsidR="00FE013C" w:rsidRPr="00A75D7F" w:rsidRDefault="00FE013C" w:rsidP="004C16FF">
            <w:pPr>
              <w:pStyle w:val="TableBody"/>
              <w:jc w:val="both"/>
              <w:rPr>
                <w:b/>
                <w:bCs/>
                <w:color w:val="auto"/>
                <w:sz w:val="16"/>
                <w:szCs w:val="16"/>
                <w:lang w:val="en-US"/>
              </w:rPr>
            </w:pPr>
            <w:r w:rsidRPr="00A75D7F">
              <w:rPr>
                <w:b/>
                <w:bCs/>
                <w:color w:val="auto"/>
                <w:sz w:val="16"/>
                <w:szCs w:val="16"/>
                <w:lang w:val="en-US"/>
              </w:rPr>
              <w:t>24–100 h</w:t>
            </w:r>
          </w:p>
        </w:tc>
        <w:tc>
          <w:tcPr>
            <w:tcW w:w="0" w:type="auto"/>
            <w:hideMark/>
          </w:tcPr>
          <w:p w14:paraId="0DAE4E7B"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Iron-Air / CAES</w:t>
            </w:r>
          </w:p>
        </w:tc>
        <w:tc>
          <w:tcPr>
            <w:tcW w:w="0" w:type="auto"/>
            <w:hideMark/>
          </w:tcPr>
          <w:p w14:paraId="73056F51"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$20–$30 (Fe-Air), $50–$100 (CAES) </w:t>
            </w:r>
            <w:r>
              <w:rPr>
                <w:color w:val="auto"/>
                <w:sz w:val="16"/>
                <w:szCs w:val="16"/>
              </w:rPr>
              <w:fldChar w:fldCharType="begin"/>
            </w:r>
            <w:r>
              <w:rPr>
                <w:color w:val="auto"/>
                <w:sz w:val="16"/>
                <w:szCs w:val="16"/>
                <w:lang w:val="en-US"/>
              </w:rPr>
              <w:instrText xml:space="preserve"> ADDIN ZOTERO_ITEM CSL_CITATION {"citationID":"1u4tqan1","properties":{"unsorted":false,"formattedCitation":"[48], [114]","plainCitation":"[48], [114]","noteIndex":0},"citationItems":[{"id":1985,"uris":["http://zotero.org/users/9870935/items/58URKSK2"],"itemData":{"id":1985,"type":"book","abstract":"This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Pr>
                <w:color w:val="auto"/>
                <w:sz w:val="16"/>
                <w:szCs w:val="16"/>
              </w:rPr>
              <w:fldChar w:fldCharType="separate"/>
            </w:r>
            <w:r w:rsidRPr="00584BC7">
              <w:rPr>
                <w:sz w:val="16"/>
                <w:lang w:val="en-US"/>
              </w:rPr>
              <w:t>[48], [114]</w:t>
            </w:r>
            <w:r>
              <w:rPr>
                <w:color w:val="auto"/>
                <w:sz w:val="16"/>
                <w:szCs w:val="16"/>
              </w:rPr>
              <w:fldChar w:fldCharType="end"/>
            </w:r>
          </w:p>
        </w:tc>
        <w:tc>
          <w:tcPr>
            <w:tcW w:w="0" w:type="auto"/>
            <w:hideMark/>
          </w:tcPr>
          <w:p w14:paraId="328C5DD4"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40–70% </w:t>
            </w:r>
            <w:r>
              <w:rPr>
                <w:color w:val="auto"/>
                <w:sz w:val="16"/>
                <w:szCs w:val="16"/>
              </w:rPr>
              <w:fldChar w:fldCharType="begin"/>
            </w:r>
            <w:r>
              <w:rPr>
                <w:color w:val="auto"/>
                <w:sz w:val="16"/>
                <w:szCs w:val="16"/>
                <w:lang w:val="en-US"/>
              </w:rPr>
              <w:instrText xml:space="preserve"> ADDIN ZOTERO_ITEM CSL_CITATION {"citationID":"uEb1ccwo","properties":{"unsorted":false,"formattedCitation":"[48], [114]","plainCitation":"[48], [114]","noteIndex":0},"citationItems":[{"id":1985,"uris":["http://zotero.org/users/9870935/items/58URKSK2"],"itemData":{"id":1985,"type":"book","abstract":"This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Pr>
                <w:color w:val="auto"/>
                <w:sz w:val="16"/>
                <w:szCs w:val="16"/>
              </w:rPr>
              <w:fldChar w:fldCharType="separate"/>
            </w:r>
            <w:r w:rsidRPr="00584BC7">
              <w:rPr>
                <w:sz w:val="16"/>
                <w:lang w:val="en-US"/>
              </w:rPr>
              <w:t>[48], [114]</w:t>
            </w:r>
            <w:r>
              <w:rPr>
                <w:color w:val="auto"/>
                <w:sz w:val="16"/>
                <w:szCs w:val="16"/>
              </w:rPr>
              <w:fldChar w:fldCharType="end"/>
            </w:r>
          </w:p>
        </w:tc>
        <w:tc>
          <w:tcPr>
            <w:tcW w:w="0" w:type="auto"/>
            <w:hideMark/>
          </w:tcPr>
          <w:p w14:paraId="4DF85AF7"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Optimization with seasonal reliability constraints </w:t>
            </w:r>
            <w:r>
              <w:rPr>
                <w:color w:val="auto"/>
                <w:sz w:val="16"/>
                <w:szCs w:val="16"/>
              </w:rPr>
              <w:fldChar w:fldCharType="begin"/>
            </w:r>
            <w:r>
              <w:rPr>
                <w:color w:val="auto"/>
                <w:sz w:val="16"/>
                <w:szCs w:val="16"/>
                <w:lang w:val="en-US"/>
              </w:rPr>
              <w:instrText xml:space="preserve"> ADDIN ZOTERO_ITEM CSL_CITATION {"citationID":"1raQF4FR","properties":{"unsorted":false,"formattedCitation":"[50], [71]","plainCitation":"[50], [71]","noteIndex":0},"citationItems":[{"id":1988,"uris":["http://zotero.org/users/9870935/items/9LH8YF5V"],"itemData":{"id":1988,"type":"article-journal","container-title":"Future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color w:val="auto"/>
                <w:sz w:val="16"/>
                <w:szCs w:val="16"/>
              </w:rPr>
              <w:fldChar w:fldCharType="separate"/>
            </w:r>
            <w:r w:rsidRPr="00584BC7">
              <w:rPr>
                <w:sz w:val="16"/>
                <w:lang w:val="en-US"/>
              </w:rPr>
              <w:t>[50], [71]</w:t>
            </w:r>
            <w:r>
              <w:rPr>
                <w:color w:val="auto"/>
                <w:sz w:val="16"/>
                <w:szCs w:val="16"/>
              </w:rPr>
              <w:fldChar w:fldCharType="end"/>
            </w:r>
          </w:p>
        </w:tc>
        <w:tc>
          <w:tcPr>
            <w:tcW w:w="0" w:type="auto"/>
            <w:hideMark/>
          </w:tcPr>
          <w:p w14:paraId="4BC6A479"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Multi-day drought resilience; renewable firming in high variability climates </w:t>
            </w:r>
            <w:r>
              <w:rPr>
                <w:color w:val="auto"/>
                <w:sz w:val="16"/>
                <w:szCs w:val="16"/>
              </w:rPr>
              <w:fldChar w:fldCharType="begin"/>
            </w:r>
            <w:r>
              <w:rPr>
                <w:color w:val="auto"/>
                <w:sz w:val="16"/>
                <w:szCs w:val="16"/>
                <w:lang w:val="en-US"/>
              </w:rPr>
              <w:instrText xml:space="preserve"> ADDIN ZOTERO_ITEM CSL_CITATION {"citationID":"8mVrVFgP","properties":{"unsorted":false,"formattedCitation":"[97], [99]","plainCitation":"[97], [99]","noteIndex":0},"citationItems":[{"id":2063,"uris":["http://zotero.org/users/9870935/items/47PEXHYC"],"itemData":{"id":2063,"type":"article-journal","container-title":"Communications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Pr>
                <w:color w:val="auto"/>
                <w:sz w:val="16"/>
                <w:szCs w:val="16"/>
              </w:rPr>
              <w:fldChar w:fldCharType="separate"/>
            </w:r>
            <w:r w:rsidRPr="00584BC7">
              <w:rPr>
                <w:sz w:val="16"/>
                <w:lang w:val="en-US"/>
              </w:rPr>
              <w:t>[97], [99]</w:t>
            </w:r>
            <w:r>
              <w:rPr>
                <w:color w:val="auto"/>
                <w:sz w:val="16"/>
                <w:szCs w:val="16"/>
              </w:rPr>
              <w:fldChar w:fldCharType="end"/>
            </w:r>
          </w:p>
        </w:tc>
        <w:tc>
          <w:tcPr>
            <w:tcW w:w="0" w:type="auto"/>
            <w:hideMark/>
          </w:tcPr>
          <w:p w14:paraId="1EA0A1A2"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Low round-trip efficiency; limited commercial deployment </w:t>
            </w:r>
            <w:r>
              <w:rPr>
                <w:color w:val="auto"/>
                <w:sz w:val="16"/>
                <w:szCs w:val="16"/>
              </w:rPr>
              <w:fldChar w:fldCharType="begin"/>
            </w:r>
            <w:r>
              <w:rPr>
                <w:color w:val="auto"/>
                <w:sz w:val="16"/>
                <w:szCs w:val="16"/>
                <w:lang w:val="en-US"/>
              </w:rPr>
              <w:instrText xml:space="preserve"> ADDIN ZOTERO_ITEM CSL_CITATION {"citationID":"t4hhsG9p","properties":{"unsorted":false,"formattedCitation":"[48], [71]","plainCitation":"[48], [71]","noteIndex":0},"citationItems":[{"id":1985,"uris":["http://zotero.org/users/9870935/items/58URKSK2"],"itemData":{"id":1985,"type":"book","abstract":"This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color w:val="auto"/>
                <w:sz w:val="16"/>
                <w:szCs w:val="16"/>
              </w:rPr>
              <w:fldChar w:fldCharType="separate"/>
            </w:r>
            <w:r w:rsidRPr="00584BC7">
              <w:rPr>
                <w:sz w:val="16"/>
                <w:lang w:val="en-US"/>
              </w:rPr>
              <w:t>[48], [71]</w:t>
            </w:r>
            <w:r>
              <w:rPr>
                <w:color w:val="auto"/>
                <w:sz w:val="16"/>
                <w:szCs w:val="16"/>
              </w:rPr>
              <w:fldChar w:fldCharType="end"/>
            </w:r>
          </w:p>
        </w:tc>
      </w:tr>
      <w:tr w:rsidR="00FE013C" w:rsidRPr="00AF3016" w14:paraId="2F482E53" w14:textId="77777777" w:rsidTr="00AF3016">
        <w:tc>
          <w:tcPr>
            <w:tcW w:w="0" w:type="auto"/>
            <w:hideMark/>
          </w:tcPr>
          <w:p w14:paraId="36B98206" w14:textId="77777777" w:rsidR="00FE013C" w:rsidRPr="00A75D7F" w:rsidRDefault="00FE013C" w:rsidP="004C16FF">
            <w:pPr>
              <w:pStyle w:val="TableBody"/>
              <w:jc w:val="both"/>
              <w:rPr>
                <w:b/>
                <w:bCs/>
                <w:color w:val="auto"/>
                <w:sz w:val="16"/>
                <w:szCs w:val="16"/>
                <w:lang w:val="en-US"/>
              </w:rPr>
            </w:pPr>
            <w:r w:rsidRPr="00A75D7F">
              <w:rPr>
                <w:b/>
                <w:bCs/>
                <w:color w:val="auto"/>
                <w:sz w:val="16"/>
                <w:szCs w:val="16"/>
                <w:lang w:val="en-US"/>
              </w:rPr>
              <w:t>100+ h</w:t>
            </w:r>
          </w:p>
        </w:tc>
        <w:tc>
          <w:tcPr>
            <w:tcW w:w="0" w:type="auto"/>
            <w:hideMark/>
          </w:tcPr>
          <w:p w14:paraId="05BDFAD9"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Green H₂ / Seasonal thermal storage</w:t>
            </w:r>
          </w:p>
        </w:tc>
        <w:tc>
          <w:tcPr>
            <w:tcW w:w="0" w:type="auto"/>
            <w:hideMark/>
          </w:tcPr>
          <w:p w14:paraId="644D0210"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$130–$220 </w:t>
            </w:r>
            <w:r>
              <w:rPr>
                <w:color w:val="auto"/>
                <w:sz w:val="16"/>
                <w:szCs w:val="16"/>
              </w:rPr>
              <w:fldChar w:fldCharType="begin"/>
            </w:r>
            <w:r>
              <w:rPr>
                <w:color w:val="auto"/>
                <w:sz w:val="16"/>
                <w:szCs w:val="16"/>
                <w:lang w:val="en-US"/>
              </w:rPr>
              <w:instrText xml:space="preserve"> ADDIN ZOTERO_ITEM CSL_CITATION {"citationID":"fVrMURwJ","properties":{"unsorted":false,"formattedCitation":"[49], [106]","plainCitation":"[49], [106]","noteIndex":0},"citationItems":[{"id":1987,"uris":["http://zotero.org/users/9870935/items/2TYM8STM"],"itemData":{"id":1987,"type":"article-journal","abstract":"The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Pr>
                <w:color w:val="auto"/>
                <w:sz w:val="16"/>
                <w:szCs w:val="16"/>
              </w:rPr>
              <w:fldChar w:fldCharType="separate"/>
            </w:r>
            <w:r w:rsidRPr="00584BC7">
              <w:rPr>
                <w:sz w:val="16"/>
                <w:lang w:val="en-US"/>
              </w:rPr>
              <w:t>[49], [106]</w:t>
            </w:r>
            <w:r>
              <w:rPr>
                <w:color w:val="auto"/>
                <w:sz w:val="16"/>
                <w:szCs w:val="16"/>
              </w:rPr>
              <w:fldChar w:fldCharType="end"/>
            </w:r>
          </w:p>
        </w:tc>
        <w:tc>
          <w:tcPr>
            <w:tcW w:w="0" w:type="auto"/>
            <w:hideMark/>
          </w:tcPr>
          <w:p w14:paraId="79551898"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30–41% (H₂), 60–80% (thermal) </w:t>
            </w:r>
            <w:r>
              <w:rPr>
                <w:color w:val="auto"/>
                <w:sz w:val="16"/>
                <w:szCs w:val="16"/>
              </w:rPr>
              <w:fldChar w:fldCharType="begin"/>
            </w:r>
            <w:r>
              <w:rPr>
                <w:color w:val="auto"/>
                <w:sz w:val="16"/>
                <w:szCs w:val="16"/>
                <w:lang w:val="en-US"/>
              </w:rPr>
              <w:instrText xml:space="preserve"> ADDIN ZOTERO_ITEM CSL_CITATION {"citationID":"f34Vou48","properties":{"unsorted":false,"formattedCitation":"[49], [106]","plainCitation":"[49], [106]","noteIndex":0},"citationItems":[{"id":1987,"uris":["http://zotero.org/users/9870935/items/2TYM8STM"],"itemData":{"id":1987,"type":"article-journal","abstract":"The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Pr>
                <w:color w:val="auto"/>
                <w:sz w:val="16"/>
                <w:szCs w:val="16"/>
              </w:rPr>
              <w:fldChar w:fldCharType="separate"/>
            </w:r>
            <w:r w:rsidRPr="00584BC7">
              <w:rPr>
                <w:sz w:val="16"/>
                <w:lang w:val="en-US"/>
              </w:rPr>
              <w:t>[49], [106]</w:t>
            </w:r>
            <w:r>
              <w:rPr>
                <w:color w:val="auto"/>
                <w:sz w:val="16"/>
                <w:szCs w:val="16"/>
              </w:rPr>
              <w:fldChar w:fldCharType="end"/>
            </w:r>
          </w:p>
        </w:tc>
        <w:tc>
          <w:tcPr>
            <w:tcW w:w="0" w:type="auto"/>
            <w:hideMark/>
          </w:tcPr>
          <w:p w14:paraId="509D77ED"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Optimization with inter-seasonal constraints </w:t>
            </w:r>
            <w:r>
              <w:rPr>
                <w:color w:val="auto"/>
                <w:sz w:val="16"/>
                <w:szCs w:val="16"/>
              </w:rPr>
              <w:fldChar w:fldCharType="begin"/>
            </w:r>
            <w:r>
              <w:rPr>
                <w:color w:val="auto"/>
                <w:sz w:val="16"/>
                <w:szCs w:val="16"/>
                <w:lang w:val="en-US"/>
              </w:rPr>
              <w:instrText xml:space="preserve"> ADDIN ZOTERO_ITEM CSL_CITATION {"citationID":"NFfiyigM","properties":{"unsorted":false,"formattedCitation":"[50], [115]","plainCitation":"[50], [115]","noteIndex":0},"citationItems":[{"id":1988,"uris":["http://zotero.org/users/9870935/items/9LH8YF5V"],"itemData":{"id":1988,"type":"article-journal","container-title":"Future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Pr>
                <w:color w:val="auto"/>
                <w:sz w:val="16"/>
                <w:szCs w:val="16"/>
              </w:rPr>
              <w:fldChar w:fldCharType="separate"/>
            </w:r>
            <w:r w:rsidRPr="00584BC7">
              <w:rPr>
                <w:sz w:val="16"/>
                <w:lang w:val="en-US"/>
              </w:rPr>
              <w:t>[50], [115]</w:t>
            </w:r>
            <w:r>
              <w:rPr>
                <w:color w:val="auto"/>
                <w:sz w:val="16"/>
                <w:szCs w:val="16"/>
              </w:rPr>
              <w:fldChar w:fldCharType="end"/>
            </w:r>
          </w:p>
        </w:tc>
        <w:tc>
          <w:tcPr>
            <w:tcW w:w="0" w:type="auto"/>
            <w:hideMark/>
          </w:tcPr>
          <w:p w14:paraId="440EB0EA"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Seasonal shifting; long-duration backup for extreme events; grid independence support </w:t>
            </w:r>
            <w:r>
              <w:rPr>
                <w:color w:val="auto"/>
                <w:sz w:val="16"/>
                <w:szCs w:val="16"/>
              </w:rPr>
              <w:fldChar w:fldCharType="begin"/>
            </w:r>
            <w:r>
              <w:rPr>
                <w:color w:val="auto"/>
                <w:sz w:val="16"/>
                <w:szCs w:val="16"/>
                <w:lang w:val="en-US"/>
              </w:rPr>
              <w:instrText xml:space="preserve"> ADDIN ZOTERO_ITEM CSL_CITATION {"citationID":"pVfEVGCr","properties":{"unsorted":false,"formattedCitation":"[116], [117]","plainCitation":"[116], [117]","noteIndex":0},"citationItems":[{"id":2141,"uris":["http://zotero.org/users/9870935/items/G3GVLHVX"],"itemData":{"id":2141,"type":"article-journal","container-title":"Renewable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Pr>
                <w:color w:val="auto"/>
                <w:sz w:val="16"/>
                <w:szCs w:val="16"/>
              </w:rPr>
              <w:fldChar w:fldCharType="separate"/>
            </w:r>
            <w:r w:rsidRPr="00584BC7">
              <w:rPr>
                <w:sz w:val="16"/>
                <w:lang w:val="en-US"/>
              </w:rPr>
              <w:t>[116], [117]</w:t>
            </w:r>
            <w:r>
              <w:rPr>
                <w:color w:val="auto"/>
                <w:sz w:val="16"/>
                <w:szCs w:val="16"/>
              </w:rPr>
              <w:fldChar w:fldCharType="end"/>
            </w:r>
          </w:p>
        </w:tc>
        <w:tc>
          <w:tcPr>
            <w:tcW w:w="0" w:type="auto"/>
            <w:hideMark/>
          </w:tcPr>
          <w:p w14:paraId="02A5D77B" w14:textId="77777777" w:rsidR="00FE013C" w:rsidRPr="00D31E21" w:rsidRDefault="00FE013C" w:rsidP="004C16FF">
            <w:pPr>
              <w:pStyle w:val="TableBody"/>
              <w:jc w:val="both"/>
              <w:rPr>
                <w:color w:val="auto"/>
                <w:sz w:val="16"/>
                <w:szCs w:val="16"/>
                <w:lang w:val="en-US"/>
              </w:rPr>
            </w:pPr>
            <w:r w:rsidRPr="00D31E21">
              <w:rPr>
                <w:color w:val="auto"/>
                <w:sz w:val="16"/>
                <w:szCs w:val="16"/>
                <w:lang w:val="en-US"/>
              </w:rPr>
              <w:t xml:space="preserve">High losses; weak economic maturity; infrastructure dependency </w:t>
            </w:r>
            <w:r>
              <w:rPr>
                <w:color w:val="auto"/>
                <w:sz w:val="16"/>
                <w:szCs w:val="16"/>
              </w:rPr>
              <w:fldChar w:fldCharType="begin"/>
            </w:r>
            <w:r>
              <w:rPr>
                <w:color w:val="auto"/>
                <w:sz w:val="16"/>
                <w:szCs w:val="16"/>
                <w:lang w:val="en-US"/>
              </w:rPr>
              <w:instrText xml:space="preserve"> ADDIN ZOTERO_ITEM CSL_CITATION {"citationID":"QpAKC3k6","properties":{"unsorted":false,"formattedCitation":"[49], [116]","plainCitation":"[49], [116]","noteIndex":0},"citationItems":[{"id":1987,"uris":["http://zotero.org/users/9870935/items/2TYM8STM"],"itemData":{"id":1987,"type":"article-journal","abstract":"The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Pr>
                <w:color w:val="auto"/>
                <w:sz w:val="16"/>
                <w:szCs w:val="16"/>
              </w:rPr>
              <w:fldChar w:fldCharType="separate"/>
            </w:r>
            <w:r w:rsidRPr="00584BC7">
              <w:rPr>
                <w:sz w:val="16"/>
                <w:lang w:val="en-US"/>
              </w:rPr>
              <w:t>[49], [116]</w:t>
            </w:r>
            <w:r>
              <w:rPr>
                <w:color w:val="auto"/>
                <w:sz w:val="16"/>
                <w:szCs w:val="16"/>
              </w:rPr>
              <w:fldChar w:fldCharType="end"/>
            </w:r>
          </w:p>
        </w:tc>
      </w:tr>
    </w:tbl>
    <w:p w14:paraId="7F25F92C" w14:textId="77777777" w:rsidR="00FE013C" w:rsidRPr="00AF3016" w:rsidRDefault="00FE013C" w:rsidP="004C16FF">
      <w:pPr>
        <w:spacing w:after="120"/>
        <w:ind w:firstLine="480"/>
        <w:rPr>
          <w:lang w:val="en-CA"/>
        </w:rPr>
      </w:pPr>
    </w:p>
    <w:p w14:paraId="6ED507B7" w14:textId="219AF602"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77777777" w:rsidR="00FE013C" w:rsidRPr="00225E6D" w:rsidRDefault="00000000" w:rsidP="004C16FF">
            <w:pPr>
              <w:rPr>
                <w:rFonts w:asciiTheme="majorBidi" w:hAnsiTheme="majorBidi" w:cstheme="majorBidi"/>
                <w:color w:val="auto"/>
                <w:sz w:val="22"/>
                <w:szCs w:val="22"/>
                <w:lang w:val="en-CA" w:eastAsia="en-CA"/>
              </w:rPr>
            </w:pPr>
            <m:oMathPara>
              <m:oMath>
                <m:limLow>
                  <m:limLowPr>
                    <m:ctrlPr>
                      <w:rPr>
                        <w:rFonts w:ascii="Cambria Math" w:hAnsi="Cambria Math"/>
                        <w:color w:val="auto"/>
                        <w:sz w:val="22"/>
                        <w:szCs w:val="22"/>
                        <w:lang w:val="en-CA" w:eastAsia="en-CA"/>
                      </w:rPr>
                    </m:ctrlPr>
                  </m:limLowPr>
                  <m:e>
                    <m:r>
                      <m:rPr>
                        <m:sty m:val="p"/>
                      </m:rPr>
                      <w:rPr>
                        <w:rFonts w:ascii="Cambria Math" w:hAnsi="Cambria Math"/>
                        <w:color w:val="auto"/>
                        <w:sz w:val="22"/>
                        <w:szCs w:val="22"/>
                        <w:lang w:val="en-CA" w:eastAsia="en-CA"/>
                      </w:rPr>
                      <m:t>min</m:t>
                    </m:r>
                    <m:r>
                      <w:rPr>
                        <w:rFonts w:ascii="Cambria Math" w:hAnsi="Cambria Math"/>
                        <w:color w:val="auto"/>
                        <w:sz w:val="22"/>
                        <w:szCs w:val="22"/>
                        <w:lang w:val="en-CA" w:eastAsia="en-CA"/>
                      </w:rPr>
                      <m:t>⁡</m:t>
                    </m:r>
                  </m:e>
                  <m:lim>
                    <m:eqArr>
                      <m:eqArrPr>
                        <m:ctrlPr>
                          <w:rPr>
                            <w:rFonts w:ascii="Cambria Math" w:hAnsi="Cambria Math"/>
                            <w:color w:val="auto"/>
                            <w:sz w:val="22"/>
                            <w:szCs w:val="22"/>
                            <w:lang w:val="en-CA" w:eastAsia="en-CA"/>
                          </w:rPr>
                        </m:ctrlPr>
                      </m:eqArrPr>
                      <m:e>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E</m:t>
                            </m:r>
                          </m:e>
                          <m:sub>
                            <m:r>
                              <m:rPr>
                                <m:nor/>
                              </m:rPr>
                              <w:rPr>
                                <w:color w:val="auto"/>
                                <w:sz w:val="22"/>
                                <w:szCs w:val="22"/>
                                <w:lang w:val="en-CA" w:eastAsia="en-CA"/>
                              </w:rPr>
                              <m:t>BATT</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P</m:t>
                            </m:r>
                          </m:e>
                          <m:sub>
                            <m:r>
                              <m:rPr>
                                <m:nor/>
                              </m:rPr>
                              <w:rPr>
                                <w:color w:val="auto"/>
                                <w:sz w:val="22"/>
                                <w:szCs w:val="22"/>
                                <w:lang w:val="en-CA" w:eastAsia="en-CA"/>
                              </w:rPr>
                              <m:t>PV</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P</m:t>
                            </m:r>
                          </m:e>
                          <m:sub>
                            <m:r>
                              <m:rPr>
                                <m:nor/>
                              </m:rPr>
                              <w:rPr>
                                <w:color w:val="auto"/>
                                <w:sz w:val="22"/>
                                <w:szCs w:val="22"/>
                                <w:lang w:val="en-CA" w:eastAsia="en-CA"/>
                              </w:rPr>
                              <m:t>wind</m:t>
                            </m:r>
                          </m:sub>
                        </m:sSub>
                        <m:r>
                          <w:rPr>
                            <w:rFonts w:ascii="Cambria Math" w:hAnsi="Cambria Math"/>
                            <w:color w:val="auto"/>
                            <w:sz w:val="22"/>
                            <w:szCs w:val="22"/>
                            <w:lang w:val="en-CA" w:eastAsia="en-CA"/>
                          </w:rPr>
                          <m:t>,</m:t>
                        </m:r>
                      </m:e>
                      <m:e>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P</m:t>
                            </m:r>
                          </m:e>
                          <m:sub>
                            <m:r>
                              <m:rPr>
                                <m:nor/>
                              </m:rPr>
                              <w:rPr>
                                <w:color w:val="auto"/>
                                <w:sz w:val="22"/>
                                <w:szCs w:val="22"/>
                                <w:lang w:val="en-CA" w:eastAsia="en-CA"/>
                              </w:rPr>
                              <m:t>grid</m:t>
                            </m:r>
                          </m:sub>
                        </m:sSub>
                        <m:r>
                          <w:rPr>
                            <w:rFonts w:ascii="Cambria Math" w:hAnsi="Cambria Math"/>
                            <w:color w:val="auto"/>
                            <w:sz w:val="22"/>
                            <w:szCs w:val="22"/>
                            <w:lang w:val="en-CA" w:eastAsia="en-CA"/>
                          </w:rPr>
                          <m:t>,</m:t>
                        </m:r>
                        <m:r>
                          <m:rPr>
                            <m:sty m:val="b"/>
                          </m:rPr>
                          <w:rPr>
                            <w:rFonts w:ascii="Cambria Math" w:hAnsi="Cambria Math"/>
                            <w:color w:val="auto"/>
                            <w:sz w:val="22"/>
                            <w:szCs w:val="22"/>
                            <w:lang w:val="en-CA" w:eastAsia="en-CA"/>
                          </w:rPr>
                          <m:t>s</m:t>
                        </m:r>
                        <m:r>
                          <w:rPr>
                            <w:rFonts w:ascii="Cambria Math" w:hAnsi="Cambria Math"/>
                            <w:color w:val="auto"/>
                            <w:sz w:val="22"/>
                            <w:szCs w:val="22"/>
                            <w:lang w:val="en-CA" w:eastAsia="en-CA"/>
                          </w:rPr>
                          <m:t>(t)</m:t>
                        </m:r>
                      </m:e>
                    </m:eqArr>
                  </m:lim>
                </m:limLow>
                <m:d>
                  <m:dPr>
                    <m:begChr m:val="["/>
                    <m:endChr m:val="]"/>
                    <m:ctrlPr>
                      <w:rPr>
                        <w:rFonts w:ascii="Cambria Math" w:hAnsi="Cambria Math"/>
                        <w:color w:val="auto"/>
                        <w:sz w:val="22"/>
                        <w:szCs w:val="22"/>
                        <w:lang w:val="en-CA" w:eastAsia="en-CA"/>
                      </w:rPr>
                    </m:ctrlPr>
                  </m:dPr>
                  <m:e>
                    <m:nary>
                      <m:naryPr>
                        <m:chr m:val="∑"/>
                        <m:limLoc m:val="undOvr"/>
                        <m:grow m:val="1"/>
                        <m:supHide m:val="1"/>
                        <m:ctrlPr>
                          <w:rPr>
                            <w:rFonts w:ascii="Cambria Math" w:hAnsi="Cambria Math"/>
                            <w:color w:val="auto"/>
                            <w:sz w:val="22"/>
                            <w:szCs w:val="22"/>
                            <w:lang w:val="en-CA" w:eastAsia="en-CA"/>
                          </w:rPr>
                        </m:ctrlPr>
                      </m:naryPr>
                      <m:sub>
                        <m:r>
                          <w:rPr>
                            <w:rFonts w:ascii="Cambria Math" w:hAnsi="Cambria Math"/>
                            <w:color w:val="auto"/>
                            <w:sz w:val="22"/>
                            <w:szCs w:val="22"/>
                            <w:lang w:val="en-CA" w:eastAsia="en-CA"/>
                          </w:rPr>
                          <m:t>t</m:t>
                        </m:r>
                      </m:sub>
                      <m:sup/>
                      <m:e>
                        <m:d>
                          <m:dPr>
                            <m:ctrlPr>
                              <w:rPr>
                                <w:rFonts w:ascii="Cambria Math" w:hAnsi="Cambria Math"/>
                                <w:color w:val="auto"/>
                                <w:sz w:val="22"/>
                                <w:szCs w:val="22"/>
                                <w:lang w:val="en-CA" w:eastAsia="en-CA"/>
                              </w:rPr>
                            </m:ctrlPr>
                          </m:dPr>
                          <m:e>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C</m:t>
                                </m:r>
                              </m:e>
                              <m:sub>
                                <m:r>
                                  <m:rPr>
                                    <m:nor/>
                                  </m:rPr>
                                  <w:rPr>
                                    <w:color w:val="auto"/>
                                    <w:sz w:val="22"/>
                                    <w:szCs w:val="22"/>
                                    <w:lang w:val="en-CA" w:eastAsia="en-CA"/>
                                  </w:rPr>
                                  <m:t>op</m:t>
                                </m:r>
                              </m:sub>
                            </m:sSub>
                            <m:r>
                              <w:rPr>
                                <w:rFonts w:ascii="Cambria Math" w:hAnsi="Cambria Math"/>
                                <w:color w:val="auto"/>
                                <w:sz w:val="22"/>
                                <w:szCs w:val="22"/>
                                <w:lang w:val="en-CA" w:eastAsia="en-CA"/>
                              </w:rPr>
                              <m:t>(t)+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C</m:t>
                                </m:r>
                              </m:e>
                              <m:sub>
                                <m:r>
                                  <m:rPr>
                                    <m:nor/>
                                  </m:rPr>
                                  <w:rPr>
                                    <w:color w:val="auto"/>
                                    <w:sz w:val="22"/>
                                    <w:szCs w:val="22"/>
                                    <w:lang w:val="en-CA" w:eastAsia="en-CA"/>
                                  </w:rPr>
                                  <m:t>deg</m:t>
                                </m:r>
                              </m:sub>
                            </m:sSub>
                            <m:r>
                              <w:rPr>
                                <w:rFonts w:ascii="Cambria Math" w:hAnsi="Cambria Math"/>
                                <w:color w:val="auto"/>
                                <w:sz w:val="22"/>
                                <w:szCs w:val="22"/>
                                <w:lang w:val="en-CA" w:eastAsia="en-CA"/>
                              </w:rPr>
                              <m:t>(t)</m:t>
                            </m:r>
                          </m:e>
                        </m:d>
                      </m:e>
                    </m:nary>
                    <m:r>
                      <m:rPr>
                        <m:sty m:val="p"/>
                      </m:rPr>
                      <w:rPr>
                        <w:rFonts w:ascii="Cambria Math" w:hAnsi="Cambria Math"/>
                        <w:color w:val="auto"/>
                        <w:sz w:val="22"/>
                        <w:szCs w:val="22"/>
                        <w:lang w:val="en-CA" w:eastAsia="en-CA"/>
                      </w:rPr>
                      <m:t>Δ</m:t>
                    </m:r>
                    <m:r>
                      <w:rPr>
                        <w:rFonts w:ascii="Cambria Math" w:hAnsi="Cambria Math"/>
                        <w:color w:val="auto"/>
                        <w:sz w:val="22"/>
                        <w:szCs w:val="22"/>
                        <w:lang w:val="en-CA" w:eastAsia="en-CA"/>
                      </w:rPr>
                      <m:t>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C</m:t>
                        </m:r>
                      </m:e>
                      <m:sub>
                        <m:r>
                          <m:rPr>
                            <m:nor/>
                          </m:rPr>
                          <w:rPr>
                            <w:color w:val="auto"/>
                            <w:sz w:val="22"/>
                            <w:szCs w:val="22"/>
                            <w:lang w:val="en-CA" w:eastAsia="en-CA"/>
                          </w:rPr>
                          <m:t>cap</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E</m:t>
                        </m:r>
                      </m:e>
                      <m:sub>
                        <m:r>
                          <m:rPr>
                            <m:nor/>
                          </m:rPr>
                          <w:rPr>
                            <w:color w:val="auto"/>
                            <w:sz w:val="22"/>
                            <w:szCs w:val="22"/>
                            <w:lang w:val="en-CA" w:eastAsia="en-CA"/>
                          </w:rPr>
                          <m:t>BATT</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C</m:t>
                        </m:r>
                      </m:e>
                      <m:sub>
                        <m:r>
                          <m:rPr>
                            <m:nor/>
                          </m:rPr>
                          <w:rPr>
                            <w:color w:val="auto"/>
                            <w:sz w:val="22"/>
                            <w:szCs w:val="22"/>
                            <w:lang w:val="en-CA" w:eastAsia="en-CA"/>
                          </w:rPr>
                          <m:t>cap</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P</m:t>
                        </m:r>
                      </m:e>
                      <m:sub>
                        <m:r>
                          <m:rPr>
                            <m:nor/>
                          </m:rPr>
                          <w:rPr>
                            <w:color w:val="auto"/>
                            <w:sz w:val="22"/>
                            <w:szCs w:val="22"/>
                            <w:lang w:val="en-CA" w:eastAsia="en-CA"/>
                          </w:rPr>
                          <m:t>PV</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C</m:t>
                        </m:r>
                      </m:e>
                      <m:sub>
                        <m:r>
                          <m:rPr>
                            <m:nor/>
                          </m:rPr>
                          <w:rPr>
                            <w:color w:val="auto"/>
                            <w:sz w:val="22"/>
                            <w:szCs w:val="22"/>
                            <w:lang w:val="en-CA" w:eastAsia="en-CA"/>
                          </w:rPr>
                          <m:t>cap</m:t>
                        </m:r>
                      </m:sub>
                    </m:sSub>
                    <m:r>
                      <w:rPr>
                        <w:rFonts w:ascii="Cambria Math" w:hAnsi="Cambria Math"/>
                        <w:color w:val="auto"/>
                        <w:sz w:val="22"/>
                        <w:szCs w:val="22"/>
                        <w:lang w:val="en-CA" w:eastAsia="en-CA"/>
                      </w:rPr>
                      <m:t>(</m:t>
                    </m:r>
                    <m:sSub>
                      <m:sSubPr>
                        <m:ctrlPr>
                          <w:rPr>
                            <w:rFonts w:ascii="Cambria Math" w:hAnsi="Cambria Math"/>
                            <w:color w:val="auto"/>
                            <w:sz w:val="22"/>
                            <w:szCs w:val="22"/>
                            <w:lang w:val="en-CA" w:eastAsia="en-CA"/>
                          </w:rPr>
                        </m:ctrlPr>
                      </m:sSubPr>
                      <m:e>
                        <m:r>
                          <w:rPr>
                            <w:rFonts w:ascii="Cambria Math" w:hAnsi="Cambria Math"/>
                            <w:color w:val="auto"/>
                            <w:sz w:val="22"/>
                            <w:szCs w:val="22"/>
                            <w:lang w:val="en-CA" w:eastAsia="en-CA"/>
                          </w:rPr>
                          <m:t>P</m:t>
                        </m:r>
                      </m:e>
                      <m:sub>
                        <m:r>
                          <m:rPr>
                            <m:nor/>
                          </m:rPr>
                          <w:rPr>
                            <w:color w:val="auto"/>
                            <w:sz w:val="22"/>
                            <w:szCs w:val="22"/>
                            <w:lang w:val="en-CA" w:eastAsia="en-CA"/>
                          </w:rPr>
                          <m:t>wind</m:t>
                        </m:r>
                      </m:sub>
                    </m:sSub>
                    <m:r>
                      <w:rPr>
                        <w:rFonts w:ascii="Cambria Math" w:hAnsi="Cambria Math"/>
                        <w:color w:val="auto"/>
                        <w:sz w:val="22"/>
                        <w:szCs w:val="22"/>
                        <w:lang w:val="en-CA" w:eastAsia="en-CA"/>
                      </w:rPr>
                      <m:t>)</m:t>
                    </m:r>
                  </m:e>
                </m:d>
              </m:oMath>
            </m:oMathPara>
          </w:p>
        </w:tc>
        <w:tc>
          <w:tcPr>
            <w:tcW w:w="505" w:type="dxa"/>
            <w:vAlign w:val="center"/>
          </w:tcPr>
          <w:p w14:paraId="7D00D276" w14:textId="77777777" w:rsidR="00FE013C" w:rsidRDefault="00FE013C" w:rsidP="004C16FF">
            <w:pPr>
              <w:rPr>
                <w:color w:val="auto"/>
                <w:szCs w:val="24"/>
                <w:lang w:val="en-CA" w:eastAsia="en-CA"/>
              </w:rPr>
            </w:pPr>
            <w:r>
              <w:rPr>
                <w:color w:val="auto"/>
                <w:szCs w:val="24"/>
                <w:lang w:val="en-CA" w:eastAsia="en-CA"/>
              </w:rPr>
              <w:t>(4)</w:t>
            </w:r>
          </w:p>
        </w:tc>
      </w:tr>
    </w:tbl>
    <w:p w14:paraId="6E969F0C" w14:textId="77777777" w:rsidR="00FE013C" w:rsidRPr="00A91FD2" w:rsidRDefault="00FE013C" w:rsidP="004C16FF">
      <w:pPr>
        <w:spacing w:before="100" w:beforeAutospacing="1" w:after="100" w:afterAutospacing="1"/>
        <w:rPr>
          <w:color w:val="auto"/>
          <w:szCs w:val="24"/>
          <w:lang w:val="en-CA" w:eastAsia="en-CA"/>
        </w:rPr>
      </w:pPr>
      <w:r w:rsidRPr="00A91FD2">
        <w:rPr>
          <w:color w:val="auto"/>
          <w:szCs w:val="24"/>
          <w:lang w:val="en-CA" w:eastAsia="en-CA"/>
        </w:rPr>
        <w:t>subject to:</w:t>
      </w:r>
    </w:p>
    <w:p w14:paraId="23607DCE" w14:textId="77777777" w:rsidR="00FE013C" w:rsidRDefault="00FE013C" w:rsidP="004C16FF">
      <w:pPr>
        <w:spacing w:before="100" w:beforeAutospacing="1" w:after="100" w:afterAutospacing="1"/>
        <w:rPr>
          <w:b/>
          <w:bCs/>
          <w:color w:val="auto"/>
          <w:szCs w:val="24"/>
          <w:lang w:val="en-CA" w:eastAsia="en-CA"/>
        </w:rPr>
      </w:pPr>
      <w:r w:rsidRPr="00A91FD2">
        <w:rPr>
          <w:b/>
          <w:bCs/>
          <w:color w:val="auto"/>
          <w:szCs w:val="24"/>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799DB136" w14:textId="77777777" w:rsidTr="00F5352A">
        <w:tc>
          <w:tcPr>
            <w:tcW w:w="421" w:type="dxa"/>
          </w:tcPr>
          <w:p w14:paraId="47C717C9" w14:textId="77777777" w:rsidR="00FE013C" w:rsidRDefault="00FE013C" w:rsidP="004C16FF">
            <w:pPr>
              <w:rPr>
                <w:color w:val="auto"/>
                <w:szCs w:val="24"/>
                <w:lang w:val="en-CA" w:eastAsia="en-CA"/>
              </w:rPr>
            </w:pPr>
          </w:p>
        </w:tc>
        <w:tc>
          <w:tcPr>
            <w:tcW w:w="7908" w:type="dxa"/>
          </w:tcPr>
          <w:p w14:paraId="3BE84C97" w14:textId="77777777" w:rsidR="00FE013C" w:rsidRPr="00225E6D" w:rsidRDefault="00000000" w:rsidP="004C16FF">
            <w:pPr>
              <w:rPr>
                <w:rFonts w:asciiTheme="majorBidi" w:hAnsiTheme="majorBidi" w:cstheme="majorBidi"/>
                <w:color w:val="auto"/>
                <w:sz w:val="22"/>
                <w:szCs w:val="22"/>
                <w:lang w:val="en-CA" w:eastAsia="en-CA"/>
              </w:rPr>
            </w:pPr>
            <m:oMathPara>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solar</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wind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grid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BATT,disch</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load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BATT,ch</m:t>
                    </m:r>
                  </m:sub>
                </m:sSub>
                <m:r>
                  <w:rPr>
                    <w:rFonts w:ascii="Cambria Math" w:hAnsi="Cambria Math"/>
                    <w:color w:val="auto"/>
                    <w:szCs w:val="24"/>
                    <w:lang w:val="en-CA" w:eastAsia="en-CA"/>
                  </w:rPr>
                  <m:t>(t)</m:t>
                </m:r>
              </m:oMath>
            </m:oMathPara>
          </w:p>
        </w:tc>
        <w:tc>
          <w:tcPr>
            <w:tcW w:w="505" w:type="dxa"/>
            <w:vAlign w:val="center"/>
          </w:tcPr>
          <w:p w14:paraId="59CF1D23" w14:textId="77777777" w:rsidR="00FE013C" w:rsidRDefault="00FE013C" w:rsidP="004C16FF">
            <w:pPr>
              <w:rPr>
                <w:color w:val="auto"/>
                <w:szCs w:val="24"/>
                <w:lang w:val="en-CA" w:eastAsia="en-CA"/>
              </w:rPr>
            </w:pPr>
            <w:r>
              <w:rPr>
                <w:color w:val="auto"/>
                <w:szCs w:val="24"/>
                <w:lang w:val="en-CA" w:eastAsia="en-CA"/>
              </w:rPr>
              <w:t>(5)</w:t>
            </w:r>
          </w:p>
        </w:tc>
      </w:tr>
    </w:tbl>
    <w:p w14:paraId="31A45B3B" w14:textId="77777777" w:rsidR="00FE013C" w:rsidRDefault="00FE013C" w:rsidP="004C16FF">
      <w:pPr>
        <w:spacing w:before="100" w:beforeAutospacing="1" w:after="100" w:afterAutospacing="1"/>
        <w:rPr>
          <w:b/>
          <w:bCs/>
          <w:color w:val="auto"/>
          <w:szCs w:val="24"/>
          <w:lang w:val="en-CA" w:eastAsia="en-CA"/>
        </w:rPr>
      </w:pPr>
      <w:r w:rsidRPr="00A91FD2">
        <w:rPr>
          <w:b/>
          <w:bCs/>
          <w:color w:val="auto"/>
          <w:szCs w:val="24"/>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323BBD1E" w14:textId="77777777" w:rsidTr="00F5352A">
        <w:tc>
          <w:tcPr>
            <w:tcW w:w="421" w:type="dxa"/>
          </w:tcPr>
          <w:p w14:paraId="094CAE98" w14:textId="77777777" w:rsidR="00FE013C" w:rsidRDefault="00FE013C" w:rsidP="004C16FF">
            <w:pPr>
              <w:rPr>
                <w:color w:val="auto"/>
                <w:szCs w:val="24"/>
                <w:lang w:val="en-CA" w:eastAsia="en-CA"/>
              </w:rPr>
            </w:pPr>
          </w:p>
        </w:tc>
        <w:tc>
          <w:tcPr>
            <w:tcW w:w="7908" w:type="dxa"/>
          </w:tcPr>
          <w:p w14:paraId="5DD2AD9F" w14:textId="77777777" w:rsidR="00FE013C" w:rsidRPr="00225E6D" w:rsidRDefault="00000000" w:rsidP="004C16FF">
            <w:pPr>
              <w:rPr>
                <w:rFonts w:asciiTheme="majorBidi" w:hAnsiTheme="majorBidi" w:cstheme="majorBidi"/>
                <w:color w:val="auto"/>
                <w:sz w:val="22"/>
                <w:szCs w:val="22"/>
                <w:lang w:val="en-CA" w:eastAsia="en-CA"/>
              </w:rPr>
            </w:pPr>
            <m:oMathPara>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E</m:t>
                    </m:r>
                  </m:e>
                  <m:sub>
                    <m:r>
                      <m:rPr>
                        <m:nor/>
                      </m:rPr>
                      <w:rPr>
                        <w:color w:val="auto"/>
                        <w:szCs w:val="24"/>
                        <w:lang w:val="en-CA" w:eastAsia="en-CA"/>
                      </w:rPr>
                      <m:t>min</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E</m:t>
                    </m:r>
                  </m:e>
                  <m:sub>
                    <m:r>
                      <m:rPr>
                        <m:nor/>
                      </m:rPr>
                      <w:rPr>
                        <w:color w:val="auto"/>
                        <w:szCs w:val="24"/>
                        <w:lang w:val="en-CA" w:eastAsia="en-CA"/>
                      </w:rPr>
                      <m:t>BATT</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E</m:t>
                    </m:r>
                  </m:e>
                  <m:sub>
                    <m:r>
                      <m:rPr>
                        <m:nor/>
                      </m:rPr>
                      <w:rPr>
                        <w:color w:val="auto"/>
                        <w:szCs w:val="24"/>
                        <w:lang w:val="en-CA" w:eastAsia="en-CA"/>
                      </w:rPr>
                      <m:t>max</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E</m:t>
                    </m:r>
                  </m:e>
                  <m:sub>
                    <m:r>
                      <m:rPr>
                        <m:nor/>
                      </m:rPr>
                      <w:rPr>
                        <w:color w:val="auto"/>
                        <w:szCs w:val="24"/>
                        <w:lang w:val="en-CA" w:eastAsia="en-CA"/>
                      </w:rPr>
                      <m:t>BATT</m:t>
                    </m:r>
                  </m:sub>
                </m:sSub>
                <m:r>
                  <m:rPr>
                    <m:sty m:val="p"/>
                  </m:rPr>
                  <w:rPr>
                    <w:rFonts w:ascii="Cambria Math" w:hAnsi="Cambria Math"/>
                    <w:color w:val="auto"/>
                    <w:szCs w:val="24"/>
                    <w:lang w:val="en-CA" w:eastAsia="en-CA"/>
                  </w:rPr>
                  <m:t>∀</m:t>
                </m:r>
                <m:r>
                  <w:rPr>
                    <w:rFonts w:ascii="Cambria Math" w:hAnsi="Cambria Math"/>
                    <w:color w:val="auto"/>
                    <w:szCs w:val="24"/>
                    <w:lang w:val="en-CA" w:eastAsia="en-CA"/>
                  </w:rPr>
                  <m:t>t</m:t>
                </m:r>
              </m:oMath>
            </m:oMathPara>
          </w:p>
        </w:tc>
        <w:tc>
          <w:tcPr>
            <w:tcW w:w="505" w:type="dxa"/>
            <w:vAlign w:val="center"/>
          </w:tcPr>
          <w:p w14:paraId="765B93A3" w14:textId="77777777" w:rsidR="00FE013C" w:rsidRDefault="00FE013C" w:rsidP="004C16FF">
            <w:pPr>
              <w:rPr>
                <w:color w:val="auto"/>
                <w:szCs w:val="24"/>
                <w:lang w:val="en-CA" w:eastAsia="en-CA"/>
              </w:rPr>
            </w:pPr>
            <w:r>
              <w:rPr>
                <w:color w:val="auto"/>
                <w:szCs w:val="24"/>
                <w:lang w:val="en-CA" w:eastAsia="en-CA"/>
              </w:rPr>
              <w:t>(6)</w:t>
            </w:r>
          </w:p>
        </w:tc>
      </w:tr>
    </w:tbl>
    <w:p w14:paraId="38D2E6C4" w14:textId="77777777" w:rsidR="00FE013C" w:rsidRDefault="00FE013C" w:rsidP="004C16FF">
      <w:pPr>
        <w:spacing w:before="100" w:beforeAutospacing="1" w:after="100" w:afterAutospacing="1"/>
        <w:rPr>
          <w:b/>
          <w:bCs/>
          <w:color w:val="auto"/>
          <w:szCs w:val="24"/>
          <w:lang w:val="en-CA" w:eastAsia="en-CA"/>
        </w:rPr>
      </w:pPr>
      <w:r w:rsidRPr="00A91FD2">
        <w:rPr>
          <w:b/>
          <w:bCs/>
          <w:color w:val="auto"/>
          <w:szCs w:val="24"/>
          <w:lang w:val="en-CA" w:eastAsia="en-CA"/>
        </w:rPr>
        <w:t>Power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63CE828" w14:textId="77777777" w:rsidTr="00F5352A">
        <w:tc>
          <w:tcPr>
            <w:tcW w:w="421" w:type="dxa"/>
          </w:tcPr>
          <w:p w14:paraId="0DEBAFE5" w14:textId="77777777" w:rsidR="00FE013C" w:rsidRDefault="00FE013C" w:rsidP="004C16FF">
            <w:pPr>
              <w:rPr>
                <w:color w:val="auto"/>
                <w:szCs w:val="24"/>
                <w:lang w:val="en-CA" w:eastAsia="en-CA"/>
              </w:rPr>
            </w:pPr>
          </w:p>
        </w:tc>
        <w:tc>
          <w:tcPr>
            <w:tcW w:w="7908" w:type="dxa"/>
          </w:tcPr>
          <w:p w14:paraId="25C78AA2" w14:textId="77777777" w:rsidR="00FE013C" w:rsidRPr="00225E6D" w:rsidRDefault="00000000" w:rsidP="004C16FF">
            <w:pPr>
              <w:rPr>
                <w:rFonts w:asciiTheme="majorBidi" w:hAnsiTheme="majorBidi" w:cstheme="majorBidi"/>
                <w:color w:val="auto"/>
                <w:sz w:val="22"/>
                <w:szCs w:val="22"/>
                <w:lang w:val="en-CA" w:eastAsia="en-CA"/>
              </w:rPr>
            </w:pPr>
            <m:oMathPara>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solar</m:t>
                    </m:r>
                  </m:sub>
                </m:sSub>
                <m:r>
                  <w:rPr>
                    <w:rFonts w:ascii="Cambria Math" w:hAnsi="Cambria Math"/>
                    <w:color w:val="auto"/>
                    <w:szCs w:val="24"/>
                    <w:lang w:val="en-CA" w:eastAsia="en-CA"/>
                  </w:rPr>
                  <m:t>(t)≤</m:t>
                </m:r>
                <m:r>
                  <m:rPr>
                    <m:sty m:val="p"/>
                  </m:rPr>
                  <w:rPr>
                    <w:rFonts w:ascii="Cambria Math" w:hAnsi="Cambria Math"/>
                    <w:color w:val="auto"/>
                    <w:szCs w:val="24"/>
                    <w:lang w:val="en-CA" w:eastAsia="en-CA"/>
                  </w:rPr>
                  <m:t>min</m:t>
                </m:r>
                <m:r>
                  <w:rPr>
                    <w:rFonts w:ascii="Cambria Math" w:hAnsi="Cambria Math"/>
                    <w:color w:val="auto"/>
                    <w:szCs w:val="24"/>
                    <w:lang w:val="en-CA" w:eastAsia="en-CA"/>
                  </w:rPr>
                  <m:t>⁡</m:t>
                </m:r>
                <m:d>
                  <m:dPr>
                    <m:ctrlPr>
                      <w:rPr>
                        <w:rFonts w:ascii="Cambria Math" w:hAnsi="Cambria Math"/>
                        <w:color w:val="auto"/>
                        <w:szCs w:val="24"/>
                        <w:lang w:val="en-CA" w:eastAsia="en-CA"/>
                      </w:rPr>
                    </m:ctrlPr>
                  </m:dPr>
                  <m:e>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PV</m:t>
                        </m:r>
                      </m:sub>
                    </m:sSub>
                    <m:r>
                      <w:rPr>
                        <w:rFonts w:ascii="Cambria Math" w:hAnsi="Cambria Math"/>
                        <w:color w:val="auto"/>
                        <w:szCs w:val="24"/>
                        <w:lang w:val="en-CA" w:eastAsia="en-CA"/>
                      </w:rPr>
                      <m:t>,</m:t>
                    </m:r>
                    <m:r>
                      <m:rPr>
                        <m:nor/>
                      </m:rPr>
                      <w:rPr>
                        <w:color w:val="auto"/>
                        <w:szCs w:val="24"/>
                        <w:lang w:val="en-CA" w:eastAsia="en-CA"/>
                      </w:rPr>
                      <m:t>resource</m:t>
                    </m:r>
                    <m:r>
                      <w:rPr>
                        <w:rFonts w:ascii="Cambria Math" w:hAnsi="Cambria Math"/>
                        <w:color w:val="auto"/>
                        <w:szCs w:val="24"/>
                        <w:lang w:val="en-CA" w:eastAsia="en-CA"/>
                      </w:rPr>
                      <m:t>(t)</m:t>
                    </m:r>
                  </m:e>
                </m:d>
                <m:r>
                  <m:rPr>
                    <m:sty m:val="p"/>
                  </m:rPr>
                  <w:rPr>
                    <w:rFonts w:ascii="Cambria Math" w:hAnsi="Cambria Math"/>
                    <w:color w:val="auto"/>
                    <w:szCs w:val="24"/>
                    <w:lang w:val="en-CA" w:eastAsia="en-CA"/>
                  </w:rPr>
                  <m:t>∀</m:t>
                </m:r>
                <m:r>
                  <w:rPr>
                    <w:rFonts w:ascii="Cambria Math" w:hAnsi="Cambria Math"/>
                    <w:color w:val="auto"/>
                    <w:szCs w:val="24"/>
                    <w:lang w:val="en-CA" w:eastAsia="en-CA"/>
                  </w:rPr>
                  <m:t>t</m:t>
                </m:r>
              </m:oMath>
            </m:oMathPara>
          </w:p>
        </w:tc>
        <w:tc>
          <w:tcPr>
            <w:tcW w:w="505" w:type="dxa"/>
            <w:vAlign w:val="center"/>
          </w:tcPr>
          <w:p w14:paraId="731E234B" w14:textId="77777777" w:rsidR="00FE013C" w:rsidRDefault="00FE013C" w:rsidP="004C16FF">
            <w:pPr>
              <w:rPr>
                <w:color w:val="auto"/>
                <w:szCs w:val="24"/>
                <w:lang w:val="en-CA" w:eastAsia="en-CA"/>
              </w:rPr>
            </w:pPr>
            <w:r>
              <w:rPr>
                <w:color w:val="auto"/>
                <w:szCs w:val="24"/>
                <w:lang w:val="en-CA" w:eastAsia="en-CA"/>
              </w:rPr>
              <w:t>(7)</w:t>
            </w:r>
          </w:p>
        </w:tc>
      </w:tr>
      <w:tr w:rsidR="00FE013C" w14:paraId="72947D45" w14:textId="77777777" w:rsidTr="00FF0DBE">
        <w:tc>
          <w:tcPr>
            <w:tcW w:w="421" w:type="dxa"/>
          </w:tcPr>
          <w:p w14:paraId="49A346BC" w14:textId="77777777" w:rsidR="00FE013C" w:rsidRDefault="00FE013C" w:rsidP="004C16FF">
            <w:pPr>
              <w:rPr>
                <w:color w:val="auto"/>
                <w:szCs w:val="24"/>
                <w:lang w:val="en-CA" w:eastAsia="en-CA"/>
              </w:rPr>
            </w:pPr>
          </w:p>
        </w:tc>
        <w:tc>
          <w:tcPr>
            <w:tcW w:w="7908" w:type="dxa"/>
          </w:tcPr>
          <w:p w14:paraId="17DD6BF9" w14:textId="77777777" w:rsidR="00FE013C" w:rsidRPr="00225E6D" w:rsidRDefault="00000000" w:rsidP="004C16FF">
            <w:pPr>
              <w:rPr>
                <w:rFonts w:asciiTheme="majorBidi" w:hAnsiTheme="majorBidi" w:cstheme="majorBidi"/>
                <w:color w:val="auto"/>
                <w:sz w:val="22"/>
                <w:szCs w:val="22"/>
                <w:lang w:val="en-CA" w:eastAsia="en-CA"/>
              </w:rPr>
            </w:pPr>
            <m:oMathPara>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wind</m:t>
                    </m:r>
                  </m:sub>
                </m:sSub>
                <m:r>
                  <w:rPr>
                    <w:rFonts w:ascii="Cambria Math" w:hAnsi="Cambria Math"/>
                    <w:color w:val="auto"/>
                    <w:szCs w:val="24"/>
                    <w:lang w:val="en-CA" w:eastAsia="en-CA"/>
                  </w:rPr>
                  <m:t>(t)≤</m:t>
                </m:r>
                <m:r>
                  <m:rPr>
                    <m:sty m:val="p"/>
                  </m:rPr>
                  <w:rPr>
                    <w:rFonts w:ascii="Cambria Math" w:hAnsi="Cambria Math"/>
                    <w:color w:val="auto"/>
                    <w:szCs w:val="24"/>
                    <w:lang w:val="en-CA" w:eastAsia="en-CA"/>
                  </w:rPr>
                  <m:t>min</m:t>
                </m:r>
                <m:r>
                  <w:rPr>
                    <w:rFonts w:ascii="Cambria Math" w:hAnsi="Cambria Math"/>
                    <w:color w:val="auto"/>
                    <w:szCs w:val="24"/>
                    <w:lang w:val="en-CA" w:eastAsia="en-CA"/>
                  </w:rPr>
                  <m:t>⁡</m:t>
                </m:r>
                <m:d>
                  <m:dPr>
                    <m:ctrlPr>
                      <w:rPr>
                        <w:rFonts w:ascii="Cambria Math" w:hAnsi="Cambria Math"/>
                        <w:color w:val="auto"/>
                        <w:szCs w:val="24"/>
                        <w:lang w:val="en-CA" w:eastAsia="en-CA"/>
                      </w:rPr>
                    </m:ctrlPr>
                  </m:dPr>
                  <m:e>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wind</m:t>
                        </m:r>
                      </m:sub>
                    </m:sSub>
                    <m:r>
                      <w:rPr>
                        <w:rFonts w:ascii="Cambria Math" w:hAnsi="Cambria Math"/>
                        <w:color w:val="auto"/>
                        <w:szCs w:val="24"/>
                        <w:lang w:val="en-CA" w:eastAsia="en-CA"/>
                      </w:rPr>
                      <m:t>,</m:t>
                    </m:r>
                    <m:r>
                      <m:rPr>
                        <m:nor/>
                      </m:rPr>
                      <w:rPr>
                        <w:color w:val="auto"/>
                        <w:szCs w:val="24"/>
                        <w:lang w:val="en-CA" w:eastAsia="en-CA"/>
                      </w:rPr>
                      <m:t>resource</m:t>
                    </m:r>
                    <m:r>
                      <w:rPr>
                        <w:rFonts w:ascii="Cambria Math" w:hAnsi="Cambria Math"/>
                        <w:color w:val="auto"/>
                        <w:szCs w:val="24"/>
                        <w:lang w:val="en-CA" w:eastAsia="en-CA"/>
                      </w:rPr>
                      <m:t>(t)</m:t>
                    </m:r>
                  </m:e>
                </m:d>
                <m:r>
                  <m:rPr>
                    <m:sty m:val="p"/>
                  </m:rPr>
                  <w:rPr>
                    <w:rFonts w:ascii="Cambria Math" w:hAnsi="Cambria Math"/>
                    <w:color w:val="auto"/>
                    <w:szCs w:val="24"/>
                    <w:lang w:val="en-CA" w:eastAsia="en-CA"/>
                  </w:rPr>
                  <m:t>∀</m:t>
                </m:r>
                <m:r>
                  <w:rPr>
                    <w:rFonts w:ascii="Cambria Math" w:hAnsi="Cambria Math"/>
                    <w:color w:val="auto"/>
                    <w:szCs w:val="24"/>
                    <w:lang w:val="en-CA" w:eastAsia="en-CA"/>
                  </w:rPr>
                  <m:t>t</m:t>
                </m:r>
              </m:oMath>
            </m:oMathPara>
          </w:p>
        </w:tc>
        <w:tc>
          <w:tcPr>
            <w:tcW w:w="505" w:type="dxa"/>
          </w:tcPr>
          <w:p w14:paraId="2483E27C" w14:textId="77777777" w:rsidR="00FE013C" w:rsidRDefault="00FE013C" w:rsidP="004C16FF">
            <w:pPr>
              <w:rPr>
                <w:color w:val="auto"/>
                <w:szCs w:val="24"/>
                <w:lang w:val="en-CA" w:eastAsia="en-CA"/>
              </w:rPr>
            </w:pPr>
            <w:r>
              <w:rPr>
                <w:color w:val="auto"/>
                <w:szCs w:val="24"/>
                <w:lang w:val="en-CA" w:eastAsia="en-CA"/>
              </w:rPr>
              <w:t>(8)</w:t>
            </w:r>
          </w:p>
        </w:tc>
      </w:tr>
    </w:tbl>
    <w:p w14:paraId="4596B22F" w14:textId="77777777" w:rsidR="00FE013C" w:rsidRDefault="00FE013C" w:rsidP="004C16FF">
      <w:pPr>
        <w:spacing w:before="100" w:beforeAutospacing="1" w:after="100" w:afterAutospacing="1"/>
        <w:rPr>
          <w:b/>
          <w:bCs/>
          <w:color w:val="auto"/>
          <w:szCs w:val="24"/>
          <w:lang w:val="en-CA" w:eastAsia="en-CA"/>
        </w:rPr>
      </w:pPr>
      <w:r w:rsidRPr="00A91FD2">
        <w:rPr>
          <w:b/>
          <w:bCs/>
          <w:color w:val="auto"/>
          <w:szCs w:val="24"/>
          <w:lang w:val="en-CA" w:eastAsia="en-CA"/>
        </w:rPr>
        <w:t>Interconnection limit (grid-imposed constraint):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01130DC" w14:textId="77777777" w:rsidTr="00F5352A">
        <w:tc>
          <w:tcPr>
            <w:tcW w:w="421" w:type="dxa"/>
          </w:tcPr>
          <w:p w14:paraId="413E8120" w14:textId="77777777" w:rsidR="00FE013C" w:rsidRDefault="00FE013C" w:rsidP="004C16FF">
            <w:pPr>
              <w:rPr>
                <w:color w:val="auto"/>
                <w:szCs w:val="24"/>
                <w:lang w:val="en-CA" w:eastAsia="en-CA"/>
              </w:rPr>
            </w:pPr>
          </w:p>
        </w:tc>
        <w:tc>
          <w:tcPr>
            <w:tcW w:w="7908" w:type="dxa"/>
          </w:tcPr>
          <w:p w14:paraId="15EC907A" w14:textId="77777777" w:rsidR="00FE013C" w:rsidRPr="00225E6D" w:rsidRDefault="00000000" w:rsidP="004C16FF">
            <w:pPr>
              <w:rPr>
                <w:rFonts w:asciiTheme="majorBidi" w:hAnsiTheme="majorBidi" w:cstheme="majorBidi"/>
                <w:color w:val="auto"/>
                <w:sz w:val="22"/>
                <w:szCs w:val="22"/>
                <w:lang w:val="en-CA" w:eastAsia="en-CA"/>
              </w:rPr>
            </w:pPr>
            <m:oMathPara>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grid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grid,max</m:t>
                    </m:r>
                  </m:sub>
                </m:sSub>
                <m:r>
                  <m:rPr>
                    <m:sty m:val="p"/>
                  </m:rPr>
                  <w:rPr>
                    <w:rFonts w:ascii="Cambria Math" w:hAnsi="Cambria Math"/>
                    <w:color w:val="auto"/>
                    <w:szCs w:val="24"/>
                    <w:lang w:val="en-CA" w:eastAsia="en-CA"/>
                  </w:rPr>
                  <m:t>∀</m:t>
                </m:r>
                <m:r>
                  <w:rPr>
                    <w:rFonts w:ascii="Cambria Math" w:hAnsi="Cambria Math"/>
                    <w:color w:val="auto"/>
                    <w:szCs w:val="24"/>
                    <w:lang w:val="en-CA" w:eastAsia="en-CA"/>
                  </w:rPr>
                  <m:t>t</m:t>
                </m:r>
              </m:oMath>
            </m:oMathPara>
          </w:p>
        </w:tc>
        <w:tc>
          <w:tcPr>
            <w:tcW w:w="505" w:type="dxa"/>
            <w:vAlign w:val="center"/>
          </w:tcPr>
          <w:p w14:paraId="2F6F68B8" w14:textId="77777777" w:rsidR="00FE013C" w:rsidRDefault="00FE013C" w:rsidP="004C16FF">
            <w:pPr>
              <w:rPr>
                <w:color w:val="auto"/>
                <w:szCs w:val="24"/>
                <w:lang w:val="en-CA" w:eastAsia="en-CA"/>
              </w:rPr>
            </w:pPr>
            <w:r>
              <w:rPr>
                <w:color w:val="auto"/>
                <w:szCs w:val="24"/>
                <w:lang w:val="en-CA" w:eastAsia="en-CA"/>
              </w:rPr>
              <w:t>(9)</w:t>
            </w:r>
          </w:p>
        </w:tc>
      </w:tr>
    </w:tbl>
    <w:p w14:paraId="0E8C55D8" w14:textId="77777777" w:rsidR="00FE013C" w:rsidRDefault="00FE013C" w:rsidP="004C16FF">
      <w:pPr>
        <w:spacing w:before="100" w:beforeAutospacing="1" w:after="100" w:afterAutospacing="1"/>
        <w:rPr>
          <w:b/>
          <w:bCs/>
          <w:color w:val="auto"/>
          <w:szCs w:val="24"/>
          <w:lang w:val="en-CA" w:eastAsia="en-CA"/>
        </w:rPr>
      </w:pPr>
      <w:r w:rsidRPr="00A91FD2">
        <w:rPr>
          <w:b/>
          <w:bCs/>
          <w:color w:val="auto"/>
          <w:szCs w:val="24"/>
          <w:lang w:val="en-CA" w:eastAsia="en-CA"/>
        </w:rPr>
        <w:t>Reliability (LOLE) Constraint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F5352A">
        <w:tc>
          <w:tcPr>
            <w:tcW w:w="421" w:type="dxa"/>
          </w:tcPr>
          <w:p w14:paraId="38C604DA" w14:textId="77777777" w:rsidR="00FE013C" w:rsidRDefault="00FE013C" w:rsidP="004C16FF">
            <w:pPr>
              <w:rPr>
                <w:color w:val="auto"/>
                <w:szCs w:val="24"/>
                <w:lang w:val="en-CA" w:eastAsia="en-CA"/>
              </w:rPr>
            </w:pPr>
          </w:p>
        </w:tc>
        <w:tc>
          <w:tcPr>
            <w:tcW w:w="7908" w:type="dxa"/>
          </w:tcPr>
          <w:p w14:paraId="1FB500AE" w14:textId="77777777" w:rsidR="00FE013C" w:rsidRPr="00225E6D" w:rsidRDefault="00FE013C" w:rsidP="004C16FF">
            <w:pPr>
              <w:rPr>
                <w:rFonts w:asciiTheme="majorBidi" w:hAnsiTheme="majorBidi" w:cstheme="majorBidi"/>
                <w:color w:val="auto"/>
                <w:sz w:val="22"/>
                <w:szCs w:val="22"/>
                <w:lang w:val="en-CA" w:eastAsia="en-CA"/>
              </w:rPr>
            </w:pPr>
            <m:oMathPara>
              <m:oMath>
                <m:r>
                  <m:rPr>
                    <m:nor/>
                  </m:rPr>
                  <w:rPr>
                    <w:color w:val="auto"/>
                    <w:szCs w:val="24"/>
                    <w:lang w:val="en-CA" w:eastAsia="en-CA"/>
                  </w:rPr>
                  <m:t>LOLE</m:t>
                </m:r>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E</m:t>
                    </m:r>
                  </m:e>
                  <m:sub>
                    <m:r>
                      <m:rPr>
                        <m:nor/>
                      </m:rPr>
                      <w:rPr>
                        <w:color w:val="auto"/>
                        <w:szCs w:val="24"/>
                        <w:lang w:val="en-CA" w:eastAsia="en-CA"/>
                      </w:rPr>
                      <m:t>BATT</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PV</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wind</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r>
                      <m:rPr>
                        <m:nor/>
                      </m:rPr>
                      <w:rPr>
                        <w:color w:val="auto"/>
                        <w:szCs w:val="24"/>
                        <w:lang w:val="en-CA" w:eastAsia="en-CA"/>
                      </w:rPr>
                      <m:t>LOLE</m:t>
                    </m:r>
                  </m:e>
                  <m:sub>
                    <m:r>
                      <m:rPr>
                        <m:nor/>
                      </m:rPr>
                      <w:rPr>
                        <w:color w:val="auto"/>
                        <w:szCs w:val="24"/>
                        <w:lang w:val="en-CA" w:eastAsia="en-CA"/>
                      </w:rPr>
                      <m:t>target</m:t>
                    </m:r>
                  </m:sub>
                </m:sSub>
              </m:oMath>
            </m:oMathPara>
          </w:p>
        </w:tc>
        <w:tc>
          <w:tcPr>
            <w:tcW w:w="505" w:type="dxa"/>
            <w:vAlign w:val="center"/>
          </w:tcPr>
          <w:p w14:paraId="7DE7D2BF" w14:textId="77777777" w:rsidR="00FE013C" w:rsidRDefault="00FE013C" w:rsidP="004C16FF">
            <w:pPr>
              <w:rPr>
                <w:color w:val="auto"/>
                <w:szCs w:val="24"/>
                <w:lang w:val="en-CA" w:eastAsia="en-CA"/>
              </w:rPr>
            </w:pPr>
            <w:r>
              <w:rPr>
                <w:color w:val="auto"/>
                <w:szCs w:val="24"/>
                <w:lang w:val="en-CA" w:eastAsia="en-CA"/>
              </w:rPr>
              <w:t>(10)</w:t>
            </w:r>
          </w:p>
        </w:tc>
      </w:tr>
    </w:tbl>
    <w:p w14:paraId="56181588" w14:textId="77777777" w:rsidR="00FE013C" w:rsidRDefault="00FE013C" w:rsidP="004C16FF">
      <w:pPr>
        <w:rPr>
          <w:b/>
          <w:bCs/>
          <w:color w:val="auto"/>
          <w:szCs w:val="24"/>
          <w:lang w:val="en-CA" w:eastAsia="en-CA"/>
        </w:rPr>
      </w:pPr>
      <w:r w:rsidRPr="00A91FD2">
        <w:rPr>
          <w:rFonts w:ascii="Cambria Math" w:hAnsi="Cambria Math"/>
          <w:color w:val="auto"/>
          <w:szCs w:val="24"/>
          <w:lang w:val="en-CA" w:eastAsia="en-CA"/>
        </w:rPr>
        <w:br/>
      </w:r>
      <w:r w:rsidRPr="00A91FD2">
        <w:rPr>
          <w:b/>
          <w:bCs/>
          <w:color w:val="auto"/>
          <w:szCs w:val="24"/>
          <w:lang w:val="en-CA" w:eastAsia="en-CA"/>
        </w:rPr>
        <w:t>Carbon constraint (optional):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F5352A">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77777777" w:rsidR="00FE013C" w:rsidRPr="00225E6D" w:rsidRDefault="00000000" w:rsidP="004C16FF">
            <w:pPr>
              <w:rPr>
                <w:rFonts w:asciiTheme="majorBidi" w:hAnsiTheme="majorBidi" w:cstheme="majorBidi"/>
                <w:color w:val="auto"/>
                <w:sz w:val="22"/>
                <w:szCs w:val="22"/>
                <w:lang w:val="en-CA" w:eastAsia="en-CA"/>
              </w:rPr>
            </w:pPr>
            <m:oMathPara>
              <m:oMath>
                <m:nary>
                  <m:naryPr>
                    <m:chr m:val="∑"/>
                    <m:limLoc m:val="undOvr"/>
                    <m:grow m:val="1"/>
                    <m:supHide m:val="1"/>
                    <m:ctrlPr>
                      <w:rPr>
                        <w:rFonts w:ascii="Cambria Math" w:hAnsi="Cambria Math"/>
                        <w:color w:val="auto"/>
                        <w:szCs w:val="24"/>
                        <w:lang w:val="en-CA" w:eastAsia="en-CA"/>
                      </w:rPr>
                    </m:ctrlPr>
                  </m:naryPr>
                  <m:sub>
                    <m:r>
                      <w:rPr>
                        <w:rFonts w:ascii="Cambria Math" w:hAnsi="Cambria Math"/>
                        <w:color w:val="auto"/>
                        <w:szCs w:val="24"/>
                        <w:lang w:val="en-CA" w:eastAsia="en-CA"/>
                      </w:rPr>
                      <m:t>t</m:t>
                    </m:r>
                  </m:sub>
                  <m:sup/>
                  <m:e>
                    <m:d>
                      <m:dPr>
                        <m:ctrlPr>
                          <w:rPr>
                            <w:rFonts w:ascii="Cambria Math" w:hAnsi="Cambria Math"/>
                            <w:color w:val="auto"/>
                            <w:szCs w:val="24"/>
                            <w:lang w:val="en-CA" w:eastAsia="en-CA"/>
                          </w:rPr>
                        </m:ctrlPr>
                      </m:dPr>
                      <m:e>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grid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m:rPr>
                                <m:nor/>
                              </m:rPr>
                              <w:rPr>
                                <w:color w:val="auto"/>
                                <w:szCs w:val="24"/>
                                <w:lang w:val="en-CA" w:eastAsia="en-CA"/>
                              </w:rPr>
                              <m:t>CI</m:t>
                            </m:r>
                          </m:e>
                          <m:sub>
                            <m:r>
                              <m:rPr>
                                <m:nor/>
                              </m:rPr>
                              <w:rPr>
                                <w:color w:val="auto"/>
                                <w:szCs w:val="24"/>
                                <w:lang w:val="en-CA" w:eastAsia="en-CA"/>
                              </w:rPr>
                              <m:t>grid</m:t>
                            </m:r>
                          </m:sub>
                        </m:sSub>
                        <m:r>
                          <w:rPr>
                            <w:rFonts w:ascii="Cambria Math" w:hAnsi="Cambria Math"/>
                            <w:color w:val="auto"/>
                            <w:szCs w:val="24"/>
                            <w:lang w:val="en-CA" w:eastAsia="en-CA"/>
                          </w:rPr>
                          <m:t>(t)</m:t>
                        </m:r>
                      </m:e>
                    </m:d>
                  </m:e>
                </m:nary>
                <m:r>
                  <m:rPr>
                    <m:sty m:val="p"/>
                  </m:rPr>
                  <w:rPr>
                    <w:rFonts w:ascii="Cambria Math" w:hAnsi="Cambria Math"/>
                    <w:color w:val="auto"/>
                    <w:szCs w:val="24"/>
                    <w:lang w:val="en-CA" w:eastAsia="en-CA"/>
                  </w:rPr>
                  <m:t>Δ</m:t>
                </m:r>
                <m:r>
                  <w:rPr>
                    <w:rFonts w:ascii="Cambria Math" w:hAnsi="Cambria Math"/>
                    <w:color w:val="auto"/>
                    <w:szCs w:val="24"/>
                    <w:lang w:val="en-CA" w:eastAsia="en-CA"/>
                  </w:rPr>
                  <m:t>t≤</m:t>
                </m:r>
                <m:sSubSup>
                  <m:sSubSupPr>
                    <m:ctrlPr>
                      <w:rPr>
                        <w:rFonts w:ascii="Cambria Math" w:hAnsi="Cambria Math"/>
                        <w:color w:val="auto"/>
                        <w:szCs w:val="24"/>
                        <w:lang w:val="en-CA" w:eastAsia="en-CA"/>
                      </w:rPr>
                    </m:ctrlPr>
                  </m:sSubSupPr>
                  <m:e>
                    <m:r>
                      <m:rPr>
                        <m:nor/>
                      </m:rPr>
                      <w:rPr>
                        <w:color w:val="auto"/>
                        <w:szCs w:val="24"/>
                        <w:lang w:val="en-CA" w:eastAsia="en-CA"/>
                      </w:rPr>
                      <m:t>CO</m:t>
                    </m:r>
                  </m:e>
                  <m:sub>
                    <m:r>
                      <w:rPr>
                        <w:rFonts w:ascii="Cambria Math" w:hAnsi="Cambria Math"/>
                        <w:color w:val="auto"/>
                        <w:szCs w:val="24"/>
                        <w:lang w:val="en-CA" w:eastAsia="en-CA"/>
                      </w:rPr>
                      <m:t>2</m:t>
                    </m:r>
                  </m:sub>
                  <m:sup>
                    <m:r>
                      <m:rPr>
                        <m:nor/>
                      </m:rPr>
                      <w:rPr>
                        <w:color w:val="auto"/>
                        <w:szCs w:val="24"/>
                        <w:lang w:val="en-CA" w:eastAsia="en-CA"/>
                      </w:rPr>
                      <m:t>target</m:t>
                    </m:r>
                  </m:sup>
                </m:sSubSup>
              </m:oMath>
            </m:oMathPara>
          </w:p>
        </w:tc>
        <w:tc>
          <w:tcPr>
            <w:tcW w:w="505" w:type="dxa"/>
            <w:vAlign w:val="center"/>
          </w:tcPr>
          <w:p w14:paraId="6A148A28" w14:textId="77777777" w:rsidR="00FE013C" w:rsidRDefault="00FE013C" w:rsidP="004C16FF">
            <w:pPr>
              <w:rPr>
                <w:color w:val="auto"/>
                <w:szCs w:val="24"/>
                <w:lang w:val="en-CA" w:eastAsia="en-CA"/>
              </w:rPr>
            </w:pPr>
            <w:r>
              <w:rPr>
                <w:color w:val="auto"/>
                <w:szCs w:val="24"/>
                <w:lang w:val="en-CA" w:eastAsia="en-CA"/>
              </w:rPr>
              <w:t>(11)</w:t>
            </w:r>
          </w:p>
        </w:tc>
      </w:tr>
    </w:tbl>
    <w:p w14:paraId="27CF1722" w14:textId="77777777" w:rsidR="00FE013C" w:rsidRPr="00A91FD2" w:rsidRDefault="00FE013C" w:rsidP="004C16FF">
      <w:pPr>
        <w:spacing w:before="100" w:beforeAutospacing="1" w:after="100" w:afterAutospacing="1"/>
        <w:rPr>
          <w:color w:val="auto"/>
          <w:szCs w:val="24"/>
          <w:lang w:val="en-CA" w:eastAsia="en-CA"/>
        </w:rPr>
      </w:pPr>
      <w:r w:rsidRPr="00A91FD2">
        <w:rPr>
          <w:color w:val="auto"/>
          <w:szCs w:val="24"/>
          <w:lang w:val="en-CA" w:eastAsia="en-CA"/>
        </w:rPr>
        <w:t>where:</w:t>
      </w:r>
    </w:p>
    <w:p w14:paraId="4EB738CF"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op</m:t>
            </m:r>
          </m:sub>
        </m:sSub>
        <m:r>
          <w:rPr>
            <w:rFonts w:ascii="Cambria Math" w:hAnsi="Cambria Math"/>
            <w:color w:val="auto"/>
            <w:szCs w:val="24"/>
            <w:lang w:val="en-CA" w:eastAsia="en-CA"/>
          </w:rPr>
          <m:t>(t)</m:t>
        </m:r>
      </m:oMath>
      <w:r w:rsidR="00FE013C" w:rsidRPr="00A91FD2">
        <w:rPr>
          <w:color w:val="auto"/>
          <w:szCs w:val="24"/>
          <w:lang w:val="en-CA" w:eastAsia="en-CA"/>
        </w:rPr>
        <w:t xml:space="preserve">= operational cost at hour </w:t>
      </w:r>
      <m:oMath>
        <m:r>
          <w:rPr>
            <w:rFonts w:ascii="Cambria Math" w:hAnsi="Cambria Math"/>
            <w:color w:val="auto"/>
            <w:szCs w:val="24"/>
            <w:lang w:val="en-CA" w:eastAsia="en-CA"/>
          </w:rPr>
          <m:t>t</m:t>
        </m:r>
      </m:oMath>
      <w:r w:rsidR="00FE013C" w:rsidRPr="00A91FD2">
        <w:rPr>
          <w:color w:val="auto"/>
          <w:szCs w:val="24"/>
          <w:lang w:val="en-CA" w:eastAsia="en-CA"/>
        </w:rPr>
        <w:t xml:space="preserve">(fuel, grid energy costs) </w:t>
      </w:r>
    </w:p>
    <w:p w14:paraId="660B45A6"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deg</m:t>
            </m:r>
          </m:sub>
        </m:sSub>
        <m:r>
          <w:rPr>
            <w:rFonts w:ascii="Cambria Math" w:hAnsi="Cambria Math"/>
            <w:color w:val="auto"/>
            <w:szCs w:val="24"/>
            <w:lang w:val="en-CA" w:eastAsia="en-CA"/>
          </w:rPr>
          <m:t>(t)</m:t>
        </m:r>
      </m:oMath>
      <w:r w:rsidR="00FE013C" w:rsidRPr="00A91FD2">
        <w:rPr>
          <w:color w:val="auto"/>
          <w:szCs w:val="24"/>
          <w:lang w:val="en-CA" w:eastAsia="en-CA"/>
        </w:rPr>
        <w:t xml:space="preserve">= battery degradation cost at hour </w:t>
      </w:r>
      <m:oMath>
        <m:r>
          <w:rPr>
            <w:rFonts w:ascii="Cambria Math" w:hAnsi="Cambria Math"/>
            <w:color w:val="auto"/>
            <w:szCs w:val="24"/>
            <w:lang w:val="en-CA" w:eastAsia="en-CA"/>
          </w:rPr>
          <m:t>t</m:t>
        </m:r>
      </m:oMath>
      <w:r w:rsidR="00FE013C" w:rsidRPr="00A91FD2">
        <w:rPr>
          <w:color w:val="auto"/>
          <w:szCs w:val="24"/>
          <w:lang w:val="en-CA" w:eastAsia="en-CA"/>
        </w:rPr>
        <w:t xml:space="preserve">(cycle depth and usage-based wear) </w:t>
      </w:r>
    </w:p>
    <w:p w14:paraId="597BD316"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cap</m:t>
            </m:r>
          </m:sub>
        </m:sSub>
        <m:r>
          <w:rPr>
            <w:rFonts w:ascii="Cambria Math" w:hAnsi="Cambria Math"/>
            <w:color w:val="auto"/>
            <w:szCs w:val="24"/>
            <w:lang w:val="en-CA" w:eastAsia="en-CA"/>
          </w:rPr>
          <m:t>(⋅)</m:t>
        </m:r>
      </m:oMath>
      <w:r w:rsidR="00FE013C" w:rsidRPr="00A91FD2">
        <w:rPr>
          <w:color w:val="auto"/>
          <w:szCs w:val="24"/>
          <w:lang w:val="en-CA" w:eastAsia="en-CA"/>
        </w:rPr>
        <w:t xml:space="preserve">= capital cost (battery in $/kWh, PV/wind in $/kW) </w:t>
      </w:r>
    </w:p>
    <w:p w14:paraId="7E5DCE67"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BATT,ch</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BATT,disch</m:t>
            </m:r>
          </m:sub>
        </m:sSub>
      </m:oMath>
      <w:r w:rsidR="00FE013C" w:rsidRPr="00A91FD2">
        <w:rPr>
          <w:color w:val="auto"/>
          <w:szCs w:val="24"/>
          <w:lang w:val="en-CA" w:eastAsia="en-CA"/>
        </w:rPr>
        <w:t xml:space="preserve">= battery charge/discharge power (MW) </w:t>
      </w:r>
    </w:p>
    <w:p w14:paraId="6FC43655" w14:textId="77777777" w:rsidR="00FE013C" w:rsidRPr="00A91FD2" w:rsidRDefault="00FE013C" w:rsidP="004C16FF">
      <w:pPr>
        <w:numPr>
          <w:ilvl w:val="0"/>
          <w:numId w:val="15"/>
        </w:numPr>
        <w:spacing w:before="100" w:beforeAutospacing="1" w:after="100" w:afterAutospacing="1"/>
        <w:rPr>
          <w:color w:val="auto"/>
          <w:szCs w:val="24"/>
          <w:lang w:val="en-CA" w:eastAsia="en-CA"/>
        </w:rPr>
      </w:pPr>
      <m:oMath>
        <m:r>
          <m:rPr>
            <m:nor/>
          </m:rPr>
          <w:rPr>
            <w:color w:val="auto"/>
            <w:szCs w:val="24"/>
            <w:lang w:val="en-CA" w:eastAsia="en-CA"/>
          </w:rPr>
          <m:t>resource</m:t>
        </m:r>
        <m:r>
          <w:rPr>
            <w:rFonts w:ascii="Cambria Math" w:hAnsi="Cambria Math"/>
            <w:color w:val="auto"/>
            <w:szCs w:val="24"/>
            <w:lang w:val="en-CA" w:eastAsia="en-CA"/>
          </w:rPr>
          <m:t>(t)</m:t>
        </m:r>
      </m:oMath>
      <w:r w:rsidRPr="00A91FD2">
        <w:rPr>
          <w:color w:val="auto"/>
          <w:szCs w:val="24"/>
          <w:lang w:val="en-CA" w:eastAsia="en-CA"/>
        </w:rPr>
        <w:t xml:space="preserve">= available renewable resource at time </w:t>
      </w:r>
      <m:oMath>
        <m:r>
          <w:rPr>
            <w:rFonts w:ascii="Cambria Math" w:hAnsi="Cambria Math"/>
            <w:color w:val="auto"/>
            <w:szCs w:val="24"/>
            <w:lang w:val="en-CA" w:eastAsia="en-CA"/>
          </w:rPr>
          <m:t>t</m:t>
        </m:r>
      </m:oMath>
    </w:p>
    <w:p w14:paraId="556550E4"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m:rPr>
                <m:nor/>
              </m:rPr>
              <w:rPr>
                <w:color w:val="auto"/>
                <w:szCs w:val="24"/>
                <w:lang w:val="en-CA" w:eastAsia="en-CA"/>
              </w:rPr>
              <m:t>CI</m:t>
            </m:r>
          </m:e>
          <m:sub>
            <m:r>
              <m:rPr>
                <m:nor/>
              </m:rPr>
              <w:rPr>
                <w:color w:val="auto"/>
                <w:szCs w:val="24"/>
                <w:lang w:val="en-CA" w:eastAsia="en-CA"/>
              </w:rPr>
              <m:t>grid</m:t>
            </m:r>
          </m:sub>
        </m:sSub>
        <m:r>
          <w:rPr>
            <w:rFonts w:ascii="Cambria Math" w:hAnsi="Cambria Math"/>
            <w:color w:val="auto"/>
            <w:szCs w:val="24"/>
            <w:lang w:val="en-CA" w:eastAsia="en-CA"/>
          </w:rPr>
          <m:t>(t)</m:t>
        </m:r>
      </m:oMath>
      <w:r w:rsidR="00FE013C" w:rsidRPr="00A91FD2">
        <w:rPr>
          <w:color w:val="auto"/>
          <w:szCs w:val="24"/>
          <w:lang w:val="en-CA" w:eastAsia="en-CA"/>
        </w:rPr>
        <w:t xml:space="preserve">= time-varying grid carbon intensity </w:t>
      </w:r>
    </w:p>
    <w:p w14:paraId="2ADD17F7" w14:textId="1D2BABD4" w:rsidR="00FE013C" w:rsidRDefault="00FE013C" w:rsidP="004C16FF">
      <w:pPr>
        <w:spacing w:after="120"/>
        <w:ind w:firstLine="480"/>
      </w:pPr>
      <w:r w:rsidRPr="0084108D">
        <w:t xml:space="preserve">Deterministic design </w:t>
      </w:r>
      <w:r w:rsidR="00580BAE" w:rsidRPr="0084108D">
        <w:t>prioritizes</w:t>
      </w:r>
      <w:r w:rsidRPr="0084108D">
        <w:t xml:space="preserve"> maximum reliability but is structurally overbuilt and </w:t>
      </w:r>
      <w:r w:rsidR="00F14A82" w:rsidRPr="0084108D">
        <w:t>capital inefficient</w:t>
      </w:r>
      <w:r w:rsidRPr="0084108D">
        <w:t xml:space="preserve">. Probabilistic design introduces a reliability–cost trade-off using stochastic adequacy metrics to reduce oversizing while accepting controlled risk. </w:t>
      </w:r>
      <w:r w:rsidR="00580BAE" w:rsidRPr="0084108D">
        <w:t>Optimization</w:t>
      </w:r>
      <w:r w:rsidRPr="0084108D">
        <w:t xml:space="preserve">-based design yields a Pareto-optimal solution that simultaneously balances capital expenditure, operational cost, and reliability. This </w:t>
      </w:r>
      <w:r w:rsidR="00580BAE" w:rsidRPr="0084108D">
        <w:t>optimization</w:t>
      </w:r>
      <w:r w:rsidRPr="0084108D">
        <w:t xml:space="preserve"> framework is advantageous because it produces a financially and technically coherent system by jointly </w:t>
      </w:r>
      <w:r w:rsidR="00580BAE" w:rsidRPr="0084108D">
        <w:t>minimizing</w:t>
      </w:r>
      <w:r w:rsidRPr="0084108D">
        <w:t xml:space="preserve"> costs, ensuring reliability, and incorporating emission constraints under explicit physical and grid limitations, while also enabling sensitivity analysis across technology cost trajectories, financing assumptions, and interconnection constraints, making it suitable for investment-grade infrastructure planning.</w:t>
      </w:r>
      <w:r>
        <w:t xml:space="preserve"> </w:t>
      </w:r>
      <w:r w:rsidRPr="008A2A37">
        <w:t>Fig. 5 maps the energy storage technology landscape by duration and cost, with the bubble size proportional to the round-trip efficiency, highlighting the distinct performance envelopes of Li-ion LFP (2–8 h), flow batteries (8–24 h), iron-air (24–100 h), and green hydrogen (100+ h) that inform the three sizing methods above.</w:t>
      </w:r>
    </w:p>
    <w:p w14:paraId="7EED3019" w14:textId="77777777" w:rsidR="00FE013C" w:rsidRDefault="00FE013C" w:rsidP="00FC3188">
      <w:pPr>
        <w:keepNext/>
        <w:spacing w:after="120"/>
        <w:jc w:val="center"/>
      </w:pPr>
      <w:r w:rsidRPr="00582570">
        <w:rPr>
          <w:noProof/>
          <w:lang w:val="en-CA"/>
        </w:rPr>
        <w:lastRenderedPageBreak/>
        <w:drawing>
          <wp:inline distT="0" distB="0" distL="0" distR="0" wp14:anchorId="30D28A52" wp14:editId="1811493A">
            <wp:extent cx="5537200" cy="3155950"/>
            <wp:effectExtent l="0" t="0" r="6350" b="635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80" t="9302" r="689" b="18426"/>
                    <a:stretch>
                      <a:fillRect/>
                    </a:stretch>
                  </pic:blipFill>
                  <pic:spPr bwMode="auto">
                    <a:xfrm>
                      <a:off x="0" y="0"/>
                      <a:ext cx="5539079" cy="3157021"/>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77777777" w:rsidR="00FE013C" w:rsidRDefault="00FE013C" w:rsidP="00FC3188">
      <w:pPr>
        <w:pStyle w:val="Caption"/>
        <w:jc w:val="center"/>
      </w:pPr>
      <w:r>
        <w:t xml:space="preserve">Figure </w:t>
      </w:r>
      <w:fldSimple w:instr=" SEQ Figure \* ARABIC ">
        <w:r>
          <w:rPr>
            <w:noProof/>
          </w:rPr>
          <w:t>5</w:t>
        </w:r>
      </w:fldSimple>
      <w:r>
        <w:t xml:space="preserve"> </w:t>
      </w:r>
      <w:r w:rsidRPr="00125836">
        <w:t>Energy storage technology landscape: duration vs. cost trade-offs</w:t>
      </w:r>
    </w:p>
    <w:p w14:paraId="02B303F1" w14:textId="77777777" w:rsidR="00FE013C" w:rsidRDefault="00FE013C" w:rsidP="004C16FF">
      <w:pPr>
        <w:pStyle w:val="Heading20"/>
        <w:jc w:val="both"/>
        <w:rPr>
          <w:color w:val="auto"/>
        </w:rPr>
      </w:pPr>
      <w:r>
        <w:rPr>
          <w:color w:val="auto"/>
        </w:rPr>
        <w:t>5.4. Hybrid Backup Power Systems</w:t>
      </w:r>
    </w:p>
    <w:p w14:paraId="28AADF7D" w14:textId="5AE36284" w:rsidR="00FE013C" w:rsidRPr="00EE0471" w:rsidRDefault="00FE013C" w:rsidP="004C16FF">
      <w:pPr>
        <w:spacing w:after="120"/>
        <w:ind w:firstLine="480"/>
      </w:pPr>
      <w:r w:rsidRPr="00EE0471">
        <w:t>Choosing a technology for backup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instrText xml:space="preserve"> ADDIN ZOTERO_ITEM CSL_CITATION {"citationID":"y7cVLr5U","properties":{"unsorted":false,"formattedCitation":"[118]","plainCitation":"[118]","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Pr="00584BC7">
        <w:t>[118]</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77777777" w:rsidR="00FE013C" w:rsidRPr="00EE0471" w:rsidRDefault="00FE013C" w:rsidP="004C16FF">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lower per kWh, and the local air quality impact is much lower. Capital costs are similar to those of diesel ($350 - $650/kW), but the reliability of the fuel supply is dependent on the natural gas pipeline infrastructure, which might be vulnerable during extreme weather events</w:t>
      </w:r>
      <w:r>
        <w:fldChar w:fldCharType="begin"/>
      </w:r>
      <w:r>
        <w:instrText xml:space="preserve"> ADDIN ZOTERO_ITEM CSL_CITATION {"citationID":"KkWqXrYg","properties":{"unsorted":false,"formattedCitation":"[119]","plainCitation":"[119]","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Pr="00584BC7">
        <w:t>[119]</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instrText xml:space="preserve"> ADDIN ZOTERO_ITEM CSL_CITATION {"citationID":"H0M4Pu4F","properties":{"unsorted":false,"formattedCitation":"[117]","plainCitation":"[117]","noteIndex":0},"citationItems":[{"id":2082,"uris":["http://zotero.org/users/9870935/items/PZTN4HPZ"],"itemData":{"id":2082,"type":"post-weblog","title":"Powering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[117]</w:t>
      </w:r>
      <w:r>
        <w:fldChar w:fldCharType="end"/>
      </w:r>
      <w:r w:rsidRPr="00EE0471">
        <w:t>.</w:t>
      </w:r>
    </w:p>
    <w:p w14:paraId="162FD4D7" w14:textId="16A56387" w:rsidR="00FE013C" w:rsidRPr="00EE0471" w:rsidRDefault="00FE013C" w:rsidP="004C16FF">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contracts are a mix of firm capacity and interruptible lower-powered rates that offer economic flexibility along with backup power</w:t>
      </w:r>
      <w:r>
        <w:fldChar w:fldCharType="begin"/>
      </w:r>
      <w:r>
        <w:instrText xml:space="preserve"> ADDIN ZOTERO_ITEM CSL_CITATION {"citationID":"a5J6f3tN","properties":{"unsorted":false,"formattedCitation":"[120]","plainCitation":"[120]","noteIndex":0},"citationItems":[{"id":2083,"uris":["http://zotero.org/users/9870935/items/XWHBFKKT"],"itemData":{"id":2083,"type":"post-weblog","title":"Powering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Pr="00584BC7">
        <w:t>[120]</w:t>
      </w:r>
      <w:r>
        <w:fldChar w:fldCharType="end"/>
      </w:r>
      <w:r w:rsidRPr="00EE0471">
        <w:t>. Grid backup varies widely from region to region, with an average of 1.5 to 6 hours of utility outages per year in the U.S. for each utility and geographic area</w:t>
      </w:r>
      <w:r>
        <w:fldChar w:fldCharType="begin"/>
      </w:r>
      <w:r>
        <w:instrText xml:space="preserve"> ADDIN ZOTERO_ITEM CSL_CITATION {"citationID":"UpEoxyqs","properties":{"unsorted":false,"formattedCitation":"[110]","plainCitation":"[110]","noteIndex":0},"citationItems":[{"id":2084,"uris":["http://zotero.org/users/9870935/items/TIB5XQM5"],"itemData":{"id":2084,"type":"post-weblog","title":"Electric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Pr="00584BC7">
        <w:t>[110]</w:t>
      </w:r>
      <w:r>
        <w:fldChar w:fldCharType="end"/>
      </w:r>
      <w:r w:rsidRPr="00EE0471">
        <w:t>.</w:t>
      </w:r>
    </w:p>
    <w:p w14:paraId="4404FCEB" w14:textId="77777777" w:rsidR="00FE013C" w:rsidRDefault="00FE013C" w:rsidP="004C16FF">
      <w:pPr>
        <w:pStyle w:val="Heading20"/>
        <w:jc w:val="both"/>
        <w:rPr>
          <w:color w:val="auto"/>
        </w:rPr>
      </w:pPr>
      <w:r>
        <w:rPr>
          <w:color w:val="auto"/>
        </w:rPr>
        <w:t>5.5. Integration and Control Architecture</w:t>
      </w:r>
    </w:p>
    <w:p w14:paraId="0E67A1C9" w14:textId="0CCA29CD" w:rsidR="00FE013C" w:rsidRPr="00FE141F" w:rsidRDefault="00FE013C" w:rsidP="004C16FF">
      <w:pPr>
        <w:spacing w:after="120"/>
        <w:ind w:firstLine="480"/>
      </w:pPr>
      <w:r w:rsidRPr="00FE141F">
        <w:lastRenderedPageBreak/>
        <w:t xml:space="preserve">In a microgrid for a data </w:t>
      </w:r>
      <w:r w:rsidR="00580BAE">
        <w:t>center</w:t>
      </w:r>
      <w:r w:rsidRPr="00FE141F">
        <w:t xml:space="preserve"> powered by renewable energy, the energy management system (EMS) provides central intelligence coordination of renewable generation, storage dispatch, backup power activation, and demand-side management. Modern EMS platforms have three main levels of control: device-level controllers that react to grid signals in milliseconds, facility-level EMS that control dispatch </w:t>
      </w:r>
      <w:r w:rsidR="00580BAE" w:rsidRPr="00FE141F">
        <w:t>optimization</w:t>
      </w:r>
      <w:r w:rsidRPr="00FE141F">
        <w:t xml:space="preserve"> every hour, and corporate-level </w:t>
      </w:r>
      <w:r w:rsidR="00580BAE" w:rsidRPr="00FE141F">
        <w:t>optimizers</w:t>
      </w:r>
      <w:r w:rsidRPr="00FE141F">
        <w:t xml:space="preserve"> that control resource allocation across multiple facilities</w:t>
      </w:r>
      <w:r>
        <w:fldChar w:fldCharType="begin"/>
      </w:r>
      <w:r>
        <w:instrText xml:space="preserve"> ADDIN ZOTERO_ITEM CSL_CITATION {"citationID":"PrmsOtPX","properties":{"unsorted":false,"formattedCitation":"[121]","plainCitation":"[121]","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fldChar w:fldCharType="separate"/>
      </w:r>
      <w:r w:rsidRPr="00584BC7">
        <w:t>[121]</w:t>
      </w:r>
      <w:r>
        <w:fldChar w:fldCharType="end"/>
      </w:r>
      <w:r w:rsidRPr="00FE141F">
        <w:t>.</w:t>
      </w:r>
    </w:p>
    <w:p w14:paraId="38B64A67" w14:textId="4E70A518" w:rsidR="00FE013C" w:rsidRPr="00FE141F" w:rsidRDefault="00FE013C" w:rsidP="004C16FF">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fldChar w:fldCharType="begin"/>
      </w:r>
      <w:r>
        <w:instrText xml:space="preserve"> ADDIN ZOTERO_ITEM CSL_CITATION {"citationID":"vgPGRl66","properties":{"unsorted":false,"formattedCitation":"[112]","plainCitation":"[112]","noteIndex":0},"citationItems":[{"id":2086,"uris":["http://zotero.org/users/9870935/items/PSX5T5NE"],"itemData":{"id":2086,"type":"article-journal","abstract":"Renewable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fldChar w:fldCharType="separate"/>
      </w:r>
      <w:r w:rsidRPr="00584BC7">
        <w:t>[112]</w:t>
      </w:r>
      <w:r>
        <w:fldChar w:fldCharType="end"/>
      </w:r>
      <w:r w:rsidRPr="00FE141F">
        <w:t xml:space="preserve">. The MPC formulation aims to </w:t>
      </w:r>
      <w:r w:rsidR="00580BAE" w:rsidRPr="00FE141F">
        <w:t>minimize</w:t>
      </w:r>
      <w:r w:rsidRPr="00FE141F">
        <w:t xml:space="preserv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compared to simple rule-based dispatch strategies</w:t>
      </w:r>
      <w:r>
        <w:fldChar w:fldCharType="begin"/>
      </w:r>
      <w:r>
        <w:instrText xml:space="preserve"> ADDIN ZOTERO_ITEM CSL_CITATION {"citationID":"n2uVBffu","properties":{"unsorted":false,"formattedCitation":"[113]","plainCitation":"[113]","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fldChar w:fldCharType="separate"/>
      </w:r>
      <w:r w:rsidRPr="00584BC7">
        <w:t>[113]</w:t>
      </w:r>
      <w:r>
        <w:fldChar w:fldCharType="end"/>
      </w:r>
      <w:r w:rsidRPr="00FE141F">
        <w:t>.</w:t>
      </w:r>
    </w:p>
    <w:p w14:paraId="4451159A" w14:textId="77777777" w:rsidR="00FE013C" w:rsidRPr="00FE141F" w:rsidRDefault="00FE013C" w:rsidP="004C16FF">
      <w:pPr>
        <w:spacing w:after="120"/>
        <w:ind w:firstLine="480"/>
      </w:pPr>
      <w:r w:rsidRPr="00FE141F">
        <w:t>A key aspect of system reliability is the implementation of fault detection, redundancy, and failover logic. Modern EMS platforms have N+1 or 2N redundancy for key components and automatically fail if any controller or communication fails. To address the growing threats to critical infrastructure, cybersecurity provisions, such as encrypted communications, multi-factor authentication, and network segmentation between operational technology (OT) and enterprise IT networks, are vital</w:t>
      </w:r>
      <w:r>
        <w:fldChar w:fldCharType="begin"/>
      </w:r>
      <w:r>
        <w:instrText xml:space="preserve"> ADDIN ZOTERO_ITEM CSL_CITATION {"citationID":"pn3NYYgZ","properties":{"unsorted":false,"formattedCitation":"[122]","plainCitation":"[122]","noteIndex":0},"citationItems":[{"id":2089,"uris":["http://zotero.org/users/9870935/items/QKZEVQIE"],"itemData":{"id":2089,"type":"article-journal","abstract":"In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fldChar w:fldCharType="separate"/>
      </w:r>
      <w:r w:rsidRPr="00584BC7">
        <w:t>[122]</w:t>
      </w:r>
      <w:r>
        <w:fldChar w:fldCharType="end"/>
      </w:r>
      <w:r w:rsidRPr="00FE141F">
        <w:t>.</w:t>
      </w:r>
    </w:p>
    <w:p w14:paraId="75B69A05" w14:textId="77777777" w:rsidR="00FE013C" w:rsidRDefault="00FE013C" w:rsidP="004C16FF">
      <w:pPr>
        <w:pStyle w:val="Heading10"/>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0"/>
        <w:jc w:val="both"/>
        <w:rPr>
          <w:color w:val="auto"/>
        </w:rPr>
      </w:pPr>
      <w:r>
        <w:rPr>
          <w:color w:val="auto"/>
        </w:rPr>
        <w:t>6.1. Steady-State Power Flow Analysis</w:t>
      </w:r>
    </w:p>
    <w:p w14:paraId="4CAD0C04" w14:textId="45393403" w:rsidR="00FE013C" w:rsidRPr="00970159" w:rsidRDefault="00FE013C" w:rsidP="004C16FF">
      <w:pPr>
        <w:spacing w:after="120"/>
        <w:ind w:firstLine="480"/>
      </w:pPr>
      <w:r w:rsidRPr="00970159">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instrText xml:space="preserve"> ADDIN ZOTERO_ITEM CSL_CITATION {"citationID":"R69gUmT3","properties":{"unsorted":false,"formattedCitation":"[123]","plainCitation":"[123]","noteIndex":0},"citationItems":[{"id":2090,"uris":["http://zotero.org/users/9870935/items/MW6JYBRT"],"itemData":{"id":2090,"type":"article-journal","container-title":"IEEE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Pr="00584BC7">
        <w:t>[123]</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instrText xml:space="preserve"> ADDIN ZOTERO_ITEM CSL_CITATION {"citationID":"mJtqhMx4","properties":{"unsorted":false,"formattedCitation":"[124]","plainCitation":"[124]","noteIndex":0},"citationItems":[{"id":2091,"uris":["http://zotero.org/users/9870935/items/P7FFXDCA"],"itemData":{"id":2091,"type":"article-journal","container-title":"IEEE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Pr="00584BC7">
        <w:t>[124]</w:t>
      </w:r>
      <w:r>
        <w:fldChar w:fldCharType="end"/>
      </w:r>
      <w:r w:rsidRPr="00970159">
        <w:t>.</w:t>
      </w:r>
    </w:p>
    <w:p w14:paraId="25B2D104" w14:textId="0F0B5529" w:rsidR="00FE013C" w:rsidRPr="00970159" w:rsidRDefault="00FE013C" w:rsidP="004C16FF">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instrText xml:space="preserve"> ADDIN ZOTERO_ITEM CSL_CITATION {"citationID":"ZkcxuEkd","properties":{"unsorted":false,"formattedCitation":"[125]","plainCitation":"[125]","noteIndex":0},"citationItems":[{"id":2092,"uris":["http://zotero.org/users/9870935/items/5VTNPVIA"],"itemData":{"id":2092,"type":"article-journal","container-title":"IEEE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Pr="00584BC7">
        <w:t>[125]</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instrText xml:space="preserve"> ADDIN ZOTERO_ITEM CSL_CITATION {"citationID":"ipICDqP7","properties":{"unsorted":false,"formattedCitation":"[126]","plainCitation":"[126]","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Pr="00584BC7">
        <w:t>[126]</w:t>
      </w:r>
      <w:r>
        <w:fldChar w:fldCharType="end"/>
      </w:r>
      <w:r w:rsidRPr="00970159">
        <w:t xml:space="preserve">. The tools often used for power </w:t>
      </w:r>
      <w:r w:rsidRPr="00970159">
        <w:lastRenderedPageBreak/>
        <w:t xml:space="preserve">flow analysis are MATPOWER, an open-source MATLAB toolbox; PSS/E, a commercial tool; and </w:t>
      </w:r>
      <w:proofErr w:type="spellStart"/>
      <w:r w:rsidRPr="00970159">
        <w:t>DIgSILENT</w:t>
      </w:r>
      <w:proofErr w:type="spellEnd"/>
      <w:r w:rsidRPr="00970159">
        <w:t xml:space="preserve"> </w:t>
      </w:r>
      <w:proofErr w:type="spellStart"/>
      <w:r w:rsidRPr="00970159">
        <w:t>PowerFactory</w:t>
      </w:r>
      <w:proofErr w:type="spellEnd"/>
      <w:r w:rsidRPr="00970159">
        <w:t>, a commercial and popular tool in Europe</w:t>
      </w:r>
      <w:r>
        <w:fldChar w:fldCharType="begin"/>
      </w:r>
      <w:r>
        <w:instrText xml:space="preserve"> ADDIN ZOTERO_ITEM CSL_CITATION {"citationID":"BkNp7by7","properties":{"unsorted":false,"formattedCitation":"[127]","plainCitation":"[127]","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Pr="00584BC7">
        <w:t>[127]</w:t>
      </w:r>
      <w:r>
        <w:fldChar w:fldCharType="end"/>
      </w:r>
      <w:r w:rsidRPr="00970159">
        <w:t>.</w:t>
      </w:r>
    </w:p>
    <w:p w14:paraId="58095EF1" w14:textId="77777777" w:rsidR="00FE013C" w:rsidRDefault="00FE013C" w:rsidP="004C16FF">
      <w:pPr>
        <w:pStyle w:val="Heading20"/>
        <w:jc w:val="both"/>
        <w:rPr>
          <w:color w:val="auto"/>
        </w:rPr>
      </w:pPr>
      <w:r>
        <w:rPr>
          <w:color w:val="auto"/>
        </w:rPr>
        <w:t>6.2. Transient Stability and Grid Dynamics</w:t>
      </w:r>
    </w:p>
    <w:p w14:paraId="7A8C313E" w14:textId="57C0EB21" w:rsidR="00FE013C" w:rsidRPr="0070515F" w:rsidRDefault="00FE013C" w:rsidP="004C16FF">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instrText xml:space="preserve"> ADDIN ZOTERO_ITEM CSL_CITATION {"citationID":"EnZx5jNZ","properties":{"unsorted":false,"formattedCitation":"[18], [128]","plainCitation":"[18], [128]","noteIndex":0},"citationItems":[{"id":1927,"uris":["http://zotero.org/users/9870935/items/PZK7R79L"],"itemData":{"id":1927,"type":"article-journal","abstract":"The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Pr="00584BC7">
        <w:t>[18], [128]</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instrText xml:space="preserve"> ADDIN ZOTERO_ITEM CSL_CITATION {"citationID":"AdxixQhk","properties":{"unsorted":false,"formattedCitation":"[129]","plainCitation":"[129]","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Pr="00584BC7">
        <w:t>[129]</w:t>
      </w:r>
      <w:r>
        <w:fldChar w:fldCharType="end"/>
      </w:r>
      <w:r w:rsidRPr="0070515F">
        <w:t>.</w:t>
      </w:r>
    </w:p>
    <w:p w14:paraId="6F4A14BA" w14:textId="3DC8582C" w:rsidR="00FE013C" w:rsidRPr="0070515F" w:rsidRDefault="00FE013C" w:rsidP="004C16FF">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instrText xml:space="preserve"> ADDIN ZOTERO_ITEM CSL_CITATION {"citationID":"nNqJkW4n","properties":{"unsorted":false,"formattedCitation":"[130]","plainCitation":"[130]","noteIndex":0},"citationItems":[{"id":2097,"uris":["http://zotero.org/users/9870935/items/KGQXJHH9"],"itemData":{"id":2097,"type":"article-journal","container-title":"IEEE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Pr="00584BC7">
        <w:t>[130]</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instrText xml:space="preserve"> ADDIN ZOTERO_ITEM CSL_CITATION {"citationID":"VvGA3otY","properties":{"unsorted":false,"formattedCitation":"[131]","plainCitation":"[131]","noteIndex":0},"citationItems":[{"id":2100,"uris":["http://zotero.org/users/9870935/items/CW9DIYPL"],"itemData":{"id":2100,"type":"document","title":"Inverter-Based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Pr="00584BC7">
        <w:t>[131]</w:t>
      </w:r>
      <w:r>
        <w:fldChar w:fldCharType="end"/>
      </w:r>
      <w:r w:rsidRPr="0070515F">
        <w:t>.</w:t>
      </w:r>
    </w:p>
    <w:p w14:paraId="080A117E" w14:textId="77777777" w:rsidR="00FE013C" w:rsidRDefault="00FE013C" w:rsidP="004C16FF">
      <w:pPr>
        <w:pStyle w:val="Heading20"/>
        <w:jc w:val="both"/>
        <w:rPr>
          <w:color w:val="auto"/>
        </w:rPr>
      </w:pPr>
      <w:r>
        <w:rPr>
          <w:color w:val="auto"/>
        </w:rPr>
        <w:t>6.3. Harmonic Analysis and Power Quality</w:t>
      </w:r>
    </w:p>
    <w:p w14:paraId="054DD43C" w14:textId="167B32F4" w:rsidR="00FE013C" w:rsidRPr="00637E25" w:rsidRDefault="00FE013C" w:rsidP="004C16FF">
      <w:pPr>
        <w:spacing w:after="120"/>
        <w:ind w:firstLine="480"/>
      </w:pPr>
      <w:r w:rsidRPr="00637E25">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Frequency-domain analysis techniques such as Fourier decomposition and harmonic impedance scanning are employed to detect resonance conditions which could increase the level of specific harmonic orders</w:t>
      </w:r>
      <w:r>
        <w:fldChar w:fldCharType="begin"/>
      </w:r>
      <w:r>
        <w:instrText xml:space="preserve"> ADDIN ZOTERO_ITEM CSL_CITATION {"citationID":"9pAXEXox","properties":{"unsorted":false,"formattedCitation":"[132]","plainCitation":"[132]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Pr="00584BC7">
        <w:t>[132]</w:t>
      </w:r>
      <w:r>
        <w:fldChar w:fldCharType="end"/>
      </w:r>
      <w:r w:rsidRPr="00637E25">
        <w:t>.</w:t>
      </w:r>
    </w:p>
    <w:p w14:paraId="15D3C3E3" w14:textId="371D4AC4" w:rsidR="00FE013C" w:rsidRPr="00637E25" w:rsidRDefault="00FE013C" w:rsidP="004C16FF">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instrText xml:space="preserve"> ADDIN ZOTERO_ITEM CSL_CITATION {"citationID":"mqXTld0r","properties":{"unsorted":false,"formattedCitation":"[132]","plainCitation":"[132]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Pr="00584BC7">
        <w:t>[132]</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instrText xml:space="preserve"> ADDIN ZOTERO_ITEM CSL_CITATION {"citationID":"dBxza6Dz","properties":{"unsorted":false,"formattedCitation":"[133]","plainCitation":"[133]","noteIndex":0},"citationItems":[{"id":2102,"uris":["http://zotero.org/users/9870935/items/V6QTZZ73"],"itemData":{"id":2102,"type":"article-journal","abstract":"Power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Pr="00584BC7">
        <w:t>[133]</w:t>
      </w:r>
      <w:r>
        <w:fldChar w:fldCharType="end"/>
      </w:r>
      <w:r w:rsidRPr="00637E25">
        <w:t>.</w:t>
      </w:r>
    </w:p>
    <w:p w14:paraId="780E96E1" w14:textId="77777777" w:rsidR="00FE013C" w:rsidRDefault="00FE013C" w:rsidP="004C16FF">
      <w:pPr>
        <w:pStyle w:val="Heading20"/>
        <w:jc w:val="both"/>
        <w:rPr>
          <w:color w:val="auto"/>
        </w:rPr>
      </w:pPr>
      <w:r>
        <w:rPr>
          <w:color w:val="auto"/>
        </w:rPr>
        <w:t>6.4. Microgrid Modeling Frameworks</w:t>
      </w:r>
    </w:p>
    <w:p w14:paraId="62BF3783" w14:textId="4426D07D" w:rsidR="00FE013C" w:rsidRPr="0014185D" w:rsidRDefault="00FE013C" w:rsidP="004C16FF">
      <w:pPr>
        <w:spacing w:after="120"/>
        <w:ind w:firstLine="480"/>
      </w:pPr>
      <w:r w:rsidRPr="0014185D">
        <w:t xml:space="preserve">There are a variety of software packages for microgrid modelling and simulation, ranging in fidelity and efficiency. HOMER (Hybrid Optimization Model for Electric Renewables), developed by NREL and Modeled by UL Solutions, is a dispatch simulation that combines economic </w:t>
      </w:r>
      <w:r w:rsidR="00580BAE" w:rsidRPr="0014185D">
        <w:t>optimization</w:t>
      </w:r>
      <w:r w:rsidRPr="0014185D">
        <w:t xml:space="preserve"> and is particularly useful for sizing applications and comparison of technologies</w:t>
      </w:r>
      <w:r>
        <w:fldChar w:fldCharType="begin"/>
      </w:r>
      <w:r>
        <w:instrText xml:space="preserve"> ADDIN ZOTERO_ITEM CSL_CITATION {"citationID":"TEOEDiB7","properties":{"unsorted":false,"formattedCitation":"[134]","plainCitation":"[134]","noteIndex":0},"citationItems":[{"id":2104,"uris":["http://zotero.org/users/9870935/items/VUEBTNAU"],"itemData":{"id":2104,"type":"post-weblog","title":"Microgrid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Pr="00584BC7">
        <w:t>[134]</w:t>
      </w:r>
      <w:r>
        <w:fldChar w:fldCharType="end"/>
      </w:r>
      <w:r w:rsidRPr="0014185D">
        <w:t xml:space="preserve">. HOMER Pro has built-in component models of solar PV, wind turbines, batteries, generators, and grid interconnection, and sensitivity analysis to explore parameter uncertainty. However, HOMER’s hourly </w:t>
      </w:r>
      <w:r w:rsidRPr="0014185D">
        <w:lastRenderedPageBreak/>
        <w:t>time resolution may not be adequate for sub-hourly phenomena, such as frequency regulation and voltage transients.</w:t>
      </w:r>
    </w:p>
    <w:p w14:paraId="5CC18D81" w14:textId="00915019" w:rsidR="00FE013C" w:rsidRPr="0014185D" w:rsidRDefault="00FE013C" w:rsidP="004C16FF">
      <w:pPr>
        <w:spacing w:after="120"/>
        <w:ind w:firstLine="480"/>
      </w:pPr>
      <w:r w:rsidRPr="0014185D">
        <w:t xml:space="preserve">For detailed electromagnetic transient simulations, MATLAB Simulink with the </w:t>
      </w:r>
      <w:proofErr w:type="spellStart"/>
      <w:r w:rsidRPr="0014185D">
        <w:t>Simscape</w:t>
      </w:r>
      <w:proofErr w:type="spellEnd"/>
      <w:r w:rsidRPr="0014185D">
        <w:t xml:space="preserve"> Electrical toolbox delivers analysis of the dynamics of inverter control, protection system co-ordination, and fast-switching power electronics. Several open-source tools are available, such as </w:t>
      </w:r>
      <w:proofErr w:type="spellStart"/>
      <w:r w:rsidRPr="0014185D">
        <w:t>Pandapower</w:t>
      </w:r>
      <w:proofErr w:type="spellEnd"/>
      <w:r w:rsidRPr="0014185D">
        <w:t xml:space="preserve"> (Python power flow), </w:t>
      </w:r>
      <w:r w:rsidRPr="002A1323">
        <w:t>PYPOWER (a Python port of the MATPOWER optimal power flow toolbox)</w:t>
      </w:r>
      <w:r w:rsidRPr="0014185D">
        <w:t xml:space="preserve">, and </w:t>
      </w:r>
      <w:proofErr w:type="spellStart"/>
      <w:r w:rsidRPr="0014185D">
        <w:t>OpenModelica</w:t>
      </w:r>
      <w:proofErr w:type="spellEnd"/>
      <w:r w:rsidRPr="0014185D">
        <w:t xml:space="preserve"> (equation-based modelling) for research and preliminary engineering studies</w:t>
      </w:r>
      <w:r>
        <w:fldChar w:fldCharType="begin"/>
      </w:r>
      <w:r>
        <w:instrText xml:space="preserve"> ADDIN ZOTERO_ITEM CSL_CITATION {"citationID":"9MlNjf5g","properties":{"unsorted":false,"formattedCitation":"[123]","plainCitation":"[123]","noteIndex":0},"citationItems":[{"id":2090,"uris":["http://zotero.org/users/9870935/items/MW6JYBRT"],"itemData":{"id":2090,"type":"article-journal","container-title":"IEEE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Pr="004864DB">
        <w:t>[123]</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instrText xml:space="preserve"> ADDIN ZOTERO_ITEM CSL_CITATION {"citationID":"B1rst5wh","properties":{"unsorted":false,"formattedCitation":"[135]","plainCitation":"[135]","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Pr="004864DB">
        <w:t>[135]</w:t>
      </w:r>
      <w:r>
        <w:fldChar w:fldCharType="end"/>
      </w:r>
      <w:r w:rsidRPr="0014185D">
        <w:t>.</w:t>
      </w:r>
    </w:p>
    <w:p w14:paraId="085E83CE" w14:textId="77777777" w:rsidR="00FE013C" w:rsidRDefault="00FE013C" w:rsidP="004C16FF">
      <w:pPr>
        <w:pStyle w:val="Heading20"/>
        <w:jc w:val="both"/>
        <w:rPr>
          <w:color w:val="auto"/>
        </w:rPr>
      </w:pPr>
      <w:r>
        <w:rPr>
          <w:color w:val="auto"/>
        </w:rPr>
        <w:t>6.5. Time-Series Simulation and Forecasting</w:t>
      </w:r>
    </w:p>
    <w:p w14:paraId="2CF32591" w14:textId="58DE2DC8" w:rsidR="00FE013C" w:rsidRPr="00AA52FF" w:rsidRDefault="00FE013C" w:rsidP="004C16FF">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instrText xml:space="preserve"> ADDIN ZOTERO_ITEM CSL_CITATION {"citationID":"bPQv1yvI","properties":{"unsorted":false,"formattedCitation":"[136]","plainCitation":"[136]","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Pr="004864DB">
        <w:t>[136]</w:t>
      </w:r>
      <w:r>
        <w:fldChar w:fldCharType="end"/>
      </w:r>
      <w:r w:rsidRPr="00AA52FF">
        <w:t>. At 5–15-min resolution, sub-hourly simulation can capture the rapid transients from cloud transients, wind gusts, and load steps, which impact power quality and frequency regulation.</w:t>
      </w:r>
    </w:p>
    <w:p w14:paraId="06F4FA34" w14:textId="4A2CC543" w:rsidR="00FE013C" w:rsidRPr="00AA52FF" w:rsidRDefault="00FE013C" w:rsidP="004C16FF">
      <w:pPr>
        <w:spacing w:after="120"/>
        <w:ind w:firstLine="480"/>
      </w:pPr>
      <w:r w:rsidRPr="00AA52FF">
        <w:t xml:space="preserve">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instrText xml:space="preserve"> ADDIN ZOTERO_ITEM CSL_CITATION {"citationID":"axvHbxNa","properties":{"unsorted":false,"formattedCitation":"[115]","plainCitation":"[115]","noteIndex":0},"citationItems":[{"id":2110,"uris":["http://zotero.org/users/9870935/items/WXV5HE5P"],"itemData":{"id":2110,"type":"book","abstract":"This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Pr="00584BC7">
        <w:t>[115]</w:t>
      </w:r>
      <w:r>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instrText xml:space="preserve"> ADDIN ZOTERO_ITEM CSL_CITATION {"citationID":"ExCX3b0d","properties":{"unsorted":false,"formattedCitation":"[137]","plainCitation":"[137]","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Pr="004864DB">
        <w:t>[137]</w:t>
      </w:r>
      <w:r>
        <w:fldChar w:fldCharType="end"/>
      </w:r>
      <w:r w:rsidRPr="00AA52FF">
        <w:t>.</w:t>
      </w:r>
    </w:p>
    <w:p w14:paraId="7F2F5E26" w14:textId="77777777" w:rsidR="00FE013C" w:rsidRDefault="00FE013C" w:rsidP="004C16FF">
      <w:pPr>
        <w:pStyle w:val="Heading20"/>
        <w:jc w:val="both"/>
        <w:rPr>
          <w:color w:val="auto"/>
        </w:rPr>
      </w:pPr>
      <w:r>
        <w:rPr>
          <w:color w:val="auto"/>
        </w:rPr>
        <w:t>6.6. Machine Learning for Control and Forecasting</w:t>
      </w:r>
    </w:p>
    <w:p w14:paraId="573BE006" w14:textId="1D921A5C" w:rsidR="00FE013C" w:rsidRPr="00D67F5B" w:rsidRDefault="00FE013C" w:rsidP="004C16FF">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convolutional neural networks (CNN), and attention-based transformer models, can enhance the accuracy of solar and wind power forecasts by 15–25</w:t>
      </w:r>
      <w:r>
        <w:t>%</w:t>
      </w:r>
      <w:r w:rsidRPr="00D67F5B">
        <w:t xml:space="preserve"> over traditional numerical weather prediction techniques</w:t>
      </w:r>
      <w:r>
        <w:fldChar w:fldCharType="begin"/>
      </w:r>
      <w:r>
        <w:instrText xml:space="preserve"> ADDIN ZOTERO_ITEM CSL_CITATION {"citationID":"aXxbu5p8","properties":{"unsorted":false,"formattedCitation":"[138]","plainCitation":"[138]","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fldChar w:fldCharType="separate"/>
      </w:r>
      <w:r w:rsidRPr="004864DB">
        <w:t>[138]</w:t>
      </w:r>
      <w:r>
        <w:fldChar w:fldCharType="end"/>
      </w:r>
      <w:r w:rsidRPr="00D67F5B">
        <w:t xml:space="preserve">. Deep reinforcement learning (DRL) has been proposed as a viable method to </w:t>
      </w:r>
      <w:r w:rsidR="00580BAE" w:rsidRPr="00D67F5B">
        <w:t>optimize</w:t>
      </w:r>
      <w:r w:rsidRPr="00D67F5B">
        <w:t xml:space="preserve"> dispatching policies for controlling a microgrid, in which an agent learns from an interaction with a simulated environment to find the optimal dispatching policy</w:t>
      </w:r>
      <w:r>
        <w:fldChar w:fldCharType="begin"/>
      </w:r>
      <w:r>
        <w:instrText xml:space="preserve"> ADDIN ZOTERO_ITEM CSL_CITATION {"citationID":"PKZO0BUq","properties":{"unsorted":false,"formattedCitation":"[139]","plainCitation":"[139]","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fldChar w:fldCharType="separate"/>
      </w:r>
      <w:r w:rsidRPr="004864DB">
        <w:t>[139]</w:t>
      </w:r>
      <w:r>
        <w:fldChar w:fldCharType="end"/>
      </w:r>
      <w:r w:rsidRPr="00D67F5B">
        <w:t>.</w:t>
      </w:r>
    </w:p>
    <w:p w14:paraId="2F0E28B6" w14:textId="5FC240D5" w:rsidR="00FE013C" w:rsidRPr="00D67F5B" w:rsidRDefault="00FE013C" w:rsidP="004C16FF">
      <w:pPr>
        <w:spacing w:after="120"/>
        <w:ind w:firstLine="480"/>
      </w:pPr>
      <w:r w:rsidRPr="00D67F5B">
        <w:t xml:space="preserve">Digital twin concepts, which involve virtual copies of physical systems that are continuously updated with sensor data, can facilitate predictive control strategies that can anticipate and proactively adjust to varying conditions. A digital twin of a data </w:t>
      </w:r>
      <w:r w:rsidR="00580BAE">
        <w:t>center</w:t>
      </w:r>
      <w:r w:rsidRPr="00D67F5B">
        <w:t xml:space="preserve"> microgrid can simulate the effect of </w:t>
      </w:r>
      <w:r w:rsidRPr="00D67F5B">
        <w:lastRenderedPageBreak/>
        <w:t>renewable generation prediction on battery dispatch, define the most suitable load scheduling periods, and predict equipment degradation</w:t>
      </w:r>
      <w:r>
        <w:fldChar w:fldCharType="begin"/>
      </w:r>
      <w:r>
        <w:instrText xml:space="preserve"> ADDIN ZOTERO_ITEM CSL_CITATION {"citationID":"atzHcWL3","properties":{"unsorted":false,"formattedCitation":"[140]","plainCitation":"[140]","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fldChar w:fldCharType="separate"/>
      </w:r>
      <w:r w:rsidRPr="004864DB">
        <w:t>[140]</w:t>
      </w:r>
      <w:r>
        <w:fldChar w:fldCharType="end"/>
      </w:r>
      <w:r w:rsidRPr="00D67F5B">
        <w:t xml:space="preserve">. There are still difficulties in ensuring the </w:t>
      </w:r>
      <w:r w:rsidR="00580BAE" w:rsidRPr="00D67F5B">
        <w:t>generalizability</w:t>
      </w:r>
      <w:r w:rsidRPr="00D67F5B">
        <w:t xml:space="preserve"> of machine learning models beyond the boundaries of the training data, especially for edge cases and extreme weather conditions that may have been underrepresented in the historical datasets</w:t>
      </w:r>
      <w:r>
        <w:fldChar w:fldCharType="begin"/>
      </w:r>
      <w:r>
        <w:instrText xml:space="preserve"> ADDIN ZOTERO_ITEM CSL_CITATION {"citationID":"jbAPFFwd","properties":{"unsorted":false,"formattedCitation":"[141]","plainCitation":"[141]","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fldChar w:fldCharType="separate"/>
      </w:r>
      <w:r w:rsidRPr="004864DB">
        <w:t>[141]</w:t>
      </w:r>
      <w:r>
        <w:fldChar w:fldCharType="end"/>
      </w:r>
      <w:r w:rsidRPr="00D67F5B">
        <w:t>.</w:t>
      </w:r>
    </w:p>
    <w:p w14:paraId="4D3CA27C" w14:textId="77777777" w:rsidR="00FE013C" w:rsidRDefault="00FE013C" w:rsidP="004C16FF">
      <w:pPr>
        <w:pStyle w:val="Heading10"/>
        <w:jc w:val="both"/>
        <w:rPr>
          <w:color w:val="auto"/>
        </w:rPr>
      </w:pPr>
      <w:r>
        <w:rPr>
          <w:color w:val="auto"/>
          <w:lang w:eastAsia="zh-CN"/>
        </w:rPr>
        <w:t xml:space="preserve">7. </w:t>
      </w:r>
      <w:r>
        <w:rPr>
          <w:color w:val="auto"/>
        </w:rPr>
        <w:t>Framework for Renewable-Powered AI Data Centers</w:t>
      </w:r>
    </w:p>
    <w:p w14:paraId="2A325D1E" w14:textId="2B21028A" w:rsidR="00FE013C" w:rsidRDefault="00FE013C" w:rsidP="004C16FF">
      <w:pPr>
        <w:spacing w:after="120"/>
        <w:ind w:firstLine="480"/>
      </w:pPr>
      <w:r>
        <w:t xml:space="preserve">This section presents the core contribution of this study: a comprehensive seven-component framework for designing, deploying, and operating AI data </w:t>
      </w:r>
      <w:r w:rsidR="00580BAE">
        <w:t>center</w:t>
      </w:r>
      <w:r>
        <w:t xml:space="preserve">s powered predominantly by renewable energy. The framework integrates site assessment, technology selection, electrical integration, control strategy, workload </w:t>
      </w:r>
      <w:proofErr w:type="spellStart"/>
      <w:r>
        <w:t>flexModelling</w:t>
      </w:r>
      <w:proofErr w:type="spellEnd"/>
      <w:r>
        <w:t xml:space="preserve"> economic viability, and sustainability compliance into a unified decision-making methodology.</w:t>
      </w:r>
    </w:p>
    <w:p w14:paraId="692B1B37" w14:textId="77777777" w:rsidR="00FE013C" w:rsidRDefault="00FE013C" w:rsidP="004C16FF">
      <w:pPr>
        <w:pStyle w:val="Heading20"/>
        <w:jc w:val="both"/>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356D30DB" w:rsidR="00FE013C" w:rsidRPr="00B4497F" w:rsidRDefault="00FE013C" w:rsidP="004C16FF">
      <w:pPr>
        <w:spacing w:after="120"/>
        <w:ind w:firstLine="480"/>
      </w:pPr>
      <w:r w:rsidRPr="00B4497F">
        <w:t xml:space="preserve">Site Assessment (Component 1) covers renewable resource availability, grid interconnection feasibility, water and land availability, and climate resilience. Component 2 is called Technology Selection and covers </w:t>
      </w:r>
      <w:r w:rsidR="00580BAE" w:rsidRPr="00B4497F">
        <w:t>optimizing</w:t>
      </w:r>
      <w:r w:rsidRPr="00B4497F">
        <w:t xml:space="preserve">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The financial performance is modelled in Component 6, Economic Viability, using LCOE, NPV, and IRR analysis. Component 7: Resilience and Sustainability </w:t>
      </w:r>
      <w:r w:rsidR="00580BAE" w:rsidRPr="00B4497F">
        <w:t>focus</w:t>
      </w:r>
      <w:r w:rsidRPr="00B4497F">
        <w:t xml:space="preserve"> on reliability measures, carbon </w:t>
      </w:r>
      <w:proofErr w:type="spellStart"/>
      <w:r w:rsidRPr="00B4497F">
        <w:t>footprinting</w:t>
      </w:r>
      <w:proofErr w:type="spellEnd"/>
      <w:r w:rsidRPr="00B4497F">
        <w:t>, and regulatory adherence.</w:t>
      </w:r>
    </w:p>
    <w:p w14:paraId="22384AA7" w14:textId="32FB0B77" w:rsidR="00FE013C" w:rsidRDefault="00FE013C" w:rsidP="004C16FF">
      <w:pPr>
        <w:spacing w:after="120"/>
        <w:ind w:firstLine="480"/>
      </w:pPr>
      <w:r w:rsidRPr="00B4497F">
        <w:t xml:space="preserve">The three main quantitative goals of the framework are: (1) cost of delivered energy (dollar per MWh, $/MWh), (2) system reliability (percent uptime, &gt;99.99 percent), and (3) carbon emissions (gCO2 per kWh). The objectives are also frequently conflicting and must be balanced by means of multi-objective </w:t>
      </w:r>
      <w:r w:rsidR="000B7BFE" w:rsidRPr="00B4497F">
        <w:t>optimization</w:t>
      </w:r>
      <w:r w:rsidRPr="00B4497F">
        <w:t xml:space="preserve"> techniques. The main variables are the capacity factor of renewables, the duration of storage (in hours), the type of backup power, interconnection capacity of the grid, and flexibility parameters of the demand.</w:t>
      </w:r>
      <w:r>
        <w:t xml:space="preserve"> </w:t>
      </w:r>
      <w:r w:rsidRPr="0073470D">
        <w:t xml:space="preserve">Fig. 6 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Pr="0073470D">
        <w:t xml:space="preserve"> to revise technology choices iteratively</w:t>
      </w:r>
      <w:r>
        <w:t>.</w:t>
      </w:r>
    </w:p>
    <w:p w14:paraId="6494B3E5" w14:textId="77777777" w:rsidR="00FE013C" w:rsidRDefault="00FE013C" w:rsidP="004A620F">
      <w:pPr>
        <w:keepNext/>
        <w:jc w:val="center"/>
      </w:pPr>
      <w:r>
        <w:rPr>
          <w:noProof/>
        </w:rPr>
        <w:lastRenderedPageBreak/>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77777777" w:rsidR="00FE013C" w:rsidRDefault="00FE013C" w:rsidP="004A620F">
      <w:pPr>
        <w:pStyle w:val="Caption"/>
        <w:jc w:val="center"/>
      </w:pPr>
      <w:r>
        <w:t xml:space="preserve">Figure </w:t>
      </w:r>
      <w:fldSimple w:instr=" SEQ Figure \* ARABIC ">
        <w:r>
          <w:rPr>
            <w:noProof/>
          </w:rPr>
          <w:t>6</w:t>
        </w:r>
      </w:fldSimple>
      <w:r>
        <w:t xml:space="preserve"> Seven-component framework architecture for renewable-powered AI data</w:t>
      </w:r>
    </w:p>
    <w:p w14:paraId="4B969644" w14:textId="77777777" w:rsidR="00FE013C" w:rsidRDefault="00FE013C" w:rsidP="004C16FF">
      <w:pPr>
        <w:pStyle w:val="Heading20"/>
        <w:jc w:val="both"/>
        <w:rPr>
          <w:color w:val="auto"/>
        </w:rPr>
      </w:pPr>
      <w:r>
        <w:rPr>
          <w:color w:val="auto"/>
        </w:rPr>
        <w:t>7.2. Site Selection and Resource Assessment</w:t>
      </w:r>
    </w:p>
    <w:p w14:paraId="6B0F8099" w14:textId="159DA365" w:rsidR="00FE013C" w:rsidRPr="00D17DBD" w:rsidRDefault="00FE013C" w:rsidP="004C16FF">
      <w:pPr>
        <w:spacing w:after="120"/>
        <w:ind w:firstLine="480"/>
      </w:pPr>
      <w:r w:rsidRPr="00D17DBD">
        <w:t xml:space="preserve">Site selection </w:t>
      </w:r>
      <w:r w:rsidR="000B7BFE" w:rsidRPr="00D17DBD">
        <w:t>utilizes</w:t>
      </w:r>
      <w:r w:rsidRPr="00D17DBD">
        <w:t xml:space="preserve"> a multi-criteria decision analysis (MCDA) approach that assigns weights to a series of criteria related to resource quality, infrastructure access, environmental factors, and economic considerations, then scores candidate locations based on the weights of the criteria. The quality of the solar resource is evaluated by the annual capacity factor target exceeding 20%, based on satellite data corrected for local terrain shading and typical meteorological conditions. For onshore installations, the wind resource targets a capacity factor above 25%, derived from measurements taken on meteorological towers or from LiDAR, for at least one year [94].</w:t>
      </w:r>
    </w:p>
    <w:p w14:paraId="4CC55BE0" w14:textId="77777777" w:rsidR="00FE013C" w:rsidRPr="00D17DBD" w:rsidRDefault="00FE013C" w:rsidP="004C16FF">
      <w:pPr>
        <w:spacing w:after="120"/>
        <w:ind w:firstLine="480"/>
      </w:pPr>
      <w:r w:rsidRPr="00D17DBD">
        <w:t>Interconnection feasibility is also an important criterion for site selection, and this will influence project viability because of the cost and time of interconnection. Interconnection costs are typically $500,000 to $2 million for sites within 5 km of existing transmission infrastructure with available capacity and $5 to $10 million when new transmission line construction is necessary [23]. Climate resilience assessment quantifies the likelihood of extreme events such as hurricanes, flooding, wildfires, and ice storms that may harm renewable generation equipment, affect grid supply, or affect the performance of cooling systems</w:t>
      </w:r>
      <w:r>
        <w:fldChar w:fldCharType="begin"/>
      </w:r>
      <w:r>
        <w:instrText xml:space="preserve"> ADDIN ZOTERO_ITEM CSL_CITATION {"citationID":"trVOJ2Tp","properties":{"unsorted":false,"formattedCitation":"[142]","plainCitation":"[142]","noteIndex":0},"citationItems":[{"id":2117,"uris":["http://zotero.org/users/9870935/items/DV9F9NJF"],"itemData":{"id":2117,"type":"article-journal","container-title":"Energy","DOI":"10.1016/j.energy.2011.11.056","ISSN":"03605442","issue":"1","journalAbbreviation":"Energy","language":"en","license":"https://www.elsevier.com/tdm/userlicense/1.0/","page":"1-12","source":"DOI.org (Crossref)","title":"Energy sector vulnerability to climate change: A review","title-short":"Energy sector vulnerability to climate change","volume":"38","author":[{"family":"Schaeffer","given":"Roberto"},{"family":"Szklo","given":"Alexandre Salem"},{"family":"Pereira De Lucena","given":"André Frossard"},{"family":"Moreira Cesar Borba","given":"Bruno Soares"},{"family":"Pupo Nogueira","given":"Larissa Pinheiro"},{"family":"Fleming","given":"Fernanda Pereira"},{"family":"Troccoli","given":"Alberto"},{"family":"Harrison","given":"Mike"},{"family":"Boulahya","given":"Mohammed Sadeck"}],"issued":{"date-parts":[["2012",2]]}}}],"schema":"https://github.com/citation-style-language/schema/raw/master/csl-citation.json"} </w:instrText>
      </w:r>
      <w:r>
        <w:fldChar w:fldCharType="separate"/>
      </w:r>
      <w:r w:rsidRPr="004864DB">
        <w:t>[142]</w:t>
      </w:r>
      <w:r>
        <w:fldChar w:fldCharType="end"/>
      </w:r>
      <w:r w:rsidRPr="00D17DBD">
        <w:t>. In areas with a high climate risk, extra engineering interventions such as the installation of raised equipment platforms, strengthened structural ratings, or redundancy upgrades may be needed, adding to capital expenses.</w:t>
      </w:r>
    </w:p>
    <w:p w14:paraId="4A62889A" w14:textId="77777777" w:rsidR="00FE013C" w:rsidRDefault="00FE013C" w:rsidP="004C16FF">
      <w:pPr>
        <w:pStyle w:val="Heading20"/>
        <w:jc w:val="both"/>
        <w:rPr>
          <w:color w:val="auto"/>
        </w:rPr>
      </w:pPr>
      <w:r>
        <w:rPr>
          <w:color w:val="auto"/>
        </w:rPr>
        <w:t>7.3. Technology Mix Optimization</w:t>
      </w:r>
    </w:p>
    <w:p w14:paraId="411F48D2" w14:textId="594C0D57" w:rsidR="00FE013C" w:rsidRDefault="00FE013C" w:rsidP="004C16FF">
      <w:pPr>
        <w:spacing w:after="120"/>
        <w:ind w:firstLine="480"/>
      </w:pPr>
      <w:r w:rsidRPr="000E3C80">
        <w:t xml:space="preserve">Technology mix </w:t>
      </w:r>
      <w:r w:rsidR="000B7BFE" w:rsidRPr="000E3C80">
        <w:t>optimization</w:t>
      </w:r>
      <w:r w:rsidRPr="000E3C80">
        <w:t xml:space="preserve"> is a problem that balances the mix of renewable generation, storage duration, and backup power type to </w:t>
      </w:r>
      <w:r w:rsidR="000B7BFE" w:rsidRPr="000E3C80">
        <w:t>minimize</w:t>
      </w:r>
      <w:r w:rsidRPr="000E3C80">
        <w:t xml:space="preserve"> the total cost of the system over the expected project lifetime of 20–25 years, while also meeting reliability and emissions targets</w:t>
      </w:r>
      <w:r>
        <w:fldChar w:fldCharType="begin"/>
      </w:r>
      <w:r>
        <w:instrText xml:space="preserve"> ADDIN ZOTERO_ITEM CSL_CITATION {"citationID":"yYMe4jcT","properties":{"unsorted":false,"formattedCitation":"[51]","plainCitation":"[51]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fldChar w:fldCharType="separate"/>
      </w:r>
      <w:r w:rsidRPr="00EF0A8C">
        <w:t>[51]</w:t>
      </w:r>
      <w:r>
        <w:fldChar w:fldCharType="end"/>
      </w:r>
      <w:r w:rsidRPr="000E3C80">
        <w:t xml:space="preserve">. The three primary choices used as critical decision variables for this </w:t>
      </w:r>
      <w:r w:rsidR="000B7BFE" w:rsidRPr="000E3C80">
        <w:t>optimization</w:t>
      </w:r>
      <w:r w:rsidRPr="000E3C80">
        <w:t xml:space="preserve"> are the renewable capacity expressed as a percentage of the mean load (100% or 110% or 150% of mean load or higher), storage duration scaled across 4, 8, 12, or 24 hours, and backup power technology: diesel generator, hydrogen fuel cell, grid connection, or hybrid configuration. </w:t>
      </w:r>
    </w:p>
    <w:p w14:paraId="68398810" w14:textId="43C54DB6" w:rsidR="00FE013C" w:rsidRPr="000E3C80" w:rsidRDefault="00FE013C" w:rsidP="004C16FF">
      <w:pPr>
        <w:spacing w:after="120"/>
        <w:ind w:firstLine="480"/>
      </w:pPr>
      <w:r w:rsidRPr="00057870">
        <w:lastRenderedPageBreak/>
        <w:t xml:space="preserve">Fig. 7 presents the cost-emissions Pareto frontier for technology mix </w:t>
      </w:r>
      <w:r w:rsidR="000B7BFE" w:rsidRPr="00057870">
        <w:t>optimization</w:t>
      </w:r>
      <w:r w:rsidRPr="00057870">
        <w:t xml:space="preserve">, quantifying the trade-offs between delivered energy cost (LCOE) and lifecycle carbon intensity across the full range of renewable generation, storage, and backup power combinations considered in this framework. </w:t>
      </w:r>
      <w:r w:rsidRPr="000E3C80">
        <w:t>Parametric sensitivity analysis shows that this optimal technology mix is most sensitive to three main parameters: (1) renewable capacity factor, with an error of</w:t>
      </w:r>
      <w:r>
        <w:t xml:space="preserve"> 5%</w:t>
      </w:r>
      <w:r w:rsidRPr="000E3C80">
        <w:t xml:space="preserve"> leading to an approximate </w:t>
      </w:r>
      <w:r>
        <w:t xml:space="preserve">15% </w:t>
      </w:r>
      <w:r w:rsidRPr="000E3C80">
        <w:t xml:space="preserve"> change in the LCOE; (2) battery storage cost, where a $20 per MWh change in the battery storage cost results in an approximate 10% change in LCOE; and (3) grid electricity price, where a 20$ per MWh increase in the grid electricity price has a significant impact on the solution and leads to a higher renewable penetration. Combining these factors, the analysis shows that hybrid systems are far the most cost-effective in most cases. Systems with 100% to 150% renewable generation and 4 to 8 hours of battery storage and dedicated grid backup reliably achieve a highly competitive LCOE of 35$ to 80$ per MWh, satisfying a 99.9% system reliability target</w:t>
      </w:r>
      <w:r>
        <w:fldChar w:fldCharType="begin"/>
      </w:r>
      <w:r>
        <w:instrText xml:space="preserve"> ADDIN ZOTERO_ITEM CSL_CITATION {"citationID":"149zuRfz","properties":{"unsorted":false,"formattedCitation":"[143]","plainCitation":"[143]","noteIndex":0},"citationItems":[{"id":2118,"uris":["http://zotero.org/users/9870935/items/J7J6PP3T"],"itemData":{"id":2118,"type":"article-journal","abstract":"In southern Algeria, diesel generators (DGs) and small-scale off-grid systems are the primary power sources for powering remote regions. These systems are unreliable, uneconomical, and environmentally unsustainable for achieving the goals of Algeria's renewable energy transition. For this context, this paper aims to explore the techno-economic feasibility of three hybrid energy systems using advanced storage systems to electrify households and agricultural lands in the Indalek area. These systems are a photovoltaic (PV)/diesel (DG)/battery energy storage system (BESS), a hydrogen-based PV/DG/fuel cell (FC)/BESS, and a hydrogen-based PV/DG/FC/pump hydro-storage (PHS) system. First, Hybrid Optimization of Multiple Electric Renewable (HOMER) software is used to conduct the techno-economic and environmental analysis to select the appropriate system. Second, the Particle Swarm Optimization (PSO) method is applied to optimize the environmental performance of the optimal configuration based on the derating factor (Fd) and the reliability level [reliability 1-loss of power supply probability (LPSP)]. The optimization is formulated as a single-objective problem, aiming to maximize renewable fraction (RF), which indirectly leads to reduced CO2 emissions. The simulation results indicate that the hydrogen-based PV/DG/FC/PHS system is the optimal system, consisting of 41.2 kW PV arrays, 100 kW DG, 250 kW FC, 50 kW electrolyzer, 19.2 kW converter, 10 kg of the hydrogen tank, and 3000 m3 reservoir. This system achieves the most techno-economic and environmental performance, with the net present cost of $284 143.20, cost of energy of 0.364 $/kW h, operating cost of $1216, reliability level of 97.28% (LPSP = 0.0272), unmet load of 0%, autonomy energy of 98.65%, RF of 91.8%, and CO2 emissions of 67 440 kg/yr. The environmental performance optimization outcomes of the hydrogen-based PV/DG/FC/PHS configuration demonstrate that at the reliability level of 100% (LPSP = 0) and the Fd of 80%, the RF increases to 99.999%, while the CO2 decreases to 62 289 kg/yr compared to the scenario with the Fd of 60%.","container-title":"Journal of Renewable and Sustainable Energy","DOI":"10.1063/5.0297401","ISSN":"1941-7012","issue":"5","language":"en","page":"056309","source":"DOI.org (Crossref)","title":"Techno-economic and environmental optimization of standalone hybrid energy systems using advanced energy storage for remote electrification in Southern Algeria","volume":"17","author":[{"family":"Bekhti","given":"Mohammed Abderahim"},{"family":"Ghomri","given":"Leila"},{"family":"Beklaouz","given":"Hadj Larbi"},{"family":"Bouddou","given":"Riyadh"}],"issued":{"date-parts":[["2025",9,1]]}}}],"schema":"https://github.com/citation-style-language/schema/raw/master/csl-citation.json"} </w:instrText>
      </w:r>
      <w:r>
        <w:fldChar w:fldCharType="separate"/>
      </w:r>
      <w:r w:rsidRPr="004864DB">
        <w:t>[143]</w:t>
      </w:r>
      <w:r>
        <w:fldChar w:fldCharType="end"/>
      </w:r>
      <w:r w:rsidRPr="000E3C80">
        <w:t>.</w:t>
      </w:r>
    </w:p>
    <w:p w14:paraId="0225BD9C" w14:textId="77777777" w:rsidR="00FE013C" w:rsidRDefault="00FE013C" w:rsidP="00A01CCD">
      <w:pPr>
        <w:keepNext/>
        <w:spacing w:after="120"/>
        <w:ind w:firstLine="480"/>
        <w:jc w:val="center"/>
      </w:pPr>
      <w:r w:rsidRPr="007D006A">
        <w:rPr>
          <w:noProof/>
        </w:rPr>
        <w:drawing>
          <wp:inline distT="0" distB="0" distL="0" distR="0" wp14:anchorId="5AEB697A" wp14:editId="10B5F2F6">
            <wp:extent cx="3099025" cy="1843430"/>
            <wp:effectExtent l="0" t="0" r="6350" b="4445"/>
            <wp:docPr id="7277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80516" name=""/>
                    <pic:cNvPicPr/>
                  </pic:nvPicPr>
                  <pic:blipFill rotWithShape="1">
                    <a:blip r:embed="rId17"/>
                    <a:srcRect t="7282"/>
                    <a:stretch>
                      <a:fillRect/>
                    </a:stretch>
                  </pic:blipFill>
                  <pic:spPr bwMode="auto">
                    <a:xfrm>
                      <a:off x="0" y="0"/>
                      <a:ext cx="3105760" cy="1847437"/>
                    </a:xfrm>
                    <a:prstGeom prst="rect">
                      <a:avLst/>
                    </a:prstGeom>
                    <a:ln>
                      <a:noFill/>
                    </a:ln>
                    <a:extLst>
                      <a:ext uri="{53640926-AAD7-44D8-BBD7-CCE9431645EC}">
                        <a14:shadowObscured xmlns:a14="http://schemas.microsoft.com/office/drawing/2010/main"/>
                      </a:ext>
                    </a:extLst>
                  </pic:spPr>
                </pic:pic>
              </a:graphicData>
            </a:graphic>
          </wp:inline>
        </w:drawing>
      </w:r>
    </w:p>
    <w:p w14:paraId="7CE7BD72" w14:textId="77777777" w:rsidR="00FE013C" w:rsidRPr="00B4497F" w:rsidRDefault="00FE013C" w:rsidP="00A01CCD">
      <w:pPr>
        <w:pStyle w:val="Caption"/>
        <w:jc w:val="center"/>
      </w:pPr>
      <w:r>
        <w:t xml:space="preserve">Figure </w:t>
      </w:r>
      <w:fldSimple w:instr=" SEQ Figure \* ARABIC ">
        <w:r>
          <w:rPr>
            <w:noProof/>
          </w:rPr>
          <w:t>7</w:t>
        </w:r>
      </w:fldSimple>
      <w:r>
        <w:t xml:space="preserve"> Cost-emissions Pareto frontier for technology mix</w:t>
      </w:r>
    </w:p>
    <w:p w14:paraId="615BABF6" w14:textId="77777777" w:rsidR="00FE013C" w:rsidRDefault="00FE013C" w:rsidP="004C16FF">
      <w:pPr>
        <w:pStyle w:val="Heading20"/>
        <w:jc w:val="both"/>
        <w:rPr>
          <w:color w:val="auto"/>
        </w:rPr>
      </w:pPr>
      <w:r>
        <w:rPr>
          <w:color w:val="auto"/>
        </w:rPr>
        <w:t>7.4. Electrical Architecture and Integration</w:t>
      </w:r>
    </w:p>
    <w:p w14:paraId="14E0DC5A" w14:textId="3FCDE46D" w:rsidR="00FE013C" w:rsidRPr="00925F1B" w:rsidRDefault="000B7BFE" w:rsidP="004C16FF">
      <w:pPr>
        <w:spacing w:after="120"/>
        <w:ind w:firstLine="480"/>
      </w:pPr>
      <w:r w:rsidRPr="00925F1B">
        <w:t>Electrical</w:t>
      </w:r>
      <w:r w:rsidR="00FE013C" w:rsidRPr="00925F1B">
        <w:t xml:space="preserve"> architecture specifies the voltage levels, distribution topology, and integration points of all the generation, storage, and load elements. The selection of primary interconnection voltage is a compromise between equipment cost and power transfer capacity, with higher voltage levels (25 kV vs. 13.8 kV) decreasing conductor size and losses, but increasing equipment cost and the required rating of switchgear and protection devices</w:t>
      </w:r>
      <w:r w:rsidR="00FE013C">
        <w:fldChar w:fldCharType="begin"/>
      </w:r>
      <w:r w:rsidR="00FE013C">
        <w:instrText xml:space="preserve"> ADDIN ZOTERO_ITEM CSL_CITATION {"citationID":"fRAGWE9K","properties":{"unsorted":false,"formattedCitation":"[64]","plainCitation":"[64]","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rsidR="00FE013C">
        <w:fldChar w:fldCharType="separate"/>
      </w:r>
      <w:r w:rsidR="00FE013C" w:rsidRPr="00584BC7">
        <w:t>[64]</w:t>
      </w:r>
      <w:r w:rsidR="00FE013C">
        <w:fldChar w:fldCharType="end"/>
      </w:r>
      <w:r w:rsidR="00FE013C" w:rsidRPr="00925F1B">
        <w:t xml:space="preserve">. A primary interconnection of 25 kV is generally the most economical option for a 100 MW data </w:t>
      </w:r>
      <w:r w:rsidR="00580BAE">
        <w:t>center</w:t>
      </w:r>
      <w:r w:rsidR="00FE013C" w:rsidRPr="00925F1B">
        <w:t>, and step-down to 13.8 kV is more economical for facility distribution, while further step-down to 480 V is more economical for equipment power distribution.</w:t>
      </w:r>
    </w:p>
    <w:p w14:paraId="11723653" w14:textId="3A1992BC" w:rsidR="00FE013C" w:rsidRDefault="00FE013C" w:rsidP="004C16FF">
      <w:pPr>
        <w:spacing w:after="120"/>
        <w:ind w:firstLine="480"/>
      </w:pPr>
      <w:r w:rsidRPr="00925F1B">
        <w:t xml:space="preserve">A discussion about the debate between DC and AC distribution for data </w:t>
      </w:r>
      <w:r w:rsidR="00580BAE">
        <w:t>center</w:t>
      </w:r>
      <w:r w:rsidRPr="00925F1B">
        <w:t>s is worth considering. While AC-DC-AC conversion in the UPS is a double conversion loss, the conversion from AC to DC and back to AC (AC-DC-AC) can be avoided by using DC distribution, which can boost efficiency by 3–5%, but involves the use of DC-rated switchgear, circuit protection, and building wiring, which are more expensive and less readily available</w:t>
      </w:r>
      <w:r>
        <w:fldChar w:fldCharType="begin"/>
      </w:r>
      <w:r>
        <w:instrText xml:space="preserve"> ADDIN ZOTERO_ITEM CSL_CITATION {"citationID":"4ZtdSEc3","properties":{"unsorted":false,"formattedCitation":"[108]","plainCitation":"[108]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fldChar w:fldCharType="separate"/>
      </w:r>
      <w:r w:rsidRPr="00584BC7">
        <w:t>[108]</w:t>
      </w:r>
      <w:r>
        <w:fldChar w:fldCharType="end"/>
      </w:r>
      <w:r w:rsidRPr="00925F1B">
        <w:t xml:space="preserve">. In AI data </w:t>
      </w:r>
      <w:r w:rsidR="00580BAE">
        <w:t>center</w:t>
      </w:r>
      <w:r w:rsidRPr="00925F1B">
        <w:t>s with a high level of renewable energy consumption, where most of the energy is likely to be sourced from inverter-based DC power, DC distribution systems can present attractive efficiency benefits that outweigh the additional cost of the equipment.</w:t>
      </w:r>
    </w:p>
    <w:p w14:paraId="659AC885" w14:textId="77777777" w:rsidR="00FE013C" w:rsidRDefault="00FE013C" w:rsidP="004C16FF">
      <w:pPr>
        <w:pStyle w:val="Heading20"/>
        <w:jc w:val="both"/>
        <w:rPr>
          <w:color w:val="auto"/>
        </w:rPr>
      </w:pPr>
      <w:r>
        <w:rPr>
          <w:color w:val="auto"/>
        </w:rPr>
        <w:t>7.5. Control and Dispatch Strategies</w:t>
      </w:r>
    </w:p>
    <w:p w14:paraId="7E0B8342" w14:textId="7AC6B6E3" w:rsidR="00FE013C" w:rsidRPr="00163578" w:rsidRDefault="00FE013C" w:rsidP="004C16FF">
      <w:pPr>
        <w:spacing w:after="120"/>
        <w:ind w:firstLine="480"/>
      </w:pPr>
      <w:r w:rsidRPr="00163578">
        <w:lastRenderedPageBreak/>
        <w:t xml:space="preserve">Control strategy is the method by which a data </w:t>
      </w:r>
      <w:r w:rsidR="00580BAE">
        <w:t>center</w:t>
      </w:r>
      <w:r w:rsidRPr="00163578">
        <w:t xml:space="preserve"> can coordinate renewable generation, storage, backup power, and demand-side resources to reliably and economically meet the power demand. The proposed framework adopts a hierarchical control structure with three different layers, each with a different time scale and control purpose.</w:t>
      </w:r>
    </w:p>
    <w:p w14:paraId="1AB77F3A" w14:textId="5F2F63F8" w:rsidR="00FE013C" w:rsidRPr="00163578" w:rsidRDefault="00FE013C" w:rsidP="004C16FF">
      <w:pPr>
        <w:spacing w:after="120"/>
        <w:ind w:firstLine="480"/>
      </w:pPr>
      <w:r w:rsidRPr="00163578">
        <w:t xml:space="preserve">Device-level control (Level 1) controls the grid-forming or grid-following characteristics of the inverter, reacts to frequency and voltage deviations, and offers a fast frequency response at millisecond timescales. At the facility level (Level 2), EMS operates at minute-to-hourly timescales and performs dispatch </w:t>
      </w:r>
      <w:r w:rsidR="000B7BFE" w:rsidRPr="00163578">
        <w:t>optimization</w:t>
      </w:r>
      <w:r w:rsidRPr="00163578">
        <w:t xml:space="preserve"> using model-predictive control with 24-48 hour forecast horizons</w:t>
      </w:r>
      <w:r>
        <w:fldChar w:fldCharType="begin"/>
      </w:r>
      <w:r>
        <w:instrText xml:space="preserve"> ADDIN ZOTERO_ITEM CSL_CITATION {"citationID":"twpO3hsE","properties":{"unsorted":false,"formattedCitation":"[144]","plainCitation":"[144]","noteIndex":0},"citationItems":[{"id":2122,"uris":["http://zotero.org/users/9870935/items/JQYYBKN7"],"itemData":{"id":2122,"type":"article-journal","abstract":"As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Pr="004864DB">
        <w:t>[144]</w:t>
      </w:r>
      <w:r>
        <w:fldChar w:fldCharType="end"/>
      </w:r>
      <w:r w:rsidRPr="00163578">
        <w:t xml:space="preserve">. At the corporate level (Level 3), </w:t>
      </w:r>
      <w:r w:rsidR="000B7BFE" w:rsidRPr="00163578">
        <w:t>optimization</w:t>
      </w:r>
      <w:r w:rsidRPr="00163578">
        <w:t xml:space="preserve"> is conducted at the hourly to daily timescale and involves the scheduling of multiple facilities, such as routing compute workloads to facilities that offer the best renewable conditions</w:t>
      </w:r>
      <w:r>
        <w:fldChar w:fldCharType="begin"/>
      </w:r>
      <w:r>
        <w:instrText xml:space="preserve"> ADDIN ZOTERO_ITEM CSL_CITATION {"citationID":"RyTTtKMh","properties":{"unsorted":false,"formattedCitation":"[144]","plainCitation":"[144]","noteIndex":0},"citationItems":[{"id":2122,"uris":["http://zotero.org/users/9870935/items/JQYYBKN7"],"itemData":{"id":2122,"type":"article-journal","abstract":"As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Pr="004864DB">
        <w:t>[144]</w:t>
      </w:r>
      <w:r>
        <w:fldChar w:fldCharType="end"/>
      </w:r>
      <w:r w:rsidRPr="00163578">
        <w:t>.</w:t>
      </w:r>
    </w:p>
    <w:p w14:paraId="78A91F61" w14:textId="585E7801" w:rsidR="00FE013C" w:rsidRDefault="00FE013C" w:rsidP="00A01CCD">
      <w:pPr>
        <w:spacing w:after="120"/>
        <w:ind w:firstLine="480"/>
      </w:pPr>
      <w:r w:rsidRPr="00163578">
        <w:t xml:space="preserve">AI workload scheduling is a special type of demand-side resource that data </w:t>
      </w:r>
      <w:r w:rsidR="00580BAE">
        <w:t>center</w:t>
      </w:r>
      <w:r w:rsidRPr="00163578">
        <w:t>s have that traditional electricity consumers. Training workloads, which can take hours to days to complete without compromising service quality, can be planned to coincide with times of high renewable generation. Relaxed latency requirements for inference workloads can be spread across facilities or time-shifted within SLA limits. Energy savings of up to 10% to 20% and reductions in carbon emissions of 5% to 15% are shown by quantified benefits from industry deployments, which shows that workload scheduling alone can make a difference</w:t>
      </w:r>
      <w:r>
        <w:fldChar w:fldCharType="begin"/>
      </w:r>
      <w:r>
        <w:instrText xml:space="preserve"> ADDIN ZOTERO_ITEM CSL_CITATION {"citationID":"2jjafZXH","properties":{"unsorted":false,"formattedCitation":"[145]","plainCitation":"[145]","noteIndex":0},"citationItems":[{"id":2123,"uris":["http://zotero.org/users/9870935/items/2LZQJ3ZJ"],"itemData":{"id":2123,"type":"article","abstract":"The amount of CO$_2$ emitted per kilowatt-hour on an electricity grid varies by time of day and substantially varies by location due to the types of generation. Networked collections of warehouse scale computers, sometimes called Hyperscale Computing, emit more carbon than needed if operated without regard to these variations in carbon intensity. This paper introduces Google's system for Carbon-Intelligent Compute Management, which actively minimizes electricity-based carbon footprint and power infrastructure costs by delaying temporally flexible workloads. The core component of the system is a suite of analytical pipelines used to gather the next day's carbon intensity forecasts, train day-ahead demand prediction models, and use risk-aware optimization to generate the next day's carbon-aware Virtual Capacity Curves (VCCs) for all datacenter clusters across Google's fleet. VCCs impose hourly limits on resources available to temporally flexible workloads while preserving overall daily capacity, enabling all such workloads to complete within a day. Data from operation shows that VCCs effectively limit hourly capacity when the grid's energy supply mix is carbon intensive and delay the execution of temporally flexible workloads to \"greener\" times.","DOI":"10.48550/ARXIV.2106.11750","license":"Creative Commons Attribution 4.0 International","note":"version: 1","publisher":"arXiv","source":"DOI.org (Datacite)","title":"Carbon-Aware Computing for Datacenters","URL":"https://arxiv.org/abs/2106.11750","author":[{"family":"Radovanovic","given":"Ana"},{"family":"Koningstein","given":"Ross"},{"family":"Schneider","given":"Ian"},{"family":"Chen","given":"Bokan"},{"family":"Duarte","given":"Alexandre"},{"family":"Roy","given":"Binz"},{"family":"Xiao","given":"Diyue"},{"family":"Haridasan","given":"Maya"},{"family":"Hung","given":"Patrick"},{"family":"Care","given":"Nick"},{"family":"Talukdar","given":"Saurav"},{"family":"Mullen","given":"Eric"},{"family":"Smith","given":"Kendal"},{"family":"Cottman","given":"MariEllen"},{"family":"Cirne","given":"Walfredo"}],"accessed":{"date-parts":[["2026",5,23]]},"issued":{"date-parts":[["2021"]]}}}],"schema":"https://github.com/citation-style-language/schema/raw/master/csl-citation.json"} </w:instrText>
      </w:r>
      <w:r>
        <w:fldChar w:fldCharType="separate"/>
      </w:r>
      <w:r w:rsidRPr="004864DB">
        <w:t>[145]</w:t>
      </w:r>
      <w:r>
        <w:fldChar w:fldCharType="end"/>
      </w:r>
      <w:r w:rsidRPr="00163578">
        <w:t>.</w:t>
      </w:r>
      <w:r>
        <w:t xml:space="preserve"> </w:t>
      </w:r>
      <w:r w:rsidRPr="006E6D9E">
        <w:t>Fig. 8 presents the three-level hierarchical control architecture proposed in this framework, showing the distinct timescales — milliseconds at the device level, minutes-to- hours at the facility level, and hours-to-days at the corporate level — and the feedback channels that coordinate renewable dispatch, storage scheduling, and workload routing.</w:t>
      </w:r>
    </w:p>
    <w:p w14:paraId="0B25BAEA" w14:textId="77777777" w:rsidR="00FE013C" w:rsidRDefault="00FE013C" w:rsidP="00F722B9">
      <w:pPr>
        <w:keepNext/>
        <w:spacing w:after="120"/>
        <w:ind w:firstLine="480"/>
        <w:jc w:val="center"/>
      </w:pPr>
      <w:r w:rsidRPr="00757408">
        <w:rPr>
          <w:noProof/>
          <w:lang w:val="en-CA"/>
        </w:rPr>
        <w:lastRenderedPageBreak/>
        <w:drawing>
          <wp:inline distT="0" distB="0" distL="0" distR="0" wp14:anchorId="1C163291" wp14:editId="1A9EAC63">
            <wp:extent cx="5507888" cy="7394209"/>
            <wp:effectExtent l="0" t="0" r="0" b="0"/>
            <wp:docPr id="151305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1043" t="5124" r="863" b="7082"/>
                    <a:stretch>
                      <a:fillRect/>
                    </a:stretch>
                  </pic:blipFill>
                  <pic:spPr bwMode="auto">
                    <a:xfrm>
                      <a:off x="0" y="0"/>
                      <a:ext cx="5508964" cy="7395653"/>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07B11C20" w:rsidR="00FE013C" w:rsidRPr="00757408" w:rsidRDefault="00FE013C" w:rsidP="00F722B9">
      <w:pPr>
        <w:pStyle w:val="Caption"/>
        <w:jc w:val="center"/>
        <w:rPr>
          <w:lang w:val="en-CA"/>
        </w:rPr>
      </w:pPr>
      <w:r>
        <w:t xml:space="preserve">Figure </w:t>
      </w:r>
      <w:fldSimple w:instr=" SEQ Figure \* ARABIC ">
        <w:r>
          <w:rPr>
            <w:noProof/>
          </w:rPr>
          <w:t>8</w:t>
        </w:r>
      </w:fldSimple>
      <w:r>
        <w:t xml:space="preserve"> </w:t>
      </w:r>
      <w:r w:rsidRPr="00FA4103">
        <w:t xml:space="preserve">Hierarchical control architecture for operation of a data </w:t>
      </w:r>
      <w:r w:rsidR="00580BAE">
        <w:t>center</w:t>
      </w:r>
      <w:r w:rsidRPr="00FA4103">
        <w:t xml:space="preserve"> microgrid.</w:t>
      </w:r>
    </w:p>
    <w:p w14:paraId="72D62C7A" w14:textId="77777777" w:rsidR="00FE013C" w:rsidRDefault="00FE013C" w:rsidP="004C16FF">
      <w:pPr>
        <w:pStyle w:val="Heading20"/>
        <w:jc w:val="both"/>
        <w:rPr>
          <w:color w:val="auto"/>
        </w:rPr>
      </w:pPr>
      <w:r>
        <w:rPr>
          <w:color w:val="auto"/>
        </w:rPr>
        <w:t>7.6. Demand-Side Management and Load Flexibility</w:t>
      </w:r>
    </w:p>
    <w:p w14:paraId="1D752ECC" w14:textId="4271E2B3" w:rsidR="00FE013C" w:rsidRPr="000E77FA" w:rsidRDefault="00FE013C" w:rsidP="004C16FF">
      <w:pPr>
        <w:spacing w:after="120"/>
        <w:ind w:firstLine="480"/>
      </w:pPr>
      <w:r w:rsidRPr="000E77FA">
        <w:t xml:space="preserve">Data </w:t>
      </w:r>
      <w:r w:rsidR="00580BAE">
        <w:t>center</w:t>
      </w:r>
      <w:r w:rsidRPr="000E77FA">
        <w:t xml:space="preserve"> workloads are divided into four flexibility classes: (1) Training, highly flexible with deferral windows of hours to days, (2) Inference, less than 100 </w:t>
      </w:r>
      <w:proofErr w:type="spellStart"/>
      <w:r w:rsidRPr="000E77FA">
        <w:t>ms</w:t>
      </w:r>
      <w:proofErr w:type="spellEnd"/>
      <w:r w:rsidRPr="000E77FA">
        <w:t xml:space="preserve"> response time to some deferral, depending on application, (3) Analytics and batch processing, highly flexible and easily shifted to renewable peaks, and (4) background tasks, such as model </w:t>
      </w:r>
      <w:r w:rsidR="00030122" w:rsidRPr="000E77FA">
        <w:t>optimization</w:t>
      </w:r>
      <w:r w:rsidRPr="000E77FA">
        <w:t xml:space="preserve">, data indexing, and system </w:t>
      </w:r>
      <w:r w:rsidRPr="000E77FA">
        <w:lastRenderedPageBreak/>
        <w:t xml:space="preserve">maintenance, are fully interruptible </w:t>
      </w:r>
      <w:r>
        <w:fldChar w:fldCharType="begin"/>
      </w:r>
      <w:r>
        <w:instrText xml:space="preserve"> ADDIN ZOTERO_ITEM CSL_CITATION {"citationID":"oMLFJ3Xg","properties":{"unsorted":false,"formattedCitation":"[146]","plainCitation":"[146]","noteIndex":0},"citationItems":[{"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fldChar w:fldCharType="separate"/>
      </w:r>
      <w:r w:rsidRPr="004864DB">
        <w:t>[146]</w:t>
      </w:r>
      <w:r>
        <w:fldChar w:fldCharType="end"/>
      </w:r>
      <w:r w:rsidRPr="000E77FA">
        <w:t xml:space="preserve">. This classification allows the control system to dynamically </w:t>
      </w:r>
      <w:proofErr w:type="spellStart"/>
      <w:r w:rsidRPr="000E77FA">
        <w:t>prioritise</w:t>
      </w:r>
      <w:proofErr w:type="spellEnd"/>
      <w:r w:rsidRPr="000E77FA">
        <w:t xml:space="preserve"> and schedule workloads according to forecasts of renewable availability.</w:t>
      </w:r>
    </w:p>
    <w:p w14:paraId="3390FFEF" w14:textId="3BC6D8CD" w:rsidR="00FE013C" w:rsidRDefault="00FE013C" w:rsidP="004C16FF">
      <w:pPr>
        <w:spacing w:after="120"/>
        <w:ind w:firstLine="480"/>
      </w:pPr>
      <w:r w:rsidRPr="000E77FA">
        <w:t>Workload scheduling requires changes to the job scheduling infrastructure, which are executed through Kubernetes extensions or custom scheduling plugins that call a renewable availability API that provides 24–48 h forecasts</w:t>
      </w:r>
      <w:r>
        <w:fldChar w:fldCharType="begin"/>
      </w:r>
      <w:r>
        <w:instrText xml:space="preserve"> ADDIN ZOTERO_ITEM CSL_CITATION {"citationID":"xaFTh4pu","properties":{"unsorted":false,"formattedCitation":"[147]","plainCitation":"[147]","noteIndex":0},"citationItems":[{"id":2126,"uris":["http://zotero.org/users/9870935/items/5SGD5DQK"],"itemData":{"id":2126,"type":"paper-conference","container-title":"ICC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Pr="004864DB">
        <w:t>[147]</w:t>
      </w:r>
      <w:r>
        <w:fldChar w:fldCharType="end"/>
      </w:r>
      <w:r w:rsidRPr="000E77FA">
        <w:t>. The API provides time-series data on the percentage of the total load to be met from renewable generation, which the scheduler can use to determine good time periods for workloads that can be deferred. SLA relaxation parameters are the maximum allowable increase in latency (usually 5 %–10</w:t>
      </w:r>
      <w:r>
        <w:t>%</w:t>
      </w:r>
      <w:r w:rsidRPr="000E77FA">
        <w:t>) that a business can expect in return for the cost and carbon savings of more than 15</w:t>
      </w:r>
      <w:r>
        <w:t>%</w:t>
      </w:r>
      <w:r w:rsidRPr="000E77FA">
        <w:t>.</w:t>
      </w:r>
      <w:r>
        <w:t xml:space="preserve"> </w:t>
      </w:r>
      <w:r w:rsidRPr="00A24EAF">
        <w:t xml:space="preserve">Table 4 </w:t>
      </w:r>
      <w:r w:rsidR="00030122" w:rsidRPr="00A24EAF">
        <w:t>formalizes</w:t>
      </w:r>
      <w:r w:rsidRPr="00A24EAF">
        <w:t xml:space="preserve"> this classification, specifying the latency requirement, deferral window, flexibility level, and estimated storage savings potential for each workload category, providing the decision logic for the EMS scheduling layer (Component 4).</w:t>
      </w:r>
    </w:p>
    <w:p w14:paraId="5CB733A9" w14:textId="77777777" w:rsidR="00FE013C" w:rsidRDefault="00FE013C" w:rsidP="004C16FF">
      <w:pPr>
        <w:pStyle w:val="Caption"/>
        <w:keepNext/>
      </w:pPr>
      <w:r>
        <w:t xml:space="preserve">Table </w:t>
      </w:r>
      <w:fldSimple w:instr=" SEQ Table \* ARABIC ">
        <w:r>
          <w:rPr>
            <w:noProof/>
          </w:rPr>
          <w:t>4</w:t>
        </w:r>
      </w:fldSimple>
      <w:r>
        <w:t xml:space="preserve"> W</w:t>
      </w:r>
      <w:r w:rsidRPr="006A5BFC">
        <w:t>orkload flexibility classification</w:t>
      </w:r>
    </w:p>
    <w:tbl>
      <w:tblPr>
        <w:tblStyle w:val="Mdeck5tablebodythreelines"/>
        <w:tblW w:w="0" w:type="auto"/>
        <w:tblCellMar>
          <w:left w:w="0" w:type="dxa"/>
          <w:right w:w="0" w:type="dxa"/>
        </w:tblCellMar>
        <w:tblLook w:val="04A0" w:firstRow="1" w:lastRow="0" w:firstColumn="1" w:lastColumn="0" w:noHBand="0" w:noVBand="1"/>
      </w:tblPr>
      <w:tblGrid>
        <w:gridCol w:w="2126"/>
        <w:gridCol w:w="2235"/>
        <w:gridCol w:w="1960"/>
        <w:gridCol w:w="1491"/>
        <w:gridCol w:w="1940"/>
      </w:tblGrid>
      <w:tr w:rsidR="00FE013C" w:rsidRPr="00F722B9" w14:paraId="2B9DE8A8" w14:textId="77777777" w:rsidTr="00030122">
        <w:trPr>
          <w:cnfStyle w:val="100000000000" w:firstRow="1" w:lastRow="0" w:firstColumn="0" w:lastColumn="0" w:oddVBand="0" w:evenVBand="0" w:oddHBand="0" w:evenHBand="0" w:firstRowFirstColumn="0" w:firstRowLastColumn="0" w:lastRowFirstColumn="0" w:lastRowLastColumn="0"/>
        </w:trPr>
        <w:tc>
          <w:tcPr>
            <w:tcW w:w="2127" w:type="dxa"/>
            <w:hideMark/>
          </w:tcPr>
          <w:p w14:paraId="7B45D14D" w14:textId="77777777" w:rsidR="00FE013C" w:rsidRPr="00F722B9" w:rsidRDefault="00FE013C" w:rsidP="004C16FF">
            <w:pPr>
              <w:rPr>
                <w:sz w:val="16"/>
                <w:szCs w:val="16"/>
                <w:lang w:val="en-CA"/>
              </w:rPr>
            </w:pPr>
            <w:r w:rsidRPr="00F722B9">
              <w:rPr>
                <w:b/>
                <w:bCs/>
                <w:sz w:val="16"/>
                <w:szCs w:val="16"/>
                <w:lang w:val="en-CA"/>
              </w:rPr>
              <w:t>Workload Type</w:t>
            </w:r>
          </w:p>
        </w:tc>
        <w:tc>
          <w:tcPr>
            <w:tcW w:w="2235" w:type="dxa"/>
            <w:hideMark/>
          </w:tcPr>
          <w:p w14:paraId="407B814A" w14:textId="77777777" w:rsidR="00FE013C" w:rsidRPr="00F722B9" w:rsidRDefault="00FE013C" w:rsidP="004C16FF">
            <w:pPr>
              <w:ind w:firstLine="480"/>
              <w:rPr>
                <w:sz w:val="16"/>
                <w:szCs w:val="16"/>
                <w:lang w:val="en-CA"/>
              </w:rPr>
            </w:pPr>
            <w:r w:rsidRPr="00F722B9">
              <w:rPr>
                <w:b/>
                <w:bCs/>
                <w:sz w:val="16"/>
                <w:szCs w:val="16"/>
                <w:lang w:val="en-CA"/>
              </w:rPr>
              <w:t>Latency Requirement</w:t>
            </w:r>
          </w:p>
        </w:tc>
        <w:tc>
          <w:tcPr>
            <w:tcW w:w="0" w:type="auto"/>
            <w:hideMark/>
          </w:tcPr>
          <w:p w14:paraId="5D1BD9B5" w14:textId="77777777" w:rsidR="00FE013C" w:rsidRPr="00F722B9" w:rsidRDefault="00FE013C" w:rsidP="004C16FF">
            <w:pPr>
              <w:ind w:firstLine="480"/>
              <w:rPr>
                <w:sz w:val="16"/>
                <w:szCs w:val="16"/>
                <w:lang w:val="en-CA"/>
              </w:rPr>
            </w:pPr>
            <w:r w:rsidRPr="00F722B9">
              <w:rPr>
                <w:b/>
                <w:bCs/>
                <w:sz w:val="16"/>
                <w:szCs w:val="16"/>
                <w:lang w:val="en-CA"/>
              </w:rPr>
              <w:t>Deferral Window</w:t>
            </w:r>
          </w:p>
        </w:tc>
        <w:tc>
          <w:tcPr>
            <w:tcW w:w="0" w:type="auto"/>
            <w:hideMark/>
          </w:tcPr>
          <w:p w14:paraId="107BEF31" w14:textId="77777777" w:rsidR="00FE013C" w:rsidRPr="00F722B9" w:rsidRDefault="00FE013C" w:rsidP="004C16FF">
            <w:pPr>
              <w:ind w:firstLine="480"/>
              <w:rPr>
                <w:sz w:val="16"/>
                <w:szCs w:val="16"/>
                <w:lang w:val="en-CA"/>
              </w:rPr>
            </w:pPr>
            <w:r w:rsidRPr="00F722B9">
              <w:rPr>
                <w:b/>
                <w:bCs/>
                <w:sz w:val="16"/>
                <w:szCs w:val="16"/>
                <w:lang w:val="en-CA"/>
              </w:rPr>
              <w:t>Flexibility Level</w:t>
            </w:r>
          </w:p>
        </w:tc>
        <w:tc>
          <w:tcPr>
            <w:tcW w:w="0" w:type="auto"/>
            <w:hideMark/>
          </w:tcPr>
          <w:p w14:paraId="7D93D6A1" w14:textId="77777777" w:rsidR="00FE013C" w:rsidRPr="00F722B9" w:rsidRDefault="00FE013C" w:rsidP="004C16FF">
            <w:pPr>
              <w:ind w:firstLine="480"/>
              <w:rPr>
                <w:sz w:val="16"/>
                <w:szCs w:val="16"/>
                <w:lang w:val="en-CA"/>
              </w:rPr>
            </w:pPr>
            <w:r w:rsidRPr="00F722B9">
              <w:rPr>
                <w:b/>
                <w:bCs/>
                <w:sz w:val="16"/>
                <w:szCs w:val="16"/>
                <w:lang w:val="en-CA"/>
              </w:rPr>
              <w:t>Storage Savings Potential</w:t>
            </w:r>
          </w:p>
        </w:tc>
      </w:tr>
      <w:tr w:rsidR="00FE013C" w:rsidRPr="00F722B9" w14:paraId="62EA6C26" w14:textId="77777777" w:rsidTr="00030122">
        <w:tc>
          <w:tcPr>
            <w:tcW w:w="2127" w:type="dxa"/>
            <w:hideMark/>
          </w:tcPr>
          <w:p w14:paraId="63F34CC5" w14:textId="77777777" w:rsidR="00FE013C" w:rsidRPr="00F722B9" w:rsidRDefault="00FE013C" w:rsidP="004C16FF">
            <w:pPr>
              <w:ind w:firstLine="480"/>
              <w:rPr>
                <w:sz w:val="16"/>
                <w:szCs w:val="16"/>
                <w:lang w:val="en-CA"/>
              </w:rPr>
            </w:pPr>
            <w:r w:rsidRPr="00F722B9">
              <w:rPr>
                <w:b/>
                <w:bCs/>
                <w:sz w:val="16"/>
                <w:szCs w:val="16"/>
                <w:lang w:val="en-CA"/>
              </w:rPr>
              <w:t>Training</w:t>
            </w:r>
            <w:r w:rsidRPr="00F722B9">
              <w:rPr>
                <w:sz w:val="16"/>
                <w:szCs w:val="16"/>
                <w:lang w:val="en-CA"/>
              </w:rPr>
              <w:t xml:space="preserve"> (ML models)</w:t>
            </w:r>
          </w:p>
        </w:tc>
        <w:tc>
          <w:tcPr>
            <w:tcW w:w="2235" w:type="dxa"/>
            <w:hideMark/>
          </w:tcPr>
          <w:p w14:paraId="07D5164F" w14:textId="77777777" w:rsidR="00FE013C" w:rsidRPr="00F722B9" w:rsidRDefault="00FE013C" w:rsidP="004C16FF">
            <w:pPr>
              <w:ind w:firstLine="480"/>
              <w:rPr>
                <w:sz w:val="16"/>
                <w:szCs w:val="16"/>
                <w:lang w:val="en-CA"/>
              </w:rPr>
            </w:pPr>
            <w:r w:rsidRPr="00F722B9">
              <w:rPr>
                <w:sz w:val="16"/>
                <w:szCs w:val="16"/>
                <w:lang w:val="en-CA"/>
              </w:rPr>
              <w:t>Hours–days</w:t>
            </w:r>
          </w:p>
        </w:tc>
        <w:tc>
          <w:tcPr>
            <w:tcW w:w="0" w:type="auto"/>
            <w:hideMark/>
          </w:tcPr>
          <w:p w14:paraId="14C58807" w14:textId="77777777" w:rsidR="00FE013C" w:rsidRPr="00F722B9" w:rsidRDefault="00FE013C" w:rsidP="004C16FF">
            <w:pPr>
              <w:ind w:firstLine="480"/>
              <w:rPr>
                <w:sz w:val="16"/>
                <w:szCs w:val="16"/>
                <w:lang w:val="en-CA"/>
              </w:rPr>
            </w:pPr>
            <w:r w:rsidRPr="00F722B9">
              <w:rPr>
                <w:sz w:val="16"/>
                <w:szCs w:val="16"/>
                <w:lang w:val="en-CA"/>
              </w:rPr>
              <w:t>4–72 hours (flexible)</w:t>
            </w:r>
          </w:p>
        </w:tc>
        <w:tc>
          <w:tcPr>
            <w:tcW w:w="0" w:type="auto"/>
            <w:hideMark/>
          </w:tcPr>
          <w:p w14:paraId="79003846" w14:textId="77777777" w:rsidR="00FE013C" w:rsidRPr="00F722B9" w:rsidRDefault="00FE013C" w:rsidP="004C16FF">
            <w:pPr>
              <w:ind w:firstLine="480"/>
              <w:rPr>
                <w:sz w:val="16"/>
                <w:szCs w:val="16"/>
                <w:lang w:val="en-CA"/>
              </w:rPr>
            </w:pPr>
            <w:r w:rsidRPr="00F722B9">
              <w:rPr>
                <w:sz w:val="16"/>
                <w:szCs w:val="16"/>
                <w:lang w:val="en-CA"/>
              </w:rPr>
              <w:t>(Highest)</w:t>
            </w:r>
          </w:p>
        </w:tc>
        <w:tc>
          <w:tcPr>
            <w:tcW w:w="0" w:type="auto"/>
            <w:hideMark/>
          </w:tcPr>
          <w:p w14:paraId="187BDD6D" w14:textId="77777777" w:rsidR="00FE013C" w:rsidRPr="00F722B9" w:rsidRDefault="00FE013C" w:rsidP="004C16FF">
            <w:pPr>
              <w:ind w:firstLine="480"/>
              <w:rPr>
                <w:sz w:val="16"/>
                <w:szCs w:val="16"/>
                <w:lang w:val="en-CA"/>
              </w:rPr>
            </w:pPr>
            <w:r w:rsidRPr="00F722B9">
              <w:rPr>
                <w:sz w:val="16"/>
                <w:szCs w:val="16"/>
                <w:lang w:val="en-CA"/>
              </w:rPr>
              <w:t>30–40% (via timing)</w:t>
            </w:r>
          </w:p>
        </w:tc>
      </w:tr>
      <w:tr w:rsidR="00FE013C" w:rsidRPr="00F722B9" w14:paraId="51307E11" w14:textId="77777777" w:rsidTr="00030122">
        <w:tc>
          <w:tcPr>
            <w:tcW w:w="2127" w:type="dxa"/>
            <w:hideMark/>
          </w:tcPr>
          <w:p w14:paraId="5643C791" w14:textId="77777777" w:rsidR="00FE013C" w:rsidRPr="00F722B9" w:rsidRDefault="00FE013C" w:rsidP="004C16FF">
            <w:pPr>
              <w:ind w:firstLine="480"/>
              <w:rPr>
                <w:sz w:val="16"/>
                <w:szCs w:val="16"/>
                <w:lang w:val="en-CA"/>
              </w:rPr>
            </w:pPr>
            <w:r w:rsidRPr="00F722B9">
              <w:rPr>
                <w:b/>
                <w:bCs/>
                <w:sz w:val="16"/>
                <w:szCs w:val="16"/>
                <w:lang w:val="en-CA"/>
              </w:rPr>
              <w:t>Batch Inference</w:t>
            </w:r>
            <w:r w:rsidRPr="00F722B9">
              <w:rPr>
                <w:sz w:val="16"/>
                <w:szCs w:val="16"/>
                <w:lang w:val="en-CA"/>
              </w:rPr>
              <w:t xml:space="preserve"> (Image processing)</w:t>
            </w:r>
          </w:p>
        </w:tc>
        <w:tc>
          <w:tcPr>
            <w:tcW w:w="2235" w:type="dxa"/>
            <w:hideMark/>
          </w:tcPr>
          <w:p w14:paraId="014BF6BF" w14:textId="77777777" w:rsidR="00FE013C" w:rsidRPr="00F722B9" w:rsidRDefault="00FE013C" w:rsidP="004C16FF">
            <w:pPr>
              <w:ind w:firstLine="480"/>
              <w:rPr>
                <w:sz w:val="16"/>
                <w:szCs w:val="16"/>
                <w:lang w:val="en-CA"/>
              </w:rPr>
            </w:pPr>
            <w:r w:rsidRPr="00F722B9">
              <w:rPr>
                <w:sz w:val="16"/>
                <w:szCs w:val="16"/>
                <w:lang w:val="en-CA"/>
              </w:rPr>
              <w:t>Hours</w:t>
            </w:r>
          </w:p>
        </w:tc>
        <w:tc>
          <w:tcPr>
            <w:tcW w:w="0" w:type="auto"/>
            <w:hideMark/>
          </w:tcPr>
          <w:p w14:paraId="5A45B488" w14:textId="77777777" w:rsidR="00FE013C" w:rsidRPr="00F722B9" w:rsidRDefault="00FE013C" w:rsidP="004C16FF">
            <w:pPr>
              <w:ind w:firstLine="480"/>
              <w:rPr>
                <w:sz w:val="16"/>
                <w:szCs w:val="16"/>
                <w:lang w:val="en-CA"/>
              </w:rPr>
            </w:pPr>
            <w:r w:rsidRPr="00F722B9">
              <w:rPr>
                <w:sz w:val="16"/>
                <w:szCs w:val="16"/>
                <w:lang w:val="en-CA"/>
              </w:rPr>
              <w:t>2–24 hours (reschedulable)</w:t>
            </w:r>
          </w:p>
        </w:tc>
        <w:tc>
          <w:tcPr>
            <w:tcW w:w="0" w:type="auto"/>
            <w:hideMark/>
          </w:tcPr>
          <w:p w14:paraId="3F2BB99F" w14:textId="77777777" w:rsidR="00FE013C" w:rsidRPr="00F722B9" w:rsidRDefault="00FE013C" w:rsidP="004C16FF">
            <w:pPr>
              <w:ind w:firstLine="480"/>
              <w:rPr>
                <w:sz w:val="16"/>
                <w:szCs w:val="16"/>
                <w:lang w:val="en-CA"/>
              </w:rPr>
            </w:pPr>
            <w:r w:rsidRPr="00F722B9">
              <w:rPr>
                <w:sz w:val="16"/>
                <w:szCs w:val="16"/>
                <w:lang w:val="en-CA"/>
              </w:rPr>
              <w:t>(Very High)</w:t>
            </w:r>
          </w:p>
        </w:tc>
        <w:tc>
          <w:tcPr>
            <w:tcW w:w="0" w:type="auto"/>
            <w:hideMark/>
          </w:tcPr>
          <w:p w14:paraId="0B7CE381" w14:textId="77777777" w:rsidR="00FE013C" w:rsidRPr="00F722B9" w:rsidRDefault="00FE013C" w:rsidP="004C16FF">
            <w:pPr>
              <w:ind w:firstLine="480"/>
              <w:rPr>
                <w:sz w:val="16"/>
                <w:szCs w:val="16"/>
                <w:lang w:val="en-CA"/>
              </w:rPr>
            </w:pPr>
            <w:r w:rsidRPr="00F722B9">
              <w:rPr>
                <w:sz w:val="16"/>
                <w:szCs w:val="16"/>
                <w:lang w:val="en-CA"/>
              </w:rPr>
              <w:t>20–30% (batching at peak)</w:t>
            </w:r>
          </w:p>
        </w:tc>
      </w:tr>
      <w:tr w:rsidR="00FE013C" w:rsidRPr="00F722B9" w14:paraId="50D8651D" w14:textId="77777777" w:rsidTr="00030122">
        <w:tc>
          <w:tcPr>
            <w:tcW w:w="2127" w:type="dxa"/>
            <w:hideMark/>
          </w:tcPr>
          <w:p w14:paraId="4C61207A" w14:textId="77777777" w:rsidR="00FE013C" w:rsidRPr="00F722B9" w:rsidRDefault="00FE013C" w:rsidP="004C16FF">
            <w:pPr>
              <w:ind w:firstLine="480"/>
              <w:rPr>
                <w:sz w:val="16"/>
                <w:szCs w:val="16"/>
                <w:lang w:val="en-CA"/>
              </w:rPr>
            </w:pPr>
            <w:r w:rsidRPr="00F722B9">
              <w:rPr>
                <w:b/>
                <w:bCs/>
                <w:sz w:val="16"/>
                <w:szCs w:val="16"/>
                <w:lang w:val="en-CA"/>
              </w:rPr>
              <w:t>Analytics</w:t>
            </w:r>
            <w:r w:rsidRPr="00F722B9">
              <w:rPr>
                <w:sz w:val="16"/>
                <w:szCs w:val="16"/>
                <w:lang w:val="en-CA"/>
              </w:rPr>
              <w:t xml:space="preserve"> (Reports, dashboards)</w:t>
            </w:r>
          </w:p>
        </w:tc>
        <w:tc>
          <w:tcPr>
            <w:tcW w:w="2235" w:type="dxa"/>
            <w:hideMark/>
          </w:tcPr>
          <w:p w14:paraId="4527BB0B" w14:textId="77777777" w:rsidR="00FE013C" w:rsidRPr="00F722B9" w:rsidRDefault="00FE013C" w:rsidP="004C16FF">
            <w:pPr>
              <w:ind w:firstLine="480"/>
              <w:rPr>
                <w:sz w:val="16"/>
                <w:szCs w:val="16"/>
                <w:lang w:val="en-CA"/>
              </w:rPr>
            </w:pPr>
            <w:r w:rsidRPr="00F722B9">
              <w:rPr>
                <w:sz w:val="16"/>
                <w:szCs w:val="16"/>
                <w:lang w:val="en-CA"/>
              </w:rPr>
              <w:t>24–48 hours</w:t>
            </w:r>
          </w:p>
        </w:tc>
        <w:tc>
          <w:tcPr>
            <w:tcW w:w="0" w:type="auto"/>
            <w:hideMark/>
          </w:tcPr>
          <w:p w14:paraId="203F5CDB" w14:textId="77777777" w:rsidR="00FE013C" w:rsidRPr="00F722B9" w:rsidRDefault="00FE013C" w:rsidP="004C16FF">
            <w:pPr>
              <w:ind w:firstLine="480"/>
              <w:rPr>
                <w:sz w:val="16"/>
                <w:szCs w:val="16"/>
                <w:lang w:val="en-CA"/>
              </w:rPr>
            </w:pPr>
            <w:r w:rsidRPr="00F722B9">
              <w:rPr>
                <w:sz w:val="16"/>
                <w:szCs w:val="16"/>
                <w:lang w:val="en-CA"/>
              </w:rPr>
              <w:t>Hours–days</w:t>
            </w:r>
          </w:p>
        </w:tc>
        <w:tc>
          <w:tcPr>
            <w:tcW w:w="0" w:type="auto"/>
            <w:hideMark/>
          </w:tcPr>
          <w:p w14:paraId="39D9F874" w14:textId="77777777" w:rsidR="00FE013C" w:rsidRPr="00F722B9" w:rsidRDefault="00FE013C" w:rsidP="004C16FF">
            <w:pPr>
              <w:ind w:firstLine="480"/>
              <w:rPr>
                <w:sz w:val="16"/>
                <w:szCs w:val="16"/>
                <w:lang w:val="en-CA"/>
              </w:rPr>
            </w:pPr>
            <w:r w:rsidRPr="00F722B9">
              <w:rPr>
                <w:sz w:val="16"/>
                <w:szCs w:val="16"/>
                <w:lang w:val="en-CA"/>
              </w:rPr>
              <w:t xml:space="preserve"> (High)</w:t>
            </w:r>
          </w:p>
        </w:tc>
        <w:tc>
          <w:tcPr>
            <w:tcW w:w="0" w:type="auto"/>
            <w:hideMark/>
          </w:tcPr>
          <w:p w14:paraId="7A1D4B23" w14:textId="77777777" w:rsidR="00FE013C" w:rsidRPr="00F722B9" w:rsidRDefault="00FE013C" w:rsidP="004C16FF">
            <w:pPr>
              <w:ind w:firstLine="480"/>
              <w:rPr>
                <w:sz w:val="16"/>
                <w:szCs w:val="16"/>
                <w:lang w:val="en-CA"/>
              </w:rPr>
            </w:pPr>
            <w:r w:rsidRPr="00F722B9">
              <w:rPr>
                <w:sz w:val="16"/>
                <w:szCs w:val="16"/>
                <w:lang w:val="en-CA"/>
              </w:rPr>
              <w:t>15–25%</w:t>
            </w:r>
          </w:p>
        </w:tc>
      </w:tr>
      <w:tr w:rsidR="00FE013C" w:rsidRPr="00F722B9" w14:paraId="0288D113" w14:textId="77777777" w:rsidTr="00030122">
        <w:tc>
          <w:tcPr>
            <w:tcW w:w="2127" w:type="dxa"/>
            <w:hideMark/>
          </w:tcPr>
          <w:p w14:paraId="18ABFCDA" w14:textId="77777777" w:rsidR="00FE013C" w:rsidRPr="00F722B9" w:rsidRDefault="00FE013C" w:rsidP="004C16FF">
            <w:pPr>
              <w:ind w:firstLine="480"/>
              <w:rPr>
                <w:sz w:val="16"/>
                <w:szCs w:val="16"/>
                <w:lang w:val="en-CA"/>
              </w:rPr>
            </w:pPr>
            <w:r w:rsidRPr="00F722B9">
              <w:rPr>
                <w:b/>
                <w:bCs/>
                <w:sz w:val="16"/>
                <w:szCs w:val="16"/>
                <w:lang w:val="en-CA"/>
              </w:rPr>
              <w:t>Real-time Inference</w:t>
            </w:r>
            <w:r w:rsidRPr="00F722B9">
              <w:rPr>
                <w:sz w:val="16"/>
                <w:szCs w:val="16"/>
                <w:lang w:val="en-CA"/>
              </w:rPr>
              <w:t xml:space="preserve"> (User-facing)</w:t>
            </w:r>
          </w:p>
        </w:tc>
        <w:tc>
          <w:tcPr>
            <w:tcW w:w="2235" w:type="dxa"/>
            <w:hideMark/>
          </w:tcPr>
          <w:p w14:paraId="190FFF94" w14:textId="77777777" w:rsidR="00FE013C" w:rsidRPr="00F722B9" w:rsidRDefault="00FE013C" w:rsidP="004C16FF">
            <w:pPr>
              <w:ind w:firstLine="480"/>
              <w:rPr>
                <w:sz w:val="16"/>
                <w:szCs w:val="16"/>
                <w:lang w:val="en-CA"/>
              </w:rPr>
            </w:pPr>
            <w:r w:rsidRPr="00F722B9">
              <w:rPr>
                <w:sz w:val="16"/>
                <w:szCs w:val="16"/>
                <w:lang w:val="en-CA"/>
              </w:rPr>
              <w:t>&lt;100ms</w:t>
            </w:r>
          </w:p>
        </w:tc>
        <w:tc>
          <w:tcPr>
            <w:tcW w:w="0" w:type="auto"/>
            <w:hideMark/>
          </w:tcPr>
          <w:p w14:paraId="15CC9614" w14:textId="77777777" w:rsidR="00FE013C" w:rsidRPr="00F722B9" w:rsidRDefault="00FE013C" w:rsidP="004C16FF">
            <w:pPr>
              <w:ind w:firstLine="480"/>
              <w:rPr>
                <w:sz w:val="16"/>
                <w:szCs w:val="16"/>
                <w:lang w:val="en-CA"/>
              </w:rPr>
            </w:pPr>
            <w:r w:rsidRPr="00F722B9">
              <w:rPr>
                <w:sz w:val="16"/>
                <w:szCs w:val="16"/>
                <w:lang w:val="en-CA"/>
              </w:rPr>
              <w:t>Seconds–minutes</w:t>
            </w:r>
          </w:p>
        </w:tc>
        <w:tc>
          <w:tcPr>
            <w:tcW w:w="0" w:type="auto"/>
            <w:hideMark/>
          </w:tcPr>
          <w:p w14:paraId="64A6316A" w14:textId="77777777" w:rsidR="00FE013C" w:rsidRPr="00F722B9" w:rsidRDefault="00FE013C" w:rsidP="004C16FF">
            <w:pPr>
              <w:ind w:firstLine="480"/>
              <w:rPr>
                <w:sz w:val="16"/>
                <w:szCs w:val="16"/>
                <w:lang w:val="en-CA"/>
              </w:rPr>
            </w:pPr>
            <w:r w:rsidRPr="00F722B9">
              <w:rPr>
                <w:sz w:val="16"/>
                <w:szCs w:val="16"/>
                <w:lang w:val="en-CA"/>
              </w:rPr>
              <w:t>(Medium)</w:t>
            </w:r>
          </w:p>
        </w:tc>
        <w:tc>
          <w:tcPr>
            <w:tcW w:w="0" w:type="auto"/>
            <w:hideMark/>
          </w:tcPr>
          <w:p w14:paraId="56C29988" w14:textId="77777777" w:rsidR="00FE013C" w:rsidRPr="00F722B9" w:rsidRDefault="00FE013C" w:rsidP="004C16FF">
            <w:pPr>
              <w:ind w:firstLine="480"/>
              <w:rPr>
                <w:sz w:val="16"/>
                <w:szCs w:val="16"/>
                <w:lang w:val="en-CA"/>
              </w:rPr>
            </w:pPr>
            <w:r w:rsidRPr="00F722B9">
              <w:rPr>
                <w:sz w:val="16"/>
                <w:szCs w:val="16"/>
                <w:lang w:val="en-CA"/>
              </w:rPr>
              <w:t>5–15% (rate shifting)</w:t>
            </w:r>
          </w:p>
        </w:tc>
      </w:tr>
      <w:tr w:rsidR="00FE013C" w:rsidRPr="00F722B9" w14:paraId="3786155A" w14:textId="77777777" w:rsidTr="00030122">
        <w:tc>
          <w:tcPr>
            <w:tcW w:w="2127" w:type="dxa"/>
            <w:hideMark/>
          </w:tcPr>
          <w:p w14:paraId="55C97123" w14:textId="77777777" w:rsidR="00FE013C" w:rsidRPr="00F722B9" w:rsidRDefault="00FE013C" w:rsidP="004C16FF">
            <w:pPr>
              <w:ind w:firstLine="480"/>
              <w:rPr>
                <w:sz w:val="16"/>
                <w:szCs w:val="16"/>
                <w:lang w:val="en-CA"/>
              </w:rPr>
            </w:pPr>
            <w:r w:rsidRPr="00F722B9">
              <w:rPr>
                <w:b/>
                <w:bCs/>
                <w:sz w:val="16"/>
                <w:szCs w:val="16"/>
                <w:lang w:val="en-CA"/>
              </w:rPr>
              <w:t>Background Tasks</w:t>
            </w:r>
            <w:r w:rsidRPr="00F722B9">
              <w:rPr>
                <w:sz w:val="16"/>
                <w:szCs w:val="16"/>
                <w:lang w:val="en-CA"/>
              </w:rPr>
              <w:t xml:space="preserve"> (Logging, optimization)</w:t>
            </w:r>
          </w:p>
        </w:tc>
        <w:tc>
          <w:tcPr>
            <w:tcW w:w="2235" w:type="dxa"/>
            <w:hideMark/>
          </w:tcPr>
          <w:p w14:paraId="2C061E24" w14:textId="77777777" w:rsidR="00FE013C" w:rsidRPr="00F722B9" w:rsidRDefault="00FE013C" w:rsidP="004C16FF">
            <w:pPr>
              <w:ind w:firstLine="480"/>
              <w:rPr>
                <w:sz w:val="16"/>
                <w:szCs w:val="16"/>
                <w:lang w:val="en-CA"/>
              </w:rPr>
            </w:pPr>
            <w:r w:rsidRPr="00F722B9">
              <w:rPr>
                <w:sz w:val="16"/>
                <w:szCs w:val="16"/>
                <w:lang w:val="en-CA"/>
              </w:rPr>
              <w:t>24+ hours</w:t>
            </w:r>
          </w:p>
        </w:tc>
        <w:tc>
          <w:tcPr>
            <w:tcW w:w="0" w:type="auto"/>
            <w:hideMark/>
          </w:tcPr>
          <w:p w14:paraId="01BF0E11" w14:textId="77777777" w:rsidR="00FE013C" w:rsidRPr="00F722B9" w:rsidRDefault="00FE013C" w:rsidP="004C16FF">
            <w:pPr>
              <w:ind w:firstLine="480"/>
              <w:rPr>
                <w:sz w:val="16"/>
                <w:szCs w:val="16"/>
                <w:lang w:val="en-CA"/>
              </w:rPr>
            </w:pPr>
            <w:r w:rsidRPr="00F722B9">
              <w:rPr>
                <w:sz w:val="16"/>
                <w:szCs w:val="16"/>
                <w:lang w:val="en-CA"/>
              </w:rPr>
              <w:t>Very flexible</w:t>
            </w:r>
          </w:p>
        </w:tc>
        <w:tc>
          <w:tcPr>
            <w:tcW w:w="0" w:type="auto"/>
            <w:hideMark/>
          </w:tcPr>
          <w:p w14:paraId="198B647D" w14:textId="77777777" w:rsidR="00FE013C" w:rsidRPr="00F722B9" w:rsidRDefault="00FE013C" w:rsidP="004C16FF">
            <w:pPr>
              <w:ind w:firstLine="480"/>
              <w:rPr>
                <w:sz w:val="16"/>
                <w:szCs w:val="16"/>
                <w:lang w:val="en-CA"/>
              </w:rPr>
            </w:pPr>
            <w:r w:rsidRPr="00F722B9">
              <w:rPr>
                <w:sz w:val="16"/>
                <w:szCs w:val="16"/>
                <w:lang w:val="en-CA"/>
              </w:rPr>
              <w:t>(Low)</w:t>
            </w:r>
          </w:p>
        </w:tc>
        <w:tc>
          <w:tcPr>
            <w:tcW w:w="0" w:type="auto"/>
            <w:hideMark/>
          </w:tcPr>
          <w:p w14:paraId="139ADFBD" w14:textId="77777777" w:rsidR="00FE013C" w:rsidRPr="00F722B9" w:rsidRDefault="00FE013C" w:rsidP="004C16FF">
            <w:pPr>
              <w:ind w:firstLine="480"/>
              <w:rPr>
                <w:sz w:val="16"/>
                <w:szCs w:val="16"/>
                <w:lang w:val="en-CA"/>
              </w:rPr>
            </w:pPr>
            <w:r w:rsidRPr="00F722B9">
              <w:rPr>
                <w:sz w:val="16"/>
                <w:szCs w:val="16"/>
                <w:lang w:val="en-CA"/>
              </w:rPr>
              <w:t>2–5%</w:t>
            </w:r>
          </w:p>
        </w:tc>
      </w:tr>
      <w:tr w:rsidR="00FE013C" w:rsidRPr="00F722B9" w14:paraId="00BBB5D8" w14:textId="77777777" w:rsidTr="00030122">
        <w:tc>
          <w:tcPr>
            <w:tcW w:w="2127" w:type="dxa"/>
            <w:hideMark/>
          </w:tcPr>
          <w:p w14:paraId="2DEDE04F" w14:textId="77777777" w:rsidR="00FE013C" w:rsidRPr="00F722B9" w:rsidRDefault="00FE013C" w:rsidP="004C16FF">
            <w:pPr>
              <w:ind w:firstLine="480"/>
              <w:rPr>
                <w:sz w:val="16"/>
                <w:szCs w:val="16"/>
                <w:lang w:val="en-CA"/>
              </w:rPr>
            </w:pPr>
            <w:r w:rsidRPr="00F722B9">
              <w:rPr>
                <w:b/>
                <w:bCs/>
                <w:sz w:val="16"/>
                <w:szCs w:val="16"/>
                <w:lang w:val="en-CA"/>
              </w:rPr>
              <w:t>Critical Real-time Services</w:t>
            </w:r>
          </w:p>
        </w:tc>
        <w:tc>
          <w:tcPr>
            <w:tcW w:w="2235" w:type="dxa"/>
            <w:hideMark/>
          </w:tcPr>
          <w:p w14:paraId="19C2FC89" w14:textId="77777777" w:rsidR="00FE013C" w:rsidRPr="00F722B9" w:rsidRDefault="00FE013C" w:rsidP="004C16FF">
            <w:pPr>
              <w:ind w:firstLine="480"/>
              <w:rPr>
                <w:sz w:val="16"/>
                <w:szCs w:val="16"/>
                <w:lang w:val="en-CA"/>
              </w:rPr>
            </w:pPr>
            <w:r w:rsidRPr="00F722B9">
              <w:rPr>
                <w:sz w:val="16"/>
                <w:szCs w:val="16"/>
                <w:lang w:val="en-CA"/>
              </w:rPr>
              <w:t>&lt;10ms</w:t>
            </w:r>
          </w:p>
        </w:tc>
        <w:tc>
          <w:tcPr>
            <w:tcW w:w="0" w:type="auto"/>
            <w:hideMark/>
          </w:tcPr>
          <w:p w14:paraId="685ED255" w14:textId="77777777" w:rsidR="00FE013C" w:rsidRPr="00F722B9" w:rsidRDefault="00FE013C" w:rsidP="004C16FF">
            <w:pPr>
              <w:ind w:firstLine="480"/>
              <w:rPr>
                <w:sz w:val="16"/>
                <w:szCs w:val="16"/>
                <w:lang w:val="en-CA"/>
              </w:rPr>
            </w:pPr>
            <w:r w:rsidRPr="00F722B9">
              <w:rPr>
                <w:sz w:val="16"/>
                <w:szCs w:val="16"/>
                <w:lang w:val="en-CA"/>
              </w:rPr>
              <w:t>None (fixed)</w:t>
            </w:r>
          </w:p>
        </w:tc>
        <w:tc>
          <w:tcPr>
            <w:tcW w:w="0" w:type="auto"/>
            <w:hideMark/>
          </w:tcPr>
          <w:p w14:paraId="18B7FA6C" w14:textId="77777777" w:rsidR="00FE013C" w:rsidRPr="00F722B9" w:rsidRDefault="00FE013C" w:rsidP="004C16FF">
            <w:pPr>
              <w:ind w:firstLine="480"/>
              <w:rPr>
                <w:sz w:val="16"/>
                <w:szCs w:val="16"/>
                <w:lang w:val="en-CA"/>
              </w:rPr>
            </w:pPr>
            <w:r w:rsidRPr="00F722B9">
              <w:rPr>
                <w:sz w:val="16"/>
                <w:szCs w:val="16"/>
                <w:lang w:val="en-CA"/>
              </w:rPr>
              <w:t>(None)</w:t>
            </w:r>
          </w:p>
        </w:tc>
        <w:tc>
          <w:tcPr>
            <w:tcW w:w="0" w:type="auto"/>
            <w:hideMark/>
          </w:tcPr>
          <w:p w14:paraId="650EB828" w14:textId="77777777" w:rsidR="00FE013C" w:rsidRPr="00F722B9" w:rsidRDefault="00FE013C" w:rsidP="004C16FF">
            <w:pPr>
              <w:ind w:firstLine="480"/>
              <w:rPr>
                <w:sz w:val="16"/>
                <w:szCs w:val="16"/>
                <w:lang w:val="en-CA"/>
              </w:rPr>
            </w:pPr>
            <w:r w:rsidRPr="00F722B9">
              <w:rPr>
                <w:sz w:val="16"/>
                <w:szCs w:val="16"/>
                <w:lang w:val="en-CA"/>
              </w:rPr>
              <w:t>0% (non-negotiable)</w:t>
            </w:r>
          </w:p>
        </w:tc>
      </w:tr>
    </w:tbl>
    <w:p w14:paraId="3C3BD4BE" w14:textId="77777777" w:rsidR="00FE013C" w:rsidRDefault="00FE013C" w:rsidP="004C16FF">
      <w:pPr>
        <w:pStyle w:val="Heading20"/>
        <w:jc w:val="both"/>
        <w:rPr>
          <w:color w:val="auto"/>
        </w:rPr>
      </w:pPr>
      <w:r>
        <w:rPr>
          <w:color w:val="auto"/>
        </w:rPr>
        <w:t>7.7. Cooling System Coordination</w:t>
      </w:r>
    </w:p>
    <w:p w14:paraId="5E5D5C7B" w14:textId="77777777" w:rsidR="00FE013C" w:rsidRPr="00613288" w:rsidRDefault="00FE013C" w:rsidP="004C16FF">
      <w:pPr>
        <w:spacing w:after="120"/>
        <w:ind w:firstLine="480"/>
      </w:pPr>
      <w:r w:rsidRPr="00613288">
        <w:t>The concept of cooling system coordination is based on synchronizing the electric and thermal energy systems to optimize overall efficiency. Thermal energy storage (TES) systems, particularly ice storage and chilled water storage, enable cooling demand to be shifted to periods of abundant renewable energy or low electricity prices. If there is excess renewable energy during periods of high renewable energy, it can be utilized to generate chilled water or ice, and then stored for use during other times of low renewable energy production</w:t>
      </w:r>
      <w:r>
        <w:fldChar w:fldCharType="begin"/>
      </w:r>
      <w:r>
        <w:instrText xml:space="preserve"> ADDIN ZOTERO_ITEM CSL_CITATION {"citationID":"9ETsUl6Y","properties":{"unsorted":false,"formattedCitation":"[78]","plainCitation":"[78]","noteIndex":0},"citationItems":[{"id":2036,"uris":["http://zotero.org/users/9870935/items/2KMJ9H69"],"itemData":{"id":2036,"type":"paper-conference","container-title":"2011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fldChar w:fldCharType="separate"/>
      </w:r>
      <w:r w:rsidRPr="00584BC7">
        <w:t>[78]</w:t>
      </w:r>
      <w:r>
        <w:fldChar w:fldCharType="end"/>
      </w:r>
      <w:r w:rsidRPr="00613288">
        <w:t>. Dynamic setpoint management enables the cooling system temperature to vary within a control range, thereby saving energy when renewable energy sources are available and strengthening control when the grid becomes critical</w:t>
      </w:r>
      <w:r>
        <w:fldChar w:fldCharType="begin"/>
      </w:r>
      <w:r>
        <w:instrText xml:space="preserve"> ADDIN ZOTERO_ITEM CSL_CITATION {"citationID":"ovfPeKR7","properties":{"unsorted":false,"formattedCitation":"[148]","plainCitation":"[148]","noteIndex":0},"citationItems":[{"id":2127,"uris":["http://zotero.org/users/9870935/items/TPD6JBT4"],"itemData":{"id":2127,"type":"article","abstract":"As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fldChar w:fldCharType="separate"/>
      </w:r>
      <w:r w:rsidRPr="004864DB">
        <w:t>[148]</w:t>
      </w:r>
      <w:r>
        <w:fldChar w:fldCharType="end"/>
      </w:r>
      <w:r w:rsidRPr="00613288">
        <w:t>.</w:t>
      </w:r>
    </w:p>
    <w:p w14:paraId="3EB1CFB9" w14:textId="6E4D6049" w:rsidR="00FE013C" w:rsidRPr="00613288" w:rsidRDefault="00FE013C" w:rsidP="004C16FF">
      <w:pPr>
        <w:spacing w:after="120"/>
        <w:ind w:firstLine="480"/>
      </w:pPr>
      <w:r w:rsidRPr="00613288">
        <w:t>The efficiency benefit of liquid cooling for AI accelerators is impressive, with cooling energy per watt of IT load dropping from 0.3 W to 0.5 W (air cooling) to 0.1 W to 0.2 W (direct-to-chip liquid cooling)</w:t>
      </w:r>
      <w:r>
        <w:fldChar w:fldCharType="begin"/>
      </w:r>
      <w:r>
        <w:instrText xml:space="preserve"> ADDIN ZOTERO_ITEM CSL_CITATION {"citationID":"XJwrlQZ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fldChar w:fldCharType="separate"/>
      </w:r>
      <w:r w:rsidRPr="00F66B81">
        <w:t>[34]</w:t>
      </w:r>
      <w:r>
        <w:fldChar w:fldCharType="end"/>
      </w:r>
      <w:r w:rsidRPr="00613288">
        <w:t xml:space="preserve">. Waste heat recovery involves recovering the thermal energy that the data </w:t>
      </w:r>
      <w:r w:rsidR="00580BAE">
        <w:t>center</w:t>
      </w:r>
      <w:r w:rsidRPr="00613288">
        <w:t xml:space="preserve"> rejects for other applications, such as district heating, greenhouse heating, or industrial process heat, to reduce the overall amount of energy consumed by the data </w:t>
      </w:r>
      <w:r w:rsidR="00580BAE">
        <w:t>center</w:t>
      </w:r>
      <w:r w:rsidRPr="00613288">
        <w:t xml:space="preserve">, with a benefit of </w:t>
      </w:r>
      <w:r>
        <w:t xml:space="preserve">5–10% </w:t>
      </w:r>
      <w:r w:rsidRPr="00613288">
        <w:t>of the total energy costs</w:t>
      </w:r>
      <w:r>
        <w:fldChar w:fldCharType="begin"/>
      </w:r>
      <w:r>
        <w:instrText xml:space="preserve"> ADDIN ZOTERO_ITEM CSL_CITATION {"citationID":"pKIYxu2A","properties":{"unsorted":false,"formattedCitation":"[149]","plainCitation":"[149]","noteIndex":0},"citationItems":[{"id":2128,"uris":["http://zotero.org/users/9870935/items/I7S4GH78"],"itemData":{"id":2128,"type":"article-journal","container-title":"Information, Communication &amp; Society","DOI":"10.1080/1369118X.2025.2596872","ISSN":"1369-118X, 1468-4462","journalAbbreviation":"Information, Communication &amp; Society","language":"en","page":"1-17","source":"DOI.org (Crossref)","title":"Sustainable datacentres and eco-modernist frictions in Sweden","author":[{"family":"Sefyrin","given":"Johanna"}],"issued":{"date-parts":[["2025",12,11]]}}}],"schema":"https://github.com/citation-style-language/schema/raw/master/csl-citation.json"} </w:instrText>
      </w:r>
      <w:r>
        <w:fldChar w:fldCharType="separate"/>
      </w:r>
      <w:r w:rsidRPr="004864DB">
        <w:t>[149]</w:t>
      </w:r>
      <w:r>
        <w:fldChar w:fldCharType="end"/>
      </w:r>
      <w:r w:rsidRPr="00613288">
        <w:t>.</w:t>
      </w:r>
    </w:p>
    <w:p w14:paraId="467ABB68" w14:textId="77777777" w:rsidR="00FE013C" w:rsidRDefault="00FE013C" w:rsidP="004C16FF">
      <w:pPr>
        <w:pStyle w:val="Heading20"/>
        <w:jc w:val="both"/>
        <w:rPr>
          <w:color w:val="auto"/>
        </w:rPr>
      </w:pPr>
      <w:r>
        <w:rPr>
          <w:color w:val="auto"/>
        </w:rPr>
        <w:t xml:space="preserve">7.8. </w:t>
      </w:r>
      <w:r w:rsidRPr="004D516A">
        <w:rPr>
          <w:color w:val="auto"/>
        </w:rPr>
        <w:t>Economic Model and Financial Viability</w:t>
      </w:r>
    </w:p>
    <w:p w14:paraId="6D745E65" w14:textId="594C4FD9" w:rsidR="00FE013C" w:rsidRPr="00354B1B" w:rsidRDefault="00FE013C" w:rsidP="004C16FF">
      <w:pPr>
        <w:spacing w:after="120"/>
        <w:ind w:firstLine="480"/>
      </w:pPr>
      <w:r w:rsidRPr="00354B1B">
        <w:lastRenderedPageBreak/>
        <w:t xml:space="preserve">The economic model employs standard financial metrics, including </w:t>
      </w:r>
      <w:proofErr w:type="spellStart"/>
      <w:r w:rsidRPr="00354B1B">
        <w:t>levelised</w:t>
      </w:r>
      <w:proofErr w:type="spellEnd"/>
      <w:r w:rsidRPr="00354B1B">
        <w:t xml:space="preserve"> cost of Energy (LCOE), net present value (NPV), internal rate of return (IRR), and payback period, to evaluate the financial performance of renewable-powered data </w:t>
      </w:r>
      <w:r w:rsidR="00580BAE">
        <w:t>center</w:t>
      </w:r>
      <w:r w:rsidRPr="00354B1B">
        <w:t xml:space="preserve"> configurations. The LCOE calculation aggregates all capital and operating costs over the project lifetime and divides them by the total energy delivered, discounted to the present value</w:t>
      </w:r>
      <w:r>
        <w:fldChar w:fldCharType="begin"/>
      </w:r>
      <w:r>
        <w:instrText xml:space="preserve"> ADDIN ZOTERO_ITEM CSL_CITATION {"citationID":"AU6U0yuJ","properties":{"unsorted":false,"formattedCitation":"[150]","plainCitation":"[150]","noteIndex":0},"citationItems":[{"id":2132,"uris":["http://zotero.org/users/9870935/items/786EAJKN"],"itemData":{"id":2132,"type":"document","title":"Levelized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fldChar w:fldCharType="separate"/>
      </w:r>
      <w:r w:rsidRPr="004864DB">
        <w:t>[150]</w:t>
      </w:r>
      <w:r>
        <w:fldChar w:fldCharType="end"/>
      </w:r>
      <w:r w:rsidRPr="00354B1B">
        <w:t>.</w:t>
      </w:r>
      <w:r>
        <w:t xml:space="preserve"> </w:t>
      </w:r>
      <w:r w:rsidRPr="00D874DC">
        <w:t>Table 5 presents the 2025–2026 capital cost ranges, annual O&amp;M rates, LCOE estimates, and economic lifetimes for each technology in the framework's recommended portfolio, providing the cost inputs for the NPV and payback analyses in Sections 10.2–10.4.</w:t>
      </w:r>
    </w:p>
    <w:p w14:paraId="24562BD3" w14:textId="77777777" w:rsidR="00FE013C" w:rsidRDefault="00FE013C" w:rsidP="004C16FF">
      <w:pPr>
        <w:pStyle w:val="Caption"/>
        <w:keepNext/>
      </w:pPr>
      <w:r>
        <w:t xml:space="preserve">Table </w:t>
      </w:r>
      <w:fldSimple w:instr=" SEQ Table \* ARABIC ">
        <w:r>
          <w:rPr>
            <w:noProof/>
          </w:rPr>
          <w:t>5</w:t>
        </w:r>
      </w:fldSimple>
      <w:r>
        <w:t xml:space="preserve"> </w:t>
      </w:r>
      <w:r w:rsidRPr="000B7235">
        <w:t>CAPEX Breakdown by Technology (2025–2026)</w:t>
      </w:r>
    </w:p>
    <w:tbl>
      <w:tblPr>
        <w:tblStyle w:val="Mdeck5tablebodythreelines"/>
        <w:tblW w:w="5000" w:type="pct"/>
        <w:tblLook w:val="04A0" w:firstRow="1" w:lastRow="0" w:firstColumn="1" w:lastColumn="0" w:noHBand="0" w:noVBand="1"/>
      </w:tblPr>
      <w:tblGrid>
        <w:gridCol w:w="2576"/>
        <w:gridCol w:w="2003"/>
        <w:gridCol w:w="2056"/>
        <w:gridCol w:w="1775"/>
        <w:gridCol w:w="1342"/>
      </w:tblGrid>
      <w:tr w:rsidR="00FE013C" w:rsidRPr="00F30983" w14:paraId="6B663D96" w14:textId="77777777" w:rsidTr="001E09C3">
        <w:trPr>
          <w:cnfStyle w:val="100000000000" w:firstRow="1" w:lastRow="0" w:firstColumn="0" w:lastColumn="0" w:oddVBand="0" w:evenVBand="0" w:oddHBand="0" w:evenHBand="0" w:firstRowFirstColumn="0" w:firstRowLastColumn="0" w:lastRowFirstColumn="0" w:lastRowLastColumn="0"/>
        </w:trPr>
        <w:tc>
          <w:tcPr>
            <w:tcW w:w="1321" w:type="pct"/>
            <w:hideMark/>
          </w:tcPr>
          <w:p w14:paraId="18DBFD1F" w14:textId="77777777" w:rsidR="00FE013C" w:rsidRPr="001E09C3" w:rsidRDefault="00FE013C" w:rsidP="004C16FF">
            <w:pPr>
              <w:pStyle w:val="TableBody"/>
              <w:spacing w:line="240" w:lineRule="auto"/>
              <w:jc w:val="both"/>
              <w:rPr>
                <w:b/>
                <w:bCs/>
                <w:snapToGrid w:val="0"/>
                <w:color w:val="auto"/>
                <w:sz w:val="18"/>
                <w:szCs w:val="18"/>
                <w:lang w:val="en-US"/>
              </w:rPr>
            </w:pPr>
            <w:r w:rsidRPr="001E09C3">
              <w:rPr>
                <w:b/>
                <w:bCs/>
                <w:snapToGrid w:val="0"/>
                <w:color w:val="auto"/>
                <w:sz w:val="18"/>
                <w:szCs w:val="18"/>
                <w:lang w:val="en-US"/>
              </w:rPr>
              <w:t>Technology</w:t>
            </w:r>
          </w:p>
        </w:tc>
        <w:tc>
          <w:tcPr>
            <w:tcW w:w="1027" w:type="pct"/>
            <w:hideMark/>
          </w:tcPr>
          <w:p w14:paraId="4A8A3BF8" w14:textId="77777777" w:rsidR="00FE013C" w:rsidRPr="001E09C3" w:rsidRDefault="00FE013C" w:rsidP="004C16FF">
            <w:pPr>
              <w:pStyle w:val="TableBody"/>
              <w:spacing w:line="240" w:lineRule="auto"/>
              <w:jc w:val="both"/>
              <w:rPr>
                <w:b/>
                <w:bCs/>
                <w:snapToGrid w:val="0"/>
                <w:color w:val="auto"/>
                <w:sz w:val="18"/>
                <w:szCs w:val="18"/>
                <w:lang w:val="en-US"/>
              </w:rPr>
            </w:pPr>
            <w:r w:rsidRPr="001E09C3">
              <w:rPr>
                <w:b/>
                <w:bCs/>
                <w:snapToGrid w:val="0"/>
                <w:color w:val="auto"/>
                <w:sz w:val="18"/>
                <w:szCs w:val="18"/>
                <w:lang w:val="en-US"/>
              </w:rPr>
              <w:t>CAPEX Range</w:t>
            </w:r>
          </w:p>
        </w:tc>
        <w:tc>
          <w:tcPr>
            <w:tcW w:w="1054" w:type="pct"/>
            <w:hideMark/>
          </w:tcPr>
          <w:p w14:paraId="342B6B4B" w14:textId="77777777" w:rsidR="00FE013C" w:rsidRPr="001E09C3" w:rsidRDefault="00FE013C" w:rsidP="004C16FF">
            <w:pPr>
              <w:pStyle w:val="TableBody"/>
              <w:spacing w:line="240" w:lineRule="auto"/>
              <w:jc w:val="both"/>
              <w:rPr>
                <w:b/>
                <w:bCs/>
                <w:snapToGrid w:val="0"/>
                <w:color w:val="auto"/>
                <w:sz w:val="18"/>
                <w:szCs w:val="18"/>
                <w:lang w:val="en-US"/>
              </w:rPr>
            </w:pPr>
            <w:r w:rsidRPr="001E09C3">
              <w:rPr>
                <w:b/>
                <w:bCs/>
                <w:snapToGrid w:val="0"/>
                <w:color w:val="auto"/>
                <w:sz w:val="18"/>
                <w:szCs w:val="18"/>
                <w:lang w:val="en-US"/>
              </w:rPr>
              <w:t>Fixed O&amp;M (%/yr)</w:t>
            </w:r>
          </w:p>
        </w:tc>
        <w:tc>
          <w:tcPr>
            <w:tcW w:w="910" w:type="pct"/>
            <w:hideMark/>
          </w:tcPr>
          <w:p w14:paraId="00BFD9B1" w14:textId="77777777" w:rsidR="00FE013C" w:rsidRPr="001E09C3" w:rsidRDefault="00FE013C" w:rsidP="004C16FF">
            <w:pPr>
              <w:pStyle w:val="TableBody"/>
              <w:spacing w:line="240" w:lineRule="auto"/>
              <w:jc w:val="both"/>
              <w:rPr>
                <w:b/>
                <w:bCs/>
                <w:snapToGrid w:val="0"/>
                <w:color w:val="auto"/>
                <w:sz w:val="18"/>
                <w:szCs w:val="18"/>
                <w:lang w:val="en-US"/>
              </w:rPr>
            </w:pPr>
            <w:r w:rsidRPr="001E09C3">
              <w:rPr>
                <w:b/>
                <w:bCs/>
                <w:snapToGrid w:val="0"/>
                <w:color w:val="auto"/>
                <w:sz w:val="18"/>
                <w:szCs w:val="18"/>
                <w:lang w:val="en-US"/>
              </w:rPr>
              <w:t>LCOE ($/MWh)</w:t>
            </w:r>
          </w:p>
        </w:tc>
        <w:tc>
          <w:tcPr>
            <w:tcW w:w="688" w:type="pct"/>
            <w:hideMark/>
          </w:tcPr>
          <w:p w14:paraId="5B0F0CAD" w14:textId="77777777" w:rsidR="00FE013C" w:rsidRPr="001E09C3" w:rsidRDefault="00FE013C" w:rsidP="004C16FF">
            <w:pPr>
              <w:pStyle w:val="TableBody"/>
              <w:spacing w:line="240" w:lineRule="auto"/>
              <w:jc w:val="both"/>
              <w:rPr>
                <w:b/>
                <w:bCs/>
                <w:snapToGrid w:val="0"/>
                <w:color w:val="auto"/>
                <w:sz w:val="18"/>
                <w:szCs w:val="18"/>
                <w:lang w:val="en-US"/>
              </w:rPr>
            </w:pPr>
            <w:r w:rsidRPr="001E09C3">
              <w:rPr>
                <w:b/>
                <w:bCs/>
                <w:snapToGrid w:val="0"/>
                <w:color w:val="auto"/>
                <w:sz w:val="18"/>
                <w:szCs w:val="18"/>
                <w:lang w:val="en-US"/>
              </w:rPr>
              <w:t>Lifetime</w:t>
            </w:r>
          </w:p>
        </w:tc>
      </w:tr>
      <w:tr w:rsidR="00FE013C" w:rsidRPr="00F30983" w14:paraId="56E48E4E" w14:textId="77777777" w:rsidTr="001E09C3">
        <w:tc>
          <w:tcPr>
            <w:tcW w:w="1321" w:type="pct"/>
            <w:hideMark/>
          </w:tcPr>
          <w:p w14:paraId="4C5588A5"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Solar PV (Utility)</w:t>
            </w:r>
          </w:p>
        </w:tc>
        <w:tc>
          <w:tcPr>
            <w:tcW w:w="1027" w:type="pct"/>
            <w:hideMark/>
          </w:tcPr>
          <w:p w14:paraId="0868042D"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$900–$1,600 /kW</w:t>
            </w:r>
          </w:p>
        </w:tc>
        <w:tc>
          <w:tcPr>
            <w:tcW w:w="1054" w:type="pct"/>
            <w:hideMark/>
          </w:tcPr>
          <w:p w14:paraId="1974EAD9"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0.4–0.8%</w:t>
            </w:r>
          </w:p>
        </w:tc>
        <w:tc>
          <w:tcPr>
            <w:tcW w:w="910" w:type="pct"/>
            <w:hideMark/>
          </w:tcPr>
          <w:p w14:paraId="356238A9"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$50–$80</w:t>
            </w:r>
          </w:p>
        </w:tc>
        <w:tc>
          <w:tcPr>
            <w:tcW w:w="688" w:type="pct"/>
            <w:hideMark/>
          </w:tcPr>
          <w:p w14:paraId="14247D38"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25–30 years</w:t>
            </w:r>
          </w:p>
        </w:tc>
      </w:tr>
      <w:tr w:rsidR="00FE013C" w:rsidRPr="00F30983" w14:paraId="23F1D0DB" w14:textId="77777777" w:rsidTr="001E09C3">
        <w:tc>
          <w:tcPr>
            <w:tcW w:w="1321" w:type="pct"/>
            <w:hideMark/>
          </w:tcPr>
          <w:p w14:paraId="193432AF"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Wind Onshore</w:t>
            </w:r>
          </w:p>
        </w:tc>
        <w:tc>
          <w:tcPr>
            <w:tcW w:w="1027" w:type="pct"/>
            <w:hideMark/>
          </w:tcPr>
          <w:p w14:paraId="02893015"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$1,800–$2,600 /kW</w:t>
            </w:r>
          </w:p>
        </w:tc>
        <w:tc>
          <w:tcPr>
            <w:tcW w:w="1054" w:type="pct"/>
            <w:hideMark/>
          </w:tcPr>
          <w:p w14:paraId="64063433"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1.5–2.5%</w:t>
            </w:r>
          </w:p>
        </w:tc>
        <w:tc>
          <w:tcPr>
            <w:tcW w:w="910" w:type="pct"/>
            <w:hideMark/>
          </w:tcPr>
          <w:p w14:paraId="5D0D6690"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$45–$70</w:t>
            </w:r>
          </w:p>
        </w:tc>
        <w:tc>
          <w:tcPr>
            <w:tcW w:w="688" w:type="pct"/>
            <w:hideMark/>
          </w:tcPr>
          <w:p w14:paraId="66249194"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20–25 years</w:t>
            </w:r>
          </w:p>
        </w:tc>
      </w:tr>
      <w:tr w:rsidR="00FE013C" w:rsidRPr="00F30983" w14:paraId="2B41959D" w14:textId="77777777" w:rsidTr="001E09C3">
        <w:tc>
          <w:tcPr>
            <w:tcW w:w="1321" w:type="pct"/>
            <w:hideMark/>
          </w:tcPr>
          <w:p w14:paraId="0EE61F3A"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Li-ion Battery (4h BESS)</w:t>
            </w:r>
          </w:p>
        </w:tc>
        <w:tc>
          <w:tcPr>
            <w:tcW w:w="1027" w:type="pct"/>
            <w:hideMark/>
          </w:tcPr>
          <w:p w14:paraId="2D48BA5B"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$180–$320 /kWh</w:t>
            </w:r>
          </w:p>
        </w:tc>
        <w:tc>
          <w:tcPr>
            <w:tcW w:w="1054" w:type="pct"/>
            <w:hideMark/>
          </w:tcPr>
          <w:p w14:paraId="5A21F712"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1.0–2.0%</w:t>
            </w:r>
          </w:p>
        </w:tc>
        <w:tc>
          <w:tcPr>
            <w:tcW w:w="910" w:type="pct"/>
            <w:hideMark/>
          </w:tcPr>
          <w:p w14:paraId="6410485A"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$80–$130</w:t>
            </w:r>
          </w:p>
        </w:tc>
        <w:tc>
          <w:tcPr>
            <w:tcW w:w="688" w:type="pct"/>
            <w:hideMark/>
          </w:tcPr>
          <w:p w14:paraId="5FB4843A"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15–20 years</w:t>
            </w:r>
          </w:p>
        </w:tc>
      </w:tr>
      <w:tr w:rsidR="00FE013C" w:rsidRPr="00F30983" w14:paraId="64F22BCC" w14:textId="77777777" w:rsidTr="001E09C3">
        <w:tc>
          <w:tcPr>
            <w:tcW w:w="1321" w:type="pct"/>
            <w:hideMark/>
          </w:tcPr>
          <w:p w14:paraId="0E157B22"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Diesel Generator</w:t>
            </w:r>
          </w:p>
        </w:tc>
        <w:tc>
          <w:tcPr>
            <w:tcW w:w="1027" w:type="pct"/>
            <w:hideMark/>
          </w:tcPr>
          <w:p w14:paraId="69218BAF"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$400–$750 /kW</w:t>
            </w:r>
          </w:p>
        </w:tc>
        <w:tc>
          <w:tcPr>
            <w:tcW w:w="1054" w:type="pct"/>
            <w:hideMark/>
          </w:tcPr>
          <w:p w14:paraId="46F8AB97"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2.0–3.5%</w:t>
            </w:r>
          </w:p>
        </w:tc>
        <w:tc>
          <w:tcPr>
            <w:tcW w:w="910" w:type="pct"/>
            <w:hideMark/>
          </w:tcPr>
          <w:p w14:paraId="4CDB92BA"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Fuel dependent</w:t>
            </w:r>
          </w:p>
        </w:tc>
        <w:tc>
          <w:tcPr>
            <w:tcW w:w="688" w:type="pct"/>
            <w:hideMark/>
          </w:tcPr>
          <w:p w14:paraId="1E98BF5E"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20–25 years</w:t>
            </w:r>
          </w:p>
        </w:tc>
      </w:tr>
      <w:tr w:rsidR="00FE013C" w:rsidRPr="00F30983" w14:paraId="30F7222C" w14:textId="77777777" w:rsidTr="001E09C3">
        <w:tc>
          <w:tcPr>
            <w:tcW w:w="1321" w:type="pct"/>
            <w:hideMark/>
          </w:tcPr>
          <w:p w14:paraId="39872938"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H2 Fuel Cell</w:t>
            </w:r>
          </w:p>
        </w:tc>
        <w:tc>
          <w:tcPr>
            <w:tcW w:w="1027" w:type="pct"/>
            <w:hideMark/>
          </w:tcPr>
          <w:p w14:paraId="114529B4"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$1,600–$3,200 /kW</w:t>
            </w:r>
          </w:p>
        </w:tc>
        <w:tc>
          <w:tcPr>
            <w:tcW w:w="1054" w:type="pct"/>
            <w:hideMark/>
          </w:tcPr>
          <w:p w14:paraId="255DA87F"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3.0–5.0%</w:t>
            </w:r>
          </w:p>
        </w:tc>
        <w:tc>
          <w:tcPr>
            <w:tcW w:w="910" w:type="pct"/>
            <w:hideMark/>
          </w:tcPr>
          <w:p w14:paraId="1515DC44"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$140–$220</w:t>
            </w:r>
          </w:p>
        </w:tc>
        <w:tc>
          <w:tcPr>
            <w:tcW w:w="688" w:type="pct"/>
            <w:hideMark/>
          </w:tcPr>
          <w:p w14:paraId="02AFE52A"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12–15 years</w:t>
            </w:r>
          </w:p>
        </w:tc>
      </w:tr>
      <w:tr w:rsidR="00FE013C" w:rsidRPr="00F30983" w14:paraId="54A1DBEE" w14:textId="77777777" w:rsidTr="001E09C3">
        <w:tc>
          <w:tcPr>
            <w:tcW w:w="1321" w:type="pct"/>
            <w:hideMark/>
          </w:tcPr>
          <w:p w14:paraId="13E6C862" w14:textId="77777777" w:rsidR="00FE013C" w:rsidRPr="001E09C3" w:rsidRDefault="00FE013C" w:rsidP="004C16FF">
            <w:pPr>
              <w:pStyle w:val="TableBody"/>
              <w:spacing w:line="240" w:lineRule="auto"/>
              <w:jc w:val="both"/>
              <w:rPr>
                <w:b/>
                <w:bCs/>
                <w:color w:val="auto"/>
                <w:sz w:val="18"/>
                <w:szCs w:val="18"/>
                <w:lang w:val="en-US"/>
              </w:rPr>
            </w:pPr>
            <w:r w:rsidRPr="001E09C3">
              <w:rPr>
                <w:b/>
                <w:bCs/>
                <w:color w:val="auto"/>
                <w:sz w:val="18"/>
                <w:szCs w:val="18"/>
                <w:lang w:val="en-US"/>
              </w:rPr>
              <w:t>Grid Electricity</w:t>
            </w:r>
          </w:p>
        </w:tc>
        <w:tc>
          <w:tcPr>
            <w:tcW w:w="1027" w:type="pct"/>
            <w:hideMark/>
          </w:tcPr>
          <w:p w14:paraId="17A20C47"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N/A</w:t>
            </w:r>
          </w:p>
        </w:tc>
        <w:tc>
          <w:tcPr>
            <w:tcW w:w="1054" w:type="pct"/>
            <w:hideMark/>
          </w:tcPr>
          <w:p w14:paraId="3EBDCDDE"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N/A</w:t>
            </w:r>
          </w:p>
        </w:tc>
        <w:tc>
          <w:tcPr>
            <w:tcW w:w="910" w:type="pct"/>
            <w:hideMark/>
          </w:tcPr>
          <w:p w14:paraId="128FA1D5"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$85–$160</w:t>
            </w:r>
          </w:p>
        </w:tc>
        <w:tc>
          <w:tcPr>
            <w:tcW w:w="688" w:type="pct"/>
            <w:hideMark/>
          </w:tcPr>
          <w:p w14:paraId="2B40163D" w14:textId="77777777" w:rsidR="00FE013C" w:rsidRPr="005D0804" w:rsidRDefault="00FE013C" w:rsidP="004C16FF">
            <w:pPr>
              <w:pStyle w:val="TableBody"/>
              <w:spacing w:line="240" w:lineRule="auto"/>
              <w:jc w:val="both"/>
              <w:rPr>
                <w:color w:val="auto"/>
                <w:sz w:val="18"/>
                <w:szCs w:val="18"/>
                <w:lang w:val="en-US"/>
              </w:rPr>
            </w:pPr>
            <w:r w:rsidRPr="005D0804">
              <w:rPr>
                <w:color w:val="auto"/>
                <w:sz w:val="18"/>
                <w:szCs w:val="18"/>
                <w:lang w:val="en-US"/>
              </w:rPr>
              <w:t>N/A</w:t>
            </w:r>
          </w:p>
        </w:tc>
      </w:tr>
    </w:tbl>
    <w:p w14:paraId="607F1506" w14:textId="77777777" w:rsidR="00FE013C" w:rsidRDefault="00FE013C" w:rsidP="004C16FF">
      <w:pPr>
        <w:ind w:firstLine="480"/>
      </w:pPr>
      <w:r>
        <w:t>The U.S. Inflation Reduction Act (IRA) and the subsequent extensions into 2025 and 2026 offer substantial financial benefits which dramatically enhance project economics. For solar, energy storage systems (BESS), and qualifying hydrogen production equipment, the Investment Tax Credit (ITC) of 30 percent baseline of eligible project costs effectively decreases capital expenditure by about 30 percent</w:t>
      </w:r>
      <w:r>
        <w:fldChar w:fldCharType="begin"/>
      </w:r>
      <w:r>
        <w:instrText xml:space="preserve"> ADDIN ZOTERO_ITEM CSL_CITATION {"citationID":"HM1dLL2m","properties":{"unsorted":false,"formattedCitation":"[151]","plainCitation":"[151]","noteIndex":0},"citationItems":[{"id":2133,"uris":["http://zotero.org/users/9870935/items/DBM7MVTI"],"itemData":{"id":2133,"type":"post-weblog","title":"Summary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fldChar w:fldCharType="separate"/>
      </w:r>
      <w:r w:rsidRPr="004864DB">
        <w:t>[151]</w:t>
      </w:r>
      <w:r>
        <w:fldChar w:fldCharType="end"/>
      </w:r>
      <w:r>
        <w:t xml:space="preserve">. The ITC can be combined with domestic content bonuses, energy community </w:t>
      </w:r>
      <w:proofErr w:type="spellStart"/>
      <w:r>
        <w:t>stackability</w:t>
      </w:r>
      <w:proofErr w:type="spellEnd"/>
      <w:r>
        <w:t xml:space="preserve">, and </w:t>
      </w:r>
      <w:r w:rsidRPr="001617BE">
        <w:t>accelerated depreciation under MACRS (5-year recovery for solar PV, wind turbines, and battery storage)</w:t>
      </w:r>
      <w:r>
        <w:t xml:space="preserve"> which can boost the effective ITC to 40 to 50 percent of total project cost.</w:t>
      </w:r>
    </w:p>
    <w:p w14:paraId="06565FAD" w14:textId="77777777" w:rsidR="00FE013C" w:rsidRPr="00925F1B" w:rsidRDefault="00FE013C" w:rsidP="004C16FF">
      <w:pPr>
        <w:spacing w:after="120"/>
        <w:ind w:firstLine="480"/>
      </w:pPr>
      <w:r>
        <w:t>By applying an improved discount rate of 7.5% (due to the sustained higher macroeconomic interest rate) and central cost estimates, payback periods for hybrid renewable systems using stacked ITCs range from 4 to 8 years, while without federal incentives, payback periods are between 9 and 16 years</w:t>
      </w:r>
      <w:r>
        <w:fldChar w:fldCharType="begin"/>
      </w:r>
      <w:r>
        <w:instrText xml:space="preserve"> ADDIN ZOTERO_ITEM CSL_CITATION {"citationID":"oxuF6rOB","properties":{"unsorted":false,"formattedCitation":"[151]","plainCitation":"[151]","noteIndex":0},"citationItems":[{"id":2133,"uris":["http://zotero.org/users/9870935/items/DBM7MVTI"],"itemData":{"id":2133,"type":"post-weblog","title":"Summary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fldChar w:fldCharType="separate"/>
      </w:r>
      <w:r w:rsidRPr="004864DB">
        <w:t>[151]</w:t>
      </w:r>
      <w:r>
        <w:fldChar w:fldCharType="end"/>
      </w:r>
      <w:r>
        <w:t>.</w:t>
      </w:r>
    </w:p>
    <w:p w14:paraId="3AA110D1" w14:textId="77777777" w:rsidR="00FE013C" w:rsidRDefault="00FE013C" w:rsidP="004C16FF">
      <w:pPr>
        <w:pStyle w:val="Heading20"/>
        <w:jc w:val="both"/>
        <w:rPr>
          <w:color w:val="auto"/>
        </w:rPr>
      </w:pPr>
      <w:r>
        <w:rPr>
          <w:color w:val="auto"/>
        </w:rPr>
        <w:t>7.9. Reliability and Resilience Metrics</w:t>
      </w:r>
    </w:p>
    <w:p w14:paraId="500EF8C4" w14:textId="1E8A3A5A" w:rsidR="00FE013C" w:rsidRPr="00DB0B99" w:rsidRDefault="00FE013C" w:rsidP="004C16FF">
      <w:pPr>
        <w:spacing w:after="120"/>
        <w:ind w:firstLine="480"/>
      </w:pPr>
      <w:r w:rsidRPr="00DB0B99">
        <w:t xml:space="preserve">The framework </w:t>
      </w:r>
      <w:proofErr w:type="gramStart"/>
      <w:r w:rsidRPr="00DB0B99">
        <w:t>sets</w:t>
      </w:r>
      <w:proofErr w:type="gramEnd"/>
      <w:r w:rsidRPr="00DB0B99">
        <w:t xml:space="preserve"> reliability objectives consistent with the worth of AI computing workloads. Availability is the main reliability metric, representing the percentage of time that the system provides adequate power to keep all critical computing functions running. The target availability is 99.99% or 52.6 minutes per year</w:t>
      </w:r>
      <w:r>
        <w:fldChar w:fldCharType="begin"/>
      </w:r>
      <w:r>
        <w:instrText xml:space="preserve"> ADDIN ZOTERO_ITEM CSL_CITATION {"citationID":"U6VB0uq4","properties":{"unsorted":false,"formattedCitation":"[152]","plainCitation":"[152]","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fldChar w:fldCharType="separate"/>
      </w:r>
      <w:r w:rsidRPr="004864DB">
        <w:t>[152]</w:t>
      </w:r>
      <w:r>
        <w:fldChar w:fldCharType="end"/>
      </w:r>
      <w:r w:rsidRPr="00DB0B99">
        <w:t xml:space="preserve">. A complementary metric that quantifies the expected frequency of insufficient "generation events" is the loss of load expectation (LOLE), which is measured in hours per year. A data </w:t>
      </w:r>
      <w:r w:rsidR="00580BAE">
        <w:t>center</w:t>
      </w:r>
      <w:r w:rsidRPr="00DB0B99">
        <w:t xml:space="preserve"> aiming for 99.99</w:t>
      </w:r>
      <w:r>
        <w:t xml:space="preserve">% </w:t>
      </w:r>
      <w:r w:rsidRPr="00DB0B99">
        <w:t>availability would expect to experience approximately 0.1 hours of LOLE per year.</w:t>
      </w:r>
    </w:p>
    <w:p w14:paraId="696A650C" w14:textId="268BA714" w:rsidR="00FE013C" w:rsidRPr="00DB0B99" w:rsidRDefault="00FE013C" w:rsidP="004C16FF">
      <w:pPr>
        <w:spacing w:after="120"/>
        <w:ind w:firstLine="480"/>
      </w:pPr>
      <w:r w:rsidRPr="00DB0B99">
        <w:t xml:space="preserve">Energy resilience represents the </w:t>
      </w:r>
      <w:proofErr w:type="gramStart"/>
      <w:r w:rsidRPr="00DB0B99">
        <w:t>period of time</w:t>
      </w:r>
      <w:proofErr w:type="gramEnd"/>
      <w:r w:rsidRPr="00DB0B99">
        <w:t xml:space="preserve"> (typically in hours) the facility can sustain its operations during a full grid outage using stored energy and is crucial for disaster preparedness. If normal load conditions are used, a data </w:t>
      </w:r>
      <w:r w:rsidR="00580BAE">
        <w:t>center</w:t>
      </w:r>
      <w:r w:rsidRPr="00DB0B99">
        <w:t xml:space="preserve"> with 8h of battery storage and 72h of diesel fuel can operate for more than 80 h if the power grid fails</w:t>
      </w:r>
      <w:r>
        <w:fldChar w:fldCharType="begin"/>
      </w:r>
      <w:r>
        <w:instrText xml:space="preserve"> ADDIN ZOTERO_ITEM CSL_CITATION {"citationID":"hNx0eRYE","properties":{"unsorted":false,"formattedCitation":"[153]","plainCitation":"[153]","noteIndex":0},"citationItems":[{"id":2138,"uris":["http://zotero.org/users/9870935/items/S7ZKHMNS"],"itemData":{"id":2138,"type":"document","title":"NFPA 110 Type 10 Requirements for Emergency Power Systems","URL":"https://www.cummins.com/sites/default/files/2019-03/PowerHour_NFPA110.pdf","author":[{"family":"NFPA","given":""}]}}],"schema":"https://github.com/citation-style-language/schema/raw/master/csl-citation.json"} </w:instrText>
      </w:r>
      <w:r>
        <w:fldChar w:fldCharType="separate"/>
      </w:r>
      <w:r w:rsidRPr="004864DB">
        <w:t>[153]</w:t>
      </w:r>
      <w:r>
        <w:fldChar w:fldCharType="end"/>
      </w:r>
      <w:r w:rsidRPr="00DB0B99">
        <w:t>. The N-1 contingency criterion states that if any one component, such as a generator, a battery string, or a grid feed is lost, then the system remains reliable.</w:t>
      </w:r>
    </w:p>
    <w:p w14:paraId="31B36224" w14:textId="77777777" w:rsidR="00FE013C" w:rsidRDefault="00FE013C" w:rsidP="004C16FF">
      <w:pPr>
        <w:pStyle w:val="Heading20"/>
        <w:jc w:val="both"/>
        <w:rPr>
          <w:color w:val="auto"/>
        </w:rPr>
      </w:pPr>
      <w:r>
        <w:rPr>
          <w:color w:val="auto"/>
        </w:rPr>
        <w:t>7.10. Carbon Accounting and Sustainability</w:t>
      </w:r>
    </w:p>
    <w:p w14:paraId="49C8BE51" w14:textId="77777777" w:rsidR="00FE013C" w:rsidRPr="005E1042" w:rsidRDefault="00FE013C" w:rsidP="004C16FF">
      <w:pPr>
        <w:spacing w:after="120"/>
        <w:ind w:firstLine="480"/>
      </w:pPr>
      <w:r w:rsidRPr="005E1042">
        <w:lastRenderedPageBreak/>
        <w:t>The framework covers the full scope of the GHG Protocol. Scope 1 emissions include direct emissions from burning fuel in backup generators and fuel cells, usually making up less than 1</w:t>
      </w:r>
      <w:r>
        <w:t xml:space="preserve">% </w:t>
      </w:r>
      <w:r w:rsidRPr="005E1042">
        <w:t>of the total emissions from a facility with low usage of its back-up generators</w:t>
      </w:r>
      <w:r>
        <w:fldChar w:fldCharType="begin"/>
      </w:r>
      <w:r>
        <w:instrText xml:space="preserve"> ADDIN ZOTERO_ITEM CSL_CITATION {"citationID":"4f9aWF2j","properties":{"unsorted":false,"formattedCitation":"[154]","plainCitation":"[154]","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fldChar w:fldCharType="separate"/>
      </w:r>
      <w:r w:rsidRPr="004864DB">
        <w:t>[154]</w:t>
      </w:r>
      <w:r>
        <w:fldChar w:fldCharType="end"/>
      </w:r>
      <w:r w:rsidRPr="005E1042">
        <w:t>. The largest are Scope 2 emissions, purchased electricity, and they are the first to be reduced by purchasing renewables. These are known as scope 3 emissions, representing around 5 to 10 g of CO2 per kWh over the asset's lifetime and can be mitigated by implementing circular economy approaches, such as embodied carbon in equipment manufacturing or end-of-life disposal, respectively</w:t>
      </w:r>
      <w:r>
        <w:fldChar w:fldCharType="begin"/>
      </w:r>
      <w:r>
        <w:instrText xml:space="preserve"> ADDIN ZOTERO_ITEM CSL_CITATION {"citationID":"mW0ul4pI","properties":{"unsorted":false,"formattedCitation":"[116]","plainCitation":"[116]","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fldChar w:fldCharType="separate"/>
      </w:r>
      <w:r w:rsidRPr="00584BC7">
        <w:t>[116]</w:t>
      </w:r>
      <w:r>
        <w:fldChar w:fldCharType="end"/>
      </w:r>
      <w:r w:rsidRPr="005E1042">
        <w:t>.</w:t>
      </w:r>
    </w:p>
    <w:p w14:paraId="353A0EF4" w14:textId="77777777" w:rsidR="00FE013C" w:rsidRPr="005E1042" w:rsidRDefault="00FE013C" w:rsidP="004C16FF">
      <w:pPr>
        <w:spacing w:after="120"/>
        <w:ind w:firstLine="480"/>
      </w:pPr>
      <w:r w:rsidRPr="005E1042">
        <w:t>The 24/7 carbon-free Energy (CFE) standard, which calls for matching carbon-free generation time to electricity consumption time, is considered the most stringent sustainability measure and is being embraced by many of the industry's largest operators, such as Google and Microsoft</w:t>
      </w:r>
      <w:r>
        <w:fldChar w:fldCharType="begin"/>
      </w:r>
      <w:r>
        <w:instrText xml:space="preserve"> ADDIN ZOTERO_ITEM CSL_CITATION {"citationID":"I9rd0fZt","properties":{"unsorted":false,"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81B79">
        <w:t>[6]</w:t>
      </w:r>
      <w:r>
        <w:fldChar w:fldCharType="end"/>
      </w:r>
      <w:r w:rsidRPr="005E1042">
        <w:t xml:space="preserve">. 24/7 CFE will require the implementation of sophisticated forecasts and control systems that can </w:t>
      </w:r>
      <w:proofErr w:type="spellStart"/>
      <w:r w:rsidRPr="005E1042">
        <w:t>optimise</w:t>
      </w:r>
      <w:proofErr w:type="spellEnd"/>
      <w:r w:rsidRPr="005E1042">
        <w:t xml:space="preserve"> energy dispatch every hour, along with clear procurement of time-matched renewable energy via PPAs or on-site generation. The framework suggests that annual renewable energy matching should be implemented first, followed by hourly matching when the control systems and market mechanisms are advanced.</w:t>
      </w:r>
    </w:p>
    <w:p w14:paraId="0F5C8534" w14:textId="77777777" w:rsidR="00FE013C" w:rsidRDefault="00FE013C" w:rsidP="004C16FF">
      <w:pPr>
        <w:pStyle w:val="Heading10"/>
        <w:jc w:val="both"/>
        <w:rPr>
          <w:color w:val="auto"/>
        </w:rPr>
      </w:pPr>
      <w:r>
        <w:rPr>
          <w:color w:val="auto"/>
          <w:lang w:eastAsia="zh-CN"/>
        </w:rPr>
        <w:t xml:space="preserve">8. </w:t>
      </w:r>
      <w:r>
        <w:rPr>
          <w:color w:val="auto"/>
        </w:rPr>
        <w:t>Case Studies: Real-World Deployments</w:t>
      </w:r>
    </w:p>
    <w:p w14:paraId="6B6ED835" w14:textId="77777777" w:rsidR="00FE013C" w:rsidRDefault="00FE013C" w:rsidP="004C16FF">
      <w:pPr>
        <w:spacing w:after="120"/>
        <w:ind w:firstLine="480"/>
      </w:pPr>
      <w:r>
        <w:t>This section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16694B90" w14:textId="77777777" w:rsidR="00FE013C" w:rsidRDefault="00FE013C" w:rsidP="004C16FF">
      <w:pPr>
        <w:pStyle w:val="Heading20"/>
        <w:jc w:val="both"/>
        <w:rPr>
          <w:color w:val="auto"/>
        </w:rPr>
      </w:pPr>
      <w:r>
        <w:rPr>
          <w:color w:val="auto"/>
        </w:rPr>
        <w:t>8.1. Google Data Centers: Renewable Energy Matching</w:t>
      </w:r>
    </w:p>
    <w:p w14:paraId="608492C6" w14:textId="165D56E5" w:rsidR="00FE013C" w:rsidRPr="00B40CF9" w:rsidRDefault="00FE013C" w:rsidP="004C16FF">
      <w:pPr>
        <w:spacing w:after="120"/>
        <w:ind w:firstLine="480"/>
      </w:pPr>
      <w:r w:rsidRPr="00B40CF9">
        <w:t xml:space="preserve">Google has over 100 data </w:t>
      </w:r>
      <w:r w:rsidR="00580BAE">
        <w:t>center</w:t>
      </w:r>
      <w:r w:rsidRPr="00B40CF9">
        <w:t xml:space="preserve"> facilities worldwide and has set the most aggressive renewable energy goal in the technology industry: 24/7 carbon-free energy (CFE) for all local data </w:t>
      </w:r>
      <w:r w:rsidR="00580BAE">
        <w:t>center</w:t>
      </w:r>
      <w:r w:rsidRPr="00B40CF9">
        <w:t xml:space="preserve"> electricity grids where it operates by 2030. Google's aggressive purchasing approach has resulted in a growing clean energy portfolio, with the company now having </w:t>
      </w:r>
      <w:r w:rsidRPr="007715C4">
        <w:t xml:space="preserve">over 22 GW of contracted renewable energy — with a broader portfolio pipeline exceeding 30 GW — through more than 170 power purchase agreements </w:t>
      </w:r>
      <w:r w:rsidRPr="00B40CF9">
        <w:t xml:space="preserve">(PPAs) that include utility-scale solar power, onshore wind, geothermal, and battery storage solutions. Driven by the growing computational workload of the generative AI age, Google has met an important milestone in its operations, raising the hourly 24/7 CFE score for its entire facilities global footprint to 66 percent, while 9 of 20 primary data </w:t>
      </w:r>
      <w:r w:rsidR="00580BAE">
        <w:t>center</w:t>
      </w:r>
      <w:r w:rsidRPr="00B40CF9">
        <w:t xml:space="preserve"> grid regions achieved an 80 percent, hourly CFE score </w:t>
      </w:r>
      <w:r>
        <w:fldChar w:fldCharType="begin"/>
      </w:r>
      <w:r>
        <w:instrText xml:space="preserve"> ADDIN ZOTERO_ITEM CSL_CITATION {"citationID":"ic18cWPX","properties":{"unsorted":false,"formattedCitation":"[55]","plainCitation":"[55]","noteIndex":0},"citationItems":[{"id":1995,"uris":["http://zotero.org/users/9870935/items/ZZ4BDIPH"],"itemData":{"id":1995,"type":"post-weblog","title":"Google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Pr="00E92130">
        <w:t>[55]</w:t>
      </w:r>
      <w:r>
        <w:fldChar w:fldCharType="end"/>
      </w:r>
      <w:r w:rsidRPr="00B40CF9">
        <w:t>.</w:t>
      </w:r>
    </w:p>
    <w:p w14:paraId="58FFB05C" w14:textId="1931996E" w:rsidR="00FE013C" w:rsidRPr="00B40CF9" w:rsidRDefault="00FE013C" w:rsidP="004C16FF">
      <w:pPr>
        <w:spacing w:after="120"/>
        <w:ind w:firstLine="480"/>
      </w:pPr>
      <w:r w:rsidRPr="0007532D">
        <w:t>Key installations underpinning this strategy include a 50 MW on-site wind generation array</w:t>
      </w:r>
      <w:r w:rsidRPr="00B40CF9">
        <w:t xml:space="preserve"> at the Council Bluffs facility in Iowa that directly connects with the data </w:t>
      </w:r>
      <w:r w:rsidR="00580BAE">
        <w:t>center</w:t>
      </w:r>
      <w:r w:rsidRPr="00B40CF9">
        <w:t xml:space="preserve"> 's electrical distribution system and exports excess peak capacity back to the regional transmission </w:t>
      </w:r>
      <w:proofErr w:type="spellStart"/>
      <w:r w:rsidRPr="00B40CF9">
        <w:t>organisation</w:t>
      </w:r>
      <w:proofErr w:type="spellEnd"/>
      <w:r w:rsidRPr="00B40CF9">
        <w:t xml:space="preserve">. Likewise, a portfolio of wind and solar combined PPA power plants greater than 200 MW installed in Chile's Atacama Desert takes advantage of complementary resource timing patterns, as the wind is found to occur in times of low solar irradiance, and the solar resource is found to occur in times of high wind speed in the </w:t>
      </w:r>
      <w:proofErr w:type="spellStart"/>
      <w:r w:rsidRPr="00B40CF9">
        <w:t>localised</w:t>
      </w:r>
      <w:proofErr w:type="spellEnd"/>
      <w:r w:rsidRPr="00B40CF9">
        <w:t xml:space="preserve"> thermal wind zones. </w:t>
      </w:r>
      <w:r w:rsidRPr="002A74E3">
        <w:t xml:space="preserve">Infrastructure design for Gemini-era AI workloads </w:t>
      </w:r>
      <w:proofErr w:type="spellStart"/>
      <w:r w:rsidRPr="002A74E3">
        <w:t>prioritises</w:t>
      </w:r>
      <w:proofErr w:type="spellEnd"/>
      <w:r w:rsidRPr="002A74E3">
        <w:t xml:space="preserve"> deep grid integration and spatial load shaping</w:t>
      </w:r>
      <w:r w:rsidRPr="00B40CF9">
        <w:t xml:space="preserve">. This includes </w:t>
      </w:r>
      <w:proofErr w:type="spellStart"/>
      <w:r w:rsidRPr="00B40CF9">
        <w:t>specialised</w:t>
      </w:r>
      <w:proofErr w:type="spellEnd"/>
      <w:r w:rsidRPr="00B40CF9">
        <w:t xml:space="preserve">, direct backlinks </w:t>
      </w:r>
      <w:r w:rsidRPr="00B40CF9">
        <w:lastRenderedPageBreak/>
        <w:t>with utility-scale battery storage networks to enable facilities to shift flexible server demand from high-carbon time periods to when there is high local renewable generation</w:t>
      </w:r>
      <w:r>
        <w:fldChar w:fldCharType="begin"/>
      </w:r>
      <w:r>
        <w:instrText xml:space="preserve"> ADDIN ZOTERO_ITEM CSL_CITATION {"citationID":"Q8pR1MCS","properties":{"unsorted":false,"formattedCitation":"[55]","plainCitation":"[55]","noteIndex":0},"citationItems":[{"id":1995,"uris":["http://zotero.org/users/9870935/items/ZZ4BDIPH"],"itemData":{"id":1995,"type":"post-weblog","title":"Google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Pr="00E92130">
        <w:t>[55]</w:t>
      </w:r>
      <w:r>
        <w:fldChar w:fldCharType="end"/>
      </w:r>
      <w:r w:rsidRPr="00B40CF9">
        <w:t>.</w:t>
      </w:r>
    </w:p>
    <w:p w14:paraId="641DB1FB" w14:textId="77777777" w:rsidR="00FE013C" w:rsidRPr="00B40CF9" w:rsidRDefault="00FE013C" w:rsidP="004C16FF">
      <w:pPr>
        <w:spacing w:after="120"/>
        <w:ind w:firstLine="480"/>
      </w:pPr>
      <w:r w:rsidRPr="00B40CF9">
        <w:t xml:space="preserve">Structured corporate PPAs have reliably proven their ability to protect against short-term fluctuations in wholesale grid electricity markets for 15–25-year contracts and energy cost metrics ranging from $30 to $50 per MWh – values that are more predictable than the $ 70–120 per MWh that can be found across main commercial markets </w:t>
      </w:r>
      <w:r>
        <w:fldChar w:fldCharType="begin"/>
      </w:r>
      <w:r>
        <w:instrText xml:space="preserve"> ADDIN ZOTERO_ITEM CSL_CITATION {"citationID":"ovp4JwlY","properties":{"unsorted":false,"formattedCitation":"[55]","plainCitation":"[55]","noteIndex":0},"citationItems":[{"id":1995,"uris":["http://zotero.org/users/9870935/items/ZZ4BDIPH"],"itemData":{"id":1995,"type":"post-weblog","title":"Google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Pr="00E92130">
        <w:t>[55]</w:t>
      </w:r>
      <w:r>
        <w:fldChar w:fldCharType="end"/>
      </w:r>
      <w:r w:rsidRPr="00B40CF9">
        <w:t xml:space="preserve"> – across the board. The company's focus on geographic distribution and its use of carbon-aware software scheduling allows it to dynamically place non-interactive compute workloads to facilities that are in the best condition for generating clean energy. This distributed computing approach is a basic solution that eliminates the penalties associated with local over-provisioning in physical facilities and chemical storage that would otherwise burden individual facilities. Concrete industry validation for strict site assessment, multi-technology resource aggregation, carbon-aware control strategies, and long-term economic viability is provided by framework validation, which correlates Google's active portfolio to Components 1, 2, 4, and 6 of the proposed architecture.</w:t>
      </w:r>
    </w:p>
    <w:p w14:paraId="6241CDFC" w14:textId="77777777" w:rsidR="00FE013C" w:rsidRDefault="00FE013C" w:rsidP="004C16FF">
      <w:pPr>
        <w:pStyle w:val="Heading20"/>
        <w:jc w:val="both"/>
        <w:rPr>
          <w:color w:val="auto"/>
        </w:rPr>
      </w:pPr>
      <w:r>
        <w:rPr>
          <w:color w:val="auto"/>
        </w:rPr>
        <w:t xml:space="preserve">8.2. </w:t>
      </w:r>
      <w:r w:rsidRPr="008124C4">
        <w:rPr>
          <w:color w:val="auto"/>
        </w:rPr>
        <w:t>Meta: Fuel Cell Integration at Prineville</w:t>
      </w:r>
    </w:p>
    <w:p w14:paraId="11883AA8" w14:textId="5AD09DBB" w:rsidR="00FE013C" w:rsidRPr="00D64775" w:rsidRDefault="00FE013C" w:rsidP="004C16FF">
      <w:pPr>
        <w:spacing w:after="120"/>
        <w:ind w:firstLine="480"/>
      </w:pPr>
      <w:r w:rsidRPr="00D64775">
        <w:t xml:space="preserve">Meta (Facebook) has been following a unique path with its focus on fuel cell technology in its Prineville, OR data </w:t>
      </w:r>
      <w:r w:rsidR="00580BAE">
        <w:t>center</w:t>
      </w:r>
      <w:r w:rsidRPr="00D64775">
        <w:t xml:space="preserve"> campus. It has 5 MW of Bloom Energy solid oxide fuel cells (SOFCs) using natural gas as the main onsite generation resource, 1 MW of onsite solar canopy generation, and 50 MW of contracted wind energy through PPAs</w:t>
      </w:r>
      <w:r>
        <w:fldChar w:fldCharType="begin"/>
      </w:r>
      <w:r>
        <w:instrText xml:space="preserve"> ADDIN ZOTERO_ITEM CSL_CITATION {"citationID":"bKFO0NJY","properties":{"unsorted":false,"formattedCitation":"[57]","plainCitation":"[57]","noteIndex":0},"citationItems":[{"id":1998,"uris":["http://zotero.org/users/9870935/items/3PR5HCM7"],"itemData":{"id":1998,"type":"post-weblog","title":"2025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fldChar w:fldCharType="separate"/>
      </w:r>
      <w:r w:rsidRPr="00C90ABC">
        <w:t>[57]</w:t>
      </w:r>
      <w:r>
        <w:fldChar w:fldCharType="end"/>
      </w:r>
      <w:r w:rsidRPr="00D64775">
        <w:t>. When used as combined heat and power (CHP) systems, the fuel cells' electrical efficiency is approximately 60</w:t>
      </w:r>
      <w:r>
        <w:t xml:space="preserve">%, </w:t>
      </w:r>
      <w:r w:rsidRPr="00D64775">
        <w:t>and the waste heat is recovered for building heating, yielding an overall CHP efficiency of more than 80</w:t>
      </w:r>
      <w:r>
        <w:t>%</w:t>
      </w:r>
      <w:r>
        <w:fldChar w:fldCharType="begin"/>
      </w:r>
      <w:r>
        <w:instrText xml:space="preserve"> ADDIN ZOTERO_ITEM CSL_CITATION {"citationID":"hobQYeKo","properties":{"unsorted":false,"formattedCitation":"[57]","plainCitation":"[57]","noteIndex":0},"citationItems":[{"id":1998,"uris":["http://zotero.org/users/9870935/items/3PR5HCM7"],"itemData":{"id":1998,"type":"post-weblog","title":"2025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fldChar w:fldCharType="separate"/>
      </w:r>
      <w:r w:rsidRPr="00C90ABC">
        <w:t>[57]</w:t>
      </w:r>
      <w:r>
        <w:fldChar w:fldCharType="end"/>
      </w:r>
      <w:r w:rsidRPr="00D64775">
        <w:t>.</w:t>
      </w:r>
    </w:p>
    <w:p w14:paraId="323EE70B" w14:textId="7368354D" w:rsidR="00FE013C" w:rsidRPr="00D64775" w:rsidRDefault="00FE013C" w:rsidP="004C16FF">
      <w:pPr>
        <w:spacing w:after="120"/>
        <w:ind w:firstLine="480"/>
      </w:pPr>
      <w:r w:rsidRPr="00D64775">
        <w:t xml:space="preserve">Performance metrics show </w:t>
      </w:r>
      <w:r w:rsidR="00030122" w:rsidRPr="00D64775">
        <w:t>a</w:t>
      </w:r>
      <w:r w:rsidRPr="00D64775">
        <w:t xml:space="preserve"> PUE of ~1.10, which is one of the lowest in the industry, and fuel cell uptime in the high 90'</w:t>
      </w:r>
      <w:proofErr w:type="gramStart"/>
      <w:r w:rsidRPr="00D64775">
        <w:t>s percent</w:t>
      </w:r>
      <w:proofErr w:type="gramEnd"/>
      <w:r w:rsidRPr="00D64775">
        <w:t>. However, there are some problems that have arisen. The cost of replacing fuel cell stacks ($1 to $3 million every 5 to 8 years) is a large operating cost, and the use of the natural gas feedstock introduces a pathway for carbon emissions that is incompatible with net-zero commitments</w:t>
      </w:r>
      <w:r>
        <w:fldChar w:fldCharType="begin"/>
      </w:r>
      <w:r>
        <w:instrText xml:space="preserve"> ADDIN ZOTERO_ITEM CSL_CITATION {"citationID":"afh57Dbe","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fldChar w:fldCharType="separate"/>
      </w:r>
      <w:r w:rsidRPr="004864DB">
        <w:t>[155]</w:t>
      </w:r>
      <w:r>
        <w:fldChar w:fldCharType="end"/>
      </w:r>
      <w:r w:rsidRPr="00D64775">
        <w:t xml:space="preserve">. One of the factors with which Meta is working on </w:t>
      </w:r>
      <w:r w:rsidR="00030122" w:rsidRPr="00D64775">
        <w:t>decarbonizing</w:t>
      </w:r>
      <w:r w:rsidRPr="00D64775">
        <w:t xml:space="preserve"> its fuel usage is to shift from natural gas to green hydrogen as its fuel source; however, it is unclear when this shift will occur or if it will be a costly process owing to the lack of hydrogen production and distribution infrastructure. Fuel cells are shown to be </w:t>
      </w:r>
      <w:r w:rsidR="00030122" w:rsidRPr="00D64775">
        <w:t>suitable</w:t>
      </w:r>
      <w:r w:rsidRPr="00D64775">
        <w:t xml:space="preserve"> bridge technology (Component 2: Technology Selection); however, they are not necessarily the preferred solution as battery storage costs are decreasing.</w:t>
      </w:r>
    </w:p>
    <w:p w14:paraId="32326AB0" w14:textId="77777777" w:rsidR="00FE013C" w:rsidRDefault="00FE013C" w:rsidP="004C16FF">
      <w:pPr>
        <w:pStyle w:val="Heading20"/>
        <w:jc w:val="both"/>
        <w:rPr>
          <w:color w:val="auto"/>
        </w:rPr>
      </w:pPr>
      <w:r>
        <w:rPr>
          <w:color w:val="auto"/>
        </w:rPr>
        <w:t>8.3. Microsoft: Modular Design and Nuclear Partnership</w:t>
      </w:r>
    </w:p>
    <w:p w14:paraId="5333A5AC" w14:textId="77777777" w:rsidR="00FE013C" w:rsidRPr="000A408E" w:rsidRDefault="00FE013C" w:rsidP="004C16FF">
      <w:pPr>
        <w:spacing w:after="120"/>
        <w:ind w:firstLine="480"/>
      </w:pPr>
      <w:r w:rsidRPr="000A408E">
        <w:t>Microsoft has been looking at two innovative solutions for sustainable data center infrastructure: the experimental Project Natick which is an underwater data center, and baseload power supply with nuclear energy. The 99.9</w:t>
      </w:r>
      <w:r>
        <w:t xml:space="preserve">% </w:t>
      </w:r>
      <w:r w:rsidRPr="000A408E">
        <w:t>reliability of Project Natick Phase 2, which was deployed off the coast of Scotland, was attributed to the less corrosive environment of the water and the nitrogen-filled sealed container preventing humidity-induced failures, and the results showed an eight-fold reduction in failure rates when compared with facilities of similar capacity on land</w:t>
      </w:r>
      <w:r>
        <w:fldChar w:fldCharType="begin"/>
      </w:r>
      <w:r>
        <w:instrText xml:space="preserve"> ADDIN ZOTERO_ITEM CSL_CITATION {"citationID":"IW33EuXw","properties":{"unsorted":false,"formattedCitation":"[60]","plainCitation":"[60]","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fldChar w:fldCharType="separate"/>
      </w:r>
      <w:r w:rsidRPr="00D40A09">
        <w:t>[60]</w:t>
      </w:r>
      <w:r>
        <w:fldChar w:fldCharType="end"/>
      </w:r>
      <w:r w:rsidRPr="000A408E">
        <w:t>.</w:t>
      </w:r>
    </w:p>
    <w:p w14:paraId="7F67991D" w14:textId="2B7E10ED" w:rsidR="00FE013C" w:rsidRPr="000A408E" w:rsidRDefault="00FE013C" w:rsidP="004C16FF">
      <w:pPr>
        <w:spacing w:after="120"/>
        <w:ind w:firstLine="480"/>
      </w:pPr>
      <w:r w:rsidRPr="000A408E">
        <w:t xml:space="preserve">The most sizeable corporate nuclear energy pledge from Microsoft is a partnership to restart the Three Mile Island Unit 1 reactor (Crane Clean Energy Center) to supply 835 MW of baseload energy </w:t>
      </w:r>
      <w:r w:rsidRPr="000A408E">
        <w:lastRenderedPageBreak/>
        <w:t>for its artificial intelligence operations</w:t>
      </w:r>
      <w:r>
        <w:fldChar w:fldCharType="begin"/>
      </w:r>
      <w:r>
        <w:instrText xml:space="preserve"> ADDIN ZOTERO_ITEM CSL_CITATION {"citationID":"r6PHcJZZ","properties":{"unsorted":false,"formattedCitation":"[59]","plainCitation":"[59]","noteIndex":0},"citationItems":[{"id":2005,"uris":["http://zotero.org/users/9870935/items/GPXLWD7A"],"itemData":{"id":2005,"type":"article-journal","abstract":"This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Centers","volume":"12","author":[{"family":"Panchal","given":"Yash"},{"family":"Dubey","given":"Shivam"},{"family":"Pathak","given":"Rashmi"}],"issued":{"date-parts":[["2025"]]}}}],"schema":"https://github.com/citation-style-language/schema/raw/master/csl-citation.json"} </w:instrText>
      </w:r>
      <w:r>
        <w:fldChar w:fldCharType="separate"/>
      </w:r>
      <w:r w:rsidRPr="00D34D14">
        <w:t>[59]</w:t>
      </w:r>
      <w:r>
        <w:fldChar w:fldCharType="end"/>
      </w:r>
      <w:r w:rsidRPr="000A408E">
        <w:t>. In addition, Microsoft has backed Helion Energy, a fusion energy start-up with the goal of making it commercially viable by 2028 and has signed a deal to buy electricity generated by fusion</w:t>
      </w:r>
      <w:r>
        <w:fldChar w:fldCharType="begin"/>
      </w:r>
      <w:r>
        <w:instrText xml:space="preserve"> ADDIN ZOTERO_ITEM CSL_CITATION {"citationID":"8f2UmqPT","properties":{"unsorted":false,"formattedCitation":"[156]","plainCitation":"[156]","noteIndex":0},"citationItems":[{"id":2143,"uris":["http://zotero.org/users/9870935/items/QQ6IISPJ"],"itemData":{"id":2143,"type":"document","title":"U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fldChar w:fldCharType="separate"/>
      </w:r>
      <w:r w:rsidRPr="004864DB">
        <w:t>[156]</w:t>
      </w:r>
      <w:r>
        <w:fldChar w:fldCharType="end"/>
      </w:r>
      <w:r w:rsidRPr="000A408E">
        <w:t xml:space="preserve">. A second option for nuclear integration with data </w:t>
      </w:r>
      <w:r w:rsidR="00580BAE">
        <w:t>center</w:t>
      </w:r>
      <w:r w:rsidRPr="000A408E">
        <w:t xml:space="preserve">s is small modular reactors (SMRs), which can range in size from 50 to 300 MW and are not expected to be </w:t>
      </w:r>
      <w:r w:rsidR="00030122" w:rsidRPr="000A408E">
        <w:t>commercialized</w:t>
      </w:r>
      <w:r w:rsidRPr="000A408E">
        <w:t xml:space="preserve"> until the 20</w:t>
      </w:r>
      <w:r>
        <w:t>3</w:t>
      </w:r>
      <w:r w:rsidRPr="000A408E">
        <w:t>0s or beyond. Framework alignment: Microsoft's approach is aligned with and validates Component 7 (Resilience and Sustainability) and shows how next-generation technologies will augment renewable energy systems.</w:t>
      </w:r>
    </w:p>
    <w:p w14:paraId="4469E160" w14:textId="77777777" w:rsidR="00FE013C" w:rsidRPr="000A408E" w:rsidRDefault="00FE013C" w:rsidP="004C16FF">
      <w:pPr>
        <w:pStyle w:val="Heading20"/>
        <w:jc w:val="both"/>
        <w:rPr>
          <w:color w:val="auto"/>
        </w:rPr>
      </w:pPr>
      <w:r w:rsidRPr="000A408E">
        <w:rPr>
          <w:color w:val="auto"/>
        </w:rPr>
        <w:t>8.4 Equinix</w:t>
      </w:r>
      <w:r>
        <w:rPr>
          <w:color w:val="auto"/>
        </w:rPr>
        <w:t xml:space="preserve">: </w:t>
      </w:r>
      <w:r w:rsidRPr="000A408E">
        <w:rPr>
          <w:color w:val="auto"/>
        </w:rPr>
        <w:t>Distributed Solar PPAs</w:t>
      </w:r>
    </w:p>
    <w:p w14:paraId="2CF7F2D2" w14:textId="29B15585" w:rsidR="00FE013C" w:rsidRPr="000A408E" w:rsidRDefault="00FE013C" w:rsidP="004C16FF">
      <w:pPr>
        <w:spacing w:after="120"/>
        <w:ind w:firstLine="480"/>
      </w:pPr>
      <w:r w:rsidRPr="000A408E">
        <w:t xml:space="preserve">As a global provider of more than 260 data </w:t>
      </w:r>
      <w:r w:rsidR="00580BAE">
        <w:t>center</w:t>
      </w:r>
      <w:r w:rsidRPr="000A408E">
        <w:t>s in 33 countries, Equinix has taken a multi-location approach to renewable procurement, based on the geographic distribution of its locations. The company has signed more than 350 MW of solar and wind power through PPAs in California, Arizona, Texas, the Midwest U.S. and several European countries. Equinix has also published a sustainability report for 2024, which shows that 96 percent of its global portfolio is covered by renewable energy, and that Equinix will reach 100 percent by 2030</w:t>
      </w:r>
      <w:r>
        <w:fldChar w:fldCharType="begin"/>
      </w:r>
      <w:r>
        <w:instrText xml:space="preserve"> ADDIN ZOTERO_ITEM CSL_CITATION {"citationID":"xSrZql8g","properties":{"unsorted":false,"formattedCitation":"[62]","plainCitation":"[62]","noteIndex":0},"citationItems":[{"id":2007,"uris":["http://zotero.org/users/9870935/items/KHWRQFNN"],"itemData":{"id":2007,"type":"post-weblog","title":"Sustainability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fldChar w:fldCharType="separate"/>
      </w:r>
      <w:r w:rsidRPr="00004DA8">
        <w:t>[62]</w:t>
      </w:r>
      <w:r>
        <w:fldChar w:fldCharType="end"/>
      </w:r>
      <w:r w:rsidRPr="000A408E">
        <w:t>.</w:t>
      </w:r>
    </w:p>
    <w:p w14:paraId="3F2B3F0D" w14:textId="16ED3163" w:rsidR="00FE013C" w:rsidRPr="000A408E" w:rsidRDefault="00FE013C" w:rsidP="004C16FF">
      <w:pPr>
        <w:spacing w:after="120"/>
        <w:ind w:firstLine="480"/>
      </w:pPr>
      <w:r w:rsidRPr="000A408E">
        <w:t xml:space="preserve">The financial model shows that PPA pricing in the markets at $40 to $60 per MWh, based on long-term (15 to 20 year) contracts, is lower than historical grid rates in most Equinix markets, which yields cost savings and price stability. The company's multi-facility </w:t>
      </w:r>
      <w:r w:rsidR="00030122" w:rsidRPr="000A408E">
        <w:t>loads</w:t>
      </w:r>
      <w:r w:rsidRPr="000A408E">
        <w:t xml:space="preserve"> balancing enables the routing of customer workloads to facilities with different renewable profiles, allowing for a virtual power plant that helps to balance the aggregate renewable variability. However, there are barriers to </w:t>
      </w:r>
      <w:r w:rsidR="00030122" w:rsidRPr="000A408E">
        <w:t>being</w:t>
      </w:r>
      <w:r w:rsidRPr="000A408E">
        <w:t xml:space="preserve"> faced in the part of the world where access to PPA is poor and in the markets where the cost of connecting to the grid is high compared to the savings from electricity. The distributed approach employed by Equinix is found to be a good solution to the two components – Workload Flexibility and Economic Viability – on validation of the framework.</w:t>
      </w:r>
    </w:p>
    <w:p w14:paraId="791EAA9D" w14:textId="77777777" w:rsidR="00FE013C" w:rsidRPr="000A408E" w:rsidRDefault="00FE013C" w:rsidP="004C16FF">
      <w:pPr>
        <w:pStyle w:val="Heading20"/>
        <w:jc w:val="both"/>
        <w:rPr>
          <w:color w:val="auto"/>
        </w:rPr>
      </w:pPr>
      <w:r w:rsidRPr="000A408E">
        <w:rPr>
          <w:color w:val="auto"/>
        </w:rPr>
        <w:t>8.5 Apple</w:t>
      </w:r>
      <w:r>
        <w:rPr>
          <w:color w:val="auto"/>
        </w:rPr>
        <w:t>:</w:t>
      </w:r>
      <w:r w:rsidRPr="000A408E">
        <w:rPr>
          <w:color w:val="auto"/>
        </w:rPr>
        <w:t xml:space="preserve">100 </w:t>
      </w:r>
      <w:r>
        <w:rPr>
          <w:color w:val="auto"/>
        </w:rPr>
        <w:t>P</w:t>
      </w:r>
      <w:r w:rsidRPr="000A408E">
        <w:rPr>
          <w:color w:val="auto"/>
        </w:rPr>
        <w:t xml:space="preserve">ercent </w:t>
      </w:r>
      <w:r>
        <w:rPr>
          <w:color w:val="auto"/>
        </w:rPr>
        <w:t>R</w:t>
      </w:r>
      <w:r w:rsidRPr="000A408E">
        <w:rPr>
          <w:color w:val="auto"/>
        </w:rPr>
        <w:t xml:space="preserve">enewable </w:t>
      </w:r>
      <w:r>
        <w:rPr>
          <w:color w:val="auto"/>
        </w:rPr>
        <w:t>C</w:t>
      </w:r>
      <w:r w:rsidRPr="000A408E">
        <w:rPr>
          <w:color w:val="auto"/>
        </w:rPr>
        <w:t>ommitment</w:t>
      </w:r>
    </w:p>
    <w:p w14:paraId="28844186" w14:textId="2E44405E" w:rsidR="00FE013C" w:rsidRPr="000A408E" w:rsidRDefault="00FE013C" w:rsidP="004C16FF">
      <w:pPr>
        <w:spacing w:after="120"/>
        <w:ind w:firstLine="480"/>
      </w:pPr>
      <w:r w:rsidRPr="000A408E">
        <w:t xml:space="preserve">Apple has now made a full 100% commitment to renewable energy powering </w:t>
      </w:r>
      <w:proofErr w:type="gramStart"/>
      <w:r w:rsidRPr="000A408E">
        <w:t>all of</w:t>
      </w:r>
      <w:proofErr w:type="gramEnd"/>
      <w:r w:rsidRPr="000A408E">
        <w:t xml:space="preserve"> its global operations, including data </w:t>
      </w:r>
      <w:r w:rsidR="00580BAE">
        <w:t>center</w:t>
      </w:r>
      <w:r w:rsidRPr="000A408E">
        <w:t xml:space="preserve">s, corporate buildings, retail stores, and its manufacturing supply chain. The Maiden, North Carolina data </w:t>
      </w:r>
      <w:r w:rsidR="00580BAE">
        <w:t>center</w:t>
      </w:r>
      <w:r w:rsidRPr="000A408E">
        <w:t xml:space="preserve"> is a flagship facility, using 10 MW of Bloom Energy fuel cells and a 100-acre solar array producing around 42 million kWh per year on site. Apple's strategy includes on-site generation (where possible), long-term PPAs, and renewable energy certificates to meet its goals</w:t>
      </w:r>
      <w:r>
        <w:fldChar w:fldCharType="begin"/>
      </w:r>
      <w:r>
        <w:instrText xml:space="preserve"> ADDIN ZOTERO_ITEM CSL_CITATION {"citationID":"7UxY0Xko","properties":{"unsorted":false,"formattedCitation":"[63]","plainCitation":"[63]","noteIndex":0},"citationItems":[{"id":2010,"uris":["http://zotero.org/users/9870935/items/36ZP5SVZ"],"itemData":{"id":2010,"type":"post-weblog","title":"Environmental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fldChar w:fldCharType="separate"/>
      </w:r>
      <w:r w:rsidRPr="00584BC7">
        <w:t>[63]</w:t>
      </w:r>
      <w:r>
        <w:fldChar w:fldCharType="end"/>
      </w:r>
      <w:r w:rsidRPr="000A408E">
        <w:t>.</w:t>
      </w:r>
    </w:p>
    <w:p w14:paraId="74D26826" w14:textId="77777777" w:rsidR="00FE013C" w:rsidRDefault="00FE013C" w:rsidP="004C16FF">
      <w:pPr>
        <w:spacing w:after="120"/>
        <w:ind w:firstLine="480"/>
      </w:pPr>
      <w:r w:rsidRPr="000A408E">
        <w:t>The price difference for a 100</w:t>
      </w:r>
      <w:r>
        <w:t xml:space="preserve">% </w:t>
      </w:r>
      <w:r w:rsidRPr="000A408E">
        <w:t>renewable power mix is estimated to be 10–20</w:t>
      </w:r>
      <w:r>
        <w:t>%</w:t>
      </w:r>
      <w:r w:rsidRPr="000A408E">
        <w:t xml:space="preserve"> higher than using conventional grid electricity, although Apple claims that efficiencies from self-generated power and from the grid via revenue streams mitigate this cost </w:t>
      </w:r>
      <w:r>
        <w:fldChar w:fldCharType="begin"/>
      </w:r>
      <w:r>
        <w:instrText xml:space="preserve"> ADDIN ZOTERO_ITEM CSL_CITATION {"citationID":"oiRUWADX","properties":{"unsorted":false,"formattedCitation":"[63]","plainCitation":"[63]","noteIndex":0},"citationItems":[{"id":2010,"uris":["http://zotero.org/users/9870935/items/36ZP5SVZ"],"itemData":{"id":2010,"type":"post-weblog","title":"Environmental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fldChar w:fldCharType="separate"/>
      </w:r>
      <w:r w:rsidRPr="00584BC7">
        <w:t>[63]</w:t>
      </w:r>
      <w:r>
        <w:fldChar w:fldCharType="end"/>
      </w:r>
      <w:r w:rsidRPr="000A408E">
        <w:t>. Some of the main issues are the high capital costs of building owned generation, supply chain limitations with renewable equipment, and saturated PPA markets in certain areas. The staged, portfolio approach is a lesson learned in the Apple story that reinforces Component 7 (Sustainability) and underscores the need for long-term strategic planning to meet comprehensive renewable energy goals.</w:t>
      </w:r>
    </w:p>
    <w:p w14:paraId="46F27C08" w14:textId="77777777" w:rsidR="00FE013C" w:rsidRDefault="00FE013C" w:rsidP="004C16FF">
      <w:pPr>
        <w:pStyle w:val="Heading20"/>
        <w:jc w:val="both"/>
        <w:rPr>
          <w:color w:val="auto"/>
        </w:rPr>
      </w:pPr>
      <w:r w:rsidRPr="000A408E">
        <w:rPr>
          <w:color w:val="auto"/>
        </w:rPr>
        <w:t>8.</w:t>
      </w:r>
      <w:r>
        <w:rPr>
          <w:color w:val="auto"/>
        </w:rPr>
        <w:t>6</w:t>
      </w:r>
      <w:r w:rsidRPr="000A408E">
        <w:rPr>
          <w:color w:val="auto"/>
        </w:rPr>
        <w:t xml:space="preserve"> </w:t>
      </w:r>
      <w:r>
        <w:rPr>
          <w:color w:val="auto"/>
        </w:rPr>
        <w:t>Comparative Analysis</w:t>
      </w:r>
    </w:p>
    <w:p w14:paraId="5F8D0D0E" w14:textId="69E7331B" w:rsidR="00FE013C" w:rsidRPr="00680F50" w:rsidRDefault="00FE013C" w:rsidP="004C16FF">
      <w:pPr>
        <w:spacing w:after="120"/>
        <w:ind w:firstLine="480"/>
      </w:pPr>
      <w:r w:rsidRPr="00680F50">
        <w:lastRenderedPageBreak/>
        <w:t xml:space="preserve">Table 6 consolidates the key renewable energy strategies, storage technologies, backup configurations, and estimated LCOE values for the five operators examined in Sections 8.1–8.5. Despite the diversity of approaches, all five companies demonstrate that reliable renewable-powered AI data </w:t>
      </w:r>
      <w:r w:rsidR="00580BAE">
        <w:t>center</w:t>
      </w:r>
      <w:r w:rsidRPr="00680F50">
        <w:t xml:space="preserve"> operations are technically feasible and economically competitive, thus validating the multi-component structure of the proposed framework.</w:t>
      </w:r>
    </w:p>
    <w:p w14:paraId="413ABD3C" w14:textId="77777777" w:rsidR="00FE013C" w:rsidRDefault="00FE013C" w:rsidP="004C16FF">
      <w:pPr>
        <w:pStyle w:val="Caption"/>
        <w:keepNext/>
      </w:pPr>
      <w:r>
        <w:t xml:space="preserve">Table </w:t>
      </w:r>
      <w:fldSimple w:instr=" SEQ Table \* ARABIC ">
        <w:r>
          <w:rPr>
            <w:noProof/>
          </w:rPr>
          <w:t>6</w:t>
        </w:r>
      </w:fldSimple>
      <w:r>
        <w:t xml:space="preserve"> </w:t>
      </w:r>
      <w:r w:rsidRPr="0060176D">
        <w:t xml:space="preserve">Comparative </w:t>
      </w:r>
      <w:r>
        <w:t>a</w:t>
      </w:r>
      <w:r w:rsidRPr="0060176D">
        <w:t xml:space="preserve">nalysis of </w:t>
      </w:r>
      <w:r>
        <w:t>i</w:t>
      </w:r>
      <w:r w:rsidRPr="0060176D">
        <w:t xml:space="preserve">ndustry </w:t>
      </w:r>
      <w:r>
        <w:t>c</w:t>
      </w:r>
      <w:r w:rsidRPr="0060176D">
        <w:t xml:space="preserve">ase </w:t>
      </w:r>
      <w:r>
        <w:t>s</w:t>
      </w:r>
      <w:r w:rsidRPr="0060176D">
        <w:t>tudies</w:t>
      </w:r>
    </w:p>
    <w:tbl>
      <w:tblPr>
        <w:tblStyle w:val="Mdeck5tablebodythreelines"/>
        <w:tblW w:w="5000" w:type="pct"/>
        <w:tblLook w:val="04A0" w:firstRow="1" w:lastRow="0" w:firstColumn="1" w:lastColumn="0" w:noHBand="0" w:noVBand="1"/>
      </w:tblPr>
      <w:tblGrid>
        <w:gridCol w:w="1613"/>
        <w:gridCol w:w="1919"/>
        <w:gridCol w:w="1724"/>
        <w:gridCol w:w="1726"/>
        <w:gridCol w:w="1434"/>
        <w:gridCol w:w="1336"/>
      </w:tblGrid>
      <w:tr w:rsidR="00FE013C" w14:paraId="75737415" w14:textId="77777777" w:rsidTr="003C05F8">
        <w:trPr>
          <w:cnfStyle w:val="100000000000" w:firstRow="1" w:lastRow="0" w:firstColumn="0" w:lastColumn="0" w:oddVBand="0" w:evenVBand="0" w:oddHBand="0" w:evenHBand="0" w:firstRowFirstColumn="0" w:firstRowLastColumn="0" w:lastRowFirstColumn="0" w:lastRowLastColumn="0"/>
        </w:trPr>
        <w:tc>
          <w:tcPr>
            <w:tcW w:w="827" w:type="pct"/>
          </w:tcPr>
          <w:p w14:paraId="057A76E6"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Organization</w:t>
            </w:r>
          </w:p>
        </w:tc>
        <w:tc>
          <w:tcPr>
            <w:tcW w:w="984" w:type="pct"/>
          </w:tcPr>
          <w:p w14:paraId="46300FB3"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Approach</w:t>
            </w:r>
          </w:p>
        </w:tc>
        <w:tc>
          <w:tcPr>
            <w:tcW w:w="884" w:type="pct"/>
          </w:tcPr>
          <w:p w14:paraId="3CD71E12"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Renewable %</w:t>
            </w:r>
          </w:p>
        </w:tc>
        <w:tc>
          <w:tcPr>
            <w:tcW w:w="885" w:type="pct"/>
          </w:tcPr>
          <w:p w14:paraId="23A95C6D"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Storage</w:t>
            </w:r>
          </w:p>
        </w:tc>
        <w:tc>
          <w:tcPr>
            <w:tcW w:w="735" w:type="pct"/>
          </w:tcPr>
          <w:p w14:paraId="334B8ACE"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Backup</w:t>
            </w:r>
          </w:p>
        </w:tc>
        <w:tc>
          <w:tcPr>
            <w:tcW w:w="685" w:type="pct"/>
          </w:tcPr>
          <w:p w14:paraId="7418C611"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Est. LCOE</w:t>
            </w:r>
          </w:p>
        </w:tc>
      </w:tr>
      <w:tr w:rsidR="00FE013C" w14:paraId="7B036BF4" w14:textId="77777777" w:rsidTr="003C05F8">
        <w:tc>
          <w:tcPr>
            <w:tcW w:w="827" w:type="pct"/>
          </w:tcPr>
          <w:p w14:paraId="693937D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Google</w:t>
            </w:r>
          </w:p>
        </w:tc>
        <w:tc>
          <w:tcPr>
            <w:tcW w:w="984" w:type="pct"/>
          </w:tcPr>
          <w:p w14:paraId="5320612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PPAs + Load Shift</w:t>
            </w:r>
          </w:p>
        </w:tc>
        <w:tc>
          <w:tcPr>
            <w:tcW w:w="884" w:type="pct"/>
          </w:tcPr>
          <w:p w14:paraId="1C3C603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&gt;64% hourly</w:t>
            </w:r>
          </w:p>
        </w:tc>
        <w:tc>
          <w:tcPr>
            <w:tcW w:w="885" w:type="pct"/>
          </w:tcPr>
          <w:p w14:paraId="53444DF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Grid-scale BESS</w:t>
            </w:r>
          </w:p>
        </w:tc>
        <w:tc>
          <w:tcPr>
            <w:tcW w:w="735" w:type="pct"/>
          </w:tcPr>
          <w:p w14:paraId="7E70B03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4425D905"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$40-60/MWh</w:t>
            </w:r>
          </w:p>
        </w:tc>
      </w:tr>
      <w:tr w:rsidR="00FE013C" w14:paraId="3EF64DD8" w14:textId="77777777" w:rsidTr="003C05F8">
        <w:tc>
          <w:tcPr>
            <w:tcW w:w="827" w:type="pct"/>
          </w:tcPr>
          <w:p w14:paraId="4D51795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Meta</w:t>
            </w:r>
          </w:p>
        </w:tc>
        <w:tc>
          <w:tcPr>
            <w:tcW w:w="984" w:type="pct"/>
          </w:tcPr>
          <w:p w14:paraId="49A992DE"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Hybrid Fuel Cell</w:t>
            </w:r>
          </w:p>
        </w:tc>
        <w:tc>
          <w:tcPr>
            <w:tcW w:w="884" w:type="pct"/>
          </w:tcPr>
          <w:p w14:paraId="09741D54"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~100% (annual)</w:t>
            </w:r>
          </w:p>
        </w:tc>
        <w:tc>
          <w:tcPr>
            <w:tcW w:w="885" w:type="pct"/>
          </w:tcPr>
          <w:p w14:paraId="4695C85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Fuel Cell</w:t>
            </w:r>
          </w:p>
        </w:tc>
        <w:tc>
          <w:tcPr>
            <w:tcW w:w="735" w:type="pct"/>
          </w:tcPr>
          <w:p w14:paraId="7B33FE4E"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Nat Gas</w:t>
            </w:r>
          </w:p>
        </w:tc>
        <w:tc>
          <w:tcPr>
            <w:tcW w:w="685" w:type="pct"/>
          </w:tcPr>
          <w:p w14:paraId="14AFFFD5"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$50-80/MWh</w:t>
            </w:r>
          </w:p>
        </w:tc>
      </w:tr>
      <w:tr w:rsidR="00FE013C" w14:paraId="6CC7FCCE" w14:textId="77777777" w:rsidTr="003C05F8">
        <w:tc>
          <w:tcPr>
            <w:tcW w:w="827" w:type="pct"/>
          </w:tcPr>
          <w:p w14:paraId="0A152B8B"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Microsoft</w:t>
            </w:r>
          </w:p>
        </w:tc>
        <w:tc>
          <w:tcPr>
            <w:tcW w:w="984" w:type="pct"/>
          </w:tcPr>
          <w:p w14:paraId="69341F54"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Modular + Nuclear</w:t>
            </w:r>
          </w:p>
        </w:tc>
        <w:tc>
          <w:tcPr>
            <w:tcW w:w="884" w:type="pct"/>
          </w:tcPr>
          <w:p w14:paraId="0FA2BD53"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TBD</w:t>
            </w:r>
          </w:p>
        </w:tc>
        <w:tc>
          <w:tcPr>
            <w:tcW w:w="885" w:type="pct"/>
          </w:tcPr>
          <w:p w14:paraId="7145CA87"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Nuclear (future)</w:t>
            </w:r>
          </w:p>
        </w:tc>
        <w:tc>
          <w:tcPr>
            <w:tcW w:w="735" w:type="pct"/>
          </w:tcPr>
          <w:p w14:paraId="1D7791C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0F207F8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TBD</w:t>
            </w:r>
          </w:p>
        </w:tc>
      </w:tr>
      <w:tr w:rsidR="00FE013C" w14:paraId="599B5E34" w14:textId="77777777" w:rsidTr="003C05F8">
        <w:tc>
          <w:tcPr>
            <w:tcW w:w="827" w:type="pct"/>
          </w:tcPr>
          <w:p w14:paraId="4F3A6A97"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Equinix</w:t>
            </w:r>
          </w:p>
        </w:tc>
        <w:tc>
          <w:tcPr>
            <w:tcW w:w="984" w:type="pct"/>
          </w:tcPr>
          <w:p w14:paraId="0F17F12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Distributed PPAs</w:t>
            </w:r>
          </w:p>
        </w:tc>
        <w:tc>
          <w:tcPr>
            <w:tcW w:w="884" w:type="pct"/>
          </w:tcPr>
          <w:p w14:paraId="248B5E41"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96% (global)</w:t>
            </w:r>
          </w:p>
        </w:tc>
        <w:tc>
          <w:tcPr>
            <w:tcW w:w="885" w:type="pct"/>
          </w:tcPr>
          <w:p w14:paraId="11ABAB7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Minimal</w:t>
            </w:r>
          </w:p>
        </w:tc>
        <w:tc>
          <w:tcPr>
            <w:tcW w:w="735" w:type="pct"/>
          </w:tcPr>
          <w:p w14:paraId="01DDFBDB"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3C13AB32"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$35-60/MWh</w:t>
            </w:r>
          </w:p>
        </w:tc>
      </w:tr>
      <w:tr w:rsidR="00FE013C" w14:paraId="6388196F" w14:textId="77777777" w:rsidTr="003C05F8">
        <w:tc>
          <w:tcPr>
            <w:tcW w:w="827" w:type="pct"/>
          </w:tcPr>
          <w:p w14:paraId="3879D4D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Apple</w:t>
            </w:r>
          </w:p>
        </w:tc>
        <w:tc>
          <w:tcPr>
            <w:tcW w:w="984" w:type="pct"/>
          </w:tcPr>
          <w:p w14:paraId="34E74826"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Owned + PPAs</w:t>
            </w:r>
          </w:p>
        </w:tc>
        <w:tc>
          <w:tcPr>
            <w:tcW w:w="884" w:type="pct"/>
          </w:tcPr>
          <w:p w14:paraId="27C79FF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100% (annual)</w:t>
            </w:r>
          </w:p>
        </w:tc>
        <w:tc>
          <w:tcPr>
            <w:tcW w:w="885" w:type="pct"/>
          </w:tcPr>
          <w:p w14:paraId="304F94A1"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On-site solar</w:t>
            </w:r>
          </w:p>
        </w:tc>
        <w:tc>
          <w:tcPr>
            <w:tcW w:w="735" w:type="pct"/>
          </w:tcPr>
          <w:p w14:paraId="7805A12D"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Rare</w:t>
            </w:r>
          </w:p>
        </w:tc>
        <w:tc>
          <w:tcPr>
            <w:tcW w:w="685" w:type="pct"/>
          </w:tcPr>
          <w:p w14:paraId="0B05408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$60-90/MWh</w:t>
            </w:r>
          </w:p>
        </w:tc>
      </w:tr>
    </w:tbl>
    <w:p w14:paraId="7744943B" w14:textId="65D60E89" w:rsidR="00FE013C" w:rsidRDefault="00FE013C" w:rsidP="004C16FF">
      <w:pPr>
        <w:spacing w:after="120"/>
        <w:ind w:firstLine="480"/>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renewable </w:t>
      </w:r>
      <w:r w:rsidR="00030122">
        <w:t>utilization</w:t>
      </w:r>
      <w:r>
        <w:t>;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CF7A4A1" w14:textId="77777777" w:rsidR="00FE013C" w:rsidRDefault="00FE013C" w:rsidP="004C16FF">
      <w:pPr>
        <w:pStyle w:val="Heading10"/>
        <w:jc w:val="both"/>
        <w:rPr>
          <w:color w:val="auto"/>
        </w:rPr>
      </w:pPr>
      <w:r>
        <w:rPr>
          <w:color w:val="auto"/>
          <w:lang w:eastAsia="zh-CN"/>
        </w:rPr>
        <w:t xml:space="preserve">9. </w:t>
      </w:r>
      <w:r>
        <w:rPr>
          <w:color w:val="auto"/>
        </w:rPr>
        <w:t>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3F24D0" w:rsidRDefault="00FE013C" w:rsidP="004C16FF">
      <w:pPr>
        <w:pStyle w:val="Heading20"/>
        <w:jc w:val="both"/>
        <w:rPr>
          <w:color w:val="auto"/>
        </w:rPr>
      </w:pPr>
      <w:r w:rsidRPr="003F24D0">
        <w:rPr>
          <w:color w:val="auto"/>
        </w:rPr>
        <w:t>9.1 Intermittency and Predictability</w:t>
      </w:r>
    </w:p>
    <w:p w14:paraId="3DFFA002" w14:textId="77777777" w:rsidR="00FE013C" w:rsidRPr="003F24D0" w:rsidRDefault="00FE013C" w:rsidP="004C16FF">
      <w:pPr>
        <w:spacing w:after="120"/>
        <w:ind w:firstLine="480"/>
      </w:pPr>
      <w:r w:rsidRPr="003F24D0">
        <w:t>Solar and wind power are intermittent, and this intermittency can be seen on various timescales ranging from transients on the timescale of seconds or minutes to seasonal fluctuations in the resource. The high errors in day-ahead (10–15</w:t>
      </w:r>
      <w:r>
        <w:t xml:space="preserve">% </w:t>
      </w:r>
      <w:r w:rsidRPr="003F24D0">
        <w:t>MAPE) and intra-hour forecasts (5–10</w:t>
      </w:r>
      <w:r>
        <w:t xml:space="preserve">% </w:t>
      </w:r>
      <w:r w:rsidRPr="003F24D0">
        <w:t>MAPE) introduce uncertainty in dispatch planning, which must be addressed through the use of storage, demand response, and grid interconnection</w:t>
      </w:r>
      <w:r>
        <w:fldChar w:fldCharType="begin"/>
      </w:r>
      <w:r>
        <w:instrText xml:space="preserve"> ADDIN ZOTERO_ITEM CSL_CITATION {"citationID":"B5ImwyE7","properties":{"unsorted":false,"formattedCitation":"[137]","plainCitation":"[137]","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Pr="004864DB">
        <w:t>[137]</w:t>
      </w:r>
      <w:r>
        <w:fldChar w:fldCharType="end"/>
      </w:r>
      <w:r w:rsidRPr="003F24D0">
        <w:t>. The storage duration needed to meet typical shortfalls in renewables varies with the resource profile, with solar-only systems needing 4 to 8 hours of storage to meet evening peak requirements, and wind-dominated systems in regions with 24 to 72 hours of storage lulls needing 24 to 72 hours of storage</w:t>
      </w:r>
      <w:r>
        <w:fldChar w:fldCharType="begin"/>
      </w:r>
      <w:r>
        <w:instrText xml:space="preserve"> ADDIN ZOTERO_ITEM CSL_CITATION {"citationID":"AurF55j7","properties":{"unsorted":false,"formattedCitation":"[75]","plainCitation":"[75]","noteIndex":0},"citationItems":[{"id":2031,"uris":["http://zotero.org/users/9870935/items/AC53WR7L"],"itemData":{"id":2031,"type":"article-journal","abstract":"The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fldChar w:fldCharType="separate"/>
      </w:r>
      <w:r w:rsidRPr="00584BC7">
        <w:t>[75]</w:t>
      </w:r>
      <w:r>
        <w:fldChar w:fldCharType="end"/>
      </w:r>
      <w:r w:rsidRPr="003F24D0">
        <w:t>.</w:t>
      </w:r>
    </w:p>
    <w:p w14:paraId="12AA3842" w14:textId="5A2E2C0D" w:rsidR="00FE013C" w:rsidRPr="003F24D0" w:rsidRDefault="00FE013C" w:rsidP="004C16FF">
      <w:pPr>
        <w:spacing w:after="120"/>
        <w:ind w:firstLine="480"/>
      </w:pPr>
      <w:r w:rsidRPr="003F24D0">
        <w:t xml:space="preserve">The use of geographic diversity in dispersed facilities offers a strong tool for </w:t>
      </w:r>
      <w:r w:rsidR="00030122" w:rsidRPr="003F24D0">
        <w:t>minimizing</w:t>
      </w:r>
      <w:r w:rsidRPr="003F24D0">
        <w:t xml:space="preserve"> overall variability. Spatial smoothing from facilities with distances greater than 500 km can lower the coefficient of variation of combined renewable energy generation by 40–60</w:t>
      </w:r>
      <w:r>
        <w:t xml:space="preserve">% </w:t>
      </w:r>
      <w:r w:rsidRPr="003F24D0">
        <w:t>compared to a single-</w:t>
      </w:r>
      <w:r w:rsidRPr="003F24D0">
        <w:lastRenderedPageBreak/>
        <w:t>site deployment</w:t>
      </w:r>
      <w:r>
        <w:fldChar w:fldCharType="begin"/>
      </w:r>
      <w:r>
        <w:instrText xml:space="preserve"> ADDIN ZOTERO_ITEM CSL_CITATION {"citationID":"ntStXCHv","properties":{"unsorted":false,"formattedCitation":"[97]","plainCitation":"[97]","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Pr="00584BC7">
        <w:t>[97]</w:t>
      </w:r>
      <w:r>
        <w:fldChar w:fldCharType="end"/>
      </w:r>
      <w:r w:rsidRPr="003F24D0">
        <w:t>. For multi-facility operators, this natural smoothing effect reduces the need for per-facility storage and allows for more efficient use of common grid interconnection capacity. The use of advanced forecasting techniques, such as ensemble numerical weather prediction and cloud tracking using satellites, has further enhanced the predictability of weather events, with machine learning post-processing reducing the MAPE by up to 15–25</w:t>
      </w:r>
      <w:r>
        <w:t>%</w:t>
      </w:r>
      <w:r>
        <w:fldChar w:fldCharType="begin"/>
      </w:r>
      <w:r>
        <w:instrText xml:space="preserve"> ADDIN ZOTERO_ITEM CSL_CITATION {"citationID":"0CGGN4om","properties":{"unsorted":false,"formattedCitation":"[157]","plainCitation":"[157]","noteIndex":0},"citationItems":[{"id":217,"uris":["http://zotero.org/users/9870935/items/MST8XCTD"],"itemData":{"id":217,"type":"article-journal","container-title":"IEEE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fldChar w:fldCharType="separate"/>
      </w:r>
      <w:r w:rsidRPr="004864DB">
        <w:t>[157]</w:t>
      </w:r>
      <w:r>
        <w:fldChar w:fldCharType="end"/>
      </w:r>
      <w:r w:rsidRPr="003F24D0">
        <w:t>.</w:t>
      </w:r>
    </w:p>
    <w:p w14:paraId="273CF30D" w14:textId="77777777" w:rsidR="00FE013C" w:rsidRPr="00820A59" w:rsidRDefault="00FE013C" w:rsidP="004C16FF">
      <w:pPr>
        <w:pStyle w:val="Heading20"/>
        <w:jc w:val="both"/>
        <w:rPr>
          <w:color w:val="auto"/>
        </w:rPr>
      </w:pPr>
      <w:r w:rsidRPr="00820A59">
        <w:rPr>
          <w:color w:val="auto"/>
        </w:rPr>
        <w:t>9.2 Grid Stability and Frequency Control</w:t>
      </w:r>
    </w:p>
    <w:p w14:paraId="6845009A" w14:textId="77777777" w:rsidR="00FE013C" w:rsidRPr="003F24D0" w:rsidRDefault="00FE013C" w:rsidP="004C16FF">
      <w:pPr>
        <w:spacing w:after="120"/>
        <w:ind w:firstLine="480"/>
      </w:pPr>
      <w:r w:rsidRPr="003F24D0">
        <w:t>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w:t>
      </w:r>
      <w:r>
        <w:t>%</w:t>
      </w:r>
      <w:r w:rsidRPr="003F24D0">
        <w:t>), the rate of change of frequency (</w:t>
      </w:r>
      <w:proofErr w:type="spellStart"/>
      <w:r w:rsidRPr="003F24D0">
        <w:t>RoCoF</w:t>
      </w:r>
      <w:proofErr w:type="spellEnd"/>
      <w:r w:rsidRPr="003F24D0">
        <w:t>)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using control algorithms that replicate the inertial reaction of a synchronous machine</w:t>
      </w:r>
      <w:r>
        <w:fldChar w:fldCharType="begin"/>
      </w:r>
      <w: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fldChar w:fldCharType="separate"/>
      </w:r>
      <w:r w:rsidRPr="001A7127">
        <w:t>[18]</w:t>
      </w:r>
      <w:r>
        <w:fldChar w:fldCharType="end"/>
      </w:r>
      <w:r w:rsidRPr="003F24D0">
        <w:t>.</w:t>
      </w:r>
    </w:p>
    <w:p w14:paraId="3A350DB4" w14:textId="77777777" w:rsidR="00FE013C" w:rsidRPr="003F24D0" w:rsidRDefault="00FE013C" w:rsidP="004C16FF">
      <w:pPr>
        <w:spacing w:after="120"/>
        <w:ind w:firstLine="480"/>
      </w:pPr>
      <w:r w:rsidRPr="003F24D0">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fldChar w:fldCharType="begin"/>
      </w:r>
      <w:r>
        <w:instrText xml:space="preserve"> ADDIN ZOTERO_ITEM CSL_CITATION {"citationID":"MGfld3cH","properties":{"unsorted":false,"formattedCitation":"[158]","plainCitation":"[158]","noteIndex":0},"citationItems":[{"id":1100,"uris":["http://zotero.org/users/9870935/items/E7VUD4ZH"],"itemData":{"id":1100,"type":"article-journal","abstract":"Abstract\n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fldChar w:fldCharType="separate"/>
      </w:r>
      <w:r w:rsidRPr="004864DB">
        <w:t>[158]</w:t>
      </w:r>
      <w:r>
        <w:fldChar w:fldCharType="end"/>
      </w:r>
      <w:r w:rsidRPr="003F24D0">
        <w:t>.</w:t>
      </w:r>
    </w:p>
    <w:p w14:paraId="205B929A" w14:textId="77777777" w:rsidR="00FE013C" w:rsidRPr="00CD0542" w:rsidRDefault="00FE013C" w:rsidP="004C16FF">
      <w:pPr>
        <w:pStyle w:val="Heading20"/>
        <w:jc w:val="both"/>
        <w:rPr>
          <w:color w:val="auto"/>
        </w:rPr>
      </w:pPr>
      <w:r>
        <w:rPr>
          <w:color w:val="auto"/>
        </w:rPr>
        <w:t xml:space="preserve">9.3 </w:t>
      </w:r>
      <w:r w:rsidRPr="00CD0542">
        <w:rPr>
          <w:color w:val="auto"/>
        </w:rPr>
        <w:t>Power quality and Harmonic Distortion</w:t>
      </w:r>
    </w:p>
    <w:p w14:paraId="7413DA1C" w14:textId="6B2F0880" w:rsidR="00FE013C" w:rsidRPr="003F24D0" w:rsidRDefault="00FE013C" w:rsidP="004C16FF">
      <w:pPr>
        <w:spacing w:after="120"/>
        <w:ind w:firstLine="480"/>
      </w:pPr>
      <w:r w:rsidRPr="003F24D0">
        <w:t xml:space="preserve">Data </w:t>
      </w:r>
      <w:r w:rsidR="00580BAE">
        <w:t>center</w:t>
      </w:r>
      <w:r w:rsidRPr="003F24D0">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w:t>
      </w:r>
      <w:r>
        <w:t xml:space="preserve">% </w:t>
      </w:r>
      <w:r w:rsidRPr="003F24D0">
        <w:t>at the POC, especially when the load is light and the harmonic currents are significant portions of the total current</w:t>
      </w:r>
      <w:r>
        <w:fldChar w:fldCharType="begin"/>
      </w:r>
      <w:r>
        <w:instrText xml:space="preserve"> ADDIN ZOTERO_ITEM CSL_CITATION {"citationID":"UtPmplxF","properties":{"unsorted":false,"formattedCitation":"[54]","plainCitation":"[54]","noteIndex":0},"citationItems":[{"id":1993,"uris":["http://zotero.org/users/9870935/items/2D54TKGT"],"itemData":{"id":1993,"type":"paper-conference","container-title":"2024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fldChar w:fldCharType="separate"/>
      </w:r>
      <w:r w:rsidRPr="00C901E2">
        <w:t>[54]</w:t>
      </w:r>
      <w:r>
        <w:fldChar w:fldCharType="end"/>
      </w:r>
      <w:r w:rsidRPr="003F24D0">
        <w:t>.</w:t>
      </w:r>
    </w:p>
    <w:p w14:paraId="38A35EE8" w14:textId="127C8C01" w:rsidR="00FE013C" w:rsidRPr="003F24D0" w:rsidRDefault="00FE013C" w:rsidP="004C16FF">
      <w:pPr>
        <w:spacing w:after="120"/>
        <w:ind w:firstLine="480"/>
      </w:pPr>
      <w:r w:rsidRPr="003F24D0">
        <w:t>Active power filters (APFs) continuously monitor harmonic currents and feed the compensating currents into the system, resulting in a reduction of THD down to less than 3</w:t>
      </w:r>
      <w:r>
        <w:t>%</w:t>
      </w:r>
      <w:r w:rsidRPr="003F24D0">
        <w:t xml:space="preserve">; multi-pulse rectifiers (12-pulse, 18-pulse, or 24-pulse) are a natural solution for cancellation of low-order harmonics through phase-shifting transformer configurations; passive LC filters tuned to the harmonic frequencies are other solutions that are available. In the case of renewable-powered data </w:t>
      </w:r>
      <w:r w:rsidR="00580BAE">
        <w:t>center</w:t>
      </w:r>
      <w:r w:rsidRPr="003F24D0">
        <w:t>s, a combination of inverter harmonics and load harmonics requires system-level analysis using harmonic impedance scanning and frequency-domain simulation to determine the resonance conditions that may amplify harmonics of interest</w:t>
      </w:r>
      <w:r>
        <w:fldChar w:fldCharType="begin"/>
      </w:r>
      <w:r>
        <w:instrText xml:space="preserve"> ADDIN ZOTERO_ITEM CSL_CITATION {"citationID":"NFe4OOQX","properties":{"unsorted":false,"formattedCitation":"[132]","plainCitation":"[132]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Pr="00584BC7">
        <w:t>[132]</w:t>
      </w:r>
      <w:r>
        <w:fldChar w:fldCharType="end"/>
      </w:r>
      <w:r w:rsidRPr="003F24D0">
        <w:t>.</w:t>
      </w:r>
    </w:p>
    <w:p w14:paraId="6E7CB223" w14:textId="77777777" w:rsidR="00FE013C" w:rsidRPr="00FC528D" w:rsidRDefault="00FE013C" w:rsidP="004C16FF">
      <w:pPr>
        <w:pStyle w:val="Heading20"/>
        <w:jc w:val="both"/>
        <w:rPr>
          <w:color w:val="auto"/>
        </w:rPr>
      </w:pPr>
      <w:r w:rsidRPr="00FC528D">
        <w:rPr>
          <w:color w:val="auto"/>
        </w:rPr>
        <w:t>9.4 Grid Interconnection Complexity</w:t>
      </w:r>
    </w:p>
    <w:p w14:paraId="40CAC9F9" w14:textId="43A0DA5A" w:rsidR="00FE013C" w:rsidRPr="003F24D0" w:rsidRDefault="00FE013C" w:rsidP="004C16FF">
      <w:pPr>
        <w:spacing w:after="120"/>
        <w:ind w:firstLine="480"/>
      </w:pPr>
      <w:r w:rsidRPr="003F24D0">
        <w:lastRenderedPageBreak/>
        <w:t xml:space="preserve">Grid interconnection remains one of the biggest hurdles to the deployment of renewable energy at the scale of data </w:t>
      </w:r>
      <w:r w:rsidR="00580BAE">
        <w:t>center</w:t>
      </w:r>
      <w:r w:rsidRPr="003F24D0">
        <w:t>s. Interconnection queues have increased significantly in crowded grid areas; for example, the interconnection queue at CAISO has grown to over 2,000 projects representing more than 1,000 GW of proposed capacity, and the interconnection queue at PJM has grown to more than 3,000 projects. The general interconnection timeline is 2 to 4 years and involves feasibility study (3 to 6 months), system impact study (6 to 12 months), facilities study (6 to 12 months), and construction (12 to 24 months). Project costs may vary from $50,000 for simple distribution level interconnections to $500,000 or more for projects involving distribution or transmission-level grid upgrades</w:t>
      </w:r>
      <w:r>
        <w:fldChar w:fldCharType="begin"/>
      </w:r>
      <w: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fldChar w:fldCharType="separate"/>
      </w:r>
      <w:r w:rsidRPr="009B3EC2">
        <w:t>[24]</w:t>
      </w:r>
      <w:r>
        <w:fldChar w:fldCharType="end"/>
      </w:r>
      <w:r w:rsidRPr="003F24D0">
        <w:t>.</w:t>
      </w:r>
    </w:p>
    <w:p w14:paraId="3EB3269B" w14:textId="77777777" w:rsidR="00FE013C" w:rsidRPr="003F24D0" w:rsidRDefault="00FE013C" w:rsidP="004C16FF">
      <w:pPr>
        <w:spacing w:after="120"/>
        <w:ind w:firstLine="480"/>
      </w:pPr>
      <w:r w:rsidRPr="003F24D0">
        <w:t>FERC Order 2023, issued in July 2023, is designed to resolve interconnection delays in several ways, including setting a uniform timeframe for the completion of studies (180 days for cluster studies), identifying pre-certified equipment categories that would be exempt from detailed individual studies, and making changes to how the costs of upgrades are shared, moving shared upgrade costs to the requesting parties</w:t>
      </w:r>
      <w:r>
        <w:fldChar w:fldCharType="begin"/>
      </w:r>
      <w:r>
        <w:instrText xml:space="preserve"> ADDIN ZOTERO_ITEM CSL_CITATION {"citationID":"kbAiY4Ky","properties":{"unsorted":false,"formattedCitation":"[159]","plainCitation":"[159]","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fldChar w:fldCharType="separate"/>
      </w:r>
      <w:r w:rsidRPr="004864DB">
        <w:t>[159]</w:t>
      </w:r>
      <w:r>
        <w:fldChar w:fldCharType="end"/>
      </w:r>
      <w:r w:rsidRPr="003F24D0">
        <w:t>. IEEE 1547-2018 provides technical requirements for the interconnection of distributed energy resources (DERs), such as anti-islanding protection, voltage and frequency ride-through, and power quality limits, while IEEE 2800-2022 specifies the performance requirements for larger IBDERs at transmission voltage levels</w:t>
      </w:r>
      <w:r>
        <w:fldChar w:fldCharType="begin"/>
      </w:r>
      <w:r>
        <w:instrText xml:space="preserve"> ADDIN ZOTERO_ITEM CSL_CITATION {"citationID":"aTXS1liU","properties":{"unsorted":false,"formattedCitation":"[53]","plainCitation":"[53]","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fldChar w:fldCharType="separate"/>
      </w:r>
      <w:r w:rsidRPr="002A05B5">
        <w:t>[53]</w:t>
      </w:r>
      <w:r>
        <w:fldChar w:fldCharType="end"/>
      </w:r>
      <w:r w:rsidRPr="003F24D0">
        <w:t>.</w:t>
      </w:r>
    </w:p>
    <w:p w14:paraId="79DCD748" w14:textId="77777777" w:rsidR="00FE013C" w:rsidRPr="00FC528D" w:rsidRDefault="00FE013C" w:rsidP="004C16FF">
      <w:pPr>
        <w:pStyle w:val="Heading20"/>
        <w:jc w:val="both"/>
        <w:rPr>
          <w:color w:val="auto"/>
        </w:rPr>
      </w:pPr>
      <w:r w:rsidRPr="00FC528D">
        <w:rPr>
          <w:color w:val="auto"/>
        </w:rPr>
        <w:t>9.</w:t>
      </w:r>
      <w:r>
        <w:rPr>
          <w:color w:val="auto"/>
        </w:rPr>
        <w:t>5</w:t>
      </w:r>
      <w:r w:rsidRPr="00FC528D">
        <w:rPr>
          <w:color w:val="auto"/>
        </w:rPr>
        <w:t xml:space="preserve"> </w:t>
      </w:r>
      <w:r>
        <w:rPr>
          <w:color w:val="auto"/>
        </w:rPr>
        <w:t>Demand-side Management and AI Workload Flexibility</w:t>
      </w:r>
    </w:p>
    <w:p w14:paraId="283BD03B" w14:textId="77777777" w:rsidR="00FE013C" w:rsidRPr="003F24D0" w:rsidRDefault="00FE013C" w:rsidP="004C16FF">
      <w:pPr>
        <w:spacing w:after="120"/>
        <w:ind w:firstLine="480"/>
      </w:pPr>
      <w:r w:rsidRPr="003F24D0">
        <w:t>AI workload flexibility is a distinct and growing demand-side resource that can substantially decrease the cost and complexity of integrating renewable energy. Training workloads (often hours to weeks to complete, not latency-sensitive) can be deferred to times of low latency demand and high renewable generation</w:t>
      </w:r>
      <w:r>
        <w:fldChar w:fldCharType="begin"/>
      </w:r>
      <w:r>
        <w:instrText xml:space="preserve"> ADDIN ZOTERO_ITEM CSL_CITATION {"citationID":"SNAvsnwi","properties":{"unsorted":false,"formattedCitation":"[147]","plainCitation":"[147]","noteIndex":0},"citationItems":[{"id":2126,"uris":["http://zotero.org/users/9870935/items/5SGD5DQK"],"itemData":{"id":2126,"type":"paper-conference","container-title":"ICC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Pr="004864DB">
        <w:t>[147]</w:t>
      </w:r>
      <w:r>
        <w:fldChar w:fldCharType="end"/>
      </w:r>
      <w:r w:rsidRPr="003F24D0">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 within the SLA.</w:t>
      </w:r>
    </w:p>
    <w:p w14:paraId="19B030A4" w14:textId="5A0893AC" w:rsidR="00FE013C" w:rsidRPr="003F24D0" w:rsidRDefault="00FE013C" w:rsidP="004C16FF">
      <w:pPr>
        <w:spacing w:after="120"/>
        <w:ind w:firstLine="480"/>
      </w:pPr>
      <w:r w:rsidRPr="003F24D0">
        <w:t>Energy cost reduction of 10–20</w:t>
      </w:r>
      <w:r>
        <w:t>%</w:t>
      </w:r>
      <w:r w:rsidRPr="003F24D0">
        <w:t xml:space="preserve"> through time-of-use rate </w:t>
      </w:r>
      <w:r w:rsidR="00030122" w:rsidRPr="003F24D0">
        <w:t>optimization</w:t>
      </w:r>
      <w:r w:rsidRPr="003F24D0">
        <w:t xml:space="preserve"> and carbon reduction of 5</w:t>
      </w:r>
      <w:r>
        <w:t>–</w:t>
      </w:r>
      <w:r w:rsidRPr="003F24D0">
        <w:t>15</w:t>
      </w:r>
      <w:r>
        <w:t xml:space="preserve">% </w:t>
      </w:r>
      <w:r w:rsidRPr="003F24D0">
        <w:t>through increased use of on-site renewable generation are indicated by quantified benefits from industry deployments and simulation studies</w:t>
      </w:r>
      <w:r>
        <w:fldChar w:fldCharType="begin"/>
      </w:r>
      <w:r>
        <w:instrText xml:space="preserve"> ADDIN ZOTERO_ITEM CSL_CITATION {"citationID":"0JMNKF3g","properties":{"unsorted":false,"formattedCitation":"[160]","plainCitation":"[160]","noteIndex":0},"citationItems":[{"id":79,"uris":["http://zotero.org/users/9870935/items/FT42XEM5"],"itemData":{"id":79,"type":"article-journal","container-title":"IEEE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fldChar w:fldCharType="separate"/>
      </w:r>
      <w:r w:rsidRPr="004864DB">
        <w:t>[160]</w:t>
      </w:r>
      <w:r>
        <w:fldChar w:fldCharType="end"/>
      </w:r>
      <w:r w:rsidRPr="003F24D0">
        <w:t xml:space="preserve">. This requires integration between the workload scheduler (usually Kubernetes-based) and the energy management system, and the renewable availability API delivers 24–48-hour forecasts of renewable generation as a portion of the total load </w:t>
      </w:r>
      <w:r>
        <w:fldChar w:fldCharType="begin"/>
      </w:r>
      <w:r>
        <w:instrText xml:space="preserve"> ADDIN ZOTERO_ITEM CSL_CITATION {"citationID":"LieaEasU","properties":{"unsorted":false,"formattedCitation":"[147]","plainCitation":"[147]","noteIndex":0},"citationItems":[{"id":2126,"uris":["http://zotero.org/users/9870935/items/5SGD5DQK"],"itemData":{"id":2126,"type":"paper-conference","container-title":"ICC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Pr="004864DB">
        <w:t>[147]</w:t>
      </w:r>
      <w:r>
        <w:fldChar w:fldCharType="end"/>
      </w:r>
      <w:r w:rsidRPr="003F24D0">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1746C8D1" w14:textId="77777777" w:rsidR="00FE013C" w:rsidRPr="00BD4B33" w:rsidRDefault="00FE013C" w:rsidP="004C16FF">
      <w:pPr>
        <w:pStyle w:val="Heading20"/>
        <w:jc w:val="both"/>
        <w:rPr>
          <w:color w:val="auto"/>
        </w:rPr>
      </w:pPr>
      <w:r w:rsidRPr="00BD4B33">
        <w:rPr>
          <w:color w:val="auto"/>
        </w:rPr>
        <w:t>9.6 Energy Storage Control and Battery Management</w:t>
      </w:r>
    </w:p>
    <w:p w14:paraId="1192A71C" w14:textId="6A3FDD7D" w:rsidR="00FE013C" w:rsidRPr="00BD4B33" w:rsidRDefault="00FE013C" w:rsidP="004C16FF">
      <w:pPr>
        <w:spacing w:after="120"/>
        <w:ind w:firstLine="480"/>
      </w:pPr>
      <w:r w:rsidRPr="00BD4B33">
        <w:t xml:space="preserve">There are several criteria for optimal battery dispatch: most renewable usage, least energy cost, longest battery life, and sufficient reserve for emergency backup. The state-of-charge (SOC) setpoint </w:t>
      </w:r>
      <w:r w:rsidR="00030122" w:rsidRPr="00BD4B33">
        <w:t>optimization</w:t>
      </w:r>
      <w:r w:rsidRPr="00BD4B33">
        <w:t xml:space="preserve"> defines the charging and discharging timing according to the current state and future forecasting, where the most advanced approach is model-predictive control (MPC)</w:t>
      </w:r>
      <w:r>
        <w:fldChar w:fldCharType="begin"/>
      </w:r>
      <w:r>
        <w:instrText xml:space="preserve"> ADDIN ZOTERO_ITEM CSL_CITATION {"citationID":"qyaUl6tX","properties":{"unsorted":false,"formattedCitation":"[112]","plainCitation":"[112]","noteIndex":0},"citationItems":[{"id":2086,"uris":["http://zotero.org/users/9870935/items/PSX5T5NE"],"itemData":{"id":2086,"type":"article-journal","abstract":"Renewable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fldChar w:fldCharType="separate"/>
      </w:r>
      <w:r w:rsidRPr="00584BC7">
        <w:t>[112]</w:t>
      </w:r>
      <w:r>
        <w:fldChar w:fldCharType="end"/>
      </w:r>
      <w:r w:rsidRPr="00BD4B33">
        <w:t>. The economic factor of battery ageing: deep cycling (depth of discharge above 80</w:t>
      </w:r>
      <w:r>
        <w:t>%</w:t>
      </w:r>
      <w:r w:rsidRPr="00BD4B33">
        <w:t>) decreases battery life, while shallow cycling increases battery life, but at the cost of reduced energy capacity for renewable time-shifting. Studies have shown that a maximum depth of discharge of 50</w:t>
      </w:r>
      <w:r>
        <w:t xml:space="preserve">% </w:t>
      </w:r>
      <w:r w:rsidRPr="00BD4B33">
        <w:t xml:space="preserve">can nearly double the </w:t>
      </w:r>
      <w:r w:rsidRPr="00BD4B33">
        <w:lastRenderedPageBreak/>
        <w:t xml:space="preserve">cycle life, indicating that appropriately oversizing battery systems may provide better lifetime economics, albeit at higher initial capital costs </w:t>
      </w:r>
      <w:r>
        <w:fldChar w:fldCharType="begin"/>
      </w:r>
      <w:r>
        <w:instrText xml:space="preserve"> ADDIN ZOTERO_ITEM CSL_CITATION {"citationID":"QHLWj7wZ","properties":{"unsorted":false,"formattedCitation":"[103]","plainCitation":"[103]","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Pr="00584BC7">
        <w:t>[103]</w:t>
      </w:r>
      <w:r>
        <w:fldChar w:fldCharType="end"/>
      </w:r>
      <w:r w:rsidRPr="00BD4B33">
        <w:t>.</w:t>
      </w:r>
    </w:p>
    <w:p w14:paraId="4221A4F4" w14:textId="1ED7E270" w:rsidR="00FE013C" w:rsidRPr="00BD4B33" w:rsidRDefault="00FE013C" w:rsidP="004C16FF">
      <w:pPr>
        <w:spacing w:after="120"/>
        <w:ind w:firstLine="480"/>
      </w:pPr>
      <w:r w:rsidRPr="00BD4B33">
        <w:t xml:space="preserve">Dual-use battery strategies can enhance the financial return on battery investments by enabling both renewable integration and grid services (frequency regulation, capacity markets, and ancillary services). The estimated revenue from a 100 MW data </w:t>
      </w:r>
      <w:r w:rsidR="00580BAE">
        <w:t>center</w:t>
      </w:r>
      <w:r w:rsidRPr="00BD4B33">
        <w:t xml:space="preserve"> with 10 MW of available battery capacity for frequency regulation is approximately $3 million per year at PJM market rates of about $75 per MW per hour for 4,000 hours per year</w:t>
      </w:r>
      <w:r>
        <w:fldChar w:fldCharType="begin"/>
      </w:r>
      <w:r>
        <w:instrText xml:space="preserve"> ADDIN ZOTERO_ITEM CSL_CITATION {"citationID":"4jwvGc6g","properties":{"unsorted":false,"formattedCitation":"[161]","plainCitation":"[161]","noteIndex":0},"citationItems":[{"id":2147,"uris":["http://zotero.org/users/9870935/items/CEYBWQ95"],"itemData":{"id":2147,"type":"article-journal","container-title":"Energy","DOI":"10.1016/j.energy.2020.117285","ISSN":"03605442","journalAbbreviation":"Energy","language":"en","page":"117285","source":"DOI.org (Crossref)","title":"Optimization of sizing and frequency control in battery/supercapacitor hybrid energy storage system for fuel cell ship","volume":"197","author":[{"family":"Chen","given":"Hui"},{"family":"Zhang","given":"Zehui"},{"family":"Guan","given":"Cong"},{"family":"Gao","given":"Haibo"}],"issued":{"date-parts":[["2020",4]]}}}],"schema":"https://github.com/citation-style-language/schema/raw/master/csl-citation.json"} </w:instrText>
      </w:r>
      <w:r>
        <w:fldChar w:fldCharType="separate"/>
      </w:r>
      <w:r w:rsidRPr="004864DB">
        <w:t>[161]</w:t>
      </w:r>
      <w:r>
        <w:fldChar w:fldCharType="end"/>
      </w:r>
      <w:r w:rsidRPr="00BD4B33">
        <w:t xml:space="preserve">. Remaining useful life (RUL) prediction and scheduling of maintenance tasks can be achieved by state-of-health (SOH) monitoring with machine-learning approaches trained on cycling data, which helps to </w:t>
      </w:r>
      <w:r w:rsidR="00030122" w:rsidRPr="00BD4B33">
        <w:t>minimize</w:t>
      </w:r>
      <w:r w:rsidRPr="00BD4B33">
        <w:t xml:space="preserve"> the likelihood of unexpected capacity degradation</w:t>
      </w:r>
      <w:r>
        <w:fldChar w:fldCharType="begin"/>
      </w:r>
      <w:r>
        <w:instrText xml:space="preserve"> ADDIN ZOTERO_ITEM CSL_CITATION {"citationID":"qxkXnTwN","properties":{"unsorted":false,"formattedCitation":"[162]","plainCitation":"[162]","noteIndex":0},"citationItems":[{"id":2149,"uris":["http://zotero.org/users/9870935/items/9CUAPP72"],"itemData":{"id":2149,"type":"article-journal","abstract":"Abstract\n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fldChar w:fldCharType="separate"/>
      </w:r>
      <w:r w:rsidRPr="004864DB">
        <w:t>[162]</w:t>
      </w:r>
      <w:r>
        <w:fldChar w:fldCharType="end"/>
      </w:r>
      <w:r w:rsidRPr="00BD4B33">
        <w:t>.</w:t>
      </w:r>
    </w:p>
    <w:p w14:paraId="1FC1FEEE" w14:textId="77777777" w:rsidR="00FE013C" w:rsidRPr="00FD5E90" w:rsidRDefault="00FE013C" w:rsidP="004C16FF">
      <w:pPr>
        <w:pStyle w:val="Heading20"/>
        <w:jc w:val="both"/>
        <w:rPr>
          <w:color w:val="auto"/>
        </w:rPr>
      </w:pPr>
      <w:r w:rsidRPr="00FD5E90">
        <w:rPr>
          <w:color w:val="auto"/>
        </w:rPr>
        <w:t>9.7 Hydrogen and Fuel Cell Challenges</w:t>
      </w:r>
    </w:p>
    <w:p w14:paraId="705DC594" w14:textId="19488635" w:rsidR="00FE013C" w:rsidRPr="00BD4B33" w:rsidRDefault="00FE013C" w:rsidP="004C16FF">
      <w:pPr>
        <w:spacing w:after="120"/>
        <w:ind w:firstLine="480"/>
      </w:pPr>
      <w:r w:rsidRPr="00BD4B33">
        <w:t xml:space="preserve">Hydrogen fuel cells have the theoretical potential to deliver long-duration backup power (48+ hours proven) and produce zero direct emissions, but they are still costly, inefficient, and lack infrastructure. Microsoft's 3 MW demo project at their data </w:t>
      </w:r>
      <w:r w:rsidR="00580BAE">
        <w:t>center</w:t>
      </w:r>
      <w:r w:rsidRPr="00BD4B33">
        <w:t xml:space="preserve"> proved the technical viability, but also pointed to the cost problem: Fuel cell electricity currently costs $150 to $250/</w:t>
      </w:r>
      <w:r>
        <w:t>M</w:t>
      </w:r>
      <w:r w:rsidRPr="00BD4B33">
        <w:t>Wh, compared to grid electricity or battery storage, which cost $50 to $80/MWh at the same time</w:t>
      </w:r>
      <w:r>
        <w:fldChar w:fldCharType="begin"/>
      </w:r>
      <w:r>
        <w:instrText xml:space="preserve"> ADDIN ZOTERO_ITEM CSL_CITATION {"citationID":"ONo7xelO","properties":{"unsorted":false,"formattedCitation":"[155]","plainCitation":"[155]","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fldChar w:fldCharType="separate"/>
      </w:r>
      <w:r w:rsidRPr="004864DB">
        <w:t>[155]</w:t>
      </w:r>
      <w:r>
        <w:fldChar w:fldCharType="end"/>
      </w:r>
      <w:r w:rsidRPr="00BD4B33">
        <w:t xml:space="preserve">. The CAPEX of the </w:t>
      </w:r>
      <w:r w:rsidR="00030122" w:rsidRPr="00BD4B33">
        <w:t>electroly</w:t>
      </w:r>
      <w:r w:rsidR="00030122">
        <w:t>z</w:t>
      </w:r>
      <w:r w:rsidR="00030122" w:rsidRPr="00BD4B33">
        <w:t>e</w:t>
      </w:r>
      <w:r w:rsidRPr="00BD4B33">
        <w:t>, which ranges from $1,000-$2,000/kW, is another constraint for on-site GH production and is decreasing as the size of the plants increases</w:t>
      </w:r>
      <w:r>
        <w:fldChar w:fldCharType="begin"/>
      </w:r>
      <w:r>
        <w:instrText xml:space="preserve"> ADDIN ZOTERO_ITEM CSL_CITATION {"citationID":"EK3ZfdLP","properties":{"unsorted":false,"formattedCitation":"[106]","plainCitation":"[106]","noteIndex":0},"citationItems":[{"id":2076,"uris":["http://zotero.org/users/9870935/items/WSZ9BQJG"],"itemData":{"id":2076,"type":"article-journal","abstract":"Abstract\n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fldChar w:fldCharType="separate"/>
      </w:r>
      <w:r w:rsidRPr="00584BC7">
        <w:t>[106]</w:t>
      </w:r>
      <w:r>
        <w:fldChar w:fldCharType="end"/>
      </w:r>
      <w:r w:rsidRPr="00BD4B33">
        <w:t>.</w:t>
      </w:r>
    </w:p>
    <w:p w14:paraId="5871A5CA" w14:textId="02F23A48" w:rsidR="00FE013C" w:rsidRPr="00BD4B33" w:rsidRDefault="00FE013C" w:rsidP="004C16FF">
      <w:pPr>
        <w:spacing w:after="120"/>
        <w:ind w:firstLine="480"/>
      </w:pPr>
      <w:r w:rsidRPr="00BD4B33">
        <w:t>Greater fuel cell efficiency occurs at full load (55–60</w:t>
      </w:r>
      <w:r>
        <w:t>%</w:t>
      </w:r>
      <w:r w:rsidRPr="00BD4B33">
        <w:t>) versus partial load (40–50</w:t>
      </w:r>
      <w:r>
        <w:t>%</w:t>
      </w:r>
      <w:r w:rsidRPr="00BD4B33">
        <w:t>), resulting in an operational compromise between backup duration and efficiency</w:t>
      </w:r>
      <w:r>
        <w:fldChar w:fldCharType="begin"/>
      </w:r>
      <w:r>
        <w:instrText xml:space="preserve"> ADDIN ZOTERO_ITEM CSL_CITATION {"citationID":"TVLyO4rw","properties":{"unsorted":false,"formattedCitation":"[116]","plainCitation":"[116]","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fldChar w:fldCharType="separate"/>
      </w:r>
      <w:r w:rsidRPr="00584BC7">
        <w:t>[116]</w:t>
      </w:r>
      <w:r>
        <w:fldChar w:fldCharType="end"/>
      </w:r>
      <w:r w:rsidRPr="00BD4B33">
        <w:t xml:space="preserve">. Safety requirements for hydrogen storage, including pressure vessel certification, leak detection, and ventilation systems, increase the complexity and cost of fuel cell installations. The IEA expects the cost of green hydrogen to drop to $2 per kg by 2030 and $1 per kg by 2040 under the best of conditions, putting fuel cells in economic competition with data </w:t>
      </w:r>
      <w:r w:rsidR="00580BAE">
        <w:t>center</w:t>
      </w:r>
      <w:r w:rsidRPr="00BD4B33">
        <w:t xml:space="preserve"> backup by the mid-2030s</w:t>
      </w:r>
      <w:r>
        <w:fldChar w:fldCharType="begin"/>
      </w:r>
      <w:r>
        <w:instrText xml:space="preserve"> ADDIN ZOTERO_ITEM CSL_CITATION {"citationID":"9bTL2YbA","properties":{"unsorted":false,"formattedCitation":"[49]","plainCitation":"[49]","noteIndex":0},"citationItems":[{"id":1987,"uris":["http://zotero.org/users/9870935/items/2TYM8STM"],"itemData":{"id":1987,"type":"article-journal","abstract":"The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fldChar w:fldCharType="separate"/>
      </w:r>
      <w:r w:rsidRPr="00651340">
        <w:t>[49]</w:t>
      </w:r>
      <w:r>
        <w:fldChar w:fldCharType="end"/>
      </w:r>
      <w:r w:rsidRPr="00BD4B33">
        <w:t>.</w:t>
      </w:r>
    </w:p>
    <w:p w14:paraId="1AF22D4C" w14:textId="77777777" w:rsidR="00FE013C" w:rsidRPr="00901B3D" w:rsidRDefault="00FE013C" w:rsidP="004C16FF">
      <w:pPr>
        <w:pStyle w:val="Heading20"/>
        <w:jc w:val="both"/>
        <w:rPr>
          <w:color w:val="auto"/>
        </w:rPr>
      </w:pPr>
      <w:r w:rsidRPr="00901B3D">
        <w:rPr>
          <w:color w:val="auto"/>
        </w:rPr>
        <w:t>9.8 Cooling System Integration</w:t>
      </w:r>
    </w:p>
    <w:p w14:paraId="57C07A33" w14:textId="0410F7BF" w:rsidR="00FE013C" w:rsidRPr="00BD4B33" w:rsidRDefault="00FE013C" w:rsidP="004C16FF">
      <w:pPr>
        <w:spacing w:after="120"/>
        <w:ind w:firstLine="480"/>
      </w:pPr>
      <w:r w:rsidRPr="00BD4B33">
        <w:t xml:space="preserve">The coupling of cooling systems to renewable energy supply demands </w:t>
      </w:r>
      <w:r w:rsidR="00030122" w:rsidRPr="00BD4B33">
        <w:t>synchronized</w:t>
      </w:r>
      <w:r w:rsidRPr="00BD4B33">
        <w:t xml:space="preserve"> handling of thermal and electric energy flows. Thermal energy storage (TES) can help to defer cooling loads into hours when renewable energy is available in abundance or electricity is cheap, such as at night or during the summer. When power generation is not as high as needed, chillers freeze water into ice; when the renewable power output is less than needed, the ice is melted to provide cooling without chiller operation</w:t>
      </w:r>
      <w:r>
        <w:fldChar w:fldCharType="begin"/>
      </w:r>
      <w:r>
        <w:instrText xml:space="preserve"> ADDIN ZOTERO_ITEM CSL_CITATION {"citationID":"9NU2Bjoq","properties":{"unsorted":false,"formattedCitation":"[85]","plainCitation":"[85]","noteIndex":0},"citationItems":[{"id":2046,"uris":["http://zotero.org/users/9870935/items/P4BXZMCV"],"itemData":{"id":2046,"type":"article","abstract":"Data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fldChar w:fldCharType="separate"/>
      </w:r>
      <w:r w:rsidRPr="00584BC7">
        <w:t>[85]</w:t>
      </w:r>
      <w:r>
        <w:fldChar w:fldCharType="end"/>
      </w:r>
      <w:r w:rsidRPr="00BD4B33">
        <w:t xml:space="preserve">. This thermal-electrical coupling provides opportunities for </w:t>
      </w:r>
      <w:r w:rsidR="00030122" w:rsidRPr="00BD4B33">
        <w:t>optimization</w:t>
      </w:r>
      <w:r w:rsidRPr="00BD4B33">
        <w:t xml:space="preserve"> but also introduces complexity into the control system, as it must simultaneously control the electrical dispatch state and the thermal storage state.</w:t>
      </w:r>
    </w:p>
    <w:p w14:paraId="0E1CDC35" w14:textId="1A493D22" w:rsidR="00FE013C" w:rsidRPr="00BD4B33" w:rsidRDefault="00FE013C" w:rsidP="004C16FF">
      <w:pPr>
        <w:spacing w:after="120"/>
        <w:ind w:firstLine="480"/>
      </w:pPr>
      <w:r w:rsidRPr="00BD4B33">
        <w:t xml:space="preserve">Another way to reduce cooling energy usage is when there are </w:t>
      </w:r>
      <w:r w:rsidR="00030122" w:rsidRPr="00BD4B33">
        <w:t>favorable</w:t>
      </w:r>
      <w:r w:rsidRPr="00BD4B33">
        <w:t xml:space="preserve"> conditions in the ambient environment, which is called free cooling. Free cooling can achieve 3,000 to 6,000 hours of cooling per year in temperate and cold climates, resulting in energy savings of 40 to 70 percent for chillers during this time</w:t>
      </w:r>
      <w:r>
        <w:fldChar w:fldCharType="begin"/>
      </w:r>
      <w:r>
        <w:instrText xml:space="preserve"> ADDIN ZOTERO_ITEM CSL_CITATION {"citationID":"H9o0ZQVg","properties":{"unsorted":false,"formattedCitation":"[78]","plainCitation":"[78]","noteIndex":0},"citationItems":[{"id":2036,"uris":["http://zotero.org/users/9870935/items/2KMJ9H69"],"itemData":{"id":2036,"type":"paper-conference","container-title":"2011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fldChar w:fldCharType="separate"/>
      </w:r>
      <w:r w:rsidRPr="00584BC7">
        <w:t>[78]</w:t>
      </w:r>
      <w:r>
        <w:fldChar w:fldCharType="end"/>
      </w:r>
      <w:r w:rsidRPr="00BD4B33">
        <w:t xml:space="preserve">. When renewable energy is limited and cooling demands energy-intensive, a slight increase in data </w:t>
      </w:r>
      <w:r w:rsidR="00580BAE">
        <w:t>center</w:t>
      </w:r>
      <w:r w:rsidRPr="00BD4B33">
        <w:t xml:space="preserve"> inlet temperature from the traditional 20–22 °C to 32-35 degrees Celsius can be used in dynamic setpoint management to save 15% to 25</w:t>
      </w:r>
      <w:r>
        <w:t xml:space="preserve">% </w:t>
      </w:r>
      <w:r w:rsidRPr="00BD4B33">
        <w:t>in cooling energy usage while slightly accelerating component aging</w:t>
      </w:r>
      <w:r w:rsidRPr="003F24D0">
        <w:t xml:space="preserve"> </w:t>
      </w:r>
      <w:r>
        <w:fldChar w:fldCharType="begin"/>
      </w:r>
      <w:r>
        <w:instrText xml:space="preserve"> ADDIN ZOTERO_ITEM CSL_CITATION {"citationID":"CuNn0HfJ","properties":{"unsorted":false,"formattedCitation":"[147]","plainCitation":"[147]","noteIndex":0},"citationItems":[{"id":2126,"uris":["http://zotero.org/users/9870935/items/5SGD5DQK"],"itemData":{"id":2126,"type":"paper-conference","container-title":"ICC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Pr="004864DB">
        <w:t>[147]</w:t>
      </w:r>
      <w:r>
        <w:fldChar w:fldCharType="end"/>
      </w:r>
      <w:r w:rsidRPr="00BD4B33">
        <w:t>.</w:t>
      </w:r>
    </w:p>
    <w:p w14:paraId="0438A364" w14:textId="77777777" w:rsidR="00FE013C" w:rsidRPr="0035074E" w:rsidRDefault="00FE013C" w:rsidP="004C16FF">
      <w:pPr>
        <w:pStyle w:val="Heading20"/>
        <w:jc w:val="both"/>
        <w:rPr>
          <w:color w:val="auto"/>
        </w:rPr>
      </w:pPr>
      <w:r w:rsidRPr="0035074E">
        <w:rPr>
          <w:color w:val="auto"/>
        </w:rPr>
        <w:lastRenderedPageBreak/>
        <w:t>9.9 Cybersecurity and Operational Technology</w:t>
      </w:r>
    </w:p>
    <w:p w14:paraId="0BE0E768" w14:textId="57513004" w:rsidR="00FE013C" w:rsidRPr="00BD4B33" w:rsidRDefault="00FE013C" w:rsidP="004C16FF">
      <w:pPr>
        <w:spacing w:after="120"/>
        <w:ind w:firstLine="480"/>
      </w:pPr>
      <w:r w:rsidRPr="00BD4B33">
        <w:t>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denial-of-service attacks (disrupting communication between components)</w:t>
      </w:r>
      <w:r>
        <w:fldChar w:fldCharType="begin"/>
      </w:r>
      <w:r>
        <w:instrText xml:space="preserve"> ADDIN ZOTERO_ITEM CSL_CITATION {"citationID":"oozQ5wwK","properties":{"unsorted":false,"formattedCitation":"[163]","plainCitation":"[163]","noteIndex":0},"citationItems":[{"id":2151,"uris":["http://zotero.org/users/9870935/items/G8D3K3TM"],"itemData":{"id":2151,"type":"article-journal","abstract":"The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fldChar w:fldCharType="separate"/>
      </w:r>
      <w:r w:rsidRPr="004864DB">
        <w:t>[163]</w:t>
      </w:r>
      <w:r>
        <w:fldChar w:fldCharType="end"/>
      </w:r>
      <w:r w:rsidRPr="00BD4B33">
        <w:t xml:space="preserve">. As the IT and OT networks in modern data </w:t>
      </w:r>
      <w:r w:rsidR="00580BAE">
        <w:t>center</w:t>
      </w:r>
      <w:r w:rsidRPr="00BD4B33">
        <w:t>s converge, there are opportunities for cyber threats to spread from enterprise systems to critical power infrastructure.</w:t>
      </w:r>
    </w:p>
    <w:p w14:paraId="4E1A3D79" w14:textId="51994949" w:rsidR="00FE013C" w:rsidRPr="00BD4B33" w:rsidRDefault="00FE013C" w:rsidP="004C16FF">
      <w:pPr>
        <w:spacing w:after="120"/>
        <w:ind w:firstLine="480"/>
      </w:pPr>
      <w:r w:rsidRPr="00BD4B33">
        <w:t xml:space="preserve">The following principles are followed to support best practices for OT cybersecurity: air-gapping or VPN-protected control networks, multi-factor authentication of all operator access, role-based access control that </w:t>
      </w:r>
      <w:r w:rsidR="00030122" w:rsidRPr="00BD4B33">
        <w:t>minimizes</w:t>
      </w:r>
      <w:r w:rsidRPr="00BD4B33">
        <w:t xml:space="preserve"> the permissions of each user, encrypted communications with TLS 1.3 or its higher versions, and redundant communication paths to ensure control capability for disruptions to the network</w:t>
      </w:r>
      <w:r>
        <w:fldChar w:fldCharType="begin"/>
      </w:r>
      <w:r>
        <w:instrText xml:space="preserve"> ADDIN ZOTERO_ITEM CSL_CITATION {"citationID":"Z3L6Q0Rb","properties":{"unsorted":false,"formattedCitation":"[164]","plainCitation":"[164]","noteIndex":0},"citationItems":[{"id":2153,"uris":["http://zotero.org/users/9870935/items/BM962LGX"],"itemData":{"id":2153,"type":"article-journal","abstract":"Power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fldChar w:fldCharType="separate"/>
      </w:r>
      <w:r w:rsidRPr="004864DB">
        <w:t>[164]</w:t>
      </w:r>
      <w:r>
        <w:fldChar w:fldCharType="end"/>
      </w:r>
      <w:r w:rsidRPr="00BD4B33">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fldChar w:fldCharType="begin"/>
      </w:r>
      <w:r>
        <w:instrText xml:space="preserve"> ADDIN ZOTERO_ITEM CSL_CITATION {"citationID":"WrmxBe2a","properties":{"unsorted":false,"formattedCitation":"[165]","plainCitation":"[165]","noteIndex":0},"citationItems":[{"id":2154,"uris":["http://zotero.org/users/9870935/items/5WIYJKYR"],"itemData":{"id":2154,"type":"article-journal","abstract":"As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fldChar w:fldCharType="separate"/>
      </w:r>
      <w:r w:rsidRPr="004864DB">
        <w:t>[165]</w:t>
      </w:r>
      <w:r>
        <w:fldChar w:fldCharType="end"/>
      </w:r>
      <w:r w:rsidRPr="00BD4B33">
        <w:t>.</w:t>
      </w:r>
    </w:p>
    <w:p w14:paraId="5FB529BD" w14:textId="77777777" w:rsidR="00FE013C" w:rsidRDefault="00FE013C" w:rsidP="004C16FF">
      <w:pPr>
        <w:pStyle w:val="Heading1"/>
        <w:keepNext/>
        <w:jc w:val="both"/>
      </w:pPr>
      <w:bookmarkStart w:id="4" w:name="_Toc100067"/>
      <w:r>
        <w:t>10. Economic Analysis and Financial Viability</w:t>
      </w:r>
      <w:bookmarkEnd w:id="4"/>
    </w:p>
    <w:p w14:paraId="440F2F3F" w14:textId="2DB55133" w:rsidR="00FE013C" w:rsidRDefault="00FE013C" w:rsidP="004C16FF">
      <w:pPr>
        <w:spacing w:after="120"/>
        <w:ind w:firstLine="480"/>
        <w:rPr>
          <w:color w:val="000000" w:themeColor="text1"/>
          <w:szCs w:val="24"/>
          <w:lang w:val="en-CA"/>
        </w:rPr>
      </w:pPr>
      <w:r w:rsidRPr="5A4BC1A1">
        <w:rPr>
          <w:color w:val="000000" w:themeColor="text1"/>
          <w:szCs w:val="24"/>
          <w:lang w:val="en-CA"/>
        </w:rPr>
        <w:t xml:space="preserve">This </w:t>
      </w:r>
      <w:r>
        <w:rPr>
          <w:color w:val="000000" w:themeColor="text1"/>
          <w:szCs w:val="24"/>
          <w:lang w:val="en-CA"/>
        </w:rPr>
        <w:t>section</w:t>
      </w:r>
      <w:r w:rsidRPr="5A4BC1A1">
        <w:rPr>
          <w:color w:val="000000" w:themeColor="text1"/>
          <w:szCs w:val="24"/>
          <w:lang w:val="en-CA"/>
        </w:rPr>
        <w:t xml:space="preserve"> provides a comprehensive economic analysis of renewable-powered AI data </w:t>
      </w:r>
      <w:r w:rsidR="00580BAE">
        <w:rPr>
          <w:color w:val="000000" w:themeColor="text1"/>
          <w:szCs w:val="24"/>
          <w:lang w:val="en-CA"/>
        </w:rPr>
        <w:t>center</w:t>
      </w:r>
      <w:r w:rsidRPr="5A4BC1A1">
        <w:rPr>
          <w:color w:val="000000" w:themeColor="text1"/>
          <w:szCs w:val="24"/>
          <w:lang w:val="en-CA"/>
        </w:rPr>
        <w:t xml:space="preserve">s, examining capital costs, operational expenses, the </w:t>
      </w:r>
      <w:r w:rsidR="00030122" w:rsidRPr="5A4BC1A1">
        <w:rPr>
          <w:color w:val="000000" w:themeColor="text1"/>
          <w:szCs w:val="24"/>
          <w:lang w:val="en-CA"/>
        </w:rPr>
        <w:t>levelized</w:t>
      </w:r>
      <w:r w:rsidRPr="5A4BC1A1">
        <w:rPr>
          <w:color w:val="000000" w:themeColor="text1"/>
          <w:szCs w:val="24"/>
          <w:lang w:val="en-CA"/>
        </w:rPr>
        <w:t xml:space="preserve"> cost of energy, power purchase agreements, tax incentives, and financial modelling approaches. The analysis demonstrates that hybrid renewable systems are approaching or have achieved cost parity with conventional grid-powered operations in several markets.</w:t>
      </w:r>
    </w:p>
    <w:p w14:paraId="159459D5" w14:textId="77777777" w:rsidR="00FE013C" w:rsidRPr="00EB1FF0" w:rsidRDefault="00FE013C" w:rsidP="004C16FF">
      <w:pPr>
        <w:pStyle w:val="Heading20"/>
        <w:jc w:val="both"/>
        <w:rPr>
          <w:color w:val="auto"/>
        </w:rPr>
      </w:pPr>
      <w:bookmarkStart w:id="5" w:name="_Toc100068"/>
      <w:r w:rsidRPr="00EB1FF0">
        <w:rPr>
          <w:color w:val="auto"/>
        </w:rPr>
        <w:t>10.1 Capital</w:t>
      </w:r>
      <w:r>
        <w:rPr>
          <w:color w:val="auto"/>
        </w:rPr>
        <w:t xml:space="preserve"> and Operational</w:t>
      </w:r>
      <w:r w:rsidRPr="00EB1FF0">
        <w:rPr>
          <w:color w:val="auto"/>
        </w:rPr>
        <w:t xml:space="preserve"> Cost Analysis</w:t>
      </w:r>
      <w:bookmarkEnd w:id="5"/>
    </w:p>
    <w:p w14:paraId="774700F7" w14:textId="28EC2F09" w:rsidR="00FE013C" w:rsidRDefault="00FE013C" w:rsidP="004C16FF">
      <w:pPr>
        <w:spacing w:after="120"/>
        <w:ind w:firstLine="480"/>
        <w:rPr>
          <w:szCs w:val="24"/>
        </w:rPr>
      </w:pPr>
      <w:r w:rsidRPr="00C92131">
        <w:rPr>
          <w:szCs w:val="24"/>
        </w:rPr>
        <w:t>The capital costs of solar PV in a utility-scale installation now range between $0.70 and $1.20 per Watt, while rooftop or carport installations are 20–30</w:t>
      </w:r>
      <w:r>
        <w:rPr>
          <w:szCs w:val="24"/>
        </w:rPr>
        <w:t xml:space="preserve">% </w:t>
      </w:r>
      <w:r w:rsidRPr="00C92131">
        <w:rPr>
          <w:szCs w:val="24"/>
        </w:rPr>
        <w:t>more expensive. The installed cost for onshore wind has fallen to approximately $1,150-$1,800 per kW for utility-scale projects. Lithium iron phosphate (LFP) chemistries have taken the lead in the utility-</w:t>
      </w:r>
      <w:proofErr w:type="gramStart"/>
      <w:r w:rsidRPr="00C92131">
        <w:rPr>
          <w:szCs w:val="24"/>
        </w:rPr>
        <w:t>scale battery</w:t>
      </w:r>
      <w:proofErr w:type="gramEnd"/>
      <w:r w:rsidRPr="00C92131">
        <w:rPr>
          <w:szCs w:val="24"/>
        </w:rPr>
        <w:t xml:space="preserve"> energy storage system (BESS) market, resulting in costs as low as $100 to $150/kWh.</w:t>
      </w:r>
      <w:r>
        <w:rPr>
          <w:szCs w:val="24"/>
        </w:rPr>
        <w:t xml:space="preserve"> </w:t>
      </w:r>
      <w:r w:rsidRPr="00C92131">
        <w:rPr>
          <w:szCs w:val="24"/>
        </w:rPr>
        <w:t xml:space="preserve">The total </w:t>
      </w:r>
      <w:r w:rsidR="00030122" w:rsidRPr="00C92131">
        <w:rPr>
          <w:szCs w:val="24"/>
        </w:rPr>
        <w:t>CAPEX system</w:t>
      </w:r>
      <w:r w:rsidRPr="00C92131">
        <w:rPr>
          <w:szCs w:val="24"/>
        </w:rPr>
        <w:t xml:space="preserve"> for a 100% renewable solution with 8 hours of storage is now estimated in the range of 200M$ to 320M$ for a representative 100 MW data </w:t>
      </w:r>
      <w:r w:rsidR="00580BAE">
        <w:rPr>
          <w:szCs w:val="24"/>
        </w:rPr>
        <w:t>center</w:t>
      </w:r>
      <w:r w:rsidRPr="00C92131">
        <w:rPr>
          <w:szCs w:val="24"/>
        </w:rPr>
        <w:t>. The costs increase to $120-$200 million for a 50</w:t>
      </w:r>
      <w:r>
        <w:rPr>
          <w:szCs w:val="24"/>
        </w:rPr>
        <w:t xml:space="preserve">% </w:t>
      </w:r>
      <w:r w:rsidRPr="00C92131">
        <w:rPr>
          <w:szCs w:val="24"/>
        </w:rPr>
        <w:t xml:space="preserve">renewable, 4-hour storage system. </w:t>
      </w:r>
      <w:r>
        <w:rPr>
          <w:szCs w:val="24"/>
        </w:rPr>
        <w:t xml:space="preserve">OPEX </w:t>
      </w:r>
      <w:r w:rsidRPr="00C92131">
        <w:rPr>
          <w:szCs w:val="24"/>
        </w:rPr>
        <w:t>remains between previous estimates with an operational cost of between 0.5 to 3.5</w:t>
      </w:r>
      <w:r>
        <w:rPr>
          <w:szCs w:val="24"/>
        </w:rPr>
        <w:t>%</w:t>
      </w:r>
      <w:r w:rsidRPr="00C92131">
        <w:rPr>
          <w:szCs w:val="24"/>
        </w:rPr>
        <w:t xml:space="preserve"> of CAPEX – with some benefits depending on areas within the U.S. where the infrastructure investment requirement and resulting capacity price increase owing to demand is increasing</w:t>
      </w:r>
      <w:r>
        <w:rPr>
          <w:szCs w:val="24"/>
        </w:rPr>
        <w:fldChar w:fldCharType="begin"/>
      </w:r>
      <w:r>
        <w:rPr>
          <w:szCs w:val="24"/>
        </w:rPr>
        <w:instrText xml:space="preserve"> ADDIN ZOTERO_ITEM CSL_CITATION {"citationID":"2bC7HEL3","properties":{"unsorted":false,"formattedCitation":"[86], [96], [150]","plainCitation":"[86], [96], [150]","dontUpdate":true,"noteIndex":0},"citationItems":[{"id":2048,"uris":["http://zotero.org/users/9870935/items/2IV8CPDJ"],"itemData":{"id":2048,"type":"post-weblog","title":"National Renewable Energy Laboratory (NREL). (2026)","URL":"https://atb.nrel.gov/","author":[{"family":"NREL","given":""}]}},{"id":2049,"uris":["http://zotero.org/users/9870935/items/HTQQE34D"],"itemData":{"id":2049,"type":"post-weblog","title":"National Renewable Energy Laboratory (NREL)","URL":"https://atb.nrel.gov/","author":[{"family":"NREL","given":""}]}},{"id":2132,"uris":["http://zotero.org/users/9870935/items/786EAJKN"],"itemData":{"id":2132,"type":"document","title":"Levelized Cost of Energy","URL":"https://www.lazard.com/media/eijnqja3/lazards-lcoeplus-june-2025.pdf","author":[{"family":"Lazard","given":""}]}}],"schema":"https://github.com/citation-style-language/schema/raw/master/csl-citation.json"} </w:instrText>
      </w:r>
      <w:r>
        <w:rPr>
          <w:szCs w:val="24"/>
        </w:rPr>
        <w:fldChar w:fldCharType="separate"/>
      </w:r>
      <w:r w:rsidRPr="004864DB">
        <w:t>[86]</w:t>
      </w:r>
      <w:r>
        <w:t>,</w:t>
      </w:r>
      <w:r w:rsidRPr="004864DB">
        <w:t xml:space="preserve"> [150]</w:t>
      </w:r>
      <w:r>
        <w:rPr>
          <w:szCs w:val="24"/>
        </w:rPr>
        <w:fldChar w:fldCharType="end"/>
      </w:r>
      <w:r w:rsidRPr="00C92131">
        <w:rPr>
          <w:szCs w:val="24"/>
        </w:rPr>
        <w:t xml:space="preserve">. </w:t>
      </w:r>
    </w:p>
    <w:p w14:paraId="79FCF398" w14:textId="77777777" w:rsidR="00FE013C" w:rsidRPr="002E0101" w:rsidRDefault="00FE013C" w:rsidP="004C16FF">
      <w:pPr>
        <w:numPr>
          <w:ilvl w:val="0"/>
          <w:numId w:val="4"/>
        </w:numPr>
        <w:spacing w:after="120"/>
        <w:rPr>
          <w:szCs w:val="24"/>
          <w:lang w:val="en-CA"/>
        </w:rPr>
      </w:pPr>
      <w:r w:rsidRPr="002E0101">
        <w:rPr>
          <w:b/>
          <w:bCs/>
          <w:szCs w:val="24"/>
          <w:lang w:val="en-CA"/>
        </w:rPr>
        <w:t>Solar PV:</w:t>
      </w:r>
      <w:r w:rsidRPr="002E0101">
        <w:rPr>
          <w:szCs w:val="24"/>
          <w:lang w:val="en-CA"/>
        </w:rPr>
        <w:t xml:space="preserve"> 0.5–1.0% annually.</w:t>
      </w:r>
    </w:p>
    <w:p w14:paraId="781A15C3" w14:textId="77777777" w:rsidR="00FE013C" w:rsidRPr="002E0101" w:rsidRDefault="00FE013C" w:rsidP="004C16FF">
      <w:pPr>
        <w:numPr>
          <w:ilvl w:val="0"/>
          <w:numId w:val="4"/>
        </w:numPr>
        <w:spacing w:after="120"/>
        <w:rPr>
          <w:szCs w:val="24"/>
          <w:lang w:val="en-CA"/>
        </w:rPr>
      </w:pPr>
      <w:r w:rsidRPr="002E0101">
        <w:rPr>
          <w:b/>
          <w:bCs/>
          <w:szCs w:val="24"/>
          <w:lang w:val="en-CA"/>
        </w:rPr>
        <w:t>Wind Turbines:</w:t>
      </w:r>
      <w:r w:rsidRPr="002E0101">
        <w:rPr>
          <w:szCs w:val="24"/>
          <w:lang w:val="en-CA"/>
        </w:rPr>
        <w:t xml:space="preserve"> 2.5–3.5% annually</w:t>
      </w:r>
    </w:p>
    <w:p w14:paraId="1BC1CA4F" w14:textId="77777777" w:rsidR="00FE013C" w:rsidRPr="002E0101" w:rsidRDefault="00FE013C" w:rsidP="004C16FF">
      <w:pPr>
        <w:numPr>
          <w:ilvl w:val="0"/>
          <w:numId w:val="4"/>
        </w:numPr>
        <w:spacing w:after="120"/>
        <w:rPr>
          <w:szCs w:val="24"/>
          <w:lang w:val="en-CA"/>
        </w:rPr>
      </w:pPr>
      <w:r w:rsidRPr="002E0101">
        <w:rPr>
          <w:b/>
          <w:bCs/>
          <w:szCs w:val="24"/>
          <w:lang w:val="en-CA"/>
        </w:rPr>
        <w:t>Battery Systems:</w:t>
      </w:r>
      <w:r w:rsidRPr="002E0101">
        <w:rPr>
          <w:szCs w:val="24"/>
          <w:lang w:val="en-CA"/>
        </w:rPr>
        <w:t xml:space="preserve"> 1.0–2.0% per year.</w:t>
      </w:r>
    </w:p>
    <w:p w14:paraId="747B04E6" w14:textId="77777777" w:rsidR="00FE013C" w:rsidRPr="002E0101" w:rsidRDefault="00FE013C" w:rsidP="004C16FF">
      <w:pPr>
        <w:numPr>
          <w:ilvl w:val="0"/>
          <w:numId w:val="4"/>
        </w:numPr>
        <w:spacing w:after="120"/>
        <w:rPr>
          <w:szCs w:val="24"/>
          <w:lang w:val="en-CA"/>
        </w:rPr>
      </w:pPr>
      <w:r w:rsidRPr="002E0101">
        <w:rPr>
          <w:b/>
          <w:bCs/>
          <w:szCs w:val="24"/>
          <w:lang w:val="en-CA"/>
        </w:rPr>
        <w:lastRenderedPageBreak/>
        <w:t>Contingency:</w:t>
      </w:r>
      <w:r w:rsidRPr="002E0101">
        <w:rPr>
          <w:szCs w:val="24"/>
          <w:lang w:val="en-CA"/>
        </w:rPr>
        <w:t xml:space="preserve"> A budget of 5% to 10% of annual CAPEX is still recommended for unexpected repairs.</w:t>
      </w:r>
    </w:p>
    <w:p w14:paraId="2E77E158" w14:textId="77777777" w:rsidR="00FE013C" w:rsidRDefault="00FE013C" w:rsidP="004C16FF">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480CB520" w14:textId="77777777" w:rsidR="00FE013C" w:rsidRPr="006843AB" w:rsidRDefault="00FE013C" w:rsidP="004C16FF">
      <w:pPr>
        <w:spacing w:after="120"/>
        <w:ind w:firstLine="480"/>
        <w:rPr>
          <w:szCs w:val="24"/>
        </w:rPr>
      </w:pPr>
      <w:r w:rsidRPr="001F4430">
        <w:rPr>
          <w:szCs w:val="24"/>
        </w:rPr>
        <w:t xml:space="preserve">Table 7 presents LCOE ranges across six representative scenarios — from single-technology solar and wind to hybrid renewable plus grid configurations — reflecting 2026 market conditions and validated against NREL, </w:t>
      </w:r>
      <w:proofErr w:type="spellStart"/>
      <w:r w:rsidRPr="001F4430">
        <w:rPr>
          <w:szCs w:val="24"/>
        </w:rPr>
        <w:t>BloombergNEF</w:t>
      </w:r>
      <w:proofErr w:type="spellEnd"/>
      <w:r w:rsidRPr="001F4430">
        <w:rPr>
          <w:szCs w:val="24"/>
        </w:rPr>
        <w:t>, and IRENA benchmarks</w:t>
      </w:r>
      <w:r>
        <w:rPr>
          <w:szCs w:val="24"/>
        </w:rPr>
        <w:fldChar w:fldCharType="begin"/>
      </w:r>
      <w:r>
        <w:rPr>
          <w:szCs w:val="24"/>
        </w:rPr>
        <w:instrText xml:space="preserve"> ADDIN ZOTERO_ITEM CSL_CITATION {"citationID":"i6bwbgna","properties":{"unsorted":false,"formattedCitation":"[150]","plainCitation":"[150]","noteIndex":0},"citationItems":[{"id":2132,"uris":["http://zotero.org/users/9870935/items/786EAJKN"],"itemData":{"id":2132,"type":"document","title":"Levelized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Pr>
          <w:szCs w:val="24"/>
        </w:rPr>
        <w:fldChar w:fldCharType="separate"/>
      </w:r>
      <w:r w:rsidRPr="004864DB">
        <w:t>[150]</w:t>
      </w:r>
      <w:r>
        <w:rPr>
          <w:szCs w:val="24"/>
        </w:rPr>
        <w:fldChar w:fldCharType="end"/>
      </w:r>
      <w:r>
        <w:rPr>
          <w:szCs w:val="24"/>
        </w:rPr>
        <w:t>.</w:t>
      </w:r>
    </w:p>
    <w:p w14:paraId="2A8D6365" w14:textId="77777777" w:rsidR="00FE013C" w:rsidRDefault="00FE013C" w:rsidP="004C16FF">
      <w:pPr>
        <w:pStyle w:val="Caption"/>
        <w:keepNext/>
      </w:pPr>
      <w:r>
        <w:t xml:space="preserve">Table </w:t>
      </w:r>
      <w:fldSimple w:instr=" SEQ Table \* ARABIC ">
        <w:r>
          <w:rPr>
            <w:noProof/>
          </w:rPr>
          <w:t>7</w:t>
        </w:r>
      </w:fldSimple>
      <w:r>
        <w:t xml:space="preserve"> </w:t>
      </w:r>
      <w:r w:rsidRPr="003A74F0">
        <w:t>Levelized Cost of Energy (LCOE) Comparison</w:t>
      </w:r>
    </w:p>
    <w:tbl>
      <w:tblPr>
        <w:tblStyle w:val="MDPI41threelinetable"/>
        <w:tblW w:w="0" w:type="auto"/>
        <w:tblLook w:val="04A0" w:firstRow="1" w:lastRow="0" w:firstColumn="1" w:lastColumn="0" w:noHBand="0" w:noVBand="1"/>
      </w:tblPr>
      <w:tblGrid>
        <w:gridCol w:w="2594"/>
        <w:gridCol w:w="1311"/>
        <w:gridCol w:w="1616"/>
        <w:gridCol w:w="1360"/>
        <w:gridCol w:w="2379"/>
      </w:tblGrid>
      <w:tr w:rsidR="00FE013C" w:rsidRPr="00F93C13" w14:paraId="1062F38A" w14:textId="77777777" w:rsidTr="00F93C13">
        <w:trPr>
          <w:cnfStyle w:val="100000000000" w:firstRow="1" w:lastRow="0" w:firstColumn="0" w:lastColumn="0" w:oddVBand="0" w:evenVBand="0" w:oddHBand="0" w:evenHBand="0" w:firstRowFirstColumn="0" w:firstRowLastColumn="0" w:lastRowFirstColumn="0" w:lastRowLastColumn="0"/>
        </w:trPr>
        <w:tc>
          <w:tcPr>
            <w:tcW w:w="0" w:type="auto"/>
            <w:hideMark/>
          </w:tcPr>
          <w:p w14:paraId="0D2ADA35" w14:textId="77777777" w:rsidR="00FE013C" w:rsidRPr="00F93C13" w:rsidRDefault="00FE013C" w:rsidP="004C16FF">
            <w:pPr>
              <w:pStyle w:val="TableBody"/>
              <w:jc w:val="both"/>
              <w:rPr>
                <w:bCs/>
                <w:color w:val="auto"/>
              </w:rPr>
            </w:pPr>
            <w:r w:rsidRPr="00F93C13">
              <w:rPr>
                <w:bCs/>
                <w:color w:val="auto"/>
              </w:rPr>
              <w:t>Scenario</w:t>
            </w:r>
          </w:p>
        </w:tc>
        <w:tc>
          <w:tcPr>
            <w:tcW w:w="0" w:type="auto"/>
            <w:hideMark/>
          </w:tcPr>
          <w:p w14:paraId="4001E5CA" w14:textId="77777777" w:rsidR="00FE013C" w:rsidRPr="00F93C13" w:rsidRDefault="00FE013C" w:rsidP="004C16FF">
            <w:pPr>
              <w:pStyle w:val="TableBody"/>
              <w:jc w:val="both"/>
              <w:rPr>
                <w:bCs/>
                <w:color w:val="auto"/>
              </w:rPr>
            </w:pPr>
            <w:r w:rsidRPr="00F93C13">
              <w:rPr>
                <w:bCs/>
                <w:color w:val="auto"/>
              </w:rPr>
              <w:t>LCOE Low</w:t>
            </w:r>
          </w:p>
        </w:tc>
        <w:tc>
          <w:tcPr>
            <w:tcW w:w="0" w:type="auto"/>
            <w:hideMark/>
          </w:tcPr>
          <w:p w14:paraId="23D95B9D" w14:textId="77777777" w:rsidR="00FE013C" w:rsidRPr="00F93C13" w:rsidRDefault="00FE013C" w:rsidP="004C16FF">
            <w:pPr>
              <w:pStyle w:val="TableBody"/>
              <w:jc w:val="both"/>
              <w:rPr>
                <w:bCs/>
                <w:color w:val="auto"/>
              </w:rPr>
            </w:pPr>
            <w:r w:rsidRPr="00F93C13">
              <w:rPr>
                <w:bCs/>
                <w:color w:val="auto"/>
              </w:rPr>
              <w:t>LCOE Central</w:t>
            </w:r>
          </w:p>
        </w:tc>
        <w:tc>
          <w:tcPr>
            <w:tcW w:w="0" w:type="auto"/>
            <w:hideMark/>
          </w:tcPr>
          <w:p w14:paraId="649C58B8" w14:textId="77777777" w:rsidR="00FE013C" w:rsidRPr="00F93C13" w:rsidRDefault="00FE013C" w:rsidP="004C16FF">
            <w:pPr>
              <w:pStyle w:val="TableBody"/>
              <w:jc w:val="both"/>
              <w:rPr>
                <w:bCs/>
                <w:color w:val="auto"/>
              </w:rPr>
            </w:pPr>
            <w:r w:rsidRPr="00F93C13">
              <w:rPr>
                <w:bCs/>
                <w:color w:val="auto"/>
              </w:rPr>
              <w:t>LCOE High</w:t>
            </w:r>
          </w:p>
        </w:tc>
        <w:tc>
          <w:tcPr>
            <w:tcW w:w="0" w:type="auto"/>
            <w:hideMark/>
          </w:tcPr>
          <w:p w14:paraId="5D047E02" w14:textId="77777777" w:rsidR="00FE013C" w:rsidRPr="00F93C13" w:rsidRDefault="00FE013C" w:rsidP="004C16FF">
            <w:pPr>
              <w:pStyle w:val="TableBody"/>
              <w:jc w:val="both"/>
              <w:rPr>
                <w:bCs/>
                <w:color w:val="auto"/>
              </w:rPr>
            </w:pPr>
            <w:r w:rsidRPr="00F93C13">
              <w:rPr>
                <w:bCs/>
                <w:color w:val="auto"/>
              </w:rPr>
              <w:t>Key Sensitivity</w:t>
            </w:r>
          </w:p>
        </w:tc>
      </w:tr>
      <w:tr w:rsidR="00FE013C" w:rsidRPr="00F93C13" w14:paraId="4F90C0C5" w14:textId="77777777" w:rsidTr="00F93C13">
        <w:tc>
          <w:tcPr>
            <w:tcW w:w="0" w:type="auto"/>
            <w:hideMark/>
          </w:tcPr>
          <w:p w14:paraId="3F259C52" w14:textId="77777777" w:rsidR="00FE013C" w:rsidRPr="005B1FF5" w:rsidRDefault="00FE013C" w:rsidP="004C16FF">
            <w:pPr>
              <w:pStyle w:val="TableBody"/>
              <w:jc w:val="both"/>
              <w:rPr>
                <w:b/>
                <w:bCs/>
                <w:color w:val="auto"/>
              </w:rPr>
            </w:pPr>
            <w:r w:rsidRPr="005B1FF5">
              <w:rPr>
                <w:b/>
                <w:bCs/>
                <w:color w:val="auto"/>
              </w:rPr>
              <w:t>Solar PV (20% CF)</w:t>
            </w:r>
          </w:p>
        </w:tc>
        <w:tc>
          <w:tcPr>
            <w:tcW w:w="0" w:type="auto"/>
            <w:hideMark/>
          </w:tcPr>
          <w:p w14:paraId="20EACF8E" w14:textId="77777777" w:rsidR="00FE013C" w:rsidRPr="00F93C13" w:rsidRDefault="00FE013C" w:rsidP="004C16FF">
            <w:pPr>
              <w:pStyle w:val="TableBody"/>
              <w:jc w:val="both"/>
              <w:rPr>
                <w:color w:val="auto"/>
              </w:rPr>
            </w:pPr>
            <w:r w:rsidRPr="00F93C13">
              <w:rPr>
                <w:color w:val="auto"/>
              </w:rPr>
              <w:t>$25/MWh</w:t>
            </w:r>
          </w:p>
        </w:tc>
        <w:tc>
          <w:tcPr>
            <w:tcW w:w="0" w:type="auto"/>
            <w:hideMark/>
          </w:tcPr>
          <w:p w14:paraId="6B29454A" w14:textId="77777777" w:rsidR="00FE013C" w:rsidRPr="00F93C13" w:rsidRDefault="00FE013C" w:rsidP="004C16FF">
            <w:pPr>
              <w:pStyle w:val="TableBody"/>
              <w:jc w:val="both"/>
              <w:rPr>
                <w:color w:val="auto"/>
              </w:rPr>
            </w:pPr>
            <w:r w:rsidRPr="00F93C13">
              <w:rPr>
                <w:color w:val="auto"/>
              </w:rPr>
              <w:t>$35/MWh</w:t>
            </w:r>
          </w:p>
        </w:tc>
        <w:tc>
          <w:tcPr>
            <w:tcW w:w="0" w:type="auto"/>
            <w:hideMark/>
          </w:tcPr>
          <w:p w14:paraId="29540565" w14:textId="77777777" w:rsidR="00FE013C" w:rsidRPr="00F93C13" w:rsidRDefault="00FE013C" w:rsidP="004C16FF">
            <w:pPr>
              <w:pStyle w:val="TableBody"/>
              <w:jc w:val="both"/>
              <w:rPr>
                <w:color w:val="auto"/>
              </w:rPr>
            </w:pPr>
            <w:r w:rsidRPr="00F93C13">
              <w:rPr>
                <w:color w:val="auto"/>
              </w:rPr>
              <w:t>$45/MWh</w:t>
            </w:r>
          </w:p>
        </w:tc>
        <w:tc>
          <w:tcPr>
            <w:tcW w:w="0" w:type="auto"/>
            <w:hideMark/>
          </w:tcPr>
          <w:p w14:paraId="175FC18B" w14:textId="77777777" w:rsidR="00FE013C" w:rsidRPr="00F93C13" w:rsidRDefault="00FE013C" w:rsidP="004C16FF">
            <w:pPr>
              <w:pStyle w:val="TableBody"/>
              <w:jc w:val="both"/>
              <w:rPr>
                <w:color w:val="auto"/>
              </w:rPr>
            </w:pPr>
            <w:r w:rsidRPr="00F93C13">
              <w:rPr>
                <w:color w:val="auto"/>
              </w:rPr>
              <w:t>Capacity factor</w:t>
            </w:r>
          </w:p>
        </w:tc>
      </w:tr>
      <w:tr w:rsidR="00FE013C" w:rsidRPr="00F93C13" w14:paraId="776CEDDD" w14:textId="77777777" w:rsidTr="00F93C13">
        <w:tc>
          <w:tcPr>
            <w:tcW w:w="0" w:type="auto"/>
            <w:hideMark/>
          </w:tcPr>
          <w:p w14:paraId="7F402625" w14:textId="77777777" w:rsidR="00FE013C" w:rsidRPr="005B1FF5" w:rsidRDefault="00FE013C" w:rsidP="004C16FF">
            <w:pPr>
              <w:pStyle w:val="TableBody"/>
              <w:jc w:val="both"/>
              <w:rPr>
                <w:b/>
                <w:bCs/>
                <w:color w:val="auto"/>
              </w:rPr>
            </w:pPr>
            <w:r w:rsidRPr="005B1FF5">
              <w:rPr>
                <w:b/>
                <w:bCs/>
                <w:color w:val="auto"/>
              </w:rPr>
              <w:t>Wind Onshore (35% CF)</w:t>
            </w:r>
          </w:p>
        </w:tc>
        <w:tc>
          <w:tcPr>
            <w:tcW w:w="0" w:type="auto"/>
            <w:hideMark/>
          </w:tcPr>
          <w:p w14:paraId="5B045ED0" w14:textId="77777777" w:rsidR="00FE013C" w:rsidRPr="00F93C13" w:rsidRDefault="00FE013C" w:rsidP="004C16FF">
            <w:pPr>
              <w:pStyle w:val="TableBody"/>
              <w:jc w:val="both"/>
              <w:rPr>
                <w:color w:val="auto"/>
              </w:rPr>
            </w:pPr>
            <w:r w:rsidRPr="00F93C13">
              <w:rPr>
                <w:color w:val="auto"/>
              </w:rPr>
              <w:t>$20/MWh</w:t>
            </w:r>
          </w:p>
        </w:tc>
        <w:tc>
          <w:tcPr>
            <w:tcW w:w="0" w:type="auto"/>
            <w:hideMark/>
          </w:tcPr>
          <w:p w14:paraId="51B637B0" w14:textId="77777777" w:rsidR="00FE013C" w:rsidRPr="00F93C13" w:rsidRDefault="00FE013C" w:rsidP="004C16FF">
            <w:pPr>
              <w:pStyle w:val="TableBody"/>
              <w:jc w:val="both"/>
              <w:rPr>
                <w:color w:val="auto"/>
              </w:rPr>
            </w:pPr>
            <w:r w:rsidRPr="00F93C13">
              <w:rPr>
                <w:color w:val="auto"/>
              </w:rPr>
              <w:t>$30/MWh</w:t>
            </w:r>
          </w:p>
        </w:tc>
        <w:tc>
          <w:tcPr>
            <w:tcW w:w="0" w:type="auto"/>
            <w:hideMark/>
          </w:tcPr>
          <w:p w14:paraId="56834AE1" w14:textId="77777777" w:rsidR="00FE013C" w:rsidRPr="00F93C13" w:rsidRDefault="00FE013C" w:rsidP="004C16FF">
            <w:pPr>
              <w:pStyle w:val="TableBody"/>
              <w:jc w:val="both"/>
              <w:rPr>
                <w:color w:val="auto"/>
              </w:rPr>
            </w:pPr>
            <w:r w:rsidRPr="00F93C13">
              <w:rPr>
                <w:color w:val="auto"/>
              </w:rPr>
              <w:t>$40/MWh</w:t>
            </w:r>
          </w:p>
        </w:tc>
        <w:tc>
          <w:tcPr>
            <w:tcW w:w="0" w:type="auto"/>
            <w:hideMark/>
          </w:tcPr>
          <w:p w14:paraId="05DC81D1" w14:textId="77777777" w:rsidR="00FE013C" w:rsidRPr="00F93C13" w:rsidRDefault="00FE013C" w:rsidP="004C16FF">
            <w:pPr>
              <w:pStyle w:val="TableBody"/>
              <w:jc w:val="both"/>
              <w:rPr>
                <w:color w:val="auto"/>
              </w:rPr>
            </w:pPr>
            <w:r w:rsidRPr="00F93C13">
              <w:rPr>
                <w:color w:val="auto"/>
              </w:rPr>
              <w:t>Wind resource</w:t>
            </w:r>
          </w:p>
        </w:tc>
      </w:tr>
      <w:tr w:rsidR="00FE013C" w:rsidRPr="00F93C13" w14:paraId="16F3834F" w14:textId="77777777" w:rsidTr="00F93C13">
        <w:tc>
          <w:tcPr>
            <w:tcW w:w="0" w:type="auto"/>
            <w:hideMark/>
          </w:tcPr>
          <w:p w14:paraId="28EE274E" w14:textId="77777777" w:rsidR="00FE013C" w:rsidRPr="005B1FF5" w:rsidRDefault="00FE013C" w:rsidP="004C16FF">
            <w:pPr>
              <w:pStyle w:val="TableBody"/>
              <w:jc w:val="both"/>
              <w:rPr>
                <w:b/>
                <w:bCs/>
                <w:color w:val="auto"/>
              </w:rPr>
            </w:pPr>
            <w:r w:rsidRPr="005B1FF5">
              <w:rPr>
                <w:b/>
                <w:bCs/>
                <w:color w:val="auto"/>
              </w:rPr>
              <w:t>Solar + 4h Battery</w:t>
            </w:r>
          </w:p>
        </w:tc>
        <w:tc>
          <w:tcPr>
            <w:tcW w:w="0" w:type="auto"/>
            <w:hideMark/>
          </w:tcPr>
          <w:p w14:paraId="5366A417" w14:textId="77777777" w:rsidR="00FE013C" w:rsidRPr="00F93C13" w:rsidRDefault="00FE013C" w:rsidP="004C16FF">
            <w:pPr>
              <w:pStyle w:val="TableBody"/>
              <w:jc w:val="both"/>
              <w:rPr>
                <w:color w:val="auto"/>
              </w:rPr>
            </w:pPr>
            <w:r w:rsidRPr="00F93C13">
              <w:rPr>
                <w:color w:val="auto"/>
              </w:rPr>
              <w:t>$45/MWh</w:t>
            </w:r>
          </w:p>
        </w:tc>
        <w:tc>
          <w:tcPr>
            <w:tcW w:w="0" w:type="auto"/>
            <w:hideMark/>
          </w:tcPr>
          <w:p w14:paraId="23B1EE82" w14:textId="77777777" w:rsidR="00FE013C" w:rsidRPr="00F93C13" w:rsidRDefault="00FE013C" w:rsidP="004C16FF">
            <w:pPr>
              <w:pStyle w:val="TableBody"/>
              <w:jc w:val="both"/>
              <w:rPr>
                <w:color w:val="auto"/>
              </w:rPr>
            </w:pPr>
            <w:r w:rsidRPr="00F93C13">
              <w:rPr>
                <w:color w:val="auto"/>
              </w:rPr>
              <w:t>$65/MWh</w:t>
            </w:r>
          </w:p>
        </w:tc>
        <w:tc>
          <w:tcPr>
            <w:tcW w:w="0" w:type="auto"/>
            <w:hideMark/>
          </w:tcPr>
          <w:p w14:paraId="7C17B722" w14:textId="77777777" w:rsidR="00FE013C" w:rsidRPr="00F93C13" w:rsidRDefault="00FE013C" w:rsidP="004C16FF">
            <w:pPr>
              <w:pStyle w:val="TableBody"/>
              <w:jc w:val="both"/>
              <w:rPr>
                <w:color w:val="auto"/>
              </w:rPr>
            </w:pPr>
            <w:r w:rsidRPr="00F93C13">
              <w:rPr>
                <w:color w:val="auto"/>
              </w:rPr>
              <w:t>$90/MWh</w:t>
            </w:r>
          </w:p>
        </w:tc>
        <w:tc>
          <w:tcPr>
            <w:tcW w:w="0" w:type="auto"/>
            <w:hideMark/>
          </w:tcPr>
          <w:p w14:paraId="34D97F40" w14:textId="77777777" w:rsidR="00FE013C" w:rsidRPr="00F93C13" w:rsidRDefault="00FE013C" w:rsidP="004C16FF">
            <w:pPr>
              <w:pStyle w:val="TableBody"/>
              <w:jc w:val="both"/>
              <w:rPr>
                <w:color w:val="auto"/>
              </w:rPr>
            </w:pPr>
            <w:r w:rsidRPr="00F93C13">
              <w:rPr>
                <w:color w:val="auto"/>
              </w:rPr>
              <w:t>BESS capital cost</w:t>
            </w:r>
          </w:p>
        </w:tc>
      </w:tr>
      <w:tr w:rsidR="00FE013C" w:rsidRPr="00F93C13" w14:paraId="63BA0BE4" w14:textId="77777777" w:rsidTr="00F93C13">
        <w:tc>
          <w:tcPr>
            <w:tcW w:w="0" w:type="auto"/>
            <w:hideMark/>
          </w:tcPr>
          <w:p w14:paraId="17012500" w14:textId="77777777" w:rsidR="00FE013C" w:rsidRPr="005B1FF5" w:rsidRDefault="00FE013C" w:rsidP="004C16FF">
            <w:pPr>
              <w:pStyle w:val="TableBody"/>
              <w:jc w:val="both"/>
              <w:rPr>
                <w:b/>
                <w:bCs/>
                <w:color w:val="auto"/>
              </w:rPr>
            </w:pPr>
            <w:r w:rsidRPr="005B1FF5">
              <w:rPr>
                <w:b/>
                <w:bCs/>
                <w:color w:val="auto"/>
              </w:rPr>
              <w:t>Wind + 4h Battery</w:t>
            </w:r>
          </w:p>
        </w:tc>
        <w:tc>
          <w:tcPr>
            <w:tcW w:w="0" w:type="auto"/>
            <w:hideMark/>
          </w:tcPr>
          <w:p w14:paraId="21F5266D" w14:textId="77777777" w:rsidR="00FE013C" w:rsidRPr="00F93C13" w:rsidRDefault="00FE013C" w:rsidP="004C16FF">
            <w:pPr>
              <w:pStyle w:val="TableBody"/>
              <w:jc w:val="both"/>
              <w:rPr>
                <w:color w:val="auto"/>
              </w:rPr>
            </w:pPr>
            <w:r w:rsidRPr="00F93C13">
              <w:rPr>
                <w:color w:val="auto"/>
              </w:rPr>
              <w:t>$40/MWh</w:t>
            </w:r>
          </w:p>
        </w:tc>
        <w:tc>
          <w:tcPr>
            <w:tcW w:w="0" w:type="auto"/>
            <w:hideMark/>
          </w:tcPr>
          <w:p w14:paraId="54CFEAA1" w14:textId="77777777" w:rsidR="00FE013C" w:rsidRPr="00F93C13" w:rsidRDefault="00FE013C" w:rsidP="004C16FF">
            <w:pPr>
              <w:pStyle w:val="TableBody"/>
              <w:jc w:val="both"/>
              <w:rPr>
                <w:color w:val="auto"/>
              </w:rPr>
            </w:pPr>
            <w:r w:rsidRPr="00F93C13">
              <w:rPr>
                <w:color w:val="auto"/>
              </w:rPr>
              <w:t>$60/MWh</w:t>
            </w:r>
          </w:p>
        </w:tc>
        <w:tc>
          <w:tcPr>
            <w:tcW w:w="0" w:type="auto"/>
            <w:hideMark/>
          </w:tcPr>
          <w:p w14:paraId="476903D2" w14:textId="77777777" w:rsidR="00FE013C" w:rsidRPr="00F93C13" w:rsidRDefault="00FE013C" w:rsidP="004C16FF">
            <w:pPr>
              <w:pStyle w:val="TableBody"/>
              <w:jc w:val="both"/>
              <w:rPr>
                <w:color w:val="auto"/>
              </w:rPr>
            </w:pPr>
            <w:r w:rsidRPr="00F93C13">
              <w:rPr>
                <w:color w:val="auto"/>
              </w:rPr>
              <w:t>$85/MWh</w:t>
            </w:r>
          </w:p>
        </w:tc>
        <w:tc>
          <w:tcPr>
            <w:tcW w:w="0" w:type="auto"/>
            <w:hideMark/>
          </w:tcPr>
          <w:p w14:paraId="22C46742" w14:textId="77777777" w:rsidR="00FE013C" w:rsidRPr="00F93C13" w:rsidRDefault="00FE013C" w:rsidP="004C16FF">
            <w:pPr>
              <w:pStyle w:val="TableBody"/>
              <w:jc w:val="both"/>
              <w:rPr>
                <w:color w:val="auto"/>
              </w:rPr>
            </w:pPr>
            <w:r w:rsidRPr="00F93C13">
              <w:rPr>
                <w:color w:val="auto"/>
              </w:rPr>
              <w:t>BESS capital cost</w:t>
            </w:r>
          </w:p>
        </w:tc>
      </w:tr>
      <w:tr w:rsidR="00FE013C" w:rsidRPr="00F93C13" w14:paraId="58C2693D" w14:textId="77777777" w:rsidTr="00F93C13">
        <w:tc>
          <w:tcPr>
            <w:tcW w:w="0" w:type="auto"/>
            <w:hideMark/>
          </w:tcPr>
          <w:p w14:paraId="73671D84" w14:textId="77777777" w:rsidR="00FE013C" w:rsidRPr="005B1FF5" w:rsidRDefault="00FE013C" w:rsidP="004C16FF">
            <w:pPr>
              <w:pStyle w:val="TableBody"/>
              <w:jc w:val="both"/>
              <w:rPr>
                <w:b/>
                <w:bCs/>
                <w:color w:val="auto"/>
              </w:rPr>
            </w:pPr>
            <w:r w:rsidRPr="005B1FF5">
              <w:rPr>
                <w:b/>
                <w:bCs/>
                <w:color w:val="auto"/>
              </w:rPr>
              <w:t>Hybrid RE + Grid</w:t>
            </w:r>
          </w:p>
        </w:tc>
        <w:tc>
          <w:tcPr>
            <w:tcW w:w="0" w:type="auto"/>
            <w:hideMark/>
          </w:tcPr>
          <w:p w14:paraId="55E43C2D" w14:textId="77777777" w:rsidR="00FE013C" w:rsidRPr="00F93C13" w:rsidRDefault="00FE013C" w:rsidP="004C16FF">
            <w:pPr>
              <w:pStyle w:val="TableBody"/>
              <w:jc w:val="both"/>
              <w:rPr>
                <w:color w:val="auto"/>
              </w:rPr>
            </w:pPr>
            <w:r w:rsidRPr="00F93C13">
              <w:rPr>
                <w:color w:val="auto"/>
              </w:rPr>
              <w:t>$35/MWh</w:t>
            </w:r>
          </w:p>
        </w:tc>
        <w:tc>
          <w:tcPr>
            <w:tcW w:w="0" w:type="auto"/>
            <w:hideMark/>
          </w:tcPr>
          <w:p w14:paraId="2FE5617E" w14:textId="77777777" w:rsidR="00FE013C" w:rsidRPr="00F93C13" w:rsidRDefault="00FE013C" w:rsidP="004C16FF">
            <w:pPr>
              <w:pStyle w:val="TableBody"/>
              <w:jc w:val="both"/>
              <w:rPr>
                <w:color w:val="auto"/>
              </w:rPr>
            </w:pPr>
            <w:r w:rsidRPr="00F93C13">
              <w:rPr>
                <w:color w:val="auto"/>
              </w:rPr>
              <w:t>$55/MWh</w:t>
            </w:r>
          </w:p>
        </w:tc>
        <w:tc>
          <w:tcPr>
            <w:tcW w:w="0" w:type="auto"/>
            <w:hideMark/>
          </w:tcPr>
          <w:p w14:paraId="0DD9DBC5" w14:textId="77777777" w:rsidR="00FE013C" w:rsidRPr="00F93C13" w:rsidRDefault="00FE013C" w:rsidP="004C16FF">
            <w:pPr>
              <w:pStyle w:val="TableBody"/>
              <w:jc w:val="both"/>
              <w:rPr>
                <w:color w:val="auto"/>
              </w:rPr>
            </w:pPr>
            <w:r w:rsidRPr="00F93C13">
              <w:rPr>
                <w:color w:val="auto"/>
              </w:rPr>
              <w:t>$80/MWh</w:t>
            </w:r>
          </w:p>
        </w:tc>
        <w:tc>
          <w:tcPr>
            <w:tcW w:w="0" w:type="auto"/>
            <w:hideMark/>
          </w:tcPr>
          <w:p w14:paraId="79D0C27F" w14:textId="77777777" w:rsidR="00FE013C" w:rsidRPr="00F93C13" w:rsidRDefault="00FE013C" w:rsidP="004C16FF">
            <w:pPr>
              <w:pStyle w:val="TableBody"/>
              <w:jc w:val="both"/>
              <w:rPr>
                <w:color w:val="auto"/>
              </w:rPr>
            </w:pPr>
            <w:r w:rsidRPr="00F93C13">
              <w:rPr>
                <w:color w:val="auto"/>
              </w:rPr>
              <w:t>Grid price volatility</w:t>
            </w:r>
          </w:p>
        </w:tc>
      </w:tr>
      <w:tr w:rsidR="00FE013C" w:rsidRPr="00F93C13" w14:paraId="5BC3FEFF" w14:textId="77777777" w:rsidTr="00F93C13">
        <w:tc>
          <w:tcPr>
            <w:tcW w:w="0" w:type="auto"/>
            <w:hideMark/>
          </w:tcPr>
          <w:p w14:paraId="354C209A" w14:textId="77777777" w:rsidR="00FE013C" w:rsidRPr="005B1FF5" w:rsidRDefault="00FE013C" w:rsidP="004C16FF">
            <w:pPr>
              <w:pStyle w:val="TableBody"/>
              <w:jc w:val="both"/>
              <w:rPr>
                <w:b/>
                <w:bCs/>
                <w:color w:val="auto"/>
              </w:rPr>
            </w:pPr>
            <w:r w:rsidRPr="005B1FF5">
              <w:rPr>
                <w:b/>
                <w:bCs/>
                <w:color w:val="auto"/>
              </w:rPr>
              <w:t>Grid Only (US Avg)</w:t>
            </w:r>
          </w:p>
        </w:tc>
        <w:tc>
          <w:tcPr>
            <w:tcW w:w="0" w:type="auto"/>
            <w:hideMark/>
          </w:tcPr>
          <w:p w14:paraId="448B8CCF" w14:textId="77777777" w:rsidR="00FE013C" w:rsidRPr="00F93C13" w:rsidRDefault="00FE013C" w:rsidP="004C16FF">
            <w:pPr>
              <w:pStyle w:val="TableBody"/>
              <w:jc w:val="both"/>
              <w:rPr>
                <w:color w:val="auto"/>
              </w:rPr>
            </w:pPr>
            <w:r w:rsidRPr="00F93C13">
              <w:rPr>
                <w:color w:val="auto"/>
              </w:rPr>
              <w:t>$80/MWh</w:t>
            </w:r>
          </w:p>
        </w:tc>
        <w:tc>
          <w:tcPr>
            <w:tcW w:w="0" w:type="auto"/>
            <w:hideMark/>
          </w:tcPr>
          <w:p w14:paraId="38A5CB60" w14:textId="77777777" w:rsidR="00FE013C" w:rsidRPr="00F93C13" w:rsidRDefault="00FE013C" w:rsidP="004C16FF">
            <w:pPr>
              <w:pStyle w:val="TableBody"/>
              <w:jc w:val="both"/>
              <w:rPr>
                <w:color w:val="auto"/>
              </w:rPr>
            </w:pPr>
            <w:r w:rsidRPr="00F93C13">
              <w:rPr>
                <w:color w:val="auto"/>
              </w:rPr>
              <w:t>$110/MWh</w:t>
            </w:r>
          </w:p>
        </w:tc>
        <w:tc>
          <w:tcPr>
            <w:tcW w:w="0" w:type="auto"/>
            <w:hideMark/>
          </w:tcPr>
          <w:p w14:paraId="4B77E41C" w14:textId="77777777" w:rsidR="00FE013C" w:rsidRPr="00F93C13" w:rsidRDefault="00FE013C" w:rsidP="004C16FF">
            <w:pPr>
              <w:pStyle w:val="TableBody"/>
              <w:jc w:val="both"/>
              <w:rPr>
                <w:color w:val="auto"/>
              </w:rPr>
            </w:pPr>
            <w:r w:rsidRPr="00F93C13">
              <w:rPr>
                <w:color w:val="auto"/>
              </w:rPr>
              <w:t>$140/MWh</w:t>
            </w:r>
          </w:p>
        </w:tc>
        <w:tc>
          <w:tcPr>
            <w:tcW w:w="0" w:type="auto"/>
            <w:hideMark/>
          </w:tcPr>
          <w:p w14:paraId="5176F5E4" w14:textId="77777777" w:rsidR="00FE013C" w:rsidRPr="00F93C13" w:rsidRDefault="00FE013C" w:rsidP="004C16FF">
            <w:pPr>
              <w:pStyle w:val="TableBody"/>
              <w:jc w:val="both"/>
              <w:rPr>
                <w:color w:val="auto"/>
              </w:rPr>
            </w:pPr>
            <w:r w:rsidRPr="00F93C13">
              <w:rPr>
                <w:color w:val="auto"/>
              </w:rPr>
              <w:t>Regional capacity prices</w:t>
            </w:r>
          </w:p>
        </w:tc>
      </w:tr>
    </w:tbl>
    <w:p w14:paraId="091A6E4E" w14:textId="77777777" w:rsidR="00FE013C" w:rsidRPr="00F5465D" w:rsidRDefault="00FE013C" w:rsidP="004C16FF">
      <w:pPr>
        <w:spacing w:after="120"/>
        <w:rPr>
          <w:szCs w:val="24"/>
        </w:rPr>
      </w:pPr>
      <w:r w:rsidRPr="00F5465D">
        <w:rPr>
          <w:szCs w:val="24"/>
        </w:rPr>
        <w:t xml:space="preserve">All LCOE values in Table </w:t>
      </w:r>
      <w:r>
        <w:rPr>
          <w:szCs w:val="24"/>
        </w:rPr>
        <w:t>7</w:t>
      </w:r>
      <w:r w:rsidRPr="00F5465D">
        <w:rPr>
          <w:szCs w:val="24"/>
        </w:rPr>
        <w:t xml:space="preserve"> are based on</w:t>
      </w:r>
      <w:r>
        <w:rPr>
          <w:szCs w:val="24"/>
        </w:rPr>
        <w:fldChar w:fldCharType="begin"/>
      </w:r>
      <w:r>
        <w:rPr>
          <w:szCs w:val="24"/>
        </w:rPr>
        <w:instrText xml:space="preserve"> ADDIN ZOTERO_ITEM CSL_CITATION {"citationID":"SOUSI6vo","properties":{"unsorted":false,"formattedCitation":"[150]","plainCitation":"[150]","noteIndex":0},"citationItems":[{"id":2132,"uris":["http://zotero.org/users/9870935/items/786EAJKN"],"itemData":{"id":2132,"type":"document","title":"Levelized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Pr>
          <w:szCs w:val="24"/>
        </w:rPr>
        <w:fldChar w:fldCharType="separate"/>
      </w:r>
      <w:r w:rsidRPr="004864DB">
        <w:t>[150]</w:t>
      </w:r>
      <w:r>
        <w:rPr>
          <w:szCs w:val="24"/>
        </w:rPr>
        <w:fldChar w:fldCharType="end"/>
      </w:r>
      <w:r w:rsidRPr="00F5465D">
        <w:rPr>
          <w:szCs w:val="24"/>
        </w:rPr>
        <w:t>:</w:t>
      </w:r>
    </w:p>
    <w:p w14:paraId="56066EDE" w14:textId="77777777" w:rsidR="00FE013C" w:rsidRPr="00023B78" w:rsidRDefault="00FE013C" w:rsidP="004C16FF">
      <w:pPr>
        <w:pStyle w:val="ListParagraph"/>
        <w:numPr>
          <w:ilvl w:val="0"/>
          <w:numId w:val="20"/>
        </w:numPr>
        <w:spacing w:after="120"/>
        <w:rPr>
          <w:szCs w:val="24"/>
        </w:rPr>
      </w:pPr>
      <w:r w:rsidRPr="00023B78">
        <w:rPr>
          <w:szCs w:val="24"/>
        </w:rPr>
        <w:t>NREL Annual Technology Baseline (ATB) 2025 for solar PV and onshore wind</w:t>
      </w:r>
      <w:r>
        <w:fldChar w:fldCharType="begin"/>
      </w:r>
      <w:r>
        <w:instrText xml:space="preserve"> ADDIN ZOTERO_ITEM CSL_CITATION {"citationID":"YutWvmPR","properties":{"unsorted":false,"formattedCitation":"[86]","plainCitation":"[86]","noteIndex":0},"citationItems":[{"id":2049,"uris":["http://zotero.org/users/9870935/items/HTQQE34D"],"itemData":{"id":2049,"type":"post-weblog","title":"National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Pr="00302B88">
        <w:t>[86]</w:t>
      </w:r>
      <w:r>
        <w:fldChar w:fldCharType="end"/>
      </w:r>
      <w:r w:rsidRPr="00023B78">
        <w:rPr>
          <w:szCs w:val="24"/>
        </w:rPr>
        <w:t xml:space="preserve"> </w:t>
      </w:r>
    </w:p>
    <w:p w14:paraId="4FD80DE5" w14:textId="77777777" w:rsidR="00FE013C" w:rsidRPr="00023B78" w:rsidRDefault="00FE013C" w:rsidP="004C16FF">
      <w:pPr>
        <w:pStyle w:val="ListParagraph"/>
        <w:numPr>
          <w:ilvl w:val="0"/>
          <w:numId w:val="20"/>
        </w:numPr>
        <w:spacing w:after="120"/>
        <w:rPr>
          <w:szCs w:val="24"/>
        </w:rPr>
      </w:pPr>
      <w:proofErr w:type="spellStart"/>
      <w:r w:rsidRPr="00023B78">
        <w:rPr>
          <w:szCs w:val="24"/>
        </w:rPr>
        <w:t>BloombergNEF</w:t>
      </w:r>
      <w:proofErr w:type="spellEnd"/>
      <w:r w:rsidRPr="00023B78">
        <w:rPr>
          <w:szCs w:val="24"/>
        </w:rPr>
        <w:t xml:space="preserve"> Battery Pack Prices (December 2025) for lithium-ion costs</w:t>
      </w:r>
      <w:r>
        <w:rPr>
          <w:szCs w:val="24"/>
        </w:rPr>
        <w:fldChar w:fldCharType="begin"/>
      </w:r>
      <w:r>
        <w:rPr>
          <w:szCs w:val="24"/>
        </w:rPr>
        <w:instrText xml:space="preserve"> ADDIN ZOTERO_ITEM CSL_CITATION {"citationID":"nxu2GbAG","properties":{"unsorted":false,"formattedCitation":"[58]","plainCitation":"[58]","noteIndex":0},"citationItems":[{"id":1999,"uris":["http://zotero.org/users/9870935/items/KFJTNUYK"],"itemData":{"id":1999,"type":"post-weblog","title":"Corporate Clean Energy Buying Fell in 2025 After Nearly a Decade of Growth","author":[{"family":"BloombergNEF","given":""}]}}],"schema":"https://github.com/citation-style-language/schema/raw/master/csl-citation.json"} </w:instrText>
      </w:r>
      <w:r>
        <w:rPr>
          <w:szCs w:val="24"/>
        </w:rPr>
        <w:fldChar w:fldCharType="separate"/>
      </w:r>
      <w:r w:rsidRPr="00637A97">
        <w:t>[58]</w:t>
      </w:r>
      <w:r>
        <w:rPr>
          <w:szCs w:val="24"/>
        </w:rPr>
        <w:fldChar w:fldCharType="end"/>
      </w:r>
      <w:r w:rsidRPr="00023B78">
        <w:rPr>
          <w:szCs w:val="24"/>
        </w:rPr>
        <w:t xml:space="preserve"> </w:t>
      </w:r>
    </w:p>
    <w:p w14:paraId="2E99DC77" w14:textId="77777777" w:rsidR="00FE013C" w:rsidRPr="00023B78" w:rsidRDefault="00FE013C" w:rsidP="004C16FF">
      <w:pPr>
        <w:pStyle w:val="ListParagraph"/>
        <w:numPr>
          <w:ilvl w:val="0"/>
          <w:numId w:val="20"/>
        </w:numPr>
        <w:spacing w:after="120"/>
        <w:rPr>
          <w:szCs w:val="24"/>
        </w:rPr>
      </w:pPr>
      <w:r w:rsidRPr="00023B78">
        <w:rPr>
          <w:szCs w:val="24"/>
        </w:rPr>
        <w:t xml:space="preserve">IRENA Renewable Power Generation Costs (2024) for comparative economics </w:t>
      </w:r>
    </w:p>
    <w:p w14:paraId="5FAB85A3" w14:textId="77777777" w:rsidR="00FE013C" w:rsidRPr="00F5465D" w:rsidRDefault="00FE013C" w:rsidP="004C16FF">
      <w:pPr>
        <w:spacing w:after="120"/>
        <w:rPr>
          <w:szCs w:val="24"/>
        </w:rPr>
      </w:pPr>
      <w:r w:rsidRPr="00F5465D">
        <w:rPr>
          <w:szCs w:val="24"/>
        </w:rPr>
        <w:t>Key Assumptions:</w:t>
      </w:r>
    </w:p>
    <w:p w14:paraId="5232B833" w14:textId="77777777" w:rsidR="00FE013C" w:rsidRPr="004F6FE0" w:rsidRDefault="00FE013C" w:rsidP="004C16FF">
      <w:pPr>
        <w:pStyle w:val="ListParagraph"/>
        <w:numPr>
          <w:ilvl w:val="0"/>
          <w:numId w:val="21"/>
        </w:numPr>
        <w:spacing w:after="120"/>
        <w:rPr>
          <w:szCs w:val="24"/>
        </w:rPr>
      </w:pPr>
      <w:r w:rsidRPr="004F6FE0">
        <w:rPr>
          <w:szCs w:val="24"/>
        </w:rPr>
        <w:t xml:space="preserve">Real discount rate: 5–7% (varies by scenario; higher for hydrogen) </w:t>
      </w:r>
    </w:p>
    <w:p w14:paraId="7ED14B46" w14:textId="77777777" w:rsidR="00FE013C" w:rsidRPr="004F6FE0" w:rsidRDefault="00FE013C" w:rsidP="004C16FF">
      <w:pPr>
        <w:pStyle w:val="ListParagraph"/>
        <w:numPr>
          <w:ilvl w:val="0"/>
          <w:numId w:val="21"/>
        </w:numPr>
        <w:spacing w:after="120"/>
        <w:rPr>
          <w:szCs w:val="24"/>
        </w:rPr>
      </w:pPr>
      <w:r w:rsidRPr="004F6FE0">
        <w:rPr>
          <w:szCs w:val="24"/>
        </w:rPr>
        <w:t xml:space="preserve">System lifetime: 25 years for PV, 20 years for wind, 15 years for batteries </w:t>
      </w:r>
    </w:p>
    <w:p w14:paraId="3E41B8F6" w14:textId="77777777" w:rsidR="00FE013C" w:rsidRPr="004F6FE0" w:rsidRDefault="00FE013C" w:rsidP="004C16FF">
      <w:pPr>
        <w:pStyle w:val="ListParagraph"/>
        <w:numPr>
          <w:ilvl w:val="0"/>
          <w:numId w:val="21"/>
        </w:numPr>
        <w:spacing w:after="120"/>
        <w:rPr>
          <w:szCs w:val="24"/>
        </w:rPr>
      </w:pPr>
      <w:r w:rsidRPr="004F6FE0">
        <w:rPr>
          <w:szCs w:val="24"/>
        </w:rPr>
        <w:t xml:space="preserve">Location: U.S. Southwest (solar: 25–30% capacity factor), Great Plains (wind: 35% capacity factor) </w:t>
      </w:r>
    </w:p>
    <w:p w14:paraId="7A618B02" w14:textId="77777777" w:rsidR="00FE013C" w:rsidRPr="004F6FE0" w:rsidRDefault="00FE013C" w:rsidP="004C16FF">
      <w:pPr>
        <w:pStyle w:val="ListParagraph"/>
        <w:numPr>
          <w:ilvl w:val="0"/>
          <w:numId w:val="21"/>
        </w:numPr>
        <w:spacing w:after="120"/>
        <w:rPr>
          <w:szCs w:val="24"/>
        </w:rPr>
      </w:pPr>
      <w:r w:rsidRPr="004F6FE0">
        <w:rPr>
          <w:szCs w:val="24"/>
        </w:rPr>
        <w:t xml:space="preserve">Battery duration: 4 hours (lithium-ion), 8–24 hours (flow batteries), 100+ hours (hydrogen) </w:t>
      </w:r>
    </w:p>
    <w:p w14:paraId="0B1EBD2C" w14:textId="77777777" w:rsidR="00FE013C" w:rsidRPr="004F6FE0" w:rsidRDefault="00FE013C" w:rsidP="004C16FF">
      <w:pPr>
        <w:pStyle w:val="ListParagraph"/>
        <w:numPr>
          <w:ilvl w:val="0"/>
          <w:numId w:val="21"/>
        </w:numPr>
        <w:spacing w:after="120"/>
        <w:rPr>
          <w:szCs w:val="24"/>
        </w:rPr>
      </w:pPr>
      <w:r w:rsidRPr="004F6FE0">
        <w:rPr>
          <w:szCs w:val="24"/>
        </w:rPr>
        <w:t xml:space="preserve">O&amp;M costs: 0.5–1.0% annually for solar, 2.5–3.5% for wind, 1.0–2.0% for batteries </w:t>
      </w:r>
    </w:p>
    <w:p w14:paraId="354BF4C3" w14:textId="77777777" w:rsidR="00FE013C" w:rsidRPr="007528D6" w:rsidRDefault="00FE013C" w:rsidP="004C16FF">
      <w:pPr>
        <w:spacing w:after="120"/>
        <w:rPr>
          <w:szCs w:val="24"/>
        </w:rPr>
      </w:pPr>
      <w:r w:rsidRPr="007528D6">
        <w:rPr>
          <w:szCs w:val="24"/>
        </w:rPr>
        <w:t>Sensitivity:</w:t>
      </w:r>
    </w:p>
    <w:p w14:paraId="3DF9A406" w14:textId="77777777" w:rsidR="00FE013C" w:rsidRPr="00F14BD8" w:rsidRDefault="00FE013C" w:rsidP="004C16FF">
      <w:pPr>
        <w:pStyle w:val="ListParagraph"/>
        <w:numPr>
          <w:ilvl w:val="0"/>
          <w:numId w:val="22"/>
        </w:numPr>
        <w:spacing w:after="120"/>
        <w:rPr>
          <w:szCs w:val="24"/>
        </w:rPr>
      </w:pPr>
      <w:r w:rsidRPr="00F14BD8">
        <w:rPr>
          <w:szCs w:val="24"/>
        </w:rPr>
        <w:t xml:space="preserve">±1% discount rate change → ±15% LCOE change </w:t>
      </w:r>
    </w:p>
    <w:p w14:paraId="2D164316" w14:textId="77777777" w:rsidR="00FE013C" w:rsidRPr="00F14BD8" w:rsidRDefault="00FE013C" w:rsidP="004C16FF">
      <w:pPr>
        <w:pStyle w:val="ListParagraph"/>
        <w:numPr>
          <w:ilvl w:val="0"/>
          <w:numId w:val="22"/>
        </w:numPr>
        <w:spacing w:after="120"/>
        <w:rPr>
          <w:szCs w:val="24"/>
        </w:rPr>
      </w:pPr>
      <w:r w:rsidRPr="00F14BD8">
        <w:rPr>
          <w:szCs w:val="24"/>
        </w:rPr>
        <w:t xml:space="preserve">±20% capital cost change → ±18% LCOE change </w:t>
      </w:r>
    </w:p>
    <w:p w14:paraId="4A1872B7" w14:textId="77777777" w:rsidR="00FE013C" w:rsidRPr="00F14BD8" w:rsidRDefault="00FE013C" w:rsidP="004C16FF">
      <w:pPr>
        <w:pStyle w:val="ListParagraph"/>
        <w:numPr>
          <w:ilvl w:val="0"/>
          <w:numId w:val="22"/>
        </w:numPr>
        <w:spacing w:after="120"/>
        <w:rPr>
          <w:szCs w:val="24"/>
        </w:rPr>
      </w:pPr>
      <w:r w:rsidRPr="00F14BD8">
        <w:rPr>
          <w:szCs w:val="24"/>
        </w:rPr>
        <w:t xml:space="preserve">±10% capacity factor change → ±12% LCOE change </w:t>
      </w:r>
    </w:p>
    <w:p w14:paraId="26F5BA83" w14:textId="177035A4" w:rsidR="00FE013C" w:rsidRDefault="00FE013C" w:rsidP="004C16FF">
      <w:pPr>
        <w:spacing w:after="120"/>
        <w:ind w:firstLine="480"/>
        <w:rPr>
          <w:szCs w:val="24"/>
        </w:rPr>
      </w:pPr>
      <w:r w:rsidRPr="00F5465D">
        <w:rPr>
          <w:szCs w:val="24"/>
        </w:rPr>
        <w:t>Grid-only LCOE reflects 2026 regional capacity prices: PJM ($110/MWh), CAISO ($95/MWh), ERCOT ($85/MWh).</w:t>
      </w:r>
      <w:r>
        <w:rPr>
          <w:szCs w:val="24"/>
        </w:rPr>
        <w:t xml:space="preserve"> </w:t>
      </w:r>
      <w:r w:rsidRPr="00FA4329">
        <w:rPr>
          <w:szCs w:val="24"/>
        </w:rPr>
        <w:t xml:space="preserve">Fig. 9 compares the LCOE central estimates and uncertainty ranges across the six scenarios, </w:t>
      </w:r>
      <w:r w:rsidR="00030122" w:rsidRPr="00FA4329">
        <w:rPr>
          <w:szCs w:val="24"/>
        </w:rPr>
        <w:t>visualizing</w:t>
      </w:r>
      <w:r w:rsidRPr="00FA4329">
        <w:rPr>
          <w:szCs w:val="24"/>
        </w:rPr>
        <w:t xml:space="preserve"> the cost advantage of hybrid renewable systems over grid-only supply and the sensitivity of each scenario to its primary cost driver.</w:t>
      </w:r>
    </w:p>
    <w:p w14:paraId="3C00F9E0" w14:textId="77777777" w:rsidR="00FE013C" w:rsidRDefault="00FE013C" w:rsidP="00C54998">
      <w:pPr>
        <w:keepNext/>
        <w:spacing w:after="120"/>
        <w:jc w:val="center"/>
      </w:pPr>
      <w:r>
        <w:rPr>
          <w:noProof/>
        </w:rPr>
        <w:lastRenderedPageBreak/>
        <w:drawing>
          <wp:inline distT="0" distB="0" distL="0" distR="0" wp14:anchorId="5447FEEC" wp14:editId="690B7CF9">
            <wp:extent cx="5615940" cy="3695700"/>
            <wp:effectExtent l="0" t="0" r="3810" b="0"/>
            <wp:docPr id="155729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443" b="3814"/>
                    <a:stretch>
                      <a:fillRect/>
                    </a:stretch>
                  </pic:blipFill>
                  <pic:spPr bwMode="auto">
                    <a:xfrm>
                      <a:off x="0" y="0"/>
                      <a:ext cx="5615940" cy="3695700"/>
                    </a:xfrm>
                    <a:prstGeom prst="rect">
                      <a:avLst/>
                    </a:prstGeom>
                    <a:noFill/>
                    <a:ln>
                      <a:noFill/>
                    </a:ln>
                    <a:extLst>
                      <a:ext uri="{53640926-AAD7-44D8-BBD7-CCE9431645EC}">
                        <a14:shadowObscured xmlns:a14="http://schemas.microsoft.com/office/drawing/2010/main"/>
                      </a:ext>
                    </a:extLst>
                  </pic:spPr>
                </pic:pic>
              </a:graphicData>
            </a:graphic>
          </wp:inline>
        </w:drawing>
      </w:r>
    </w:p>
    <w:p w14:paraId="0C7EC864" w14:textId="77777777" w:rsidR="00FE013C" w:rsidRPr="00F5465D" w:rsidRDefault="00FE013C" w:rsidP="00C54998">
      <w:pPr>
        <w:pStyle w:val="Caption"/>
        <w:jc w:val="center"/>
        <w:rPr>
          <w:color w:val="000000"/>
          <w:szCs w:val="24"/>
        </w:rPr>
      </w:pPr>
      <w:r>
        <w:t xml:space="preserve">Figure </w:t>
      </w:r>
      <w:fldSimple w:instr=" SEQ Figure \* ARABIC ">
        <w:r>
          <w:rPr>
            <w:noProof/>
          </w:rPr>
          <w:t>9</w:t>
        </w:r>
      </w:fldSimple>
      <w:r>
        <w:t xml:space="preserve"> L</w:t>
      </w:r>
      <w:r w:rsidRPr="00547845">
        <w:t>evelized cost of energy (</w:t>
      </w:r>
      <w:r>
        <w:t>LCOE</w:t>
      </w:r>
      <w:r w:rsidRPr="00547845">
        <w:t>) comparison: hybrid system cost advantage</w:t>
      </w:r>
    </w:p>
    <w:p w14:paraId="76DA58C6" w14:textId="77777777" w:rsidR="00FE013C" w:rsidRDefault="00FE013C" w:rsidP="004C16FF">
      <w:pPr>
        <w:pStyle w:val="Heading20"/>
        <w:jc w:val="both"/>
        <w:rPr>
          <w:color w:val="auto"/>
        </w:rPr>
      </w:pPr>
      <w:r w:rsidRPr="00EB1FF0">
        <w:rPr>
          <w:color w:val="auto"/>
        </w:rPr>
        <w:t>10.</w:t>
      </w:r>
      <w:r>
        <w:rPr>
          <w:color w:val="auto"/>
        </w:rPr>
        <w:t>3</w:t>
      </w:r>
      <w:r w:rsidRPr="00EB1FF0">
        <w:rPr>
          <w:color w:val="auto"/>
        </w:rPr>
        <w:t xml:space="preserve"> </w:t>
      </w:r>
      <w:r>
        <w:rPr>
          <w:color w:val="auto"/>
        </w:rPr>
        <w:t>Power Purchase Agreements (PPAs)</w:t>
      </w:r>
    </w:p>
    <w:p w14:paraId="318CA9D4" w14:textId="2B74AF9A" w:rsidR="00FE013C" w:rsidRPr="00572140" w:rsidRDefault="00FE013C" w:rsidP="004C16FF">
      <w:pPr>
        <w:spacing w:after="120"/>
        <w:ind w:firstLine="480"/>
        <w:rPr>
          <w:szCs w:val="24"/>
        </w:rPr>
      </w:pPr>
      <w:r w:rsidRPr="00572140">
        <w:rPr>
          <w:szCs w:val="24"/>
        </w:rPr>
        <w:t xml:space="preserve">The average solar PPA price in the North American market has climbed to approximately $64.49 per MWh for Q1 of 2026, driven by a growing demand for clean energy and some cost pressures throughout the grid. Wind PPAs typically sell at a premium to solar, typically averaging $10 to $15/MWh above solar in the current index. Regardless of these increases, PPAs continue to be an important tool for reducing the variability of wholesale grid electricity costs, a metric that has been putting strain on markets such as PJM, because a large amount of electricity demand from data </w:t>
      </w:r>
      <w:r w:rsidR="00580BAE">
        <w:rPr>
          <w:szCs w:val="24"/>
        </w:rPr>
        <w:t>center</w:t>
      </w:r>
      <w:r w:rsidRPr="00572140">
        <w:rPr>
          <w:szCs w:val="24"/>
        </w:rPr>
        <w:t>s has come into the system all at once</w:t>
      </w:r>
      <w:r>
        <w:rPr>
          <w:szCs w:val="24"/>
        </w:rPr>
        <w:fldChar w:fldCharType="begin"/>
      </w:r>
      <w:r>
        <w:rPr>
          <w:szCs w:val="24"/>
        </w:rPr>
        <w:instrText xml:space="preserve"> ADDIN ZOTERO_ITEM CSL_CITATION {"citationID":"BbkYZnyt","properties":{"unsorted":false,"formattedCitation":"[166], [167]","plainCitation":"[166], [167]","noteIndex":0},"citationItems":[{"id":2173,"uris":["http://zotero.org/users/9870935/items/K3IRLE4I"],"itemData":{"id":2173,"type":"article","abstract":"The cost of capital (CoC) is a critical parameter that significantly impacts the levelized costs of low-carbon energy technologies and cost-optimal decarbonization pathways. Nevertheless, empirical evidence on CoC differences between technologies and investor types is limited. Here, we study the heterogeneity among 11 technologies based on 193 CoC inputs from utilities, financial investors, and project developers in Switzerland. We find a wide range of CoC values across the technologies, averaging 3.6 % for small rooftop PV and 7.8 % for green hydrogen. Furthermore, we record an empirical variation of six percentage points even for assets of the same technology group, like solar PV, indicating differences between business models and investor types. Unlike neighboring countries that primarily rely on project finance for renewables, we find balance sheet financing to play an essential role for Swiss investors. Our results stress the need to differentiate CoC assumptions in energy system modeling and to consider not only technologies but also investor types and regional specificities as additional CoC dimensions.","DOI":"10.2139/ssrn.4926798","language":"en","publisher":"SSRN","source":"DOI.org (Crossref)","title":"Cost of capital for renewables and enabling technologies: Measuring the multidimensional heterogeneity in Switzerland","title-short":"Cost of capital for renewables and enabling technologies","URL":"https://www.ssrn.com/abstract=4926798","author":[{"family":"Dukan","given":"Mak"},{"family":"Steffen","given":"Bjarne"}],"accessed":{"date-parts":[["2026",6,6]]},"issued":{"date-parts":[["2024"]]}}},{"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schema":"https://github.com/citation-style-language/schema/raw/master/csl-citation.json"} </w:instrText>
      </w:r>
      <w:r>
        <w:rPr>
          <w:szCs w:val="24"/>
        </w:rPr>
        <w:fldChar w:fldCharType="separate"/>
      </w:r>
      <w:r w:rsidRPr="004864DB">
        <w:t>[166], [167]</w:t>
      </w:r>
      <w:r>
        <w:rPr>
          <w:szCs w:val="24"/>
        </w:rPr>
        <w:fldChar w:fldCharType="end"/>
      </w:r>
      <w:r>
        <w:t>.</w:t>
      </w:r>
    </w:p>
    <w:p w14:paraId="7C5BF444" w14:textId="77777777" w:rsidR="00FE013C" w:rsidRDefault="00FE013C" w:rsidP="004C16FF">
      <w:pPr>
        <w:pStyle w:val="Heading20"/>
        <w:jc w:val="both"/>
        <w:rPr>
          <w:color w:val="auto"/>
        </w:rPr>
      </w:pPr>
      <w:r w:rsidRPr="00EB1FF0">
        <w:rPr>
          <w:color w:val="auto"/>
        </w:rPr>
        <w:t>10.</w:t>
      </w:r>
      <w:r>
        <w:rPr>
          <w:color w:val="auto"/>
        </w:rPr>
        <w:t>4</w:t>
      </w:r>
      <w:r w:rsidRPr="00EB1FF0">
        <w:rPr>
          <w:color w:val="auto"/>
        </w:rPr>
        <w:t xml:space="preserve"> </w:t>
      </w:r>
      <w:r>
        <w:rPr>
          <w:color w:val="auto"/>
        </w:rPr>
        <w:t>Financial Modeling: NPV and IRR</w:t>
      </w:r>
    </w:p>
    <w:p w14:paraId="6EB6D521" w14:textId="1EC98CA1" w:rsidR="00FE013C" w:rsidRDefault="00FE013C" w:rsidP="004C16FF">
      <w:pPr>
        <w:spacing w:after="120"/>
        <w:ind w:firstLine="480"/>
        <w:rPr>
          <w:szCs w:val="24"/>
        </w:rPr>
      </w:pPr>
      <w:r w:rsidRPr="008D67D3">
        <w:rPr>
          <w:szCs w:val="24"/>
        </w:rPr>
        <w:t xml:space="preserve">Net Present Value (NPV) </w:t>
      </w:r>
      <w:r>
        <w:rPr>
          <w:szCs w:val="24"/>
        </w:rPr>
        <w:t>a</w:t>
      </w:r>
      <w:r w:rsidRPr="008D67D3">
        <w:rPr>
          <w:szCs w:val="24"/>
        </w:rPr>
        <w:t>nalysis</w:t>
      </w:r>
      <w:r>
        <w:rPr>
          <w:szCs w:val="24"/>
        </w:rPr>
        <w:t xml:space="preserve"> are the </w:t>
      </w:r>
      <w:r w:rsidRPr="008D67D3">
        <w:rPr>
          <w:szCs w:val="24"/>
        </w:rPr>
        <w:t xml:space="preserve">values </w:t>
      </w:r>
      <w:r>
        <w:rPr>
          <w:szCs w:val="24"/>
        </w:rPr>
        <w:t xml:space="preserve">for the </w:t>
      </w:r>
      <w:r w:rsidRPr="008D67D3">
        <w:rPr>
          <w:szCs w:val="24"/>
        </w:rPr>
        <w:t xml:space="preserve">future cash flows, i.e. revenues and expenses, in present value at the project discount rate. The discount rate for a renewable-powered data </w:t>
      </w:r>
      <w:r w:rsidR="00580BAE">
        <w:rPr>
          <w:szCs w:val="24"/>
        </w:rPr>
        <w:t>center</w:t>
      </w:r>
      <w:r w:rsidRPr="008D67D3">
        <w:rPr>
          <w:szCs w:val="24"/>
        </w:rPr>
        <w:t xml:space="preserve"> project varies between 7 and 12</w:t>
      </w:r>
      <w:r>
        <w:rPr>
          <w:szCs w:val="24"/>
        </w:rPr>
        <w:t>%</w:t>
      </w:r>
      <w:r w:rsidRPr="008D67D3">
        <w:rPr>
          <w:szCs w:val="24"/>
        </w:rPr>
        <w:t>, which is slightly more expensive than other projects and has a higher risk profile. For institutional investors, the 15–20% target for the internal rate of return (IRR) had to reflect the risk premium associated with energy infrastructure deployment, due to other energy-related factors. With 50</w:t>
      </w:r>
      <w:r>
        <w:rPr>
          <w:szCs w:val="24"/>
        </w:rPr>
        <w:t xml:space="preserve">% </w:t>
      </w:r>
      <w:r w:rsidRPr="008D67D3">
        <w:rPr>
          <w:szCs w:val="24"/>
        </w:rPr>
        <w:t>renewables penetration and 4-hour battery storage, the current analysis results are a base case NPV of $30 to $120 million, IRR of 14 to 19</w:t>
      </w:r>
      <w:r>
        <w:rPr>
          <w:szCs w:val="24"/>
        </w:rPr>
        <w:t>%</w:t>
      </w:r>
      <w:r w:rsidRPr="008D67D3">
        <w:rPr>
          <w:szCs w:val="24"/>
        </w:rPr>
        <w:t xml:space="preserve">, and a 6 to 11 year payback period (including federal tax credit (ITC/PTC) structure) </w:t>
      </w:r>
      <w:r w:rsidRPr="004864DB">
        <w:rPr>
          <w:szCs w:val="24"/>
        </w:rPr>
        <w:t>for a representative 100 MW facility, based on the cost inputs in Tables 5 and 7 and the discount rate assumptions above</w:t>
      </w:r>
      <w:r>
        <w:rPr>
          <w:szCs w:val="24"/>
        </w:rPr>
        <w:fldChar w:fldCharType="begin"/>
      </w:r>
      <w:r>
        <w:rPr>
          <w:szCs w:val="24"/>
        </w:rPr>
        <w:instrText xml:space="preserve"> ADDIN ZOTERO_ITEM CSL_CITATION {"citationID":"8wRornhk","properties":{"unsorted":false,"formattedCitation":"[166]","plainCitation":"[166]","noteIndex":0},"citationItems":[{"id":2173,"uris":["http://zotero.org/users/9870935/items/K3IRLE4I"],"itemData":{"id":2173,"type":"article","abstract":"The cost of capital (CoC) is a critical parameter that significantly impacts the levelized costs of low-carbon energy technologies and cost-optimal decarbonization pathways. Nevertheless, empirical evidence on CoC differences between technologies and investor types is limited. Here, we study the heterogeneity among 11 technologies based on 193 CoC inputs from utilities, financial investors, and project developers in Switzerland. We find a wide range of CoC values across the technologies, averaging 3.6 % for small rooftop PV and 7.8 % for green hydrogen. Furthermore, we record an empirical variation of six percentage points even for assets of the same technology group, like solar PV, indicating differences between business models and investor types. Unlike neighboring countries that primarily rely on project finance for renewables, we find balance sheet financing to play an essential role for Swiss investors. Our results stress the need to differentiate CoC assumptions in energy system modeling and to consider not only technologies but also investor types and regional specificities as additional CoC dimensions.","DOI":"10.2139/ssrn.4926798","language":"en","publisher":"SSRN","source":"DOI.org (Crossref)","title":"Cost of capital for renewables and enabling technologies: Measuring the multidimensional heterogeneity in Switzerland","title-short":"Cost of capital for renewables and enabling technologies","URL":"https://www.ssrn.com/abstract=4926798","author":[{"family":"Dukan","given":"Mak"},{"family":"Steffen","given":"Bjarne"}],"accessed":{"date-parts":[["2026",6,6]]},"issued":{"date-parts":[["2024"]]}}}],"schema":"https://github.com/citation-style-language/schema/raw/master/csl-citation.json"} </w:instrText>
      </w:r>
      <w:r>
        <w:rPr>
          <w:szCs w:val="24"/>
        </w:rPr>
        <w:fldChar w:fldCharType="separate"/>
      </w:r>
      <w:r w:rsidRPr="004864DB">
        <w:t>[166]</w:t>
      </w:r>
      <w:r>
        <w:rPr>
          <w:szCs w:val="24"/>
        </w:rPr>
        <w:fldChar w:fldCharType="end"/>
      </w:r>
      <w:r>
        <w:rPr>
          <w:szCs w:val="24"/>
        </w:rPr>
        <w:t>,</w:t>
      </w:r>
      <w:r>
        <w:rPr>
          <w:szCs w:val="24"/>
        </w:rPr>
        <w:fldChar w:fldCharType="begin"/>
      </w:r>
      <w:r>
        <w:rPr>
          <w:szCs w:val="24"/>
        </w:rPr>
        <w:instrText xml:space="preserve"> ADDIN ZOTERO_ITEM CSL_CITATION {"citationID":"CSHkwezG","properties":{"unsorted":false,"formattedCitation":"[151], [152]","plainCitation":"[151], [152]","noteIndex":0},"citationItems":[{"id":2133,"uris":["http://zotero.org/users/9870935/items/DBM7MVTI"],"itemData":{"id":2133,"type":"post-weblog","title":"Summary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Pr>
          <w:szCs w:val="24"/>
        </w:rPr>
        <w:fldChar w:fldCharType="separate"/>
      </w:r>
      <w:r w:rsidRPr="00661EF0">
        <w:t>[151], [152]</w:t>
      </w:r>
      <w:r>
        <w:rPr>
          <w:szCs w:val="24"/>
        </w:rPr>
        <w:fldChar w:fldCharType="end"/>
      </w:r>
      <w:r w:rsidRPr="008D67D3">
        <w:rPr>
          <w:szCs w:val="24"/>
        </w:rPr>
        <w:t>.</w:t>
      </w:r>
    </w:p>
    <w:p w14:paraId="771B39B6" w14:textId="77777777" w:rsidR="00FE013C" w:rsidRDefault="00FE013C" w:rsidP="004C16FF">
      <w:pPr>
        <w:pStyle w:val="Heading20"/>
        <w:jc w:val="both"/>
        <w:rPr>
          <w:color w:val="auto"/>
        </w:rPr>
      </w:pPr>
      <w:r w:rsidRPr="00EB1FF0">
        <w:rPr>
          <w:color w:val="auto"/>
        </w:rPr>
        <w:t>10.</w:t>
      </w:r>
      <w:r>
        <w:rPr>
          <w:color w:val="auto"/>
        </w:rPr>
        <w:t>5</w:t>
      </w:r>
      <w:r w:rsidRPr="00EB1FF0">
        <w:rPr>
          <w:color w:val="auto"/>
        </w:rPr>
        <w:t xml:space="preserve"> </w:t>
      </w:r>
      <w:r>
        <w:rPr>
          <w:color w:val="auto"/>
        </w:rPr>
        <w:t>Business Case Summary</w:t>
      </w:r>
    </w:p>
    <w:p w14:paraId="6A81FC84" w14:textId="5C991BBA" w:rsidR="00FE013C" w:rsidRPr="00803B94" w:rsidRDefault="00FE013C" w:rsidP="004C16FF">
      <w:pPr>
        <w:spacing w:after="120"/>
        <w:ind w:firstLine="480"/>
        <w:rPr>
          <w:szCs w:val="24"/>
        </w:rPr>
      </w:pPr>
      <w:r w:rsidRPr="00803B94">
        <w:rPr>
          <w:szCs w:val="24"/>
        </w:rPr>
        <w:t xml:space="preserve">There are four pillars to the business case for renewable-powered AI data </w:t>
      </w:r>
      <w:r w:rsidR="00580BAE">
        <w:rPr>
          <w:szCs w:val="24"/>
        </w:rPr>
        <w:t>center</w:t>
      </w:r>
      <w:r w:rsidRPr="00803B94">
        <w:rPr>
          <w:szCs w:val="24"/>
        </w:rPr>
        <w:t>s.</w:t>
      </w:r>
    </w:p>
    <w:p w14:paraId="17C14878" w14:textId="77777777" w:rsidR="00FE013C" w:rsidRPr="0017345A" w:rsidRDefault="00FE013C" w:rsidP="004C16FF">
      <w:pPr>
        <w:pStyle w:val="Heading20"/>
        <w:numPr>
          <w:ilvl w:val="0"/>
          <w:numId w:val="5"/>
        </w:numPr>
        <w:spacing w:before="0" w:after="0"/>
        <w:jc w:val="both"/>
        <w:rPr>
          <w:i w:val="0"/>
          <w:iCs/>
          <w:color w:val="auto"/>
        </w:rPr>
      </w:pPr>
      <w:r w:rsidRPr="00A63ABE">
        <w:rPr>
          <w:b/>
          <w:bCs/>
          <w:iCs/>
          <w:color w:val="auto"/>
        </w:rPr>
        <w:lastRenderedPageBreak/>
        <w:t>Lower Energy Costs:</w:t>
      </w:r>
      <w:r w:rsidRPr="0017345A">
        <w:rPr>
          <w:iCs/>
          <w:color w:val="auto"/>
        </w:rPr>
        <w:t xml:space="preserve"> Hybrid systems with an LCOE of $35–$80/MWh remain competitive with the recent rise in grid prices, which in high-demand clusters often exceed $100/MWh</w:t>
      </w:r>
      <w:r>
        <w:rPr>
          <w:i w:val="0"/>
          <w:iCs/>
          <w:color w:val="auto"/>
        </w:rPr>
        <w:fldChar w:fldCharType="begin"/>
      </w:r>
      <w:r>
        <w:rPr>
          <w:iCs/>
          <w:color w:val="auto"/>
        </w:rPr>
        <w:instrText xml:space="preserve"> ADDIN ZOTERO_ITEM CSL_CITATION {"citationID":"1o3IvIle","properties":{"unsorted":false,"formattedCitation":"[167]","plainCitation":"[167]","noteIndex":0},"citationItems":[{"id":2167,"uris":["http://zotero.org/users/9870935/items/VK9P7UB3"],"itemData":{"id":2167,"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schema":"https://github.com/citation-style-language/schema/raw/master/csl-citation.json"} </w:instrText>
      </w:r>
      <w:r>
        <w:rPr>
          <w:i w:val="0"/>
          <w:iCs/>
          <w:color w:val="auto"/>
        </w:rPr>
        <w:fldChar w:fldCharType="separate"/>
      </w:r>
      <w:r w:rsidRPr="004864DB">
        <w:t>[167]</w:t>
      </w:r>
      <w:r>
        <w:rPr>
          <w:i w:val="0"/>
          <w:iCs/>
          <w:color w:val="auto"/>
        </w:rPr>
        <w:fldChar w:fldCharType="end"/>
      </w:r>
      <w:r w:rsidRPr="0017345A">
        <w:rPr>
          <w:iCs/>
          <w:color w:val="auto"/>
        </w:rPr>
        <w:t>.</w:t>
      </w:r>
    </w:p>
    <w:p w14:paraId="6D05E860" w14:textId="77777777" w:rsidR="00FE013C" w:rsidRPr="0017345A" w:rsidRDefault="00FE013C" w:rsidP="004C16FF">
      <w:pPr>
        <w:pStyle w:val="Heading20"/>
        <w:numPr>
          <w:ilvl w:val="0"/>
          <w:numId w:val="5"/>
        </w:numPr>
        <w:spacing w:before="0" w:after="0"/>
        <w:jc w:val="both"/>
        <w:rPr>
          <w:i w:val="0"/>
          <w:iCs/>
          <w:color w:val="auto"/>
        </w:rPr>
      </w:pPr>
      <w:r w:rsidRPr="00A63ABE">
        <w:rPr>
          <w:b/>
          <w:bCs/>
          <w:iCs/>
          <w:color w:val="auto"/>
        </w:rPr>
        <w:t>Lower Risk of Power Grid Failures:</w:t>
      </w:r>
      <w:r w:rsidRPr="0017345A">
        <w:rPr>
          <w:iCs/>
          <w:color w:val="auto"/>
        </w:rPr>
        <w:t xml:space="preserve"> On-site generation and storage help reduce dependence on the aging utility grid; downtime costs for modern AI training clusters now </w:t>
      </w:r>
      <w:r w:rsidRPr="00FD154D">
        <w:rPr>
          <w:iCs/>
          <w:color w:val="auto"/>
        </w:rPr>
        <w:t>often exceed $500,000/hour of downtime, based on industry estimates of GPU cluster utilisation costs and lost training time</w:t>
      </w:r>
      <w:r>
        <w:rPr>
          <w:i w:val="0"/>
          <w:iCs/>
          <w:color w:val="auto"/>
        </w:rPr>
        <w:fldChar w:fldCharType="begin"/>
      </w:r>
      <w:r>
        <w:rPr>
          <w:iCs/>
          <w:color w:val="auto"/>
        </w:rPr>
        <w:instrText xml:space="preserve"> ADDIN ZOTERO_ITEM CSL_CITATION {"citationID":"hbHYy6Wo","properties":{"unsorted":false,"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i w:val="0"/>
          <w:iCs/>
          <w:color w:val="auto"/>
        </w:rPr>
        <w:fldChar w:fldCharType="separate"/>
      </w:r>
      <w:r w:rsidRPr="009669E1">
        <w:t>[9]</w:t>
      </w:r>
      <w:r>
        <w:rPr>
          <w:i w:val="0"/>
          <w:iCs/>
          <w:color w:val="auto"/>
        </w:rPr>
        <w:fldChar w:fldCharType="end"/>
      </w:r>
      <w:r w:rsidRPr="0017345A">
        <w:rPr>
          <w:iCs/>
          <w:color w:val="auto"/>
        </w:rPr>
        <w:t>.</w:t>
      </w:r>
    </w:p>
    <w:p w14:paraId="16B0A157" w14:textId="77777777" w:rsidR="00FE013C" w:rsidRPr="0017345A" w:rsidRDefault="00FE013C" w:rsidP="004C16FF">
      <w:pPr>
        <w:pStyle w:val="Heading20"/>
        <w:numPr>
          <w:ilvl w:val="0"/>
          <w:numId w:val="5"/>
        </w:numPr>
        <w:spacing w:before="0" w:after="0"/>
        <w:jc w:val="both"/>
        <w:rPr>
          <w:i w:val="0"/>
          <w:iCs/>
          <w:color w:val="auto"/>
        </w:rPr>
      </w:pPr>
      <w:r w:rsidRPr="0061637B">
        <w:rPr>
          <w:b/>
          <w:bCs/>
          <w:i w:val="0"/>
          <w:iCs/>
          <w:color w:val="auto"/>
        </w:rPr>
        <w:t>ESG Compliance and Carbon Pricing</w:t>
      </w:r>
      <w:r w:rsidRPr="00A63ABE">
        <w:rPr>
          <w:b/>
          <w:bCs/>
          <w:i w:val="0"/>
          <w:iCs/>
          <w:color w:val="auto"/>
        </w:rPr>
        <w:t>:</w:t>
      </w:r>
      <w:r w:rsidRPr="0017345A">
        <w:rPr>
          <w:i w:val="0"/>
          <w:iCs/>
          <w:color w:val="auto"/>
        </w:rPr>
        <w:t xml:space="preserve"> </w:t>
      </w:r>
      <w:r w:rsidRPr="00D200B1">
        <w:rPr>
          <w:i w:val="0"/>
          <w:iCs/>
          <w:color w:val="auto"/>
        </w:rPr>
        <w:t>New mandatory reporting standards (CSRD, ISSB IFRS S1/S2) and emerging carbon border adjustment mechanisms create tangible competitive advantages for facilities with verified renewable energy credentials</w:t>
      </w:r>
      <w:r>
        <w:rPr>
          <w:i w:val="0"/>
          <w:iCs/>
          <w:color w:val="auto"/>
        </w:rPr>
        <w:fldChar w:fldCharType="begin"/>
      </w:r>
      <w:r>
        <w:rPr>
          <w:i w:val="0"/>
          <w:iCs/>
          <w:color w:val="auto"/>
        </w:rPr>
        <w:instrText xml:space="preserve"> ADDIN ZOTERO_ITEM CSL_CITATION {"citationID":"K30nYk3I","properties":{"unsorted":false,"formattedCitation":"[168]","plainCitation":"[168]","noteIndex":0},"citationItems":[{"id":2178,"uris":["http://zotero.org/users/9870935/items/CB7RZ8UW"],"itemData":{"id":2178,"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exposure","volume":"103","author":[{"family":"Duppati","given":"Geeta"}],"issued":{"date-parts":[["2025",10]]}}}],"schema":"https://github.com/citation-style-language/schema/raw/master/csl-citation.json"} </w:instrText>
      </w:r>
      <w:r>
        <w:rPr>
          <w:i w:val="0"/>
          <w:iCs/>
          <w:color w:val="auto"/>
        </w:rPr>
        <w:fldChar w:fldCharType="separate"/>
      </w:r>
      <w:r w:rsidRPr="009669E1">
        <w:t>[168]</w:t>
      </w:r>
      <w:r>
        <w:rPr>
          <w:i w:val="0"/>
          <w:iCs/>
          <w:color w:val="auto"/>
        </w:rPr>
        <w:fldChar w:fldCharType="end"/>
      </w:r>
      <w:r w:rsidRPr="0017345A">
        <w:rPr>
          <w:i w:val="0"/>
          <w:iCs/>
          <w:color w:val="auto"/>
        </w:rPr>
        <w:t>.</w:t>
      </w:r>
    </w:p>
    <w:p w14:paraId="112A40D4" w14:textId="77777777" w:rsidR="00FE013C" w:rsidRPr="004644BD" w:rsidRDefault="00FE013C" w:rsidP="004C16FF">
      <w:pPr>
        <w:pStyle w:val="Heading20"/>
        <w:numPr>
          <w:ilvl w:val="0"/>
          <w:numId w:val="5"/>
        </w:numPr>
        <w:spacing w:before="0" w:after="0"/>
        <w:jc w:val="both"/>
        <w:rPr>
          <w:i w:val="0"/>
          <w:iCs/>
          <w:color w:val="auto"/>
        </w:rPr>
      </w:pPr>
      <w:r w:rsidRPr="00DF58DF">
        <w:rPr>
          <w:b/>
          <w:bCs/>
          <w:i w:val="0"/>
          <w:iCs/>
          <w:color w:val="auto"/>
        </w:rPr>
        <w:t>Strategic Hedging:</w:t>
      </w:r>
      <w:r w:rsidRPr="0017345A">
        <w:rPr>
          <w:i w:val="0"/>
          <w:iCs/>
          <w:color w:val="auto"/>
        </w:rPr>
        <w:t xml:space="preserve"> Long-term PPAs (15-25 years) provide a form of defense against fossil-fuel related wholesale price volatility</w:t>
      </w:r>
      <w:r>
        <w:rPr>
          <w:i w:val="0"/>
          <w:iCs/>
          <w:color w:val="auto"/>
        </w:rPr>
        <w:fldChar w:fldCharType="begin"/>
      </w:r>
      <w:r>
        <w:rPr>
          <w:i w:val="0"/>
          <w:iCs/>
          <w:color w:val="auto"/>
        </w:rPr>
        <w:instrText xml:space="preserve"> ADDIN ZOTERO_ITEM CSL_CITATION {"citationID":"nCpMJCLk","properties":{"unsorted":false,"formattedCitation":"[169]","plainCitation":"[169]","noteIndex":0},"citationItems":[{"id":2180,"uris":["http://zotero.org/users/9870935/items/4MHP9M8P"],"itemData":{"id":2180,"type":"document","title":"Risk Structure and Financial Hedging in Nodal Electricity Markets","URL":"https://www.oxfordenergy.org/wpcms/wp-content/uploads/2026/01/EL-61-Risk-Structure-and-Financial-Hedging.pdf","author":[{"family":"Daniel Yang","given":""}]}}],"schema":"https://github.com/citation-style-language/schema/raw/master/csl-citation.json"} </w:instrText>
      </w:r>
      <w:r>
        <w:rPr>
          <w:i w:val="0"/>
          <w:iCs/>
          <w:color w:val="auto"/>
        </w:rPr>
        <w:fldChar w:fldCharType="separate"/>
      </w:r>
      <w:r w:rsidRPr="009669E1">
        <w:t>[169]</w:t>
      </w:r>
      <w:r>
        <w:rPr>
          <w:i w:val="0"/>
          <w:iCs/>
          <w:color w:val="auto"/>
        </w:rPr>
        <w:fldChar w:fldCharType="end"/>
      </w:r>
      <w:r w:rsidRPr="0017345A">
        <w:rPr>
          <w:i w:val="0"/>
          <w:iCs/>
          <w:color w:val="auto"/>
        </w:rPr>
        <w:t>.</w:t>
      </w:r>
    </w:p>
    <w:p w14:paraId="1D05BDAA" w14:textId="77777777" w:rsidR="00FE013C" w:rsidRDefault="00FE013C" w:rsidP="004C16FF">
      <w:pPr>
        <w:pStyle w:val="Heading1"/>
        <w:keepNext/>
        <w:jc w:val="both"/>
      </w:pPr>
      <w:r>
        <w:t>11. Operational Strategies and Demand-Side Integration</w:t>
      </w:r>
    </w:p>
    <w:p w14:paraId="0049E287" w14:textId="6929574B" w:rsidR="00FE013C" w:rsidRDefault="00FE013C" w:rsidP="004C16FF">
      <w:pPr>
        <w:spacing w:after="120"/>
        <w:ind w:firstLine="480"/>
      </w:pPr>
      <w:r>
        <w:t xml:space="preserve">This section examines operational strategies that </w:t>
      </w:r>
      <w:proofErr w:type="spellStart"/>
      <w:r>
        <w:t>maximise</w:t>
      </w:r>
      <w:proofErr w:type="spellEnd"/>
      <w:r>
        <w:t xml:space="preserve"> renewable energy </w:t>
      </w:r>
      <w:proofErr w:type="spellStart"/>
      <w:r>
        <w:t>utilisation</w:t>
      </w:r>
      <w:proofErr w:type="spellEnd"/>
      <w:r>
        <w:t xml:space="preserve">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77777777" w:rsidR="00FE013C" w:rsidRDefault="00FE013C" w:rsidP="004C16FF">
      <w:pPr>
        <w:spacing w:after="120"/>
        <w:ind w:firstLine="480"/>
      </w:pPr>
      <w:r w:rsidRPr="00F72FC8">
        <w:t>Accurate forecasting of renewable energy supplies is the key to implementing 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instrText xml:space="preserve"> ADDIN ZOTERO_ITEM CSL_CITATION {"citationID":"JrzmaHyH","properties":{"unsorted":false,"formattedCitation":"[137]","plainCitation":"[137]","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Pr="00A6495D">
        <w:t>[137]</w:t>
      </w:r>
      <w:r>
        <w:fldChar w:fldCharType="end"/>
      </w:r>
      <w:r w:rsidRPr="00F72FC8">
        <w:t>.</w:t>
      </w:r>
    </w:p>
    <w:p w14:paraId="0754BA6A" w14:textId="696561E5" w:rsidR="00FE013C" w:rsidRPr="00F72FC8" w:rsidRDefault="00FE013C" w:rsidP="004C16FF">
      <w:pPr>
        <w:spacing w:after="120"/>
        <w:ind w:firstLine="480"/>
      </w:pPr>
      <w:r w:rsidRPr="00F914E9">
        <w:t xml:space="preserve">Uncertainty also flows through the dispatch </w:t>
      </w:r>
      <w:r w:rsidR="00030122" w:rsidRPr="00F914E9">
        <w:t>optimization</w:t>
      </w:r>
      <w:r w:rsidRPr="00F914E9">
        <w:t xml:space="preserve"> process, and the control system must have reserves to accommodate forecast errors. Non-conservative dispatch strategies, such as planning for an optimistic energy supply, can lead to sub-optimal economic results but maintain reliability. Stochastic </w:t>
      </w:r>
      <w:r w:rsidR="00030122" w:rsidRPr="00F914E9">
        <w:t>optimization</w:t>
      </w:r>
      <w:r w:rsidRPr="00F914E9">
        <w:t xml:space="preserve"> methods explicitly capture the uncertainty in the forecasting process by incorporating probability distributions into the </w:t>
      </w:r>
      <w:r w:rsidR="00030122" w:rsidRPr="00F914E9">
        <w:t>optimization</w:t>
      </w:r>
      <w:r w:rsidRPr="00F914E9">
        <w:t>, offering a more delicate trade-off between economic efficiency and reliability. Considering the uncertainty in forecasting and increased grid volatility, the framework suggests maintaining a minimum reserve margin of 15–20</w:t>
      </w:r>
      <w:r>
        <w:t xml:space="preserve">% </w:t>
      </w:r>
      <w:r w:rsidRPr="00F914E9">
        <w:t xml:space="preserve">above the forecast of renewable shortfall </w:t>
      </w:r>
      <w:r w:rsidRPr="000812E0">
        <w:t>[177]</w:t>
      </w:r>
      <w:r w:rsidRPr="00F914E9">
        <w:t>.</w:t>
      </w:r>
    </w:p>
    <w:p w14:paraId="5880395E" w14:textId="77777777" w:rsidR="00FE013C" w:rsidRPr="00F914E9"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77777777" w:rsidR="00FE013C" w:rsidRPr="00AA4A79" w:rsidRDefault="00FE013C" w:rsidP="004C16FF">
      <w:pPr>
        <w:spacing w:after="120"/>
        <w:ind w:firstLine="480"/>
      </w:pPr>
      <w:r w:rsidRPr="00F914E9">
        <w:t xml:space="preserve">AI workload scheduling is the first paradigm shift in the DSG and takes advantage of the flexibility of many workloads to schedule them to coincide with the availability of green electricity. Training workloads, which are the most power-intensive but also the most flexible, can be deferred by </w:t>
      </w:r>
      <w:r w:rsidRPr="00F914E9">
        <w:lastRenderedPageBreak/>
        <w:t>hours to days without impacting project timelines, as long as the total compute time budgets are maintained</w:t>
      </w:r>
      <w:r>
        <w:fldChar w:fldCharType="begin"/>
      </w:r>
      <w:r>
        <w:instrText xml:space="preserve"> ADDIN ZOTERO_ITEM CSL_CITATION {"citationID":"PsWoDqZ3","properties":{"unsorted":false,"formattedCitation":"[170]","plainCitation":"[170]","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Pr="009669E1">
        <w:t>[170]</w:t>
      </w:r>
      <w:r>
        <w:fldChar w:fldCharType="end"/>
      </w:r>
      <w:r w:rsidRPr="00F914E9">
        <w:t>. For example, a frontier model with a training energy of 10,000-50,000 MWh can, in theory, be spread over a longer training duration to ramp down the peak power consumption if the training algorithm can be checkpointed and resumed later.</w:t>
      </w:r>
      <w:r>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0"/>
        <w:jc w:val="both"/>
        <w:rPr>
          <w:color w:val="auto"/>
        </w:rPr>
      </w:pPr>
      <w:bookmarkStart w:id="6" w:name="_Toc100078"/>
      <w:r w:rsidRPr="00E75DCC">
        <w:rPr>
          <w:color w:val="auto"/>
        </w:rPr>
        <w:t>11.3 Multi-Facility Load Balancing and Geographic Diversity</w:t>
      </w:r>
      <w:bookmarkEnd w:id="6"/>
    </w:p>
    <w:p w14:paraId="2F52ABAC" w14:textId="14E26B63" w:rsidR="00FE013C" w:rsidRPr="003C4670" w:rsidRDefault="00FE013C" w:rsidP="004C16FF">
      <w:pPr>
        <w:spacing w:after="120"/>
        <w:ind w:firstLine="480"/>
      </w:pPr>
      <w:r w:rsidRPr="003C4670">
        <w:t xml:space="preserve">Multi-facility </w:t>
      </w:r>
      <w:r w:rsidR="00030122" w:rsidRPr="003C4670">
        <w:t>loads</w:t>
      </w:r>
      <w:r w:rsidRPr="003C4670">
        <w:t xml:space="preserve"> balancing exploits the spatial variability of renewable resources across geographically distributed data </w:t>
      </w:r>
      <w:r w:rsidR="00580BAE">
        <w:t>center</w:t>
      </w:r>
      <w:r w:rsidRPr="003C4670">
        <w:t xml:space="preserve">s. Facilities separated by more than 500 km typically exhibit low correlation in wind and solar generation, enabling the load to be routed to facilities with the most </w:t>
      </w:r>
      <w:r w:rsidR="00030122" w:rsidRPr="003C4670">
        <w:t>favorable</w:t>
      </w:r>
      <w:r w:rsidRPr="003C4670">
        <w:t xml:space="preserve"> current renewable conditions. A practical example: an operator with facilities on the U.S. East Coast and West Coast can exploit the three-hour time zone difference and different weather patterns to shift workloads, potentially reducing aggregate storage requirements by 50% to 70</w:t>
      </w:r>
      <w:r>
        <w:t>%</w:t>
      </w:r>
      <w:r w:rsidRPr="003C4670">
        <w:t>.</w:t>
      </w:r>
    </w:p>
    <w:p w14:paraId="1190B390" w14:textId="348C2B54" w:rsidR="00FE013C" w:rsidRPr="003C4670" w:rsidRDefault="008F5C4B" w:rsidP="004C16FF">
      <w:pPr>
        <w:spacing w:after="120"/>
        <w:ind w:firstLine="480"/>
      </w:pPr>
      <w:r w:rsidRPr="008F5C4B">
        <w:t>Technical constraints on multi-facility workload balancing primarily involve network latency, as certain workloads cannot tolerate inter-region delays; data residency requirements, where regulations like GDPR mandate processing within specific geographic borders; and inter-facility data transfer costs, which typically range from $5 to $15 per Mbps per month for dedicated connections. Conversely, optimal workload pools for geographic distribution include stateless inference workloads that are easily replicated across regions, batch processing with minimal real-time networking dependencies, and proactively replicated datasets that mitigate large data transfer overheads during workload migration.</w:t>
      </w:r>
    </w:p>
    <w:p w14:paraId="77455920" w14:textId="77777777" w:rsidR="00FE013C" w:rsidRDefault="00FE013C" w:rsidP="004C16FF">
      <w:pPr>
        <w:pStyle w:val="Heading20"/>
        <w:jc w:val="both"/>
        <w:rPr>
          <w:color w:val="auto"/>
        </w:rPr>
      </w:pPr>
      <w:r w:rsidRPr="00E75DCC">
        <w:rPr>
          <w:color w:val="auto"/>
        </w:rPr>
        <w:t>11.</w:t>
      </w:r>
      <w:r>
        <w:rPr>
          <w:color w:val="auto"/>
        </w:rPr>
        <w:t>4</w:t>
      </w:r>
      <w:r w:rsidRPr="00E75DCC">
        <w:rPr>
          <w:color w:val="auto"/>
        </w:rPr>
        <w:t xml:space="preserve"> </w:t>
      </w:r>
      <w:r w:rsidRPr="00C33AC1">
        <w:rPr>
          <w:color w:val="auto"/>
        </w:rPr>
        <w:t>Real-Time Demand Response and Grid Services</w:t>
      </w:r>
    </w:p>
    <w:p w14:paraId="3A791B35" w14:textId="42E95517" w:rsidR="00FE013C" w:rsidRPr="00E26484" w:rsidRDefault="00FE013C" w:rsidP="004C16FF">
      <w:pPr>
        <w:spacing w:after="120"/>
        <w:ind w:firstLine="480"/>
      </w:pPr>
      <w:r w:rsidRPr="00E26484">
        <w:t xml:space="preserve">Data </w:t>
      </w:r>
      <w:r w:rsidR="00580BAE">
        <w:t>center</w:t>
      </w:r>
      <w:r w:rsidRPr="00E26484">
        <w:t xml:space="preserve"> battery systems and flex load applications can benefit from programs in wholesale electricity markets that provide revenue and contribute to grid reliability. The planned introduction of primary frequency response (PFR) will see the data </w:t>
      </w:r>
      <w:r w:rsidR="00580BAE">
        <w:t>center</w:t>
      </w:r>
      <w:r w:rsidRPr="00E26484">
        <w:t xml:space="preserve"> power consumption or battery discharge automatically change within seconds of detecting any frequency deviation, thereby creating a new grid stability service previously provided by synchronous generators</w:t>
      </w:r>
      <w:r>
        <w:fldChar w:fldCharType="begin"/>
      </w:r>
      <w:r>
        <w:instrText xml:space="preserve"> ADDIN ZOTERO_ITEM CSL_CITATION {"citationID":"Y4UD9b6D","properties":{"unsorted":false,"formattedCitation":"[171]","plainCitation":"[171]","noteIndex":0},"citationItems":[{"id":2185,"uris":["http://zotero.org/users/9870935/items/NXIUNXK7"],"itemData":{"id":2185,"type":"post-weblog","title":"Data Centers in 2026: 5 Trends Reshaping Power, Cost, and Resilience","URL":"https://www.enersys.com/en/blog-articles/data-centers-five-trends-reshaping-power-cost-and-resilience/","author":[{"family":"Alistair Baker-Brian","given":""}]}}],"schema":"https://github.com/citation-style-language/schema/raw/master/csl-citation.json"} </w:instrText>
      </w:r>
      <w:r>
        <w:fldChar w:fldCharType="separate"/>
      </w:r>
      <w:r w:rsidRPr="009669E1">
        <w:t>[171]</w:t>
      </w:r>
      <w:r>
        <w:fldChar w:fldCharType="end"/>
      </w:r>
      <w:r w:rsidRPr="00E26484">
        <w:t xml:space="preserve">. </w:t>
      </w:r>
    </w:p>
    <w:p w14:paraId="5315A063" w14:textId="7A4FAF32" w:rsidR="00FE013C" w:rsidRPr="00E26484" w:rsidRDefault="00FE013C" w:rsidP="004C16FF">
      <w:pPr>
        <w:spacing w:after="120"/>
        <w:ind w:firstLine="480"/>
      </w:pPr>
      <w:r w:rsidRPr="00E26484">
        <w:t xml:space="preserve">Based on market data of approximately $100 per MW per hour (4,000 hours of annual supply) for a 100 MW data center with 10 MW of PFR capacity for backup, that power source can generate </w:t>
      </w:r>
      <w:r w:rsidRPr="00E26484">
        <w:lastRenderedPageBreak/>
        <w:t xml:space="preserve">approximately $4 million in revenue annually. </w:t>
      </w:r>
      <w:r>
        <w:t xml:space="preserve"> </w:t>
      </w:r>
      <w:r w:rsidRPr="00E26484">
        <w:t xml:space="preserve">Voltage support services, which provide reactive power (VARs) to maintain voltage levels in the distribution system, represent another revenue opportunity. Grid-forming and voltage-source control (VSC) inverters can supply reactive power while having no impact on real power generation, thereby allowing them to be used for zero-marginal-cost ancillary services. The economic valuation of an inverter capacity of a 100 MW data </w:t>
      </w:r>
      <w:r w:rsidR="00580BAE">
        <w:t>center</w:t>
      </w:r>
      <w:r w:rsidRPr="00E26484">
        <w:t xml:space="preserve"> shows that the savings generated per year from voltage support services in a data </w:t>
      </w:r>
      <w:r w:rsidR="00580BAE">
        <w:t>center</w:t>
      </w:r>
      <w:r w:rsidRPr="00E26484">
        <w:t xml:space="preserve"> range from USD 750,000 to USD 1.5 million based on the market value and locational incremental value</w:t>
      </w:r>
      <w:r>
        <w:fldChar w:fldCharType="begin"/>
      </w:r>
      <w:r>
        <w:instrText xml:space="preserve"> ADDIN ZOTERO_ITEM CSL_CITATION {"citationID":"DkxR3FXF","properties":{"unsorted":false,"formattedCitation":"[172]","plainCitation":"[172]","noteIndex":0},"citationItems":[{"id":2187,"uris":["http://zotero.org/users/9870935/items/QBPJJEAI"],"itemData":{"id":2187,"type":"article-journal","language":"en","source":"Zotero","title":"Variable Renewable Energy Participation in U.S. Ancillary Services Markets","author":[{"family":"Kahrl","given":"Fredrich"},{"family":"Kim","given":"James Hyungkwan"},{"family":"Mills","given":"Andrew"},{"family":"Wiser","given":"Ryan"},{"family":"Montañés","given":"Crespo"},{"family":"Gorman","given":"Will"}]}}],"schema":"https://github.com/citation-style-language/schema/raw/master/csl-citation.json"} </w:instrText>
      </w:r>
      <w:r>
        <w:fldChar w:fldCharType="separate"/>
      </w:r>
      <w:r w:rsidRPr="009669E1">
        <w:t>[172]</w:t>
      </w:r>
      <w:r>
        <w:fldChar w:fldCharType="end"/>
      </w:r>
      <w:r w:rsidRPr="00E26484">
        <w:t xml:space="preserve">. </w:t>
      </w:r>
    </w:p>
    <w:p w14:paraId="7FB6D186" w14:textId="77777777" w:rsidR="00FE013C" w:rsidRPr="00C34C89" w:rsidRDefault="00FE013C" w:rsidP="004C16FF">
      <w:pPr>
        <w:pStyle w:val="Heading20"/>
        <w:jc w:val="both"/>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0A6379CE" w:rsidR="00FE013C" w:rsidRDefault="00FE013C" w:rsidP="004C16FF">
      <w:pPr>
        <w:spacing w:after="120"/>
        <w:ind w:firstLine="480"/>
      </w:pPr>
      <w:r w:rsidRPr="00C34C89">
        <w:t xml:space="preserve">Here, the EMS uses a hierarchical control system architecture with three timescales and varying control objectives. Level 1 (device-level) reacts to changes in frequency and voltage in milliseconds to deliver the primary frequency response and voltage regulation via the inverter/battery controller. With 24-to-48-hour horizons and model predictive control, Level 2 (facility-level) implements dispatch </w:t>
      </w:r>
      <w:r w:rsidR="008F5C4B" w:rsidRPr="00C34C89">
        <w:t>optimization</w:t>
      </w:r>
      <w:r w:rsidRPr="00C34C89">
        <w:t xml:space="preserve"> hours, achieving a balance of </w:t>
      </w:r>
      <w:r w:rsidR="008F5C4B" w:rsidRPr="00C34C89">
        <w:t>minimizing</w:t>
      </w:r>
      <w:r w:rsidRPr="00C34C89">
        <w:t xml:space="preserve"> energy cost/and or carbon emissions while maintaining reliability targets. Level 3 (corporate level) is responsible for the allocation of resources across multiple facilities, routing workloads to facilities whose renewable conditions are most </w:t>
      </w:r>
      <w:r w:rsidR="008F5C4B" w:rsidRPr="00C34C89">
        <w:t>favorable and</w:t>
      </w:r>
      <w:r w:rsidRPr="00C34C89">
        <w:t xml:space="preserve"> coordinating inter-facility energy exchanges.</w:t>
      </w:r>
      <w:r>
        <w:t xml:space="preserve"> </w:t>
      </w:r>
      <w:r w:rsidRPr="00C34C89">
        <w:t xml:space="preserve">The EMS's capabilities encompass forecasting, </w:t>
      </w:r>
      <w:r w:rsidR="008F5C4B" w:rsidRPr="00C34C89">
        <w:t>optimization</w:t>
      </w:r>
      <w:r w:rsidRPr="00C34C89">
        <w:t xml:space="preserve">, monitoring, and cyber security. Forecast modules include solar, wind, and load forecasts over a range of time scales. </w:t>
      </w:r>
      <w:r w:rsidR="008F5C4B" w:rsidRPr="00C34C89">
        <w:t>Optimization</w:t>
      </w:r>
      <w:r w:rsidRPr="00C34C89">
        <w:t xml:space="preserve">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fldChar w:fldCharType="begin"/>
      </w:r>
      <w:r>
        <w:instrText xml:space="preserve"> ADDIN ZOTERO_ITEM CSL_CITATION {"citationID":"HnuRFse8","properties":{"unsorted":false,"formattedCitation":"[144]","plainCitation":"[144]","noteIndex":0},"citationItems":[{"id":2122,"uris":["http://zotero.org/users/9870935/items/JQYYBKN7"],"itemData":{"id":2122,"type":"article-journal","abstract":"As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Pr="00A07C45">
        <w:t>[144]</w:t>
      </w:r>
      <w:r>
        <w:fldChar w:fldCharType="end"/>
      </w:r>
      <w:r w:rsidRPr="00C34C89">
        <w:t xml:space="preserve">. </w:t>
      </w:r>
    </w:p>
    <w:p w14:paraId="0CCE4F2E" w14:textId="77777777" w:rsidR="00FE013C" w:rsidRPr="00F56D3B" w:rsidRDefault="00FE013C" w:rsidP="004C16FF">
      <w:pPr>
        <w:pStyle w:val="Heading1"/>
        <w:keepNext/>
        <w:jc w:val="both"/>
        <w:rPr>
          <w:lang w:val="en-US"/>
        </w:rPr>
      </w:pPr>
      <w:r>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0"/>
        <w:jc w:val="both"/>
      </w:pPr>
      <w:r w:rsidRPr="00E75DCC">
        <w:rPr>
          <w:color w:val="auto"/>
        </w:rPr>
        <w:t>1</w:t>
      </w:r>
      <w:r>
        <w:rPr>
          <w:color w:val="auto"/>
        </w:rPr>
        <w:t>2.1</w:t>
      </w:r>
      <w:r w:rsidRPr="00E75DCC">
        <w:rPr>
          <w:color w:val="auto"/>
        </w:rPr>
        <w:t xml:space="preserve"> </w:t>
      </w:r>
      <w:r>
        <w:t>Grid Interconnection Standards</w:t>
      </w:r>
    </w:p>
    <w:p w14:paraId="6AB5F1C4" w14:textId="2085CE45" w:rsidR="00FE013C" w:rsidRDefault="00FE013C" w:rsidP="004C16FF">
      <w:pPr>
        <w:spacing w:after="120"/>
        <w:ind w:firstLine="480"/>
      </w:pPr>
      <w:r w:rsidRPr="00BE55EA">
        <w:t xml:space="preserve">Grid Interconnection Standards are technology and operational criteria that distributed energy resources must abide by </w:t>
      </w:r>
      <w:r w:rsidR="00DB7639" w:rsidRPr="00BE55EA">
        <w:t>getting</w:t>
      </w:r>
      <w:r w:rsidRPr="00BE55EA">
        <w:t xml:space="preserve"> connected to the main power grid. Up to now, the basis of distribution-level interconnections is IEEE 1547. On the data </w:t>
      </w:r>
      <w:r w:rsidR="00580BAE">
        <w:t>center</w:t>
      </w:r>
      <w:r w:rsidRPr="00BE55EA">
        <w:t xml:space="preserve"> scale, which typically involves medium-voltage or transmission-voltage installation with generation capacity ranging from 10 to 100 MW, the relevant standards that apply are IEEE 2800-2022 and Inverter-based resources (IBRs) </w:t>
      </w:r>
      <w:r>
        <w:fldChar w:fldCharType="begin"/>
      </w:r>
      <w:r>
        <w:instrText xml:space="preserve"> ADDIN ZOTERO_ITEM CSL_CITATION {"citationID":"PikiXW36","properties":{"unsorted":false,"formattedCitation":"[173]","plainCitation":"[173]","noteIndex":0},"citationItems":[{"id":2189,"uris":["http://zotero.org/users/9870935/items/U4Y7SALQ"],"itemData":{"id":2189,"type":"article-journal","abstract":"The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Pr="009669E1">
        <w:t>[173]</w:t>
      </w:r>
      <w:r>
        <w:fldChar w:fldCharType="end"/>
      </w:r>
      <w:r w:rsidRPr="00BE55EA">
        <w:t xml:space="preserve">. IBRs deployed in low-system-strength zones will soon become increasingly common in data </w:t>
      </w:r>
      <w:r w:rsidR="00580BAE">
        <w:t>center</w:t>
      </w:r>
      <w:r w:rsidRPr="00BE55EA">
        <w:t>s, where the short circuit ratio (SCR) becomes an important measurement of grid stability to guarantee the stability of control</w:t>
      </w:r>
      <w:r>
        <w:fldChar w:fldCharType="begin"/>
      </w:r>
      <w:r>
        <w:instrText xml:space="preserve"> ADDIN ZOTERO_ITEM CSL_CITATION {"citationID":"XthWHI4E","properties":{"unsorted":false,"formattedCitation":"[130], [174]","plainCitation":"[130], [174]","noteIndex":0},"citationItems":[{"id":2097,"uris":["http://zotero.org/users/9870935/items/KGQXJHH9"],"itemData":{"id":2097,"type":"article-journal","container-title":"IEEE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Pr="009669E1">
        <w:t>[130], [174]</w:t>
      </w:r>
      <w:r>
        <w:fldChar w:fldCharType="end"/>
      </w:r>
      <w:r w:rsidRPr="00BE55EA">
        <w:t xml:space="preserve">. In today's interconnection studies, IBR fault ride-through and dynamic voltage support during transients are given significant attention. </w:t>
      </w:r>
      <w:r w:rsidRPr="002458A7">
        <w:t xml:space="preserve">FERC Order 2023 (issued July 2023, with implementation ongoing through 2027) represented a major reform </w:t>
      </w:r>
      <w:r w:rsidRPr="00493D72">
        <w:t xml:space="preserve">of transmission interconnection procedures by shifting to cluster studies and </w:t>
      </w:r>
      <w:r w:rsidR="00DB7639" w:rsidRPr="00493D72">
        <w:t>penalizing</w:t>
      </w:r>
      <w:r w:rsidRPr="00493D72">
        <w:t xml:space="preserve"> study delays. However, its </w:t>
      </w:r>
      <w:r w:rsidRPr="00493D72">
        <w:lastRenderedPageBreak/>
        <w:t>implementation across regional transmission operators (RTOs) remains an ongoing challenge; as of the end of 2025, over 2,060 GW of generation and storage capacity was actively stalled in interconnection queues</w:t>
      </w:r>
      <w:r>
        <w:fldChar w:fldCharType="begin"/>
      </w:r>
      <w:r>
        <w:instrText xml:space="preserve"> ADDIN ZOTERO_ITEM CSL_CITATION {"citationID":"Px6p0cAj","properties":{"unsorted":false,"formattedCitation":"[175]","plainCitation":"[175]","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fldChar w:fldCharType="separate"/>
      </w:r>
      <w:r w:rsidRPr="009669E1">
        <w:t>[175]</w:t>
      </w:r>
      <w:r>
        <w:fldChar w:fldCharType="end"/>
      </w:r>
      <w:r w:rsidRPr="00493D72">
        <w:t>.</w:t>
      </w:r>
    </w:p>
    <w:p w14:paraId="6108CE48" w14:textId="77777777" w:rsidR="00FE013C" w:rsidRDefault="00FE013C" w:rsidP="004C16FF">
      <w:pPr>
        <w:pStyle w:val="Heading20"/>
        <w:jc w:val="both"/>
      </w:pPr>
      <w:r w:rsidRPr="00E75DCC">
        <w:rPr>
          <w:color w:val="auto"/>
        </w:rPr>
        <w:t>1</w:t>
      </w:r>
      <w:r>
        <w:rPr>
          <w:color w:val="auto"/>
        </w:rPr>
        <w:t>2.2</w:t>
      </w:r>
      <w:r w:rsidRPr="00E75DCC">
        <w:rPr>
          <w:color w:val="auto"/>
        </w:rPr>
        <w:t xml:space="preserve"> </w:t>
      </w:r>
      <w:r>
        <w:t>Renewable Energy Policies and Mandates</w:t>
      </w:r>
    </w:p>
    <w:p w14:paraId="29DE9772" w14:textId="5D483C45" w:rsidR="00FE013C" w:rsidRPr="00EB3CAD" w:rsidRDefault="00FE013C" w:rsidP="004C16FF">
      <w:pPr>
        <w:spacing w:after="120"/>
        <w:ind w:firstLine="480"/>
      </w:pPr>
      <w:r w:rsidRPr="00EB3CAD">
        <w:t>Renewable Portfolio Standards (RPS) and Clean Energy Standards (CES) require utilities to buy a percentage of electricity from renewables. State-level calls for corporate renewable procurement persist in the United States. However, as AI workloads continue to ramp up at an unprecedented rate, they have rapidly accelerated the shift in procurement moves, projecting up to 945 TWh yearly worldwide by 2030</w:t>
      </w:r>
      <w:r>
        <w:fldChar w:fldCharType="begin"/>
      </w:r>
      <w:r>
        <w:instrText xml:space="preserve"> ADDIN ZOTERO_ITEM CSL_CITATION {"citationID":"2uQLzaxM","properties":{"unsorted":false,"formattedCitation":"[176]","plainCitation":"[176]","noteIndex":0},"citationItems":[{"id":2191,"uris":["http://zotero.org/users/9870935/items/PGQT4HIW"],"itemData":{"id":2191,"type":"document","title":"ENVIRONMENTAL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Pr="009669E1">
        <w:t>[176]</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t>RE target in Europe until 2030. This legislation (reported requirements) is now functioning as a catalyst for the creation of direct corporate PPAs and clean generation schemes</w:t>
      </w:r>
      <w:r>
        <w:fldChar w:fldCharType="begin"/>
      </w:r>
      <w:r>
        <w:instrText xml:space="preserve"> ADDIN ZOTERO_ITEM CSL_CITATION {"citationID":"ufdpjCHf","properties":{"unsorted":false,"formattedCitation":"[177]","plainCitation":"[177]","noteIndex":0},"citationItems":[{"id":2193,"uris":["http://zotero.org/users/9870935/items/VDQUTJZK"],"itemData":{"id":2193,"type":"document","title":"Powering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Pr="009669E1">
        <w:t>[177]</w:t>
      </w:r>
      <w:r>
        <w:fldChar w:fldCharType="end"/>
      </w:r>
      <w:r w:rsidRPr="00EB3CAD">
        <w:t>.</w:t>
      </w:r>
    </w:p>
    <w:p w14:paraId="5B64AA7B" w14:textId="77777777" w:rsidR="00FE013C" w:rsidRDefault="00FE013C" w:rsidP="004C16FF">
      <w:pPr>
        <w:pStyle w:val="Heading20"/>
        <w:jc w:val="both"/>
      </w:pPr>
      <w:r w:rsidRPr="00E75DCC">
        <w:rPr>
          <w:color w:val="auto"/>
        </w:rPr>
        <w:t>1</w:t>
      </w:r>
      <w:r>
        <w:rPr>
          <w:color w:val="auto"/>
        </w:rPr>
        <w:t>2.3</w:t>
      </w:r>
      <w:r w:rsidRPr="00E75DCC">
        <w:rPr>
          <w:color w:val="auto"/>
        </w:rPr>
        <w:t xml:space="preserve"> </w:t>
      </w:r>
      <w:r>
        <w:t>Carbon Accounting and Environmental Reporting</w:t>
      </w:r>
    </w:p>
    <w:p w14:paraId="3FED281F" w14:textId="3A37DC86" w:rsidR="00FE013C" w:rsidRDefault="00FE013C" w:rsidP="004C16FF">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hour of electricity usage with carbon-free electricity generation – has proven to be the new benchmark 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instrText xml:space="preserve"> ADDIN ZOTERO_ITEM CSL_CITATION {"citationID":"n6iDXFFL","properties":{"unsorted":false,"formattedCitation":"[111]","plainCitation":"[111]","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Pr="00584BC7">
        <w:t>[111]</w:t>
      </w:r>
      <w:r>
        <w:fldChar w:fldCharType="end"/>
      </w:r>
      <w:r w:rsidRPr="00AC40BA">
        <w:t>.</w:t>
      </w:r>
    </w:p>
    <w:p w14:paraId="0828F546" w14:textId="77777777" w:rsidR="00FE013C" w:rsidRDefault="00FE013C" w:rsidP="004C16FF">
      <w:pPr>
        <w:pStyle w:val="Heading20"/>
        <w:jc w:val="both"/>
      </w:pPr>
      <w:r w:rsidRPr="00E75DCC">
        <w:rPr>
          <w:color w:val="auto"/>
        </w:rPr>
        <w:t>1</w:t>
      </w:r>
      <w:r>
        <w:rPr>
          <w:color w:val="auto"/>
        </w:rPr>
        <w:t>2.4</w:t>
      </w:r>
      <w:r w:rsidRPr="00E75DCC">
        <w:rPr>
          <w:color w:val="auto"/>
        </w:rPr>
        <w:t xml:space="preserve"> </w:t>
      </w:r>
      <w:r>
        <w:t>Environmental Impact Assessment</w:t>
      </w:r>
    </w:p>
    <w:p w14:paraId="265620E6" w14:textId="47C240FF" w:rsidR="00FE013C" w:rsidRPr="00AC40BA" w:rsidRDefault="00FE013C" w:rsidP="004C16FF">
      <w:pPr>
        <w:spacing w:after="120"/>
        <w:ind w:firstLine="480"/>
      </w:pPr>
      <w:r w:rsidRPr="006E439E">
        <w:t xml:space="preserve">The environmental footprint of renewable energy projects and data </w:t>
      </w:r>
      <w:r w:rsidR="00580BAE">
        <w:t>center</w:t>
      </w:r>
      <w:r w:rsidRPr="006E439E">
        <w:t xml:space="preserve">s with artificial intelligence needs to be </w:t>
      </w:r>
      <w:r w:rsidR="00DB7639" w:rsidRPr="006E439E">
        <w:t>minimized</w:t>
      </w:r>
      <w:r w:rsidRPr="006E439E">
        <w:t xml:space="preserve">. Cooling systems for data </w:t>
      </w:r>
      <w:r w:rsidR="00580BAE">
        <w:t>center</w:t>
      </w:r>
      <w:r w:rsidRPr="006E439E">
        <w:t xml:space="preserve">s offer a clear choice between electric-powered air cooling and water-powered evaporative cooling. Before the AI revolution, </w:t>
      </w:r>
      <w:r w:rsidRPr="003D0802">
        <w:t xml:space="preserve">data </w:t>
      </w:r>
      <w:r w:rsidR="00580BAE">
        <w:t>center</w:t>
      </w:r>
      <w:r w:rsidRPr="003D0802">
        <w:t>s in the U.S. alone consumed an estimated 17.4 billion gallons of water per year as of 2014, a figure that has grown substantially with AI infrastructure buildout</w:t>
      </w:r>
      <w:r>
        <w:fldChar w:fldCharType="begin"/>
      </w:r>
      <w: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fldChar w:fldCharType="separate"/>
      </w:r>
      <w:r w:rsidRPr="00BE4FC7">
        <w:t>[2]</w:t>
      </w:r>
      <w:r>
        <w:fldChar w:fldCharType="end"/>
      </w:r>
      <w:r w:rsidRPr="006E439E">
        <w:t>, and as demand for hyperscale facilities grows, it is estimated that their water consumption will scale up substantially. By 2030, the water consumption generated by global AI activity could exceed the minimum annual requirement for each person's domestic needs by 1.3 billion people</w:t>
      </w:r>
      <w:r>
        <w:t>, while b</w:t>
      </w:r>
      <w:r w:rsidRPr="006E439E">
        <w:t xml:space="preserve">iodiversity and land use effects vary by site. Moreover, the short lifespan, which tech giants </w:t>
      </w:r>
      <w:r w:rsidR="00DB7639" w:rsidRPr="006E439E">
        <w:t>favor</w:t>
      </w:r>
      <w:r w:rsidRPr="006E439E">
        <w:t xml:space="preserve"> in their AI hardware, is leading to an electronic waste problem: by 2030, the total amount of AI infrastructure expected to contribute to e-waste is up to 2.5M </w:t>
      </w:r>
      <w:r w:rsidR="00DB7639" w:rsidRPr="006E439E">
        <w:t>tons</w:t>
      </w:r>
      <w:r w:rsidRPr="006E439E">
        <w:t xml:space="preserve"> each year </w:t>
      </w:r>
      <w:r>
        <w:fldChar w:fldCharType="begin"/>
      </w:r>
      <w:r>
        <w:instrText xml:space="preserve"> ADDIN ZOTERO_ITEM CSL_CITATION {"citationID":"dmjkCpIF","properties":{"unsorted":false,"formattedCitation":"[176]","plainCitation":"[176]","noteIndex":0},"citationItems":[{"id":2191,"uris":["http://zotero.org/users/9870935/items/PGQT4HIW"],"itemData":{"id":2191,"type":"document","title":"ENVIRONMENTAL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Pr="009669E1">
        <w:t>[176]</w:t>
      </w:r>
      <w:r>
        <w:fldChar w:fldCharType="end"/>
      </w:r>
      <w:r w:rsidRPr="006E439E">
        <w:t>.</w:t>
      </w:r>
    </w:p>
    <w:p w14:paraId="5138E04F" w14:textId="77777777" w:rsidR="00FE013C" w:rsidRDefault="00FE013C" w:rsidP="004C16FF">
      <w:pPr>
        <w:pStyle w:val="Heading20"/>
        <w:jc w:val="both"/>
      </w:pPr>
      <w:r w:rsidRPr="00E75DCC">
        <w:rPr>
          <w:color w:val="auto"/>
        </w:rPr>
        <w:t>1</w:t>
      </w:r>
      <w:r>
        <w:rPr>
          <w:color w:val="auto"/>
        </w:rPr>
        <w:t>2.5</w:t>
      </w:r>
      <w:r w:rsidRPr="00E75DCC">
        <w:rPr>
          <w:color w:val="auto"/>
        </w:rPr>
        <w:t xml:space="preserve"> </w:t>
      </w:r>
      <w:r>
        <w:t>Regulatory Barriers and Opportunities</w:t>
      </w:r>
    </w:p>
    <w:p w14:paraId="0E021EDA" w14:textId="7353F26E" w:rsidR="00FE013C" w:rsidRDefault="00FE013C" w:rsidP="004C16FF">
      <w:pPr>
        <w:spacing w:after="120"/>
        <w:ind w:firstLine="480"/>
      </w:pPr>
      <w:r w:rsidRPr="00C57C71">
        <w:t xml:space="preserve">Interconnection queue congestion is a major regulatory barrier for renewable-powered data </w:t>
      </w:r>
      <w:r w:rsidR="00580BAE">
        <w:t>center</w:t>
      </w:r>
      <w:r w:rsidRPr="00C57C71">
        <w:t xml:space="preserve">s today. In the past decade, the number of requests has grown substantially, and 2500 to 3,000 new requests have been submitted for new interconnection capacity of 400-750 GW/year. This has left a significant backlog, which is delaying efforts to integrate clean energy. Other hurdles involving </w:t>
      </w:r>
      <w:r w:rsidRPr="00C57C71">
        <w:lastRenderedPageBreak/>
        <w:t xml:space="preserve">distributed generation include distribution system design barriers (one-way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instrText xml:space="preserve"> ADDIN ZOTERO_ITEM CSL_CITATION {"citationID":"3kR8mlfQ","properties":{"unsorted":false,"formattedCitation":"[174], [178]","plainCitation":"[174], [178]","noteIndex":0},"citationItems":[{"id":2175,"uris":["http://zotero.org/users/9870935/items/YE4EN6MK"],"itemData":{"id":2175,"type":"document","title":"2026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Pr="009669E1">
        <w:t>[174], [178]</w:t>
      </w:r>
      <w:r>
        <w:fldChar w:fldCharType="end"/>
      </w:r>
      <w:r w:rsidRPr="00C57C71">
        <w:t xml:space="preserve">.  </w:t>
      </w:r>
    </w:p>
    <w:p w14:paraId="0266571C" w14:textId="77777777" w:rsidR="00FE013C" w:rsidRPr="002108A4" w:rsidRDefault="00FE013C" w:rsidP="004C16FF">
      <w:pPr>
        <w:pStyle w:val="Heading20"/>
        <w:jc w:val="both"/>
      </w:pPr>
      <w:r w:rsidRPr="00E75DCC">
        <w:rPr>
          <w:color w:val="auto"/>
        </w:rPr>
        <w:t>1</w:t>
      </w:r>
      <w:r>
        <w:rPr>
          <w:color w:val="auto"/>
        </w:rPr>
        <w:t>2.6</w:t>
      </w:r>
      <w:r w:rsidRPr="00E75DCC">
        <w:rPr>
          <w:color w:val="auto"/>
        </w:rPr>
        <w:t xml:space="preserve"> </w:t>
      </w:r>
      <w:r>
        <w:t>Sustainability Certifications and Reporting</w:t>
      </w:r>
    </w:p>
    <w:p w14:paraId="2B286C58" w14:textId="08F5A310" w:rsidR="00FE013C" w:rsidRDefault="00FE013C" w:rsidP="004C16FF">
      <w:pPr>
        <w:spacing w:after="120"/>
        <w:ind w:firstLine="480"/>
      </w:pPr>
      <w:r w:rsidRPr="002108A4">
        <w:t xml:space="preserve">Voluntary sustainability certifications are rapidly becoming regulatory compliance frameworks.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Pr="002108A4">
        <w:t>s by 2030. LEGACY Standards, such as LEED and ISO 50001 and the Uptime Institute's Tier Standard, are still significant benchmarks to use during operation, but are increasingly being incorporated into these higher-level compliance frameworks</w:t>
      </w:r>
      <w:r>
        <w:fldChar w:fldCharType="begin"/>
      </w:r>
      <w:r>
        <w:instrText xml:space="preserve"> ADDIN ZOTERO_ITEM CSL_CITATION {"citationID":"uVwMO1fa","properties":{"unsorted":false,"formattedCitation":"[170], [179]","plainCitation":"[170], [179]","noteIndex":0},"citationItems":[{"id":2256,"uris":["http://zotero.org/users/9870935/items/CYR5QZSI"],"itemData":{"id":2256,"type":"article-journal","container-title":"European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fldChar w:fldCharType="separate"/>
      </w:r>
      <w:r w:rsidRPr="00E621BF">
        <w:t>[170], [179]</w:t>
      </w:r>
      <w:r>
        <w:fldChar w:fldCharType="end"/>
      </w:r>
      <w:r w:rsidRPr="002108A4">
        <w:t>.</w:t>
      </w:r>
    </w:p>
    <w:p w14:paraId="48D13507" w14:textId="77777777" w:rsidR="00FE013C" w:rsidRDefault="00FE013C" w:rsidP="004C16FF">
      <w:pPr>
        <w:pStyle w:val="Heading1"/>
        <w:keepNext/>
        <w:jc w:val="both"/>
      </w:pPr>
      <w:r>
        <w:t>13. Conclusions</w:t>
      </w:r>
    </w:p>
    <w:p w14:paraId="1CEC1BD8" w14:textId="77777777" w:rsidR="00FE013C" w:rsidRPr="00F56D3B" w:rsidRDefault="00FE013C" w:rsidP="004C16FF">
      <w:pPr>
        <w:spacing w:after="120"/>
        <w:ind w:firstLine="480"/>
      </w:pPr>
      <w:r w:rsidRPr="00527524">
        <w:t>This review presents a seven-component framework for designing, deploying, and operating AI data centers powered by renewable energy. The framework integrates site assessment and resource evaluation, technology mix optimization, electrical architecture design, hierarchical control and dispatch strategies, demand-side workload flexibility, economic viability modeling, and sustainability and resilience compliance into a single unified methodology. This framework connects engineering, operational, financial, and regulatory considerations, whereas prior research primarily addressed either technical performance or economic feasibility in isolation. By placing renewable generation, energy storage, grid connection, and workload scheduling within one analytical structure, this framework provides a scalable, deployable path to reliable and cost-effective clean energy for AI computing infrastructure.</w:t>
      </w:r>
    </w:p>
    <w:p w14:paraId="28F50031" w14:textId="77777777" w:rsidR="00FE013C" w:rsidRDefault="00FE013C" w:rsidP="004C16FF">
      <w:pPr>
        <w:pStyle w:val="Heading20"/>
        <w:jc w:val="both"/>
      </w:pPr>
      <w:r w:rsidRPr="00E75DCC">
        <w:rPr>
          <w:color w:val="auto"/>
        </w:rPr>
        <w:lastRenderedPageBreak/>
        <w:t>1</w:t>
      </w:r>
      <w:r>
        <w:rPr>
          <w:color w:val="auto"/>
        </w:rPr>
        <w:t>3.1</w:t>
      </w:r>
      <w:r w:rsidRPr="00E75DCC">
        <w:rPr>
          <w:color w:val="auto"/>
        </w:rPr>
        <w:t xml:space="preserve"> </w:t>
      </w:r>
      <w:r w:rsidRPr="007275B1">
        <w:t>Key Technical Findings</w:t>
      </w:r>
    </w:p>
    <w:p w14:paraId="5A151FA8" w14:textId="2B3EE6E9" w:rsidR="00FE013C" w:rsidRDefault="00FE013C" w:rsidP="004C16FF">
      <w:pPr>
        <w:spacing w:after="120"/>
        <w:ind w:firstLine="480"/>
      </w:pPr>
      <w:r w:rsidRPr="002F47FC">
        <w:t xml:space="preserve">The cost trajectories of renewable energy and storage technologies are firmly established. Since 2010, solar PV installed costs have dropped by more than 90%, with current utility-scale prices in the range of $0.70 to $1.20/W depending on project scale and geography. Wind and solar generation profiles exhibit strong seasonal complementarity, improving system reliability while reducing storage requirements. Geographic diversification and hybrid renewable portfolios can reduce battery storage requirements by approximately 40–60% compared to single-technology solar-only deployments. Lithium iron phosphate (LFP) battery systems remain the dominant short-to-medium duration storage technology for data </w:t>
      </w:r>
      <w:r w:rsidR="00580BAE">
        <w:t>center</w:t>
      </w:r>
      <w:r w:rsidRPr="002F47FC">
        <w:t xml:space="preserve"> applications. Pack-level costs have fallen to approximately $108/kWh in 2025 and are projected to decline further to $65–95/kWh by 2030, making renewable-powered operations increasingly economically viable. The results demonstrate that hybrid renewable energy systems with 4–8 h of battery storage can meet 99.9% reliability targets while achieving an LCOE of $35–80/MWh, placing them at or below the cost of grid-supplied electricity in high-demand markets.</w:t>
      </w:r>
    </w:p>
    <w:p w14:paraId="776C5149" w14:textId="77777777" w:rsidR="00FE013C" w:rsidRDefault="00FE013C" w:rsidP="004C16FF">
      <w:pPr>
        <w:pStyle w:val="Heading20"/>
        <w:jc w:val="both"/>
      </w:pPr>
      <w:r w:rsidRPr="00E75DCC">
        <w:rPr>
          <w:color w:val="auto"/>
        </w:rPr>
        <w:t>1</w:t>
      </w:r>
      <w:r>
        <w:rPr>
          <w:color w:val="auto"/>
        </w:rPr>
        <w:t>3.2</w:t>
      </w:r>
      <w:r w:rsidRPr="00E75DCC">
        <w:rPr>
          <w:color w:val="auto"/>
        </w:rPr>
        <w:t xml:space="preserve"> </w:t>
      </w:r>
      <w:r w:rsidRPr="00586E14">
        <w:t>Key Economic Findings</w:t>
      </w:r>
    </w:p>
    <w:p w14:paraId="117754E2" w14:textId="1040D68B" w:rsidR="00FE013C" w:rsidRPr="009219B6" w:rsidRDefault="00FE013C" w:rsidP="004C16FF">
      <w:pPr>
        <w:spacing w:after="120"/>
        <w:ind w:firstLine="480"/>
      </w:pPr>
      <w:r w:rsidRPr="009219B6">
        <w:t xml:space="preserve">The economic analysis demonstrates that renewable-powered AI data </w:t>
      </w:r>
      <w:r w:rsidR="00580BAE">
        <w:t>center</w:t>
      </w:r>
      <w:r w:rsidRPr="009219B6">
        <w:t>s can yield strong financial returns under current market conditions. Through federal incentive programs such as the Investment Tax Credit under the Inflation Reduction Act and its associated bonus provisions, capital cost reductions are sufficient to achieve simple payback periods of 4–8 years for many projects. Net present value analysis indicates values of approximately $30 million to $120 million for a representative 100 MW facility, depending on local electricity costs, renewable resource quality, financing assumptions, and storage system costs. Comparative cost analysis further indicates that hybrid renewable systems can achieve a benchmark LCOE of approximately $55/MWh, substantially below the equivalent cost of $110/MWh for conventional grid-dependent operations in high-demand AI computing infrastructure.</w:t>
      </w:r>
    </w:p>
    <w:p w14:paraId="2A002337" w14:textId="77777777" w:rsidR="00FE013C" w:rsidRDefault="00FE013C" w:rsidP="004C16FF">
      <w:pPr>
        <w:pStyle w:val="Heading20"/>
        <w:jc w:val="both"/>
      </w:pPr>
      <w:r w:rsidRPr="00E75DCC">
        <w:rPr>
          <w:color w:val="auto"/>
        </w:rPr>
        <w:t>1</w:t>
      </w:r>
      <w:r>
        <w:rPr>
          <w:color w:val="auto"/>
        </w:rPr>
        <w:t>3.3</w:t>
      </w:r>
      <w:r w:rsidRPr="00E75DCC">
        <w:rPr>
          <w:color w:val="auto"/>
        </w:rPr>
        <w:t xml:space="preserve"> </w:t>
      </w:r>
      <w:r w:rsidRPr="00B64FB3">
        <w:t>Implementation Recommendations</w:t>
      </w:r>
    </w:p>
    <w:p w14:paraId="6253C8E6" w14:textId="77777777" w:rsidR="00FE013C" w:rsidRDefault="00FE013C" w:rsidP="004C16FF">
      <w:pPr>
        <w:spacing w:after="120"/>
        <w:ind w:firstLine="480"/>
      </w:pPr>
      <w:r w:rsidRPr="005D792C">
        <w:t>For mid-scale operators (10–100 MW), probabilistic storage sizing approaches, such as loss-of-load expectation (LOLE), are recommended over deterministic worst-case approaches. These methodologies typically yield capital expenditure savings of 30–60% in the storage infrastructure while maintaining equivalent reliability performance. For hyperscale facilities exceeding 100 MW, geographic load balancing and multi-regional energy procurement should be incorporated at the planning stage. Operators using distributed renewable portfolios and coordinated workload allocation may reduce per-facility storage requirements by 50–70% while improving overall system resilience. Across all facility scales, early engagement with transmission operators and utility interconnection processes is critical. As interconnection queues in many regions extend for several years, project developers should initiate interconnection applications at least two years before the expected construction start date to mitigate deployment delays and associated financial risks.</w:t>
      </w:r>
    </w:p>
    <w:p w14:paraId="434F0A2E" w14:textId="77777777" w:rsidR="00FE013C" w:rsidRPr="00F56D3B" w:rsidRDefault="00FE013C" w:rsidP="004C16FF">
      <w:pPr>
        <w:pStyle w:val="Heading1"/>
        <w:keepNext/>
        <w:jc w:val="both"/>
        <w:rPr>
          <w:lang w:val="en-US"/>
        </w:rPr>
      </w:pPr>
      <w:r>
        <w:lastRenderedPageBreak/>
        <w:t>14.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77777777" w:rsidR="00FE013C" w:rsidRPr="00035D77" w:rsidRDefault="00FE013C" w:rsidP="004C16FF">
      <w:pPr>
        <w:pStyle w:val="Heading20"/>
        <w:jc w:val="both"/>
        <w:rPr>
          <w:color w:val="auto"/>
        </w:rPr>
      </w:pPr>
      <w:bookmarkStart w:id="7" w:name="_Toc100090"/>
      <w:r w:rsidRPr="00035D77">
        <w:rPr>
          <w:color w:val="auto"/>
        </w:rPr>
        <w:t>1</w:t>
      </w:r>
      <w:r>
        <w:rPr>
          <w:color w:val="auto"/>
        </w:rPr>
        <w:t>4</w:t>
      </w:r>
      <w:r w:rsidRPr="00035D77">
        <w:rPr>
          <w:color w:val="auto"/>
        </w:rPr>
        <w:t>.1 Next-Generation Computing Paradigms</w:t>
      </w:r>
      <w:bookmarkEnd w:id="7"/>
    </w:p>
    <w:p w14:paraId="06942FFF" w14:textId="6DE23440" w:rsidR="00FE013C" w:rsidRDefault="00FE013C" w:rsidP="004C16FF">
      <w:pPr>
        <w:spacing w:after="120"/>
        <w:ind w:firstLine="480"/>
      </w:pPr>
      <w:r>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instrText xml:space="preserve"> ADDIN ZOTERO_ITEM CSL_CITATION {"citationID":"1crukupb","properties":{"unsorted":false,"formattedCitation":"[170]","plainCitation":"[170]","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Pr="009669E1">
        <w:t>[170]</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77777777" w:rsidR="00FE013C" w:rsidRDefault="00FE013C" w:rsidP="004C16FF">
      <w:pPr>
        <w:spacing w:after="120"/>
        <w:ind w:firstLine="480"/>
      </w:pPr>
      <w:r>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instrText xml:space="preserve"> ADDIN ZOTERO_ITEM CSL_CITATION {"citationID":"nhFiMoUD","properties":{"unsorted":false,"formattedCitation":"[180]","plainCitation":"[180]","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Pr="00E621BF">
        <w:t>[180]</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77777777" w:rsidR="00FE013C" w:rsidRDefault="00FE013C" w:rsidP="004C16FF">
      <w:pPr>
        <w:spacing w:after="120"/>
        <w:ind w:firstLine="480"/>
      </w:pPr>
      <w:r>
        <w:t>Photonic (optical) computing and interconnects represent the most imminent paradigm shift for AI energy reduction.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instrText xml:space="preserve"> ADDIN ZOTERO_ITEM CSL_CITATION {"citationID":"ZGhHTglV","properties":{"unsorted":false,"formattedCitation":"[181]","plainCitation":"[181]","noteIndex":0},"citationItems":[{"id":2207,"uris":["http://zotero.org/users/9870935/items/7C2QV3UH"],"itemData":{"id":2207,"type":"article-journal","abstract":"Panel-scale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Pr="00E621BF">
        <w:t>[181]</w:t>
      </w:r>
      <w:r>
        <w:fldChar w:fldCharType="end"/>
      </w:r>
      <w:r>
        <w:t>.</w:t>
      </w:r>
    </w:p>
    <w:p w14:paraId="28CC95DC" w14:textId="77777777" w:rsidR="00FE013C" w:rsidRPr="00131821" w:rsidRDefault="00FE013C" w:rsidP="004C16FF">
      <w:pPr>
        <w:pStyle w:val="Heading20"/>
        <w:jc w:val="both"/>
        <w:rPr>
          <w:color w:val="auto"/>
        </w:rPr>
      </w:pPr>
      <w:r w:rsidRPr="00131821">
        <w:rPr>
          <w:color w:val="auto"/>
        </w:rPr>
        <w:t>1</w:t>
      </w:r>
      <w:r>
        <w:rPr>
          <w:color w:val="auto"/>
        </w:rPr>
        <w:t>4</w:t>
      </w:r>
      <w:r w:rsidRPr="00131821">
        <w:rPr>
          <w:color w:val="auto"/>
        </w:rPr>
        <w:t>.2 Advanced Energy Storage Technologies</w:t>
      </w:r>
    </w:p>
    <w:p w14:paraId="4B9DDC35" w14:textId="5DD8F89D" w:rsidR="00FE013C" w:rsidRDefault="00FE013C" w:rsidP="004C16FF">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instrText xml:space="preserve"> ADDIN ZOTERO_ITEM CSL_CITATION {"citationID":"AOjUg4op","properties":{"unsorted":false,"formattedCitation":"[182]","plainCitation":"[182]","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Pr="00E621BF">
        <w:t>[182]</w:t>
      </w:r>
      <w:r>
        <w:fldChar w:fldCharType="end"/>
      </w:r>
      <w:r>
        <w:t>.</w:t>
      </w:r>
    </w:p>
    <w:p w14:paraId="0215BB71" w14:textId="71DE5F40" w:rsidR="00FE013C" w:rsidRPr="002108A4" w:rsidRDefault="00FE013C" w:rsidP="004C16FF">
      <w:pPr>
        <w:spacing w:after="120"/>
        <w:ind w:firstLine="480"/>
      </w:pPr>
      <w:r>
        <w:t>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constituting a paradigm shift for</w:t>
      </w:r>
      <w:r w:rsidR="004C1E8D">
        <w:t xml:space="preserve"> data center </w:t>
      </w:r>
      <w:r>
        <w:t>that must span multi-day renewable energy deficits</w:t>
      </w:r>
      <w:r>
        <w:fldChar w:fldCharType="begin"/>
      </w:r>
      <w:r>
        <w:instrText xml:space="preserve"> ADDIN ZOTERO_ITEM CSL_CITATION {"citationID":"kXk4XAc1","properties":{"unsorted":false,"formattedCitation":"[114]","plainCitation":"[114]","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Pr="00584BC7">
        <w:t>[114]</w:t>
      </w:r>
      <w:r>
        <w:fldChar w:fldCharType="end"/>
      </w:r>
      <w:r>
        <w:t xml:space="preserve">. A low-carbon hydrogen source can provide seasonal storage times. Now, costs need to drop dramatically, from $2/kg to less than $1/kg, for economic viability in data </w:t>
      </w:r>
      <w:r w:rsidR="00580BAE">
        <w:t>center</w:t>
      </w:r>
      <w:r>
        <w:t xml:space="preserve"> backup applications—a long-term target of massive amounts of </w:t>
      </w:r>
      <w:r w:rsidR="004C1E8D">
        <w:t>electrolyze</w:t>
      </w:r>
      <w:r>
        <w:t xml:space="preserve"> scale-up and reductions in renewable electricity cost.</w:t>
      </w:r>
    </w:p>
    <w:p w14:paraId="16C49DE4" w14:textId="77777777" w:rsidR="00FE013C" w:rsidRDefault="00FE013C" w:rsidP="004C16FF">
      <w:pPr>
        <w:pStyle w:val="Heading20"/>
        <w:jc w:val="both"/>
      </w:pPr>
      <w:r w:rsidRPr="00131821">
        <w:rPr>
          <w:color w:val="auto"/>
        </w:rPr>
        <w:t>1</w:t>
      </w:r>
      <w:r>
        <w:rPr>
          <w:color w:val="auto"/>
        </w:rPr>
        <w:t>4</w:t>
      </w:r>
      <w:r w:rsidRPr="00131821">
        <w:rPr>
          <w:color w:val="auto"/>
        </w:rPr>
        <w:t>.</w:t>
      </w:r>
      <w:r>
        <w:rPr>
          <w:color w:val="auto"/>
        </w:rPr>
        <w:t>3</w:t>
      </w:r>
      <w:r w:rsidRPr="00131821">
        <w:rPr>
          <w:color w:val="auto"/>
        </w:rPr>
        <w:t xml:space="preserve"> </w:t>
      </w:r>
      <w:r>
        <w:t>AI and Machine Learning for Grid Optimization</w:t>
      </w:r>
    </w:p>
    <w:p w14:paraId="0FEA0462" w14:textId="09BEF0B0" w:rsidR="00FE013C" w:rsidRPr="00593464" w:rsidRDefault="00FE013C" w:rsidP="004C16FF">
      <w:pPr>
        <w:spacing w:after="120"/>
        <w:ind w:firstLine="480"/>
      </w:pPr>
      <w:r w:rsidRPr="00593464">
        <w:lastRenderedPageBreak/>
        <w:t xml:space="preserve">Machine learning is being applied in many ways across the grid, be it forecasting, real-time dispatch, or predictive maintenance. Technologies such as </w:t>
      </w:r>
      <w:proofErr w:type="spellStart"/>
      <w:r w:rsidRPr="00593464">
        <w:t>spatio</w:t>
      </w:r>
      <w:proofErr w:type="spellEnd"/>
      <w:r w:rsidRPr="00593464">
        <w:t>-temporal networks and transformer-based time-series models have been shown to boost the accuracy of solar and wind forecasts by 20–30% compared to traditional numerical weather prediction models</w:t>
      </w:r>
      <w:r>
        <w:fldChar w:fldCharType="begin"/>
      </w:r>
      <w:r>
        <w:instrText xml:space="preserve"> ADDIN ZOTERO_ITEM CSL_CITATION {"citationID":"IpOR4aDm","properties":{"unsorted":false,"formattedCitation":"[114]","plainCitation":"[114]","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Pr="00584BC7">
        <w:t>[114]</w:t>
      </w:r>
      <w:r>
        <w:fldChar w:fldCharType="end"/>
      </w:r>
      <w:r w:rsidRPr="00593464">
        <w:t xml:space="preserve">. Reinforcement learning (RL) agents are known to be highly effective 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anomaly detection algorithms on the edge can detect trends in insulation and mechanical degradation of equipment in 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instrText xml:space="preserve"> ADDIN ZOTERO_ITEM CSL_CITATION {"citationID":"rSU4U6il","properties":{"unsorted":false,"formattedCitation":"[183]","plainCitation":"[183]","noteIndex":0},"citationItems":[{"id":2212,"uris":["http://zotero.org/users/9870935/items/VXAENHHC"],"itemData":{"id":2212,"type":"article","abstract":"Safe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Pr="00E621BF">
        <w:t>[183]</w:t>
      </w:r>
      <w:r>
        <w:fldChar w:fldCharType="end"/>
      </w:r>
      <w:r w:rsidRPr="00593464">
        <w:t>.</w:t>
      </w:r>
    </w:p>
    <w:p w14:paraId="1FB6D1D6" w14:textId="77777777" w:rsidR="00FE013C" w:rsidRPr="00593464" w:rsidRDefault="00FE013C" w:rsidP="004C16FF">
      <w:pPr>
        <w:pStyle w:val="Heading20"/>
        <w:jc w:val="both"/>
        <w:rPr>
          <w:color w:val="auto"/>
        </w:rPr>
      </w:pPr>
      <w:r w:rsidRPr="00593464">
        <w:rPr>
          <w:color w:val="auto"/>
        </w:rPr>
        <w:t>1</w:t>
      </w:r>
      <w:r>
        <w:rPr>
          <w:color w:val="auto"/>
        </w:rPr>
        <w:t>4</w:t>
      </w:r>
      <w:r w:rsidRPr="00593464">
        <w:rPr>
          <w:color w:val="auto"/>
        </w:rPr>
        <w:t>.4 Challenges for a 100 percent Renewable Grid</w:t>
      </w:r>
    </w:p>
    <w:p w14:paraId="439CB4FE" w14:textId="77777777" w:rsidR="00FE013C" w:rsidRPr="00180502" w:rsidRDefault="00FE013C" w:rsidP="004C16FF">
      <w:pPr>
        <w:spacing w:after="120"/>
        <w:ind w:firstLine="480"/>
      </w:pPr>
      <w:r w:rsidRPr="00180502">
        <w:t>The structural stability challenges faced by power systems operating with a renewable penetration of more than 80</w:t>
      </w:r>
      <w:r>
        <w:t xml:space="preserve">% </w:t>
      </w:r>
      <w:r w:rsidRPr="00180502">
        <w:t>are qualitatively different from those faced by power systems operating in a traditional manner. Conventional thermal generation has been retired, leaving frequency nadir and rate of change of frequency (</w:t>
      </w:r>
      <w:proofErr w:type="spellStart"/>
      <w:r w:rsidRPr="00180502">
        <w:t>RoCoF</w:t>
      </w:r>
      <w:proofErr w:type="spellEnd"/>
      <w:r w:rsidRPr="00180502">
        <w:t xml:space="preserve">) dynamics as a significant challenge. In this operating environment, fast acting Inverter Based Resources (IBRs) with Grid-Forming Control (GFC) is required to provide synthetic inertia and help stabilize sub-second frequency deviations </w:t>
      </w:r>
      <w:r>
        <w:fldChar w:fldCharType="begin"/>
      </w:r>
      <w:r>
        <w:instrText xml:space="preserve"> ADDIN ZOTERO_ITEM CSL_CITATION {"citationID":"TKwvq3OP","properties":{"unsorted":false,"formattedCitation":"[184]","plainCitation":"[184]","noteIndex":0},"citationItems":[{"id":2214,"uris":["http://zotero.org/users/9870935/items/L3VF7GNN"],"itemData":{"id":2214,"type":"article-journal","abstract":"This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Pr="00E621BF">
        <w:t>[184]</w:t>
      </w:r>
      <w:r>
        <w:fldChar w:fldCharType="end"/>
      </w:r>
      <w:r w:rsidRPr="00180502">
        <w:t>.</w:t>
      </w:r>
    </w:p>
    <w:p w14:paraId="6DD83B3A" w14:textId="77777777" w:rsidR="00FE013C" w:rsidRPr="00180502" w:rsidRDefault="00FE013C" w:rsidP="004C16FF">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instrText xml:space="preserve"> ADDIN ZOTERO_ITEM CSL_CITATION {"citationID":"g1phXAsO","properties":{"unsorted":false,"formattedCitation":"[173]","plainCitation":"[173]","noteIndex":0},"citationItems":[{"id":2189,"uris":["http://zotero.org/users/9870935/items/U4Y7SALQ"],"itemData":{"id":2189,"type":"article-journal","abstract":"The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Pr="009669E1">
        <w:t>[173]</w:t>
      </w:r>
      <w:r>
        <w:fldChar w:fldCharType="end"/>
      </w:r>
      <w:r w:rsidRPr="00180502">
        <w:t>.</w:t>
      </w:r>
    </w:p>
    <w:p w14:paraId="1B6520CD" w14:textId="7CD17BEC" w:rsidR="00FE013C" w:rsidRDefault="00FE013C" w:rsidP="004C16FF">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instrText xml:space="preserve"> ADDIN ZOTERO_ITEM CSL_CITATION {"citationID":"3pIrnlsx","properties":{"unsorted":false,"formattedCitation":"[109]","plainCitation":"[109]","noteIndex":0},"citationItems":[{"id":2215,"uris":["http://zotero.org/users/9870935/items/6KYBNJ5X"],"itemData":{"id":2215,"type":"article-journal","abstract":"Abstract\n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Pr="00584BC7">
        <w:t>[109]</w:t>
      </w:r>
      <w:r>
        <w:fldChar w:fldCharType="end"/>
      </w:r>
      <w:r w:rsidRPr="00180502">
        <w:t>.</w:t>
      </w:r>
    </w:p>
    <w:p w14:paraId="11A80E59" w14:textId="77777777" w:rsidR="00FE013C" w:rsidRPr="00593464" w:rsidRDefault="00FE013C" w:rsidP="004C16FF">
      <w:pPr>
        <w:pStyle w:val="Heading20"/>
        <w:jc w:val="both"/>
        <w:rPr>
          <w:color w:val="auto"/>
        </w:rPr>
      </w:pPr>
      <w:r w:rsidRPr="00593464">
        <w:rPr>
          <w:color w:val="auto"/>
        </w:rPr>
        <w:t>1</w:t>
      </w:r>
      <w:r>
        <w:rPr>
          <w:color w:val="auto"/>
        </w:rPr>
        <w:t>4</w:t>
      </w:r>
      <w:r w:rsidRPr="00593464">
        <w:rPr>
          <w:color w:val="auto"/>
        </w:rPr>
        <w:t>.</w:t>
      </w:r>
      <w:r>
        <w:rPr>
          <w:color w:val="auto"/>
        </w:rPr>
        <w:t>5</w:t>
      </w:r>
      <w:r w:rsidRPr="00593464">
        <w:rPr>
          <w:color w:val="auto"/>
        </w:rPr>
        <w:t xml:space="preserve"> </w:t>
      </w:r>
      <w:r>
        <w:t>Integration with Grid Modernization</w:t>
      </w:r>
    </w:p>
    <w:p w14:paraId="773B36CF" w14:textId="41957119" w:rsidR="00FE013C" w:rsidRPr="00931E05" w:rsidRDefault="00FE013C" w:rsidP="004C16FF">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fertile ground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buffer. Another obvious </w:t>
      </w:r>
      <w:r w:rsidR="004C1E8D" w:rsidRPr="00931E05">
        <w:t>optimization</w:t>
      </w:r>
      <w:r w:rsidRPr="00931E05">
        <w:t xml:space="preserve"> path is thermal </w:t>
      </w:r>
      <w:r w:rsidR="004C1E8D" w:rsidRPr="00931E05">
        <w:t>modernization</w:t>
      </w:r>
      <w:r w:rsidRPr="00931E05">
        <w:t>. Hype</w:t>
      </w:r>
      <w:r>
        <w:t>r</w:t>
      </w:r>
      <w:r w:rsidRPr="00931E05">
        <w:t xml:space="preserve">scale facilities are quickly moving to liquid cooling loops to support high-density AI clusters and are rejecting high-grade waste heat, often </w:t>
      </w:r>
      <w:proofErr w:type="gramStart"/>
      <w:r w:rsidRPr="00931E05">
        <w:t>in excess of</w:t>
      </w:r>
      <w:proofErr w:type="gramEnd"/>
      <w:r w:rsidRPr="00931E05">
        <w:t xml:space="preserve"> 60°C. This increased temperature resource enables very effective integration with nearby municipal district heating or district cooling systems and/or adjacent industrial processes, </w:t>
      </w:r>
      <w:r w:rsidRPr="00931E05">
        <w:lastRenderedPageBreak/>
        <w:t>resulting in a significant reduction in the comprehensive power usage effectiveness (PUE) and total resource effectiveness (TRE) of the facility</w:t>
      </w:r>
      <w:r>
        <w:fldChar w:fldCharType="begin"/>
      </w:r>
      <w:r>
        <w:instrText xml:space="preserve"> ADDIN ZOTERO_ITEM CSL_CITATION {"citationID":"Gz8clESV","properties":{"unsorted":false,"formattedCitation":"[185]","plainCitation":"[185]","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Pr="00E621BF">
        <w:t>[185]</w:t>
      </w:r>
      <w:r>
        <w:fldChar w:fldCharType="end"/>
      </w:r>
      <w:r w:rsidRPr="00931E05">
        <w:t>.</w:t>
      </w:r>
    </w:p>
    <w:p w14:paraId="35B2922B" w14:textId="77777777" w:rsidR="00FE013C" w:rsidRPr="00593464" w:rsidRDefault="00FE013C" w:rsidP="004C16FF">
      <w:pPr>
        <w:pStyle w:val="Heading20"/>
        <w:jc w:val="both"/>
        <w:rPr>
          <w:color w:val="auto"/>
        </w:rPr>
      </w:pPr>
      <w:r w:rsidRPr="00593464">
        <w:rPr>
          <w:color w:val="auto"/>
        </w:rPr>
        <w:t>1</w:t>
      </w:r>
      <w:r>
        <w:rPr>
          <w:color w:val="auto"/>
        </w:rPr>
        <w:t>4</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of the control loop within data </w:t>
      </w:r>
      <w:r w:rsidR="00580BAE">
        <w:t>center</w:t>
      </w:r>
      <w:r w:rsidRPr="00CE10B6">
        <w:t xml:space="preserve"> (DC) microgrids; and field-test AI-based workload shifting in correlation with local distribution constraint signals.</w:t>
      </w:r>
    </w:p>
    <w:p w14:paraId="3B52A0C4" w14:textId="5D99B1C0" w:rsidR="00FE013C" w:rsidRPr="00CE10B6" w:rsidRDefault="00FE013C" w:rsidP="004C16FF">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coordination challenges of multi-gigawatt data </w:t>
      </w:r>
      <w:r w:rsidR="00580BAE">
        <w:t>center</w:t>
      </w:r>
      <w:r w:rsidRPr="00CE10B6">
        <w:t xml:space="preserve"> clusters operating in 100 percent inverted-dominated grids.</w:t>
      </w:r>
    </w:p>
    <w:p w14:paraId="6BEE3FDD" w14:textId="77777777"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w:t>
      </w:r>
      <w:proofErr w:type="spellStart"/>
      <w:r w:rsidRPr="00CE10B6">
        <w:t>decentralised</w:t>
      </w:r>
      <w:proofErr w:type="spellEnd"/>
      <w:r w:rsidRPr="00CE10B6">
        <w:t>, self-healing autonomous microgrids operating in island mode.</w:t>
      </w:r>
    </w:p>
    <w:p w14:paraId="2E14F81F" w14:textId="77777777" w:rsidR="00FE013C" w:rsidRDefault="00FE013C" w:rsidP="004C16FF">
      <w:pPr>
        <w:pStyle w:val="Heading10"/>
        <w:jc w:val="both"/>
        <w:rPr>
          <w:color w:val="auto"/>
        </w:rPr>
      </w:pPr>
      <w:r>
        <w:rPr>
          <w:color w:val="auto"/>
        </w:rPr>
        <w:t>References</w:t>
      </w:r>
    </w:p>
    <w:p w14:paraId="757F9A65" w14:textId="73D15B5C" w:rsidR="00FE013C" w:rsidRDefault="00FE013C" w:rsidP="004C16FF">
      <w:pPr>
        <w:pStyle w:val="Bibliography"/>
      </w:pPr>
      <w:r>
        <w:rPr>
          <w:color w:val="auto"/>
        </w:rPr>
        <w:fldChar w:fldCharType="begin"/>
      </w:r>
      <w:r>
        <w:rPr>
          <w:color w:val="auto"/>
        </w:rPr>
        <w:instrText xml:space="preserve"> ADDIN ZOTERO_BIBL {"uncited":[],"omitted":[],"custom":[]} CSL_BIBLIOGRAPHY </w:instrText>
      </w:r>
      <w:r>
        <w:rPr>
          <w:color w:val="auto"/>
        </w:rPr>
        <w:fldChar w:fldCharType="separate"/>
      </w:r>
      <w:r>
        <w:t>[1]</w:t>
      </w:r>
      <w:r>
        <w:tab/>
        <w:t xml:space="preserve">IEA, “Data </w:t>
      </w:r>
      <w:r w:rsidR="00580BAE">
        <w:t>Center</w:t>
      </w:r>
      <w:r>
        <w:t>s and Data Transmission Networks.” [Online]. Available: https://www.iea.org/energy-system/buildings/data-</w:t>
      </w:r>
      <w:r w:rsidR="00580BAE">
        <w:t>center</w:t>
      </w:r>
      <w:r>
        <w:t>s-and-data-transmission-networks</w:t>
      </w:r>
    </w:p>
    <w:p w14:paraId="3B530C6D" w14:textId="77777777" w:rsidR="00FE013C" w:rsidRDefault="00FE013C" w:rsidP="004C16FF">
      <w:pPr>
        <w:pStyle w:val="Bibliography"/>
      </w:pPr>
      <w:r>
        <w:t>[2]</w:t>
      </w:r>
      <w:r>
        <w:tab/>
        <w:t xml:space="preserve">A. Shehabi </w:t>
      </w:r>
      <w:r>
        <w:rPr>
          <w:i/>
          <w:iCs/>
        </w:rPr>
        <w:t>et al.</w:t>
      </w:r>
      <w:r>
        <w:t>, “United States Data Center Energy Usage Report,” LBNL--1005775, 1372902, Jun. 2016. doi: 10.2172/1372902.</w:t>
      </w:r>
    </w:p>
    <w:p w14:paraId="7C1095A0" w14:textId="77777777" w:rsidR="00FE013C" w:rsidRDefault="00FE013C" w:rsidP="004C16FF">
      <w:pPr>
        <w:pStyle w:val="Bibliography"/>
      </w:pPr>
      <w:r>
        <w:t>[3]</w:t>
      </w:r>
      <w:r>
        <w:tab/>
        <w:t>IEA, “Energy and AI.” Accessed: Apr. 10, 2025. [Online]. Available: https://www.iea.org/reports/energy-and-ai</w:t>
      </w:r>
    </w:p>
    <w:p w14:paraId="234907C6" w14:textId="77777777" w:rsidR="00FE013C" w:rsidRDefault="00FE013C" w:rsidP="004C16FF">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43BBF917" w14:textId="77777777" w:rsidR="00FE013C" w:rsidRDefault="00FE013C" w:rsidP="004C16FF">
      <w:pPr>
        <w:pStyle w:val="Bibliography"/>
      </w:pPr>
      <w:r>
        <w:t>[5]</w:t>
      </w:r>
      <w:r>
        <w:tab/>
        <w:t xml:space="preserve">E. Strubell, A. Ganesh, and A. McCallum, “Energy and Policy Considerations for Deep Learning in NLP,” 2019, </w:t>
      </w:r>
      <w:r>
        <w:rPr>
          <w:i/>
          <w:iCs/>
        </w:rPr>
        <w:t>arXiv</w:t>
      </w:r>
      <w:r>
        <w:t>. doi: 10.48550/ARXIV.1906.02243.</w:t>
      </w:r>
    </w:p>
    <w:p w14:paraId="1D4FD01C" w14:textId="77777777" w:rsidR="00FE013C" w:rsidRDefault="00FE013C" w:rsidP="004C16FF">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19EF731A" w14:textId="77777777" w:rsidR="00FE013C" w:rsidRDefault="00FE013C" w:rsidP="004C16FF">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121F7760" w14:textId="77777777" w:rsidR="00FE013C" w:rsidRDefault="00FE013C" w:rsidP="004C16FF">
      <w:pPr>
        <w:pStyle w:val="Bibliography"/>
      </w:pPr>
      <w:r>
        <w:t>[8]</w:t>
      </w:r>
      <w:r>
        <w:tab/>
        <w:t xml:space="preserve">X. Chen, X. Wang, A. Colacelli, M. Lee, and L. Xie, “Electricity Demand and Grid Impacts of AI Data Centers: Challenges and Prospects,” Nov. 26, 2025, </w:t>
      </w:r>
      <w:r>
        <w:rPr>
          <w:i/>
          <w:iCs/>
        </w:rPr>
        <w:t>arXiv</w:t>
      </w:r>
      <w:r>
        <w:t>: arXiv:2509.07218. doi: 10.48550/arXiv.2509.07218.</w:t>
      </w:r>
    </w:p>
    <w:p w14:paraId="5C3369ED" w14:textId="77777777" w:rsidR="00FE013C" w:rsidRDefault="00FE013C" w:rsidP="004C16FF">
      <w:pPr>
        <w:pStyle w:val="Bibliography"/>
      </w:pPr>
      <w:r>
        <w:lastRenderedPageBreak/>
        <w:t>[9]</w:t>
      </w:r>
      <w:r>
        <w:tab/>
        <w:t xml:space="preserve">D. Donnellan </w:t>
      </w:r>
      <w:r>
        <w:rPr>
          <w:i/>
          <w:iCs/>
        </w:rPr>
        <w:t>et al.</w:t>
      </w:r>
      <w:r>
        <w:t>, “Uptime Institute Global Data Center Survey 2024,” 2024, [Online]. Available: https://uptimeinstitute.com/resources/research-and-reports/uptime-institute-global-data-center-survey-results-2024</w:t>
      </w:r>
    </w:p>
    <w:p w14:paraId="3B7390F3" w14:textId="77777777" w:rsidR="00FE013C" w:rsidRDefault="00FE013C" w:rsidP="004C16FF">
      <w:pPr>
        <w:pStyle w:val="Bibliography"/>
      </w:pPr>
      <w:r>
        <w:t>[10]</w:t>
      </w:r>
      <w:r>
        <w:tab/>
        <w:t xml:space="preserve">M. Andersch </w:t>
      </w:r>
      <w:r>
        <w:rPr>
          <w:i/>
          <w:iCs/>
        </w:rPr>
        <w:t>et al.</w:t>
      </w:r>
      <w:r>
        <w:t>, “NVIDIA Hopper Architecture In-Depth”, [Online]. Available: https://developer.nvidia.com/blog/nvidia-hopper-architecture-in-depth/</w:t>
      </w:r>
    </w:p>
    <w:p w14:paraId="5B8C8AAD" w14:textId="77777777" w:rsidR="00FE013C" w:rsidRDefault="00FE013C" w:rsidP="004C16FF">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39B0E4DE" w14:textId="77777777" w:rsidR="00FE013C" w:rsidRDefault="00FE013C" w:rsidP="004C16FF">
      <w:pPr>
        <w:pStyle w:val="Bibliography"/>
      </w:pPr>
      <w:r>
        <w:t>[12]</w:t>
      </w:r>
      <w:r>
        <w:tab/>
        <w:t>“Driving sustainable innovation for society.” [Online]. Available: https://datacenters.google/operating-sustainably/</w:t>
      </w:r>
    </w:p>
    <w:p w14:paraId="5248E034" w14:textId="77777777" w:rsidR="00FE013C" w:rsidRDefault="00FE013C" w:rsidP="004C16FF">
      <w:pPr>
        <w:pStyle w:val="Bibliography"/>
      </w:pPr>
      <w:r>
        <w:t>[13]</w:t>
      </w:r>
      <w:r>
        <w:tab/>
        <w:t xml:space="preserve">D. Feldman </w:t>
      </w:r>
      <w:r>
        <w:rPr>
          <w:i/>
          <w:iCs/>
        </w:rPr>
        <w:t>et al.</w:t>
      </w:r>
      <w:r>
        <w:t>, “Spring 2024 Solar Industry Update,” NREL/PR--7A40-90042, 2376145, MainId:91820, May 2024. doi: 10.2172/2376145.</w:t>
      </w:r>
    </w:p>
    <w:p w14:paraId="50CE16A3" w14:textId="77777777" w:rsidR="00FE013C" w:rsidRDefault="00FE013C" w:rsidP="004C16FF">
      <w:pPr>
        <w:pStyle w:val="Bibliography"/>
      </w:pPr>
      <w:r>
        <w:t>[14]</w:t>
      </w:r>
      <w:r>
        <w:tab/>
        <w:t>IRENA, “Renewable power generation costs in 2023”, [Online]. Available: https://www.irena.org/-/media/Files/IRENA/Agency/Publication/2024/Sep/IRENA_Renewable_power_generation_costs_in_2023.pdf</w:t>
      </w:r>
    </w:p>
    <w:p w14:paraId="0D474CB3" w14:textId="77777777" w:rsidR="00FE013C" w:rsidRDefault="00FE013C" w:rsidP="004C16FF">
      <w:pPr>
        <w:pStyle w:val="Bibliography"/>
      </w:pPr>
      <w:r>
        <w:t>[15]</w:t>
      </w:r>
      <w:r>
        <w:tab/>
        <w:t>IEA, “Wind.” Accessed: Feb. 25, 2025. [Online]. Available: https://www.iea.org/energy-system/renewables/wind</w:t>
      </w:r>
    </w:p>
    <w:p w14:paraId="03562E92" w14:textId="77777777" w:rsidR="00FE013C" w:rsidRDefault="00FE013C" w:rsidP="004C16FF">
      <w:pPr>
        <w:pStyle w:val="Bibliography"/>
      </w:pPr>
      <w:r>
        <w:t>[16]</w:t>
      </w:r>
      <w:r>
        <w:tab/>
        <w:t>“Renewable power generation costs in 2024”, [Online]. Available: https://www.rinnovabili.it/wp-content/uploads/2025/07/IRENA-RENEWABLE-POWER-GENERATION-COSTS-IN-2024.pdf</w:t>
      </w:r>
    </w:p>
    <w:p w14:paraId="1C454BB7" w14:textId="77777777" w:rsidR="00FE013C" w:rsidRDefault="00FE013C" w:rsidP="004C16FF">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2976798F" w14:textId="77777777" w:rsidR="00FE013C" w:rsidRDefault="00FE013C" w:rsidP="004C16FF">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412220C4" w14:textId="77777777" w:rsidR="00FE013C" w:rsidRDefault="00FE013C" w:rsidP="004C16FF">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554FD36C" w14:textId="77777777" w:rsidR="00FE013C" w:rsidRDefault="00FE013C" w:rsidP="004C16FF">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726EB65D" w14:textId="77777777" w:rsidR="00FE013C" w:rsidRDefault="00FE013C" w:rsidP="004C16FF">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1C570FB7" w14:textId="77777777" w:rsidR="00FE013C" w:rsidRDefault="00FE013C" w:rsidP="004C16FF">
      <w:pPr>
        <w:pStyle w:val="Bibliography"/>
      </w:pPr>
      <w:r>
        <w:t>[22]</w:t>
      </w:r>
      <w:r>
        <w:tab/>
      </w:r>
      <w:r>
        <w:rPr>
          <w:i/>
          <w:iCs/>
        </w:rPr>
        <w:t>IEEE Standard for Harmonic Control in Electric Power Systems</w:t>
      </w:r>
      <w:r>
        <w:t>. doi: 10.1109/IEEESTD.2022.9848440.</w:t>
      </w:r>
    </w:p>
    <w:p w14:paraId="530291C2" w14:textId="77777777" w:rsidR="00FE013C" w:rsidRDefault="00FE013C" w:rsidP="004C16FF">
      <w:pPr>
        <w:pStyle w:val="Bibliography"/>
      </w:pPr>
      <w:r>
        <w:t>[23]</w:t>
      </w:r>
      <w:r>
        <w:tab/>
        <w:t>M. C. Offutt and L. Zhu, “Data Centers and Their Energy Consumption: Frequently Asked Questions”.</w:t>
      </w:r>
    </w:p>
    <w:p w14:paraId="249E94BF" w14:textId="77777777" w:rsidR="00FE013C" w:rsidRDefault="00FE013C" w:rsidP="004C16FF">
      <w:pPr>
        <w:pStyle w:val="Bibliography"/>
      </w:pPr>
      <w:r>
        <w:lastRenderedPageBreak/>
        <w:t>[24]</w:t>
      </w:r>
      <w:r>
        <w:tab/>
        <w:t>“Improvements to Generator Interconnection Procedures and Agreements.” Accessed: Sep. 06, 2023. [Online]. Available: https://www.federalregister.gov/documents/2023/09/06/2023-16628/improvements-to-generator-interconnection-procedures-and-agreements</w:t>
      </w:r>
    </w:p>
    <w:p w14:paraId="72BD31FC" w14:textId="77777777" w:rsidR="00FE013C" w:rsidRDefault="00FE013C" w:rsidP="004C16FF">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5F337F24" w14:textId="77777777" w:rsidR="00FE013C" w:rsidRDefault="00FE013C" w:rsidP="004C16FF">
      <w:pPr>
        <w:pStyle w:val="Bibliography"/>
      </w:pPr>
      <w:r>
        <w:t>[26]</w:t>
      </w:r>
      <w:r>
        <w:tab/>
        <w:t xml:space="preserve">R. Mural </w:t>
      </w:r>
      <w:r>
        <w:rPr>
          <w:i/>
          <w:iCs/>
        </w:rPr>
        <w:t>et al.</w:t>
      </w:r>
      <w:r>
        <w:t>, “AI, Data Centers, and the U.S. Electric Grid: A Watershed Moment”, [Online]. Available: https://www.belfercenter.org/research-analysis/ai-data-centers-us-electric-grid</w:t>
      </w:r>
    </w:p>
    <w:p w14:paraId="55A165D0" w14:textId="77777777" w:rsidR="00FE013C" w:rsidRDefault="00FE013C" w:rsidP="004C16FF">
      <w:pPr>
        <w:pStyle w:val="Bibliography"/>
      </w:pPr>
      <w:r>
        <w:t>[27]</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2BCBBF52" w14:textId="77777777" w:rsidR="00FE013C" w:rsidRDefault="00FE013C" w:rsidP="004C16FF">
      <w:pPr>
        <w:pStyle w:val="Bibliography"/>
      </w:pPr>
      <w:r>
        <w:t>[28]</w:t>
      </w:r>
      <w:r>
        <w:tab/>
        <w:t>V. Avelar and P. Donovan, “How 6 AI Attributes Change Data Center Design”, [Online]. Available: https://download.schneider-electric.com/files?p_Doc_Ref=SPD_WP110_EN&amp;p_enDocType=White+Paper&amp;p_File_Name=WP110_V3_1_EN.pdf</w:t>
      </w:r>
    </w:p>
    <w:p w14:paraId="42776FB3" w14:textId="77777777" w:rsidR="00FE013C" w:rsidRDefault="00FE013C" w:rsidP="004C16FF">
      <w:pPr>
        <w:pStyle w:val="Bibliography"/>
      </w:pPr>
      <w:r>
        <w:t>[29]</w:t>
      </w:r>
      <w:r>
        <w:tab/>
        <w:t xml:space="preserve">T. B. Brown </w:t>
      </w:r>
      <w:r>
        <w:rPr>
          <w:i/>
          <w:iCs/>
        </w:rPr>
        <w:t>et al.</w:t>
      </w:r>
      <w:r>
        <w:t xml:space="preserve">, “Language Models are Few-Shot Learners,” 2020, </w:t>
      </w:r>
      <w:r>
        <w:rPr>
          <w:i/>
          <w:iCs/>
        </w:rPr>
        <w:t>arXiv</w:t>
      </w:r>
      <w:r>
        <w:t>. doi: 10.48550/ARXIV.2005.14165.</w:t>
      </w:r>
    </w:p>
    <w:p w14:paraId="7B0507BB" w14:textId="77777777" w:rsidR="00FE013C" w:rsidRDefault="00FE013C" w:rsidP="004C16FF">
      <w:pPr>
        <w:pStyle w:val="Bibliography"/>
      </w:pPr>
      <w:r>
        <w:t>[30]</w:t>
      </w:r>
      <w:r>
        <w:tab/>
        <w:t>M. Raza, “Carbon Literacy for Generative AI: Visualizing Training Emissions Through Human-Scale Equivalents”, [Online]. Available: https://openreview.net/forum?id=86NT1eVitH&amp;referrer=%5Bthe%20profile%20of%20Mahveen%20Raza%5D(%2Fprofile%3Fid%3D~Mahveen_Raza1)</w:t>
      </w:r>
    </w:p>
    <w:p w14:paraId="0B068BBF" w14:textId="77777777" w:rsidR="00FE013C" w:rsidRDefault="00FE013C" w:rsidP="004C16FF">
      <w:pPr>
        <w:pStyle w:val="Bibliography"/>
      </w:pPr>
      <w:r>
        <w:t>[31]</w:t>
      </w:r>
      <w:r>
        <w:tab/>
        <w:t>Google, “Growing the internet while reducing energy consumption.” [Online]. Available: https://datacenters.google/efficiency/</w:t>
      </w:r>
    </w:p>
    <w:p w14:paraId="152BC6C7" w14:textId="4EBBCC89" w:rsidR="00FE013C" w:rsidRDefault="00FE013C" w:rsidP="004C16FF">
      <w:pPr>
        <w:pStyle w:val="Bibliography"/>
      </w:pPr>
      <w:r>
        <w:t>[32]</w:t>
      </w:r>
      <w:r>
        <w:tab/>
        <w:t xml:space="preserve">D. Al Kez, A. M. Foley, F. W. B. M. Hasan Wong, A. Dolfi, and G. Srinivasan, “AI-driven cooling technologies for high-performance data </w:t>
      </w:r>
      <w:r w:rsidR="00580BAE">
        <w:t>center</w:t>
      </w:r>
      <w:r>
        <w:t xml:space="preserve">s: state-of-the-art review and future directions,” </w:t>
      </w:r>
      <w:r>
        <w:rPr>
          <w:i/>
          <w:iCs/>
        </w:rPr>
        <w:t>Sustain. Energy Technol. Assess.</w:t>
      </w:r>
      <w:r>
        <w:t>, vol. 82, p. 104511, Oct. 2025, doi: 10.1016/j.seta.2025.104511.</w:t>
      </w:r>
    </w:p>
    <w:p w14:paraId="4B757019" w14:textId="77777777" w:rsidR="00FE013C" w:rsidRDefault="00FE013C" w:rsidP="004C16FF">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735A4493" w14:textId="77777777" w:rsidR="00FE013C" w:rsidRDefault="00FE013C" w:rsidP="004C16FF">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69059EE8" w14:textId="77777777" w:rsidR="00FE013C" w:rsidRDefault="00FE013C" w:rsidP="004C16FF">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17AE0C84" w14:textId="77777777" w:rsidR="00FE013C" w:rsidRDefault="00FE013C" w:rsidP="004C16FF">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0B22DC74" w14:textId="77777777" w:rsidR="00FE013C" w:rsidRDefault="00FE013C" w:rsidP="004C16FF">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536FFFF8" w14:textId="77777777" w:rsidR="00FE013C" w:rsidRDefault="00FE013C" w:rsidP="004C16FF">
      <w:pPr>
        <w:pStyle w:val="Bibliography"/>
      </w:pPr>
      <w:r>
        <w:lastRenderedPageBreak/>
        <w:t>[38]</w:t>
      </w:r>
      <w:r>
        <w:tab/>
        <w:t xml:space="preserve">P. Blecich, I. Bonefačić, T. Senčić, and I. Wolf, “Resilience Under Heatwaves: Croatia’s Power System During the July 2024 Heatwave and the Role of Variable Renewable Energy by 2030,” </w:t>
      </w:r>
      <w:r>
        <w:rPr>
          <w:i/>
          <w:iCs/>
        </w:rPr>
        <w:t>Appl. Sci.</w:t>
      </w:r>
      <w:r>
        <w:t>, vol. 15, no. 12, p. 6440, Jun. 2025, doi: 10.3390/app15126440.</w:t>
      </w:r>
    </w:p>
    <w:p w14:paraId="0ABB9EEB" w14:textId="77777777" w:rsidR="00FE013C" w:rsidRDefault="00FE013C" w:rsidP="004C16FF">
      <w:pPr>
        <w:pStyle w:val="Bibliography"/>
      </w:pPr>
      <w:r>
        <w:t>[39]</w:t>
      </w:r>
      <w:r>
        <w:tab/>
        <w:t xml:space="preserve">G. Gülen, J. Das, and M. H. Young, “Assessing Economic Costs of Two Reliable Generation Mix Scenarios in the ERCOT System,” </w:t>
      </w:r>
      <w:r>
        <w:rPr>
          <w:i/>
          <w:iCs/>
        </w:rPr>
        <w:t>Energies</w:t>
      </w:r>
      <w:r>
        <w:t>, vol. 19, no. 9, p. 2195, May 2026, doi: 10.3390/en19092195.</w:t>
      </w:r>
    </w:p>
    <w:p w14:paraId="5ACC5E55" w14:textId="77777777" w:rsidR="00FE013C" w:rsidRDefault="00FE013C" w:rsidP="004C16FF">
      <w:pPr>
        <w:pStyle w:val="Bibliography"/>
      </w:pPr>
      <w:r>
        <w:t>[40]</w:t>
      </w:r>
      <w:r>
        <w:tab/>
        <w:t xml:space="preserve">A. McCoy </w:t>
      </w:r>
      <w:r>
        <w:rPr>
          <w:i/>
          <w:iCs/>
        </w:rPr>
        <w:t>et al.</w:t>
      </w:r>
      <w:r>
        <w:t>, “Offshore Wind Market Report: 2024 Edition”, [Online]. Available: https://docs.nlr.gov/docs/fy24osti/90897.pdf</w:t>
      </w:r>
    </w:p>
    <w:p w14:paraId="6D4BCF39" w14:textId="77777777" w:rsidR="00FE013C" w:rsidRDefault="00FE013C" w:rsidP="004C16FF">
      <w:pPr>
        <w:pStyle w:val="Bibliography"/>
      </w:pPr>
      <w:r>
        <w:t>[41]</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1059B093" w14:textId="77777777" w:rsidR="00FE013C" w:rsidRDefault="00FE013C" w:rsidP="004C16FF">
      <w:pPr>
        <w:pStyle w:val="Bibliography"/>
      </w:pPr>
      <w:r>
        <w:t>[42]</w:t>
      </w:r>
      <w:r>
        <w:tab/>
        <w:t xml:space="preserve">E. Virguez </w:t>
      </w:r>
      <w:r>
        <w:rPr>
          <w:i/>
          <w:iCs/>
        </w:rPr>
        <w:t>et al.</w:t>
      </w:r>
      <w:r>
        <w:t>, “Renewable energy quality trilemma and coincident wind and solar droughts”, doi: 10.17615/C4JD-4Y42.</w:t>
      </w:r>
    </w:p>
    <w:p w14:paraId="5BD7BC69" w14:textId="77777777" w:rsidR="00FE013C" w:rsidRDefault="00FE013C" w:rsidP="004C16FF">
      <w:pPr>
        <w:pStyle w:val="Bibliography"/>
      </w:pPr>
      <w:r>
        <w:t>[43]</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7E63ED25" w14:textId="77777777" w:rsidR="00FE013C" w:rsidRDefault="00FE013C" w:rsidP="004C16FF">
      <w:pPr>
        <w:pStyle w:val="Bibliography"/>
      </w:pPr>
      <w:r>
        <w:t>[44]</w:t>
      </w:r>
      <w:r>
        <w:tab/>
        <w:t xml:space="preserve">M. Catania, F. Parolin, F. Fattori, and P. Colbertaldo, “The role of hydropower in decarbonisation scenarios,” </w:t>
      </w:r>
      <w:r>
        <w:rPr>
          <w:i/>
          <w:iCs/>
        </w:rPr>
        <w:t>Renew. Energy</w:t>
      </w:r>
      <w:r>
        <w:t>, vol. 236, p. 121411, Dec. 2024, doi: 10.1016/j.renene.2024.121411.</w:t>
      </w:r>
    </w:p>
    <w:p w14:paraId="5A8D9EF3" w14:textId="77777777" w:rsidR="00FE013C" w:rsidRDefault="00FE013C" w:rsidP="004C16FF">
      <w:pPr>
        <w:pStyle w:val="Bibliography"/>
      </w:pPr>
      <w:r>
        <w:t>[45]</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0617A985" w14:textId="77777777" w:rsidR="00FE013C" w:rsidRDefault="00FE013C" w:rsidP="004C16FF">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54CF139B" w14:textId="77777777" w:rsidR="00FE013C" w:rsidRDefault="00FE013C" w:rsidP="004C16FF">
      <w:pPr>
        <w:pStyle w:val="Bibliography"/>
      </w:pPr>
      <w:r>
        <w:t>[47]</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272FF54E" w14:textId="14B9C6DB" w:rsidR="00FE013C" w:rsidRDefault="00FE013C" w:rsidP="004C16FF">
      <w:pPr>
        <w:pStyle w:val="Bibliography"/>
      </w:pPr>
      <w:r>
        <w:t>[48]</w:t>
      </w:r>
      <w:r>
        <w:tab/>
        <w:t xml:space="preserve">European Commission. Joint Research </w:t>
      </w:r>
      <w:r w:rsidR="00580BAE">
        <w:t>Center</w:t>
      </w:r>
      <w:r>
        <w:t xml:space="preserve"> </w:t>
      </w:r>
      <w:r>
        <w:rPr>
          <w:i/>
          <w:iCs/>
        </w:rPr>
        <w:t>et al.</w:t>
      </w:r>
      <w:r>
        <w:t xml:space="preserve">, </w:t>
      </w:r>
      <w:r>
        <w:rPr>
          <w:i/>
          <w:iCs/>
        </w:rPr>
        <w:t>Clean Energy Technology Observatory</w:t>
      </w:r>
      <w:r>
        <w:t>. in EUR. LU: Publications Office of the European Union, 2026. doi: 10.2760/2686206.</w:t>
      </w:r>
    </w:p>
    <w:p w14:paraId="75E27C90" w14:textId="77777777" w:rsidR="00FE013C" w:rsidRDefault="00FE013C" w:rsidP="004C16FF">
      <w:pPr>
        <w:pStyle w:val="Bibliography"/>
      </w:pPr>
      <w:r>
        <w:t>[49]</w:t>
      </w:r>
      <w:r>
        <w:tab/>
        <w:t>U. Remme, “Global Hydrogen Review 2025,” 2025, [Online]. Available: https://iea.blob.core.windows.net/assets/12d92ecc-e960-40f3-aff5-b2de6690ab6b/GlobalHydrogenReview2025.pdf</w:t>
      </w:r>
    </w:p>
    <w:p w14:paraId="0CD1883E" w14:textId="77777777" w:rsidR="00FE013C" w:rsidRDefault="00FE013C" w:rsidP="004C16FF">
      <w:pPr>
        <w:pStyle w:val="Bibliography"/>
      </w:pPr>
      <w:r>
        <w:t>[50]</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5D64639A" w14:textId="77777777" w:rsidR="00FE013C" w:rsidRDefault="00FE013C" w:rsidP="004C16FF">
      <w:pPr>
        <w:pStyle w:val="Bibliography"/>
      </w:pPr>
      <w:r>
        <w:t>[51]</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6F4DE3CF" w14:textId="77777777" w:rsidR="00FE013C" w:rsidRDefault="00FE013C" w:rsidP="004C16FF">
      <w:pPr>
        <w:pStyle w:val="Bibliography"/>
      </w:pPr>
      <w:r>
        <w:t>[52]</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1A296660" w14:textId="77777777" w:rsidR="00FE013C" w:rsidRDefault="00FE013C" w:rsidP="004C16FF">
      <w:pPr>
        <w:pStyle w:val="Bibliography"/>
      </w:pPr>
      <w:r>
        <w:lastRenderedPageBreak/>
        <w:t>[53]</w:t>
      </w:r>
      <w:r>
        <w:tab/>
      </w:r>
      <w:r>
        <w:rPr>
          <w:i/>
          <w:iCs/>
        </w:rPr>
        <w:t>IEEE Standard for Interconnection and Interoperability of Inverter-Based Resources (IBRs) Interconnecting with Associated Transmission Electric Power Systems</w:t>
      </w:r>
      <w:r>
        <w:t>. doi: 10.1109/IEEESTD.2022.9762253.</w:t>
      </w:r>
    </w:p>
    <w:p w14:paraId="41493330" w14:textId="77777777" w:rsidR="00FE013C" w:rsidRDefault="00FE013C" w:rsidP="004C16FF">
      <w:pPr>
        <w:pStyle w:val="Bibliography"/>
      </w:pPr>
      <w:r>
        <w:t>[54]</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303D88C3" w14:textId="77777777" w:rsidR="00FE013C" w:rsidRDefault="00FE013C" w:rsidP="004C16FF">
      <w:pPr>
        <w:pStyle w:val="Bibliography"/>
      </w:pPr>
      <w:r>
        <w:t>[55]</w:t>
      </w:r>
      <w:r>
        <w:tab/>
        <w:t>Google, “Google Environmental Report 2025.” [Online]. Available: https://sustainability.google/reports/google-2025-environmental-report/</w:t>
      </w:r>
    </w:p>
    <w:p w14:paraId="43B46FE4" w14:textId="77777777" w:rsidR="00FE013C" w:rsidRDefault="00FE013C" w:rsidP="004C16FF">
      <w:pPr>
        <w:pStyle w:val="Bibliography"/>
      </w:pPr>
      <w:r>
        <w:t>[56]</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7C354981" w14:textId="77777777" w:rsidR="00FE013C" w:rsidRDefault="00FE013C" w:rsidP="004C16FF">
      <w:pPr>
        <w:pStyle w:val="Bibliography"/>
      </w:pPr>
      <w:r>
        <w:t>[57]</w:t>
      </w:r>
      <w:r>
        <w:tab/>
        <w:t>Meta, “2025 Sustainability Report.” [Online]. Available: https://sustainability.atmeta.com/wp-content/uploads/2025/08/Meta_2025-Sustainability-Report.pdf</w:t>
      </w:r>
    </w:p>
    <w:p w14:paraId="2351C53D" w14:textId="77777777" w:rsidR="00FE013C" w:rsidRDefault="00FE013C" w:rsidP="004C16FF">
      <w:pPr>
        <w:pStyle w:val="Bibliography"/>
      </w:pPr>
      <w:r>
        <w:t>[58]</w:t>
      </w:r>
      <w:r>
        <w:tab/>
        <w:t>BloombergNEF, “Corporate Clean Energy Buying Fell in 2025 After Nearly a Decade of Growth.”</w:t>
      </w:r>
    </w:p>
    <w:p w14:paraId="130873E1" w14:textId="77777777" w:rsidR="00FE013C" w:rsidRDefault="00FE013C" w:rsidP="004C16FF">
      <w:pPr>
        <w:pStyle w:val="Bibliography"/>
      </w:pPr>
      <w:r>
        <w:t>[59]</w:t>
      </w:r>
      <w:r>
        <w:tab/>
        <w:t>Y. Panchal, S. Dubey, and R. Pathak, “Exploring the Future of Cloud Computing: A Comprehensive Study of Microsoft’s Underwater Data Centers,” vol. 12, no. 3, 2025.</w:t>
      </w:r>
    </w:p>
    <w:p w14:paraId="4652337D" w14:textId="77777777" w:rsidR="00FE013C" w:rsidRDefault="00FE013C" w:rsidP="004C16FF">
      <w:pPr>
        <w:pStyle w:val="Bibliography"/>
      </w:pPr>
      <w:r>
        <w:t>[60]</w:t>
      </w:r>
      <w:r>
        <w:tab/>
        <w:t>K. Simon, “Project Natick — Microsoft’s Self-sufficient Underwater Datacenters”, [Online]. Available: https://www.researchgate.net/publication/328214732_Project_Natick-Microsoft’s_Self-sufficient_Underwater_Datacenters</w:t>
      </w:r>
    </w:p>
    <w:p w14:paraId="5A8E1774" w14:textId="77777777" w:rsidR="00FE013C" w:rsidRDefault="00FE013C" w:rsidP="004C16FF">
      <w:pPr>
        <w:pStyle w:val="Bibliography"/>
      </w:pPr>
      <w:r>
        <w:t>[61]</w:t>
      </w:r>
      <w:r>
        <w:tab/>
        <w:t xml:space="preserve">G. Gülen, J. Das, and M. H. Young, “Assessing Economic Costs of Two Reliable Generation Mix Scenarios in the ERCOT System,” </w:t>
      </w:r>
      <w:r>
        <w:rPr>
          <w:i/>
          <w:iCs/>
        </w:rPr>
        <w:t>Energies</w:t>
      </w:r>
      <w:r>
        <w:t>, vol. 19, no. 9, p. 2195, May 2026, doi: 10.3390/en19092195.</w:t>
      </w:r>
    </w:p>
    <w:p w14:paraId="18269D34" w14:textId="77777777" w:rsidR="00FE013C" w:rsidRDefault="00FE013C" w:rsidP="004C16FF">
      <w:pPr>
        <w:pStyle w:val="Bibliography"/>
      </w:pPr>
      <w:r>
        <w:t>[62]</w:t>
      </w:r>
      <w:r>
        <w:tab/>
        <w:t>Equinix, “Sustainability Report 2025.” [Online]. Available: https://delivery-p112322-e1154416.adobeaemcloud.com/adobe/assets/deliver/urn:aaid:aem:116e6fc1-6217-4132-8fcf-1dc7096396df/Equinix-Inc_2025_Sustainability-Report.pdf</w:t>
      </w:r>
    </w:p>
    <w:p w14:paraId="1C698220" w14:textId="77777777" w:rsidR="00FE013C" w:rsidRDefault="00FE013C" w:rsidP="004C16FF">
      <w:pPr>
        <w:pStyle w:val="Bibliography"/>
      </w:pPr>
      <w:r>
        <w:t>[63]</w:t>
      </w:r>
      <w:r>
        <w:tab/>
        <w:t>Apple, “Environmental Progress Report.” [Online]. Available: https://www.apple.com/environment/pdf/Apple_Environmental_Progress_Report_2025.pdf</w:t>
      </w:r>
    </w:p>
    <w:p w14:paraId="16B1BBE0" w14:textId="77777777" w:rsidR="00FE013C" w:rsidRDefault="00FE013C" w:rsidP="004C16FF">
      <w:pPr>
        <w:pStyle w:val="Bibliography"/>
      </w:pPr>
      <w:r>
        <w:t>[64]</w:t>
      </w:r>
      <w:r>
        <w:tab/>
      </w:r>
      <w:r>
        <w:rPr>
          <w:i/>
          <w:iCs/>
        </w:rPr>
        <w:t>IEEE Recommended Practice for the Design of Reliable Industrial and Commercial Power Systems (Gold Book)</w:t>
      </w:r>
      <w:r>
        <w:t>. doi: 10.1109/IEEESTD.1998.89291.</w:t>
      </w:r>
    </w:p>
    <w:p w14:paraId="3B814755" w14:textId="77777777" w:rsidR="00FE013C" w:rsidRDefault="00FE013C" w:rsidP="004C16FF">
      <w:pPr>
        <w:pStyle w:val="Bibliography"/>
      </w:pPr>
      <w:r>
        <w:t>[65]</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699A623D" w14:textId="77777777" w:rsidR="00FE013C" w:rsidRDefault="00FE013C" w:rsidP="004C16FF">
      <w:pPr>
        <w:pStyle w:val="Bibliography"/>
      </w:pPr>
      <w:r>
        <w:t>[66]</w:t>
      </w:r>
      <w:r>
        <w:tab/>
        <w:t>Nguyen Anh Huy and X. T. Nguyen, “Data center energy assessment process and energy efficiency metrics,” 2025, doi: 10.13140/RG.2.2.27710.75845.</w:t>
      </w:r>
    </w:p>
    <w:p w14:paraId="62B7C09C" w14:textId="77777777" w:rsidR="00FE013C" w:rsidRDefault="00FE013C" w:rsidP="004C16FF">
      <w:pPr>
        <w:pStyle w:val="Bibliography"/>
      </w:pPr>
      <w:r>
        <w:t>[67]</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3E650394" w14:textId="77777777" w:rsidR="00FE013C" w:rsidRDefault="00FE013C" w:rsidP="004C16FF">
      <w:pPr>
        <w:pStyle w:val="Bibliography"/>
      </w:pPr>
      <w:r>
        <w:t>[68]</w:t>
      </w:r>
      <w:r>
        <w:tab/>
        <w:t xml:space="preserve">S. Narayanaswamy, P. D. Patel, I. Karlin, A. Gupta, S. Saripalli, and J. Guo, “Datacenter Energy Optimized Power Profiles,” 2025, </w:t>
      </w:r>
      <w:r>
        <w:rPr>
          <w:i/>
          <w:iCs/>
        </w:rPr>
        <w:t>arXiv</w:t>
      </w:r>
      <w:r>
        <w:t>. doi: 10.48550/ARXIV.2510.03872.</w:t>
      </w:r>
    </w:p>
    <w:p w14:paraId="4447159D" w14:textId="77777777" w:rsidR="00FE013C" w:rsidRDefault="00FE013C" w:rsidP="004C16FF">
      <w:pPr>
        <w:pStyle w:val="Bibliography"/>
      </w:pPr>
      <w:r>
        <w:lastRenderedPageBreak/>
        <w:t>[69]</w:t>
      </w:r>
      <w:r>
        <w:tab/>
        <w:t xml:space="preserve">V. Singhania, S. Aga, and M. A. Ibrahim, “FinGraV: Methodology for Fine-Grain GPU Power Visibility and Insights,” Mar. 28, 2025, </w:t>
      </w:r>
      <w:r>
        <w:rPr>
          <w:i/>
          <w:iCs/>
        </w:rPr>
        <w:t>arXiv</w:t>
      </w:r>
      <w:r>
        <w:t>: arXiv:2412.12426. doi: 10.48550/arXiv.2412.12426.</w:t>
      </w:r>
    </w:p>
    <w:p w14:paraId="7615017F" w14:textId="77777777" w:rsidR="00FE013C" w:rsidRDefault="00FE013C" w:rsidP="004C16FF">
      <w:pPr>
        <w:pStyle w:val="Bibliography"/>
      </w:pPr>
      <w:r>
        <w:t>[70]</w:t>
      </w:r>
      <w:r>
        <w:tab/>
        <w:t xml:space="preserve">Z. Yang, G. He, Y. Li, Y. Sun, W. Luo, and W. Zhang, “Thermal management in copackaged optics: from device assembly to system operation,” </w:t>
      </w:r>
      <w:r>
        <w:rPr>
          <w:i/>
          <w:iCs/>
        </w:rPr>
        <w:t>Adv. Photonics Nexus</w:t>
      </w:r>
      <w:r>
        <w:t>, vol. 5, no. 03, Mar. 2026, doi: 10.1117/1.APN.5.3.034001.</w:t>
      </w:r>
    </w:p>
    <w:p w14:paraId="1EE760B2" w14:textId="77777777" w:rsidR="00FE013C" w:rsidRDefault="00FE013C" w:rsidP="004C16FF">
      <w:pPr>
        <w:pStyle w:val="Bibliography"/>
      </w:pPr>
      <w:r>
        <w:t>[71]</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2D75545F" w14:textId="6687AD99" w:rsidR="00FE013C" w:rsidRDefault="00FE013C" w:rsidP="004C16FF">
      <w:pPr>
        <w:pStyle w:val="Bibliography"/>
      </w:pPr>
      <w:r>
        <w:t>[72]</w:t>
      </w:r>
      <w:r>
        <w:tab/>
        <w:t xml:space="preserve">Niranchana Radhakrishnan, “Optimizing Data </w:t>
      </w:r>
      <w:r w:rsidR="00580BAE">
        <w:t>Center</w:t>
      </w:r>
      <w:r>
        <w:t xml:space="preserve"> Energy Efficiency with Dynamic Resource Allocation and Intelligent Cooling Management through Machine Learning,” </w:t>
      </w:r>
      <w:r>
        <w:rPr>
          <w:i/>
          <w:iCs/>
        </w:rPr>
        <w:t>J. Electr. Syst.</w:t>
      </w:r>
      <w:r>
        <w:t>, vol. 20, no. 3s, pp. 286–293, Apr. 2024, doi: 10.52783/jes.1287.</w:t>
      </w:r>
    </w:p>
    <w:p w14:paraId="093293D6" w14:textId="77777777" w:rsidR="00FE013C" w:rsidRDefault="00FE013C" w:rsidP="004C16FF">
      <w:pPr>
        <w:pStyle w:val="Bibliography"/>
      </w:pPr>
      <w:r>
        <w:t>[73]</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745E2B9E" w14:textId="77777777" w:rsidR="00FE013C" w:rsidRDefault="00FE013C" w:rsidP="004C16FF">
      <w:pPr>
        <w:pStyle w:val="Bibliography"/>
      </w:pPr>
      <w:r>
        <w:t>[74]</w:t>
      </w:r>
      <w:r>
        <w:tab/>
        <w:t>IEC, “Electrical Energy Storage.” [Online]. Available: https://iec.ch/system/files/2019-09/content/media/files/iec_wp-electrical_energy_storage-en.pdf</w:t>
      </w:r>
    </w:p>
    <w:p w14:paraId="5BBC330D" w14:textId="77777777" w:rsidR="00FE013C" w:rsidRDefault="00FE013C" w:rsidP="004C16FF">
      <w:pPr>
        <w:pStyle w:val="Bibliography"/>
      </w:pPr>
      <w:r>
        <w:t>[75]</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5DFF4DDE" w14:textId="77777777" w:rsidR="00FE013C" w:rsidRDefault="00FE013C" w:rsidP="004C16FF">
      <w:pPr>
        <w:pStyle w:val="Bibliography"/>
      </w:pPr>
      <w:r>
        <w:t>[76]</w:t>
      </w:r>
      <w:r>
        <w:tab/>
        <w:t xml:space="preserve">E. Eslami, “Air Quality and Greenhouse Gas Emissions Assessment of Data Centers in Texas: Quantifying Impacts and Environmental Tradeoffs,” 2025, </w:t>
      </w:r>
      <w:r>
        <w:rPr>
          <w:i/>
          <w:iCs/>
        </w:rPr>
        <w:t>arXiv</w:t>
      </w:r>
      <w:r>
        <w:t>. doi: 10.48550/ARXIV.2509.21312.</w:t>
      </w:r>
    </w:p>
    <w:p w14:paraId="265B16D1" w14:textId="77777777" w:rsidR="00FE013C" w:rsidRDefault="00FE013C" w:rsidP="004C16FF">
      <w:pPr>
        <w:pStyle w:val="Bibliography"/>
      </w:pPr>
      <w:r>
        <w:t>[77]</w:t>
      </w:r>
      <w:r>
        <w:tab/>
        <w:t xml:space="preserve">Y. Tang, X. Bai, C. Jin, Y. Fu, W. Mao, and X. Xu, “Experimental and numerical study on the thermal environment of a data center,” </w:t>
      </w:r>
      <w:r>
        <w:rPr>
          <w:i/>
          <w:iCs/>
        </w:rPr>
        <w:t>Build. Environ.</w:t>
      </w:r>
      <w:r>
        <w:t>, vol. 212, p. 108741, Mar. 2022, doi: 10.1016/j.buildenv.2021.108741.</w:t>
      </w:r>
    </w:p>
    <w:p w14:paraId="0F870940" w14:textId="77777777" w:rsidR="00FE013C" w:rsidRDefault="00FE013C" w:rsidP="004C16FF">
      <w:pPr>
        <w:pStyle w:val="Bibliography"/>
      </w:pPr>
      <w:r>
        <w:t>[78]</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4A7A8E01" w14:textId="77777777" w:rsidR="00FE013C" w:rsidRDefault="00FE013C" w:rsidP="004C16FF">
      <w:pPr>
        <w:pStyle w:val="Bibliography"/>
      </w:pPr>
      <w:r>
        <w:t>[79]</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5AA68737" w14:textId="77777777" w:rsidR="00FE013C" w:rsidRDefault="00FE013C" w:rsidP="004C16FF">
      <w:pPr>
        <w:pStyle w:val="Bibliography"/>
      </w:pPr>
      <w:r>
        <w:t>[80]</w:t>
      </w:r>
      <w:r>
        <w:tab/>
      </w:r>
      <w:r>
        <w:rPr>
          <w:i/>
          <w:iCs/>
        </w:rPr>
        <w:t>IEEE Recommended Practice for Powering and Grounding Electronic Equipment</w:t>
      </w:r>
      <w:r>
        <w:t>. doi: 10.1109/IEEESTD.1999.90559.</w:t>
      </w:r>
    </w:p>
    <w:p w14:paraId="419E346E" w14:textId="77777777" w:rsidR="00FE013C" w:rsidRDefault="00FE013C" w:rsidP="004C16FF">
      <w:pPr>
        <w:pStyle w:val="Bibliography"/>
      </w:pPr>
      <w:r>
        <w:t>[81]</w:t>
      </w:r>
      <w:r>
        <w:tab/>
        <w:t>R. Siddique, “Active Power Filters for Harmonic Mitigation in Power Systems”.</w:t>
      </w:r>
    </w:p>
    <w:p w14:paraId="6D4E2591" w14:textId="77777777" w:rsidR="00FE013C" w:rsidRDefault="00FE013C" w:rsidP="004C16FF">
      <w:pPr>
        <w:pStyle w:val="Bibliography"/>
      </w:pPr>
      <w:r>
        <w:t>[82]</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6A04220F" w14:textId="77777777" w:rsidR="00FE013C" w:rsidRDefault="00FE013C" w:rsidP="004C16FF">
      <w:pPr>
        <w:pStyle w:val="Bibliography"/>
      </w:pPr>
      <w:r>
        <w:t>[83]</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3B9B995A" w14:textId="77777777" w:rsidR="00FE013C" w:rsidRDefault="00FE013C" w:rsidP="004C16FF">
      <w:pPr>
        <w:pStyle w:val="Bibliography"/>
      </w:pPr>
      <w:r>
        <w:t>[84]</w:t>
      </w:r>
      <w:r>
        <w:tab/>
        <w:t xml:space="preserve">J. Li, C. Wang, and Y. Liu, “AI Driven Virtual Power Plants: A Comprehensive Review,” Jan. 22, 2026, </w:t>
      </w:r>
      <w:r>
        <w:rPr>
          <w:i/>
          <w:iCs/>
        </w:rPr>
        <w:t>Engineering</w:t>
      </w:r>
      <w:r>
        <w:t>. doi: 10.20944/preprints202601.1691.v1.</w:t>
      </w:r>
    </w:p>
    <w:p w14:paraId="5B56EDDB" w14:textId="77777777" w:rsidR="00FE013C" w:rsidRDefault="00FE013C" w:rsidP="004C16FF">
      <w:pPr>
        <w:pStyle w:val="Bibliography"/>
      </w:pPr>
      <w:r>
        <w:t>[85]</w:t>
      </w:r>
      <w:r>
        <w:tab/>
        <w:t xml:space="preserve">S. Jadhav and Z. Liu, “Digital Twin-Based Cooling System Optimization for Data Center,” 2026, </w:t>
      </w:r>
      <w:r>
        <w:rPr>
          <w:i/>
          <w:iCs/>
        </w:rPr>
        <w:t>arXiv</w:t>
      </w:r>
      <w:r>
        <w:t>. doi: 10.48550/ARXIV.2603.01198.</w:t>
      </w:r>
    </w:p>
    <w:p w14:paraId="30EFD46F" w14:textId="77777777" w:rsidR="00FE013C" w:rsidRDefault="00FE013C" w:rsidP="004C16FF">
      <w:pPr>
        <w:pStyle w:val="Bibliography"/>
      </w:pPr>
      <w:r>
        <w:lastRenderedPageBreak/>
        <w:t>[86]</w:t>
      </w:r>
      <w:r>
        <w:tab/>
        <w:t>NREL, “National Renewable Energy Laboratory (NREL).” [Online]. Available: https://atb.nrel.gov/</w:t>
      </w:r>
    </w:p>
    <w:p w14:paraId="7BB5730C" w14:textId="77777777" w:rsidR="00FE013C" w:rsidRDefault="00FE013C" w:rsidP="004C16FF">
      <w:pPr>
        <w:pStyle w:val="Bibliography"/>
      </w:pPr>
      <w:r>
        <w:t>[87]</w:t>
      </w:r>
      <w:r>
        <w:tab/>
        <w:t xml:space="preserve">E. Förstner </w:t>
      </w:r>
      <w:r>
        <w:rPr>
          <w:i/>
          <w:iCs/>
        </w:rPr>
        <w:t>et al.</w:t>
      </w:r>
      <w:r>
        <w:t>, “Photovoltaic system reduces grid voltage waveform distortions in the frequency range from 700 Hz to 1250 Hz,” 2026, doi: 10.5445/IR/1000191363.</w:t>
      </w:r>
    </w:p>
    <w:p w14:paraId="7B0B938F" w14:textId="77777777" w:rsidR="00FE013C" w:rsidRDefault="00FE013C" w:rsidP="004C16FF">
      <w:pPr>
        <w:pStyle w:val="Bibliography"/>
      </w:pPr>
      <w:r>
        <w:t>[88]</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0628CD10" w14:textId="77777777" w:rsidR="00FE013C" w:rsidRDefault="00FE013C" w:rsidP="004C16FF">
      <w:pPr>
        <w:pStyle w:val="Bibliography"/>
      </w:pPr>
      <w:r>
        <w:t>[89]</w:t>
      </w:r>
      <w:r>
        <w:tab/>
        <w:t xml:space="preserve">O. Ndindayino, A. Puel, and J. Meyers, “Effect of blockage on wind turbine power and wake development,” Feb. 12, 2025, </w:t>
      </w:r>
      <w:r>
        <w:rPr>
          <w:i/>
          <w:iCs/>
        </w:rPr>
        <w:t>Fluid mechanics/Wakes and wind farm aerodynamics</w:t>
      </w:r>
      <w:r>
        <w:t>. doi: 10.5194/wes-2025-6.</w:t>
      </w:r>
    </w:p>
    <w:p w14:paraId="664F98E1" w14:textId="77777777" w:rsidR="00FE013C" w:rsidRDefault="00FE013C" w:rsidP="004C16FF">
      <w:pPr>
        <w:pStyle w:val="Bibliography"/>
      </w:pPr>
      <w:r>
        <w:t>[90]</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16A8E72D" w14:textId="77777777" w:rsidR="00FE013C" w:rsidRDefault="00FE013C" w:rsidP="004C16FF">
      <w:pPr>
        <w:pStyle w:val="Bibliography"/>
      </w:pPr>
      <w:r>
        <w:t>[91]</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68B9715A" w14:textId="77777777" w:rsidR="00FE013C" w:rsidRDefault="00FE013C" w:rsidP="004C16FF">
      <w:pPr>
        <w:pStyle w:val="Bibliography"/>
      </w:pPr>
      <w:r>
        <w:t>[92]</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2D3E78E4" w14:textId="77777777" w:rsidR="00FE013C" w:rsidRDefault="00FE013C" w:rsidP="004C16FF">
      <w:pPr>
        <w:pStyle w:val="Bibliography"/>
      </w:pPr>
      <w:r>
        <w:t>[93]</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50B08B95" w14:textId="77777777" w:rsidR="00FE013C" w:rsidRDefault="00FE013C" w:rsidP="004C16FF">
      <w:pPr>
        <w:pStyle w:val="Bibliography"/>
      </w:pPr>
      <w:r>
        <w:t>[94]</w:t>
      </w:r>
      <w:r>
        <w:tab/>
        <w:t xml:space="preserve">T. Anderson, “An improved typical meteorological year for solar energy simulations in Rarotonga, Cook Islands,” </w:t>
      </w:r>
      <w:r>
        <w:rPr>
          <w:i/>
          <w:iCs/>
        </w:rPr>
        <w:t>J. R. Soc. N. Z.</w:t>
      </w:r>
      <w:r>
        <w:t>, vol. 52, no. 5, pp. 606–613, Oct. 2022, doi: 10.1080/03036758.2021.2013262.</w:t>
      </w:r>
    </w:p>
    <w:p w14:paraId="1FE7BB48" w14:textId="77777777" w:rsidR="00FE013C" w:rsidRDefault="00FE013C" w:rsidP="004C16FF">
      <w:pPr>
        <w:pStyle w:val="Bibliography"/>
      </w:pPr>
      <w:r>
        <w:t>[95]</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18087F11" w14:textId="77777777" w:rsidR="00FE013C" w:rsidRDefault="00FE013C" w:rsidP="004C16FF">
      <w:pPr>
        <w:pStyle w:val="Bibliography"/>
      </w:pPr>
      <w:r>
        <w:t>[96]</w:t>
      </w:r>
      <w:r>
        <w:tab/>
        <w:t>NREL, “National Renewable Energy Laboratory (NREL). (2026).” [Online]. Available: https://atb.nrel.gov/</w:t>
      </w:r>
    </w:p>
    <w:p w14:paraId="18FF74B6" w14:textId="77777777" w:rsidR="00FE013C" w:rsidRDefault="00FE013C" w:rsidP="004C16FF">
      <w:pPr>
        <w:pStyle w:val="Bibliography"/>
      </w:pPr>
      <w:r>
        <w:t>[97]</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1B2D332D" w14:textId="77777777" w:rsidR="00FE013C" w:rsidRDefault="00FE013C" w:rsidP="004C16FF">
      <w:pPr>
        <w:pStyle w:val="Bibliography"/>
      </w:pPr>
      <w:r>
        <w:t>[98]</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3010FCA5" w14:textId="77777777" w:rsidR="00FE013C" w:rsidRDefault="00FE013C" w:rsidP="004C16FF">
      <w:pPr>
        <w:pStyle w:val="Bibliography"/>
      </w:pPr>
      <w:r>
        <w:t>[99]</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16B921BB" w14:textId="77777777" w:rsidR="00FE013C" w:rsidRDefault="00FE013C" w:rsidP="004C16FF">
      <w:pPr>
        <w:pStyle w:val="Bibliography"/>
      </w:pPr>
      <w:r>
        <w:t>[100]</w:t>
      </w:r>
      <w:r>
        <w:tab/>
        <w:t xml:space="preserve">W. Cole, V. Ramasamy, and M. Turan, “Cost Projections for Utility-Scale Battery Storage: 2025 Update,” </w:t>
      </w:r>
      <w:r>
        <w:rPr>
          <w:i/>
          <w:iCs/>
        </w:rPr>
        <w:t>Renew. Energy</w:t>
      </w:r>
      <w:r>
        <w:t>, 2025, [Online]. Available: https://docs.nrel.gov/docs/fy25osti/93281.pdf</w:t>
      </w:r>
    </w:p>
    <w:p w14:paraId="574FC9F7" w14:textId="77777777" w:rsidR="00FE013C" w:rsidRDefault="00FE013C" w:rsidP="004C16FF">
      <w:pPr>
        <w:pStyle w:val="Bibliography"/>
      </w:pPr>
      <w:r>
        <w:lastRenderedPageBreak/>
        <w:t>[101]</w:t>
      </w:r>
      <w:r>
        <w:tab/>
        <w:t>Our World in Data, “Battery costs have declined by 99% in the last three decades, making electrified transport a reality.” [Online]. Available: https://ourworldindata.org/battery-price-decline</w:t>
      </w:r>
    </w:p>
    <w:p w14:paraId="2B03EA10" w14:textId="77777777" w:rsidR="00FE013C" w:rsidRDefault="00FE013C" w:rsidP="004C16FF">
      <w:pPr>
        <w:pStyle w:val="Bibliography"/>
      </w:pPr>
      <w:r>
        <w:t>[102]</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50373FC7" w14:textId="77777777" w:rsidR="00FE013C" w:rsidRDefault="00FE013C" w:rsidP="004C16FF">
      <w:pPr>
        <w:pStyle w:val="Bibliography"/>
      </w:pPr>
      <w:r>
        <w:t>[103]</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72969892" w14:textId="77777777" w:rsidR="00FE013C" w:rsidRDefault="00FE013C" w:rsidP="004C16FF">
      <w:pPr>
        <w:pStyle w:val="Bibliography"/>
      </w:pPr>
      <w:r>
        <w:t>[104]</w:t>
      </w:r>
      <w:r>
        <w:tab/>
        <w:t>D. Reber, S. Jarvis, and M. Marshak, “The role of energy density for grid-scale batteries,” Nov. 17, 2022. doi: 10.26434/chemrxiv-2022-5ddhs.</w:t>
      </w:r>
    </w:p>
    <w:p w14:paraId="16680CBB" w14:textId="77777777" w:rsidR="00FE013C" w:rsidRDefault="00FE013C" w:rsidP="004C16FF">
      <w:pPr>
        <w:pStyle w:val="Bibliography"/>
      </w:pPr>
      <w:r>
        <w:t>[105]</w:t>
      </w:r>
      <w:r>
        <w:tab/>
        <w:t xml:space="preserve">S. Rahman and T. A. Khan, “Energy Storage Systems for AI Data Centers: A Review of Technologies, Characteristics, and Applicability,” </w:t>
      </w:r>
      <w:r>
        <w:rPr>
          <w:i/>
          <w:iCs/>
        </w:rPr>
        <w:t>Energies</w:t>
      </w:r>
      <w:r>
        <w:t>, vol. 19, no. 3, p. 634, Jan. 2026, doi: 10.3390/en19030634.</w:t>
      </w:r>
    </w:p>
    <w:p w14:paraId="30BD26CB" w14:textId="77777777" w:rsidR="00FE013C" w:rsidRDefault="00FE013C" w:rsidP="004C16FF">
      <w:pPr>
        <w:pStyle w:val="Bibliography"/>
      </w:pPr>
      <w:r>
        <w:t>[106]</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638610D0" w14:textId="77777777" w:rsidR="00FE013C" w:rsidRDefault="00FE013C" w:rsidP="004C16FF">
      <w:pPr>
        <w:pStyle w:val="Bibliography"/>
      </w:pPr>
      <w:r>
        <w:t>[107]</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293FD7F3" w14:textId="09838BC2" w:rsidR="00FE013C" w:rsidRDefault="00FE013C" w:rsidP="004C16FF">
      <w:pPr>
        <w:pStyle w:val="Bibliography"/>
      </w:pPr>
      <w:r>
        <w:t>[108]</w:t>
      </w:r>
      <w:r>
        <w:tab/>
        <w:t xml:space="preserve">M. T. Takci, M. Qadrdan, J. Summers, and J. Gustafsson, “Data </w:t>
      </w:r>
      <w:r w:rsidR="00580BAE">
        <w:t>center</w:t>
      </w:r>
      <w:r>
        <w:t xml:space="preserve">s as a source of flexibility for power systems,” </w:t>
      </w:r>
      <w:r>
        <w:rPr>
          <w:i/>
          <w:iCs/>
        </w:rPr>
        <w:t>Energy Rep.</w:t>
      </w:r>
      <w:r>
        <w:t>, vol. 13, pp. 3661–3671, Jun. 2025, doi: 10.1016/j.egyr.2025.03.020.</w:t>
      </w:r>
    </w:p>
    <w:p w14:paraId="114C5DB2" w14:textId="77777777" w:rsidR="00FE013C" w:rsidRDefault="00FE013C" w:rsidP="004C16FF">
      <w:pPr>
        <w:pStyle w:val="Bibliography"/>
      </w:pPr>
      <w:r>
        <w:t>[109]</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39B33607" w14:textId="77777777" w:rsidR="00FE013C" w:rsidRDefault="00FE013C" w:rsidP="004C16FF">
      <w:pPr>
        <w:pStyle w:val="Bibliography"/>
      </w:pPr>
      <w:r>
        <w:t>[110]</w:t>
      </w:r>
      <w:r>
        <w:tab/>
        <w:t>EIA, “Electric Power Annual 2024.” [Online]. Available: https://www.eia.gov/electricity/annual/pdf/epa.pdf</w:t>
      </w:r>
    </w:p>
    <w:p w14:paraId="2B2C8582" w14:textId="77777777" w:rsidR="00FE013C" w:rsidRDefault="00FE013C" w:rsidP="004C16FF">
      <w:pPr>
        <w:pStyle w:val="Bibliography"/>
      </w:pPr>
      <w:r>
        <w:t>[111]</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660A9355" w14:textId="77777777" w:rsidR="00FE013C" w:rsidRDefault="00FE013C" w:rsidP="004C16FF">
      <w:pPr>
        <w:pStyle w:val="Bibliography"/>
      </w:pPr>
      <w:r>
        <w:t>[112]</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3EC30C2E" w14:textId="77777777" w:rsidR="00FE013C" w:rsidRDefault="00FE013C" w:rsidP="004C16FF">
      <w:pPr>
        <w:pStyle w:val="Bibliography"/>
      </w:pPr>
      <w:r>
        <w:t>[113]</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5BB7148E" w14:textId="77777777" w:rsidR="00FE013C" w:rsidRDefault="00FE013C" w:rsidP="004C16FF">
      <w:pPr>
        <w:pStyle w:val="Bibliography"/>
      </w:pPr>
      <w:r>
        <w:t>[114]</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199C6F3E" w14:textId="77777777" w:rsidR="00FE013C" w:rsidRDefault="00FE013C" w:rsidP="004C16FF">
      <w:pPr>
        <w:pStyle w:val="Bibliography"/>
      </w:pPr>
      <w:r>
        <w:t>[115]</w:t>
      </w:r>
      <w:r>
        <w:tab/>
        <w:t xml:space="preserve">J. M. Morales, A. J. Conejo, H. Madsen, P. Pinson, and M. Zugno, </w:t>
      </w:r>
      <w:r>
        <w:rPr>
          <w:i/>
          <w:iCs/>
        </w:rPr>
        <w:t>Integrating Renewables in Electricity Markets: Operational Problems</w:t>
      </w:r>
      <w:r>
        <w:t xml:space="preserve">, 1st ed. 2014. in International Series in Operations </w:t>
      </w:r>
      <w:r>
        <w:lastRenderedPageBreak/>
        <w:t>Research &amp; Management Science, no. 205. New York, NY: Springer US : Imprint: Springer, 2014. doi: 10.1007/978-1-4614-9411-9.</w:t>
      </w:r>
    </w:p>
    <w:p w14:paraId="21646754" w14:textId="77777777" w:rsidR="00FE013C" w:rsidRDefault="00FE013C" w:rsidP="004C16FF">
      <w:pPr>
        <w:pStyle w:val="Bibliography"/>
      </w:pPr>
      <w:r>
        <w:t>[116]</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23DCD823" w14:textId="77777777" w:rsidR="00FE013C" w:rsidRDefault="00FE013C" w:rsidP="004C16FF">
      <w:pPr>
        <w:pStyle w:val="Bibliography"/>
      </w:pPr>
      <w:r>
        <w:t>[117]</w:t>
      </w:r>
      <w:r>
        <w:tab/>
        <w:t>Idaho National Lab, “Powering Data Centers with Clean Energy.” [Online]. Available: https://gain.inl.gov/content/uploads/4/2024/11/INL-RPT-24-79307-Powering-Data-Cneters-with-Clean-Energy.pdf</w:t>
      </w:r>
    </w:p>
    <w:p w14:paraId="6A5C694A" w14:textId="77777777" w:rsidR="00FE013C" w:rsidRDefault="00FE013C" w:rsidP="004C16FF">
      <w:pPr>
        <w:pStyle w:val="Bibliography"/>
      </w:pPr>
      <w:r>
        <w:t>[118]</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76402D06" w14:textId="77777777" w:rsidR="00FE013C" w:rsidRDefault="00FE013C" w:rsidP="004C16FF">
      <w:pPr>
        <w:pStyle w:val="Bibliography"/>
      </w:pPr>
      <w:r>
        <w:t>[119]</w:t>
      </w:r>
      <w:r>
        <w:tab/>
        <w:t xml:space="preserve">S. Ghosh and J. Damodara, “Scalable data centers – Power generation and delivery challenges and solutions,” </w:t>
      </w:r>
      <w:r>
        <w:rPr>
          <w:i/>
          <w:iCs/>
        </w:rPr>
        <w:t>Energy Rep.</w:t>
      </w:r>
      <w:r>
        <w:t>, vol. 15, p. 109178, Jun. 2026, doi: 10.1016/j.egyr.2026.109178.</w:t>
      </w:r>
    </w:p>
    <w:p w14:paraId="170C23A9" w14:textId="77777777" w:rsidR="00FE013C" w:rsidRDefault="00FE013C" w:rsidP="004C16FF">
      <w:pPr>
        <w:pStyle w:val="Bibliography"/>
      </w:pPr>
      <w:r>
        <w:t>[120]</w:t>
      </w:r>
      <w:r>
        <w:tab/>
        <w:t>EPRI, “Powering Data Centers in the AI Era.” [Online]. Available: https://energie.hec.ca/wp-content/uploads/2025/10/PPT_EPRI.pdf</w:t>
      </w:r>
    </w:p>
    <w:p w14:paraId="47C0D433" w14:textId="77777777" w:rsidR="00FE013C" w:rsidRDefault="00FE013C" w:rsidP="004C16FF">
      <w:pPr>
        <w:pStyle w:val="Bibliography"/>
      </w:pPr>
      <w:r>
        <w:t>[121]</w:t>
      </w:r>
      <w:r>
        <w:tab/>
        <w:t xml:space="preserve">J. W. Zhang, Y. H. Wang, G. C. Liu, and G. Z. Tian, “A review of control strategies for flywheel energy storage system and a case study witModelling converter,” </w:t>
      </w:r>
      <w:r>
        <w:rPr>
          <w:i/>
          <w:iCs/>
        </w:rPr>
        <w:t>Energy Rep.</w:t>
      </w:r>
      <w:r>
        <w:t>, vol. 8, pp. 3948–3963, Nov. 2022, doi: 10.1016/j.egyr.2022.03.009.</w:t>
      </w:r>
    </w:p>
    <w:p w14:paraId="4B997F25" w14:textId="77777777" w:rsidR="00FE013C" w:rsidRDefault="00FE013C" w:rsidP="004C16FF">
      <w:pPr>
        <w:pStyle w:val="Bibliography"/>
      </w:pPr>
      <w:r>
        <w:t>[122]</w:t>
      </w:r>
      <w:r>
        <w:tab/>
        <w:t xml:space="preserve">L. Bongini, R. A. Mastromauro, D. Sgrò, and F. Malvaldi, “Electrical Damping Assessment and Stability Considerations for a Highly Electrified Liquefied Natural Gas Plant,” </w:t>
      </w:r>
      <w:r>
        <w:rPr>
          <w:i/>
          <w:iCs/>
        </w:rPr>
        <w:t>Energies</w:t>
      </w:r>
      <w:r>
        <w:t>, vol. 13, no. 10, p. 2612, May 2020, doi: 10.3390/en13102612.</w:t>
      </w:r>
    </w:p>
    <w:p w14:paraId="5AAF8761" w14:textId="77777777" w:rsidR="00FE013C" w:rsidRDefault="00FE013C" w:rsidP="004C16FF">
      <w:pPr>
        <w:pStyle w:val="Bibliography"/>
      </w:pPr>
      <w:r>
        <w:t>[123]</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1AE98562" w14:textId="77777777" w:rsidR="00FE013C" w:rsidRDefault="00FE013C" w:rsidP="004C16FF">
      <w:pPr>
        <w:pStyle w:val="Bibliography"/>
      </w:pPr>
      <w:r>
        <w:t>[124]</w:t>
      </w:r>
      <w:r>
        <w:tab/>
        <w:t xml:space="preserve">A. J. Monticelli, A. Garcia, and O. R. Saavedra, “Fast decoupled load flow: hypothesis, derivations, and testing,” </w:t>
      </w:r>
      <w:r>
        <w:rPr>
          <w:i/>
          <w:iCs/>
        </w:rPr>
        <w:t>IEEE Trans. Power Syst.</w:t>
      </w:r>
      <w:r>
        <w:t>, vol. 5, no. 4, pp. 1425–1431, Nov. 1990, doi: 10.1109/59.99396.</w:t>
      </w:r>
    </w:p>
    <w:p w14:paraId="0BAEBEB8" w14:textId="77777777" w:rsidR="00FE013C" w:rsidRDefault="00FE013C" w:rsidP="004C16FF">
      <w:pPr>
        <w:pStyle w:val="Bibliography"/>
      </w:pPr>
      <w:r>
        <w:t>[125]</w:t>
      </w:r>
      <w:r>
        <w:tab/>
        <w:t xml:space="preserve">M. Huneault and F. D. Galiana, “A survey of the optimal power flow literature,” </w:t>
      </w:r>
      <w:r>
        <w:rPr>
          <w:i/>
          <w:iCs/>
        </w:rPr>
        <w:t>IEEE Trans. Power Syst.</w:t>
      </w:r>
      <w:r>
        <w:t>, vol. 6, no. 2, pp. 762–770, May 1991, doi: 10.1109/59.76723.</w:t>
      </w:r>
    </w:p>
    <w:p w14:paraId="49D76293" w14:textId="77777777" w:rsidR="00FE013C" w:rsidRDefault="00FE013C" w:rsidP="004C16FF">
      <w:pPr>
        <w:pStyle w:val="Bibliography"/>
      </w:pPr>
      <w:r>
        <w:t>[126]</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66ED710D" w14:textId="77777777" w:rsidR="00FE013C" w:rsidRDefault="00FE013C" w:rsidP="004C16FF">
      <w:pPr>
        <w:pStyle w:val="Bibliography"/>
      </w:pPr>
      <w:r>
        <w:t>[127]</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3E16DCC9" w14:textId="77777777" w:rsidR="00FE013C" w:rsidRDefault="00FE013C" w:rsidP="004C16FF">
      <w:pPr>
        <w:pStyle w:val="Bibliography"/>
      </w:pPr>
      <w:r>
        <w:t>[128]</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0E20D56D" w14:textId="77777777" w:rsidR="00FE013C" w:rsidRDefault="00FE013C" w:rsidP="004C16FF">
      <w:pPr>
        <w:pStyle w:val="Bibliography"/>
      </w:pPr>
      <w:r>
        <w:t>[129]</w:t>
      </w:r>
      <w:r>
        <w:tab/>
      </w:r>
      <w:r>
        <w:rPr>
          <w:i/>
          <w:iCs/>
        </w:rPr>
        <w:t>IEEE Standard for the Specification of Microgrid Controllers</w:t>
      </w:r>
      <w:r>
        <w:t>. doi: 10.1109/IEEESTD.2018.8340204.</w:t>
      </w:r>
    </w:p>
    <w:p w14:paraId="1CA8783D" w14:textId="77777777" w:rsidR="00FE013C" w:rsidRDefault="00FE013C" w:rsidP="004C16FF">
      <w:pPr>
        <w:pStyle w:val="Bibliography"/>
      </w:pPr>
      <w:r>
        <w:lastRenderedPageBreak/>
        <w:t>[130]</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06197423" w14:textId="77777777" w:rsidR="00FE013C" w:rsidRDefault="00FE013C" w:rsidP="004C16FF">
      <w:pPr>
        <w:pStyle w:val="Bibliography"/>
      </w:pPr>
      <w:r>
        <w:t>[131]</w:t>
      </w:r>
      <w:r>
        <w:tab/>
        <w:t>NERC, “Inverter-Based Resource Performance Issues.” [Online]. Available: https://www.nerc.com/globalassets/programs/bpsa/alerts/2023/nerc-alert-r-2023-03-14-01-level-2---inverter-based-resource-performance-issues.pdf</w:t>
      </w:r>
    </w:p>
    <w:p w14:paraId="19890A21" w14:textId="77777777" w:rsidR="00FE013C" w:rsidRDefault="00FE013C" w:rsidP="004C16FF">
      <w:pPr>
        <w:pStyle w:val="Bibliography"/>
      </w:pPr>
      <w:r>
        <w:t>[132]</w:t>
      </w:r>
      <w:r>
        <w:tab/>
        <w:t xml:space="preserve">J. C. Das, </w:t>
      </w:r>
      <w:r>
        <w:rPr>
          <w:i/>
          <w:iCs/>
        </w:rPr>
        <w:t>Power System Harmonics and Passive Filter Designs</w:t>
      </w:r>
      <w:r>
        <w:t>, 1st ed. Wiley, 2015. doi: 10.1002/9781118887059.</w:t>
      </w:r>
    </w:p>
    <w:p w14:paraId="39565C4B" w14:textId="77777777" w:rsidR="00FE013C" w:rsidRDefault="00FE013C" w:rsidP="004C16FF">
      <w:pPr>
        <w:pStyle w:val="Bibliography"/>
      </w:pPr>
      <w:r>
        <w:t>[133]</w:t>
      </w:r>
      <w:r>
        <w:tab/>
        <w:t xml:space="preserve">M. S. Anindya, F. Zaro, and M. Popescu, “Power Quality Improvement Using Active Power Filters in Industrial Systems,” </w:t>
      </w:r>
      <w:r>
        <w:rPr>
          <w:i/>
          <w:iCs/>
        </w:rPr>
        <w:t>RESWARA J. Ris. Ilmu Tek.</w:t>
      </w:r>
      <w:r>
        <w:t>, vol. 3, no. 2, pp. 44–50, Apr. 2025, doi: 10.70716/reswara.v3i2.404.</w:t>
      </w:r>
    </w:p>
    <w:p w14:paraId="411F8DF3" w14:textId="77777777" w:rsidR="00FE013C" w:rsidRDefault="00FE013C" w:rsidP="004C16FF">
      <w:pPr>
        <w:pStyle w:val="Bibliography"/>
      </w:pPr>
      <w:r>
        <w:t>[134]</w:t>
      </w:r>
      <w:r>
        <w:tab/>
        <w:t>HOMER, “Microgrid and Hybrid Power Modeling.” [Online]. Available: https://homerenergy.com/</w:t>
      </w:r>
    </w:p>
    <w:p w14:paraId="729581E9" w14:textId="77777777" w:rsidR="00FE013C" w:rsidRDefault="00FE013C" w:rsidP="004C16FF">
      <w:pPr>
        <w:pStyle w:val="Bibliography"/>
      </w:pPr>
      <w:r>
        <w:t>[135]</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6CA5B14B" w14:textId="77777777" w:rsidR="00FE013C" w:rsidRDefault="00FE013C" w:rsidP="004C16FF">
      <w:pPr>
        <w:pStyle w:val="Bibliography"/>
      </w:pPr>
      <w:r>
        <w:t>[136]</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2B8F6895" w14:textId="77777777" w:rsidR="00FE013C" w:rsidRDefault="00FE013C" w:rsidP="004C16FF">
      <w:pPr>
        <w:pStyle w:val="Bibliography"/>
      </w:pPr>
      <w:r>
        <w:t>[137]</w:t>
      </w:r>
      <w:r>
        <w:tab/>
        <w:t xml:space="preserve">R. H. Inman, H. T. C. Pedro, and C. F. M. Coimbra, “Solar forecasting methods for renewable energy integration,” </w:t>
      </w:r>
      <w:r>
        <w:rPr>
          <w:i/>
          <w:iCs/>
        </w:rPr>
        <w:t>Prog. Energy Combust. Sci.</w:t>
      </w:r>
      <w:r>
        <w:t>, vol. 39, no. 6, pp. 535–576, Dec. 2013, doi: 10.1016/j.pecs.2013.06.002.</w:t>
      </w:r>
    </w:p>
    <w:p w14:paraId="37ABE9FB" w14:textId="77777777" w:rsidR="00FE013C" w:rsidRDefault="00FE013C" w:rsidP="004C16FF">
      <w:pPr>
        <w:pStyle w:val="Bibliography"/>
      </w:pPr>
      <w:r>
        <w:t>[138]</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593C1175" w14:textId="77777777" w:rsidR="00FE013C" w:rsidRDefault="00FE013C" w:rsidP="004C16FF">
      <w:pPr>
        <w:pStyle w:val="Bibliography"/>
      </w:pPr>
      <w:r>
        <w:t>[139]</w:t>
      </w:r>
      <w:r>
        <w:tab/>
        <w:t xml:space="preserve">E. Hosseini </w:t>
      </w:r>
      <w:r>
        <w:rPr>
          <w:i/>
          <w:iCs/>
        </w:rPr>
        <w:t>et al.</w:t>
      </w:r>
      <w:r>
        <w:t xml:space="preserve">, “Reinforcement learning-based energy management system for lithium-ion battery storage in multilevel microgrid,” </w:t>
      </w:r>
      <w:r>
        <w:rPr>
          <w:i/>
          <w:iCs/>
        </w:rPr>
        <w:t>J. Energy Storage</w:t>
      </w:r>
      <w:r>
        <w:t>, vol. 109, p. 115114, Feb. 2025, doi: 10.1016/j.est.2024.115114.</w:t>
      </w:r>
    </w:p>
    <w:p w14:paraId="70769615" w14:textId="77777777" w:rsidR="00FE013C" w:rsidRDefault="00FE013C" w:rsidP="004C16FF">
      <w:pPr>
        <w:pStyle w:val="Bibliography"/>
      </w:pPr>
      <w:r>
        <w:t>[140]</w:t>
      </w:r>
      <w:r>
        <w:tab/>
        <w:t xml:space="preserve">N. Subramanian and A. A. Stonier, “Digital twin applications and case studies in modern power grid management,” </w:t>
      </w:r>
      <w:r>
        <w:rPr>
          <w:i/>
          <w:iCs/>
        </w:rPr>
        <w:t>Energy Rep.</w:t>
      </w:r>
      <w:r>
        <w:t>, vol. 15, p. 109218, Jun. 2026, doi: 10.1016/j.egyr.2026.109218.</w:t>
      </w:r>
    </w:p>
    <w:p w14:paraId="1068A901" w14:textId="77777777" w:rsidR="00FE013C" w:rsidRDefault="00FE013C" w:rsidP="004C16FF">
      <w:pPr>
        <w:pStyle w:val="Bibliography"/>
      </w:pPr>
      <w:r>
        <w:t>[141]</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1A284B21" w14:textId="77777777" w:rsidR="00FE013C" w:rsidRDefault="00FE013C" w:rsidP="004C16FF">
      <w:pPr>
        <w:pStyle w:val="Bibliography"/>
      </w:pPr>
      <w:r>
        <w:t>[142]</w:t>
      </w:r>
      <w:r>
        <w:tab/>
        <w:t xml:space="preserve">R. Schaeffer </w:t>
      </w:r>
      <w:r>
        <w:rPr>
          <w:i/>
          <w:iCs/>
        </w:rPr>
        <w:t>et al.</w:t>
      </w:r>
      <w:r>
        <w:t xml:space="preserve">, “Energy sector vulnerability to climate change: A review,” </w:t>
      </w:r>
      <w:r>
        <w:rPr>
          <w:i/>
          <w:iCs/>
        </w:rPr>
        <w:t>Energy</w:t>
      </w:r>
      <w:r>
        <w:t>, vol. 38, no. 1, pp. 1–12, Feb. 2012, doi: 10.1016/j.energy.2011.11.056.</w:t>
      </w:r>
    </w:p>
    <w:p w14:paraId="16D6FA92" w14:textId="77777777" w:rsidR="00FE013C" w:rsidRDefault="00FE013C" w:rsidP="004C16FF">
      <w:pPr>
        <w:pStyle w:val="Bibliography"/>
      </w:pPr>
      <w:r>
        <w:t>[143]</w:t>
      </w:r>
      <w:r>
        <w:tab/>
        <w:t xml:space="preserve">M. A. Bekhti, L. Ghomri, H. L. Beklaouz, and R. Bouddou, “Techno-economic and environmental optimization of standalone hybrid energy systems using advanced energy storage for remote electrification in Southern Algeria,” </w:t>
      </w:r>
      <w:r>
        <w:rPr>
          <w:i/>
          <w:iCs/>
        </w:rPr>
        <w:t>J. Renew. Sustain. Energy</w:t>
      </w:r>
      <w:r>
        <w:t>, vol. 17, no. 5, p. 056309, Sep. 2025, doi: 10.1063/5.0297401.</w:t>
      </w:r>
    </w:p>
    <w:p w14:paraId="505774C0" w14:textId="77777777" w:rsidR="00FE013C" w:rsidRDefault="00FE013C" w:rsidP="004C16FF">
      <w:pPr>
        <w:pStyle w:val="Bibliography"/>
      </w:pPr>
      <w:r>
        <w:lastRenderedPageBreak/>
        <w:t>[144]</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4626CF0E" w14:textId="77777777" w:rsidR="00FE013C" w:rsidRDefault="00FE013C" w:rsidP="004C16FF">
      <w:pPr>
        <w:pStyle w:val="Bibliography"/>
      </w:pPr>
      <w:r>
        <w:t>[145]</w:t>
      </w:r>
      <w:r>
        <w:tab/>
        <w:t xml:space="preserve">A. Radovanovic </w:t>
      </w:r>
      <w:r>
        <w:rPr>
          <w:i/>
          <w:iCs/>
        </w:rPr>
        <w:t>et al.</w:t>
      </w:r>
      <w:r>
        <w:t xml:space="preserve">, “Carbon-Aware Computing for Datacenters,” 2021, </w:t>
      </w:r>
      <w:r>
        <w:rPr>
          <w:i/>
          <w:iCs/>
        </w:rPr>
        <w:t>arXiv</w:t>
      </w:r>
      <w:r>
        <w:t>. doi: 10.48550/ARXIV.2106.11750.</w:t>
      </w:r>
    </w:p>
    <w:p w14:paraId="59E215BD" w14:textId="77777777" w:rsidR="00FE013C" w:rsidRDefault="00FE013C" w:rsidP="004C16FF">
      <w:pPr>
        <w:pStyle w:val="Bibliography"/>
      </w:pPr>
      <w:r>
        <w:t>[146]</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5168E2B4" w14:textId="77777777" w:rsidR="00FE013C" w:rsidRDefault="00FE013C" w:rsidP="004C16FF">
      <w:pPr>
        <w:pStyle w:val="Bibliography"/>
      </w:pPr>
      <w:r>
        <w:t>[147]</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3FCDF493" w14:textId="77777777" w:rsidR="00FE013C" w:rsidRDefault="00FE013C" w:rsidP="004C16FF">
      <w:pPr>
        <w:pStyle w:val="Bibliography"/>
      </w:pPr>
      <w:r>
        <w:t>[148]</w:t>
      </w:r>
      <w:r>
        <w:tab/>
        <w:t xml:space="preserve">S. Sarkar </w:t>
      </w:r>
      <w:r>
        <w:rPr>
          <w:i/>
          <w:iCs/>
        </w:rPr>
        <w:t>et al.</w:t>
      </w:r>
      <w:r>
        <w:t xml:space="preserve">, “Carbon Footprint Reduction for Sustainable Data Centers in Real-Time,” 2024, </w:t>
      </w:r>
      <w:r>
        <w:rPr>
          <w:i/>
          <w:iCs/>
        </w:rPr>
        <w:t>arXiv</w:t>
      </w:r>
      <w:r>
        <w:t>. doi: 10.48550/ARXIV.2403.14092.</w:t>
      </w:r>
    </w:p>
    <w:p w14:paraId="5B2C756E" w14:textId="769760EA" w:rsidR="00FE013C" w:rsidRDefault="00FE013C" w:rsidP="004C16FF">
      <w:pPr>
        <w:pStyle w:val="Bibliography"/>
      </w:pPr>
      <w:r>
        <w:t>[149]</w:t>
      </w:r>
      <w:r>
        <w:tab/>
        <w:t xml:space="preserve">J. </w:t>
      </w:r>
      <w:proofErr w:type="spellStart"/>
      <w:r>
        <w:t>Sefyrin</w:t>
      </w:r>
      <w:proofErr w:type="spellEnd"/>
      <w:r>
        <w:t>, “Sustainable data</w:t>
      </w:r>
      <w:r w:rsidR="00580BAE">
        <w:t>center</w:t>
      </w:r>
      <w:r>
        <w:t xml:space="preserve">s and eco-modernist frictions in Sweden,” </w:t>
      </w:r>
      <w:r>
        <w:rPr>
          <w:i/>
          <w:iCs/>
        </w:rPr>
        <w:t>Inf. Commun. Soc.</w:t>
      </w:r>
      <w:r>
        <w:t>, pp. 1–17, Dec. 2025, doi: 10.1080/1369118X.2025.2596872.</w:t>
      </w:r>
    </w:p>
    <w:p w14:paraId="53A1E87B" w14:textId="77777777" w:rsidR="00FE013C" w:rsidRDefault="00FE013C" w:rsidP="004C16FF">
      <w:pPr>
        <w:pStyle w:val="Bibliography"/>
      </w:pPr>
      <w:r>
        <w:t>[150]</w:t>
      </w:r>
      <w:r>
        <w:tab/>
        <w:t>Lazard, “Levelized Cost of Energy.” [Online]. Available: https://www.lazard.com/media/eijnqja3/lazards-lcoeplus-june-2025.pdf</w:t>
      </w:r>
    </w:p>
    <w:p w14:paraId="0560A9A1" w14:textId="77777777" w:rsidR="00FE013C" w:rsidRDefault="00FE013C" w:rsidP="004C16FF">
      <w:pPr>
        <w:pStyle w:val="Bibliography"/>
      </w:pPr>
      <w:r>
        <w:t>[151]</w:t>
      </w:r>
      <w:r>
        <w:tab/>
        <w:t>EPA, “Summary of Inflation Reduction Act provisions related to renewable energy.” [Online]. Available: https://www.epa.gov/green-power-markets/summary-inflation-reduction-act-provisions-related-renewable-energy</w:t>
      </w:r>
    </w:p>
    <w:p w14:paraId="68582B06" w14:textId="77777777" w:rsidR="00FE013C" w:rsidRDefault="00FE013C" w:rsidP="004C16FF">
      <w:pPr>
        <w:pStyle w:val="Bibliography"/>
      </w:pPr>
      <w:r>
        <w:t>[152]</w:t>
      </w:r>
      <w:r>
        <w:tab/>
        <w:t xml:space="preserve">M. S. Hoosain, B. S. Paul, S. Kass, and S. Ramakrishna, “Tools Towards the Sustainability and Circularity of Data Centers,” </w:t>
      </w:r>
      <w:r>
        <w:rPr>
          <w:i/>
          <w:iCs/>
        </w:rPr>
        <w:t>Circ. Econ. Sustain.</w:t>
      </w:r>
      <w:r>
        <w:t>, vol. 3, no. 1, pp. 173–197, Mar. 2023, doi: 10.1007/s43615-022-00191-9.</w:t>
      </w:r>
    </w:p>
    <w:p w14:paraId="19778576" w14:textId="77777777" w:rsidR="00FE013C" w:rsidRDefault="00FE013C" w:rsidP="004C16FF">
      <w:pPr>
        <w:pStyle w:val="Bibliography"/>
      </w:pPr>
      <w:r>
        <w:t>[153]</w:t>
      </w:r>
      <w:r>
        <w:tab/>
        <w:t>NFPA, “NFPA 110 Type 10 Requirements for Emergency Power Systems.” [Online]. Available: https://www.cummins.com/sites/default/files/2019-03/PowerHour_NFPA110.pdf</w:t>
      </w:r>
    </w:p>
    <w:p w14:paraId="1947B226" w14:textId="77777777" w:rsidR="00FE013C" w:rsidRDefault="00FE013C" w:rsidP="004C16FF">
      <w:pPr>
        <w:pStyle w:val="Bibliography"/>
      </w:pPr>
      <w:r>
        <w:t>[154]</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6E8A0AB5" w14:textId="77777777" w:rsidR="00FE013C" w:rsidRDefault="00FE013C" w:rsidP="004C16FF">
      <w:pPr>
        <w:pStyle w:val="Bibliography"/>
      </w:pPr>
      <w:r>
        <w:t>[155]</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40C9B6B8" w14:textId="77777777" w:rsidR="00FE013C" w:rsidRDefault="00FE013C" w:rsidP="004C16FF">
      <w:pPr>
        <w:pStyle w:val="Bibliography"/>
      </w:pPr>
      <w:r>
        <w:t>[156]</w:t>
      </w:r>
      <w:r>
        <w:tab/>
        <w:t>Arthur D. Little, “U N L O C K I N G FUSION ENERGY.” [Online]. Available: https://www.adlittle.com/sites/default/files/reports/ADL_Unlocking_fusion_energy_2025%20%281%29.pdf</w:t>
      </w:r>
    </w:p>
    <w:p w14:paraId="15737927" w14:textId="77777777" w:rsidR="00FE013C" w:rsidRDefault="00FE013C" w:rsidP="004C16FF">
      <w:pPr>
        <w:pStyle w:val="Bibliography"/>
      </w:pPr>
      <w:r>
        <w:t>[157]</w:t>
      </w:r>
      <w:r>
        <w:tab/>
        <w:t xml:space="preserve">F. M. A. Hadi, H. H. Aly, and T. Little, “Harmonics Forecasting of Wind and Solar Hybrid Model Based on Deep Machine Learning,” </w:t>
      </w:r>
      <w:r>
        <w:rPr>
          <w:i/>
          <w:iCs/>
        </w:rPr>
        <w:t>IEEE Access</w:t>
      </w:r>
      <w:r>
        <w:t>, vol. 11, pp. 100438–100457, 2023, doi: 10.1109/ACCESS.2023.3314742.</w:t>
      </w:r>
    </w:p>
    <w:p w14:paraId="09FB8B83" w14:textId="77777777" w:rsidR="00FE013C" w:rsidRDefault="00FE013C" w:rsidP="004C16FF">
      <w:pPr>
        <w:pStyle w:val="Bibliography"/>
      </w:pPr>
      <w:r>
        <w:t>[158]</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1223D8DD" w14:textId="77777777" w:rsidR="00FE013C" w:rsidRDefault="00FE013C" w:rsidP="004C16FF">
      <w:pPr>
        <w:pStyle w:val="Bibliography"/>
      </w:pPr>
      <w:r>
        <w:lastRenderedPageBreak/>
        <w:t>[159]</w:t>
      </w:r>
      <w:r>
        <w:tab/>
        <w:t>N. Institute, “Beyond FERC Order 2023: Considerations on Deep Interconnection Reform”, [Online]. Available: https://www.researchgate.net/publication/382074664_Beyond_FERC_Order_2023_Considerations_on_Deep_Interconnection_Reform</w:t>
      </w:r>
    </w:p>
    <w:p w14:paraId="04435993" w14:textId="77777777" w:rsidR="00FE013C" w:rsidRDefault="00FE013C" w:rsidP="004C16FF">
      <w:pPr>
        <w:pStyle w:val="Bibliography"/>
      </w:pPr>
      <w:r>
        <w:t>[160]</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26D0143A" w14:textId="77777777" w:rsidR="00FE013C" w:rsidRDefault="00FE013C" w:rsidP="004C16FF">
      <w:pPr>
        <w:pStyle w:val="Bibliography"/>
      </w:pPr>
      <w:r>
        <w:t>[161]</w:t>
      </w:r>
      <w:r>
        <w:tab/>
        <w:t xml:space="preserve">H. Chen, Z. Zhang, C. Guan, and H. Gao, “Optimization of sizing and frequency control in battery/supercapacitor hybrid energy storage system for fuel cell ship,” </w:t>
      </w:r>
      <w:r>
        <w:rPr>
          <w:i/>
          <w:iCs/>
        </w:rPr>
        <w:t>Energy</w:t>
      </w:r>
      <w:r>
        <w:t>, vol. 197, p. 117285, Apr. 2020, doi: 10.1016/j.energy.2020.117285.</w:t>
      </w:r>
    </w:p>
    <w:p w14:paraId="17A4B4E9" w14:textId="77777777" w:rsidR="00FE013C" w:rsidRDefault="00FE013C" w:rsidP="004C16FF">
      <w:pPr>
        <w:pStyle w:val="Bibliography"/>
      </w:pPr>
      <w:r>
        <w:t>[162]</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24BD1F32" w14:textId="77777777" w:rsidR="00FE013C" w:rsidRDefault="00FE013C" w:rsidP="004C16FF">
      <w:pPr>
        <w:pStyle w:val="Bibliography"/>
      </w:pPr>
      <w:r>
        <w:t>[163]</w:t>
      </w:r>
      <w:r>
        <w:tab/>
        <w:t>S. Chatterjee, “Mitigating Supply Chain Malware Risks in Operational Technology: ChallengesModellingutions for the Oil and Gas Industry”.</w:t>
      </w:r>
    </w:p>
    <w:p w14:paraId="06627EC2" w14:textId="77777777" w:rsidR="00FE013C" w:rsidRDefault="00FE013C" w:rsidP="004C16FF">
      <w:pPr>
        <w:pStyle w:val="Bibliography"/>
      </w:pPr>
      <w:r>
        <w:t>[164]</w:t>
      </w:r>
      <w:r>
        <w:tab/>
        <w:t>M. G. Todeschini, G. Dondossola, and R. Terruggia, “IMPACT EVALUATION OF IEC 62351 CYBER SECURITY ON IEC 61850 COMMUNICATIONS PERFORMANCE,” 2019.</w:t>
      </w:r>
    </w:p>
    <w:p w14:paraId="0BA597CB" w14:textId="77777777" w:rsidR="00FE013C" w:rsidRDefault="00FE013C" w:rsidP="004C16FF">
      <w:pPr>
        <w:pStyle w:val="Bibliography"/>
      </w:pPr>
      <w:r>
        <w:t>[165]</w:t>
      </w:r>
      <w:r>
        <w:tab/>
        <w:t xml:space="preserve">A. Dimakopoulou and K. Rantos, “Comprehensive Analysis of Maritime Cybersecurity Landscape Based on the NIST CSF v2.0,” </w:t>
      </w:r>
      <w:r>
        <w:rPr>
          <w:i/>
          <w:iCs/>
        </w:rPr>
        <w:t>J. Mar. Sci. Eng.</w:t>
      </w:r>
      <w:r>
        <w:t>, vol. 12, no. 6, p. 919, May 2024, doi: 10.3390/jmse12060919.</w:t>
      </w:r>
    </w:p>
    <w:p w14:paraId="6ABD0CE0" w14:textId="77777777" w:rsidR="00FE013C" w:rsidRDefault="00FE013C" w:rsidP="004C16FF">
      <w:pPr>
        <w:pStyle w:val="Bibliography"/>
      </w:pPr>
      <w:r>
        <w:t>[166]</w:t>
      </w:r>
      <w:r>
        <w:tab/>
        <w:t xml:space="preserve">M. Dukan and B. Steffen, “Cost of capital for renewables and enabling technologies: Measuring the multidimensional heterogeneity in Switzerland,” 2024, </w:t>
      </w:r>
      <w:r>
        <w:rPr>
          <w:i/>
          <w:iCs/>
        </w:rPr>
        <w:t>SSRN</w:t>
      </w:r>
      <w:r>
        <w:t>. doi: 10.2139/ssrn.4926798.</w:t>
      </w:r>
    </w:p>
    <w:p w14:paraId="71A3EE2D" w14:textId="77777777" w:rsidR="00FE013C" w:rsidRDefault="00FE013C" w:rsidP="004C16FF">
      <w:pPr>
        <w:pStyle w:val="Bibliography"/>
      </w:pPr>
      <w:r>
        <w:t>[167]</w:t>
      </w:r>
      <w:r>
        <w:tab/>
        <w:t xml:space="preserve">O. Kay, R. Reaser, and R. Taylor, “Processing Power: The Effect of Data Centers on Wholesale Electricity Markets,” </w:t>
      </w:r>
      <w:r>
        <w:rPr>
          <w:i/>
          <w:iCs/>
        </w:rPr>
        <w:t>Fed. Reserve Bank Dallas Work. Pap.</w:t>
      </w:r>
      <w:r>
        <w:t>, vol. 2026, no. 2606, Mar. 2026, doi: 10.24149/wp2606.</w:t>
      </w:r>
    </w:p>
    <w:p w14:paraId="38F51767" w14:textId="77777777" w:rsidR="00FE013C" w:rsidRDefault="00FE013C" w:rsidP="004C16FF">
      <w:pPr>
        <w:pStyle w:val="Bibliography"/>
      </w:pPr>
      <w:r>
        <w:t>[168]</w:t>
      </w:r>
      <w:r>
        <w:tab/>
        <w:t xml:space="preserve">G. Duppati, “Carbon pricing and revenue growth valuation risk exposure,” </w:t>
      </w:r>
      <w:r>
        <w:rPr>
          <w:i/>
          <w:iCs/>
        </w:rPr>
        <w:t>Int. Rev. Econ. Finance</w:t>
      </w:r>
      <w:r>
        <w:t>, vol. 103, p. 104442, Oct. 2025, doi: 10.1016/j.iref.2025.104442.</w:t>
      </w:r>
    </w:p>
    <w:p w14:paraId="2D8FA95B" w14:textId="77777777" w:rsidR="00FE013C" w:rsidRDefault="00FE013C" w:rsidP="004C16FF">
      <w:pPr>
        <w:pStyle w:val="Bibliography"/>
      </w:pPr>
      <w:r>
        <w:t>[169]</w:t>
      </w:r>
      <w:r>
        <w:tab/>
        <w:t>Daniel Yang, “Risk Structure and Financial Hedging in Nodal Electricity Markets.” [Online]. Available: https://www.oxfordenergy.org/wpcms/wp-content/uploads/2026/01/EL-61-Risk-Structure-and-Financial-Hedging.pdf</w:t>
      </w:r>
    </w:p>
    <w:p w14:paraId="7B60C0DA" w14:textId="1BA083D1" w:rsidR="00FE013C" w:rsidRDefault="00FE013C" w:rsidP="004C16FF">
      <w:pPr>
        <w:pStyle w:val="Bibliography"/>
      </w:pPr>
      <w:r>
        <w:t>[170]</w:t>
      </w:r>
      <w:r>
        <w:tab/>
        <w:t xml:space="preserve">J. Commins and K. Irion, “Towards Planet-Proof </w:t>
      </w:r>
      <w:proofErr w:type="gramStart"/>
      <w:r>
        <w:t>Computing:Ten</w:t>
      </w:r>
      <w:proofErr w:type="gramEnd"/>
      <w:r>
        <w:t xml:space="preserve"> Key Elements EU Data </w:t>
      </w:r>
      <w:r w:rsidR="00580BAE">
        <w:t>Center</w:t>
      </w:r>
      <w:r>
        <w:t xml:space="preserve"> Sustainability Policy Should Take Onboard,” </w:t>
      </w:r>
      <w:r>
        <w:rPr>
          <w:i/>
          <w:iCs/>
        </w:rPr>
        <w:t>Eur. Law Blog</w:t>
      </w:r>
      <w:r>
        <w:t>, Mar. 2025, doi: 10.21428/9885764c.f93298cf.</w:t>
      </w:r>
    </w:p>
    <w:p w14:paraId="49D35F42" w14:textId="77777777" w:rsidR="00FE013C" w:rsidRDefault="00FE013C" w:rsidP="004C16FF">
      <w:pPr>
        <w:pStyle w:val="Bibliography"/>
      </w:pPr>
      <w:r>
        <w:t>[171]</w:t>
      </w:r>
      <w:r>
        <w:tab/>
        <w:t>Alistair Baker-Brian, “Data Centers in 2026: 5 Trends Reshaping Power, Cost, and Resilience.” [Online]. Available: https://www.enersys.com/en/blog-articles/data-centers-five-trends-reshaping-power-cost-and-resilience/</w:t>
      </w:r>
    </w:p>
    <w:p w14:paraId="4CFA4EC0" w14:textId="77777777" w:rsidR="00FE013C" w:rsidRDefault="00FE013C" w:rsidP="004C16FF">
      <w:pPr>
        <w:pStyle w:val="Bibliography"/>
      </w:pPr>
      <w:r>
        <w:t>[172]</w:t>
      </w:r>
      <w:r>
        <w:tab/>
        <w:t>F. Kahrl, J. H. Kim, A. Mills, R. Wiser, C. Montañés, and W. Gorman, “Variable Renewable Energy Participation in U.S. Ancillary Services Markets”.</w:t>
      </w:r>
    </w:p>
    <w:p w14:paraId="39AC0B8B" w14:textId="77777777" w:rsidR="00FE013C" w:rsidRDefault="00FE013C" w:rsidP="004C16FF">
      <w:pPr>
        <w:pStyle w:val="Bibliography"/>
      </w:pPr>
      <w:r>
        <w:t>[173]</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1843ADA3" w14:textId="77777777" w:rsidR="00FE013C" w:rsidRDefault="00FE013C" w:rsidP="004C16FF">
      <w:pPr>
        <w:pStyle w:val="Bibliography"/>
      </w:pPr>
      <w:r>
        <w:lastRenderedPageBreak/>
        <w:t>[174]</w:t>
      </w:r>
      <w:r>
        <w:tab/>
        <w:t>i2X, “Transmission Interconnection Roadmap.” [Online]. Available: https://www.energy.gov/sites/default/files/2024-04/i2X%20Transmission%20Interconnection%20Roadmap.pdf</w:t>
      </w:r>
    </w:p>
    <w:p w14:paraId="77690D65" w14:textId="77777777" w:rsidR="00FE013C" w:rsidRDefault="00FE013C" w:rsidP="004C16FF">
      <w:pPr>
        <w:pStyle w:val="Bibliography"/>
      </w:pPr>
      <w:r>
        <w:t>[175]</w:t>
      </w:r>
      <w:r>
        <w:tab/>
        <w:t xml:space="preserve">J. Rand </w:t>
      </w:r>
      <w:r>
        <w:rPr>
          <w:i/>
          <w:iCs/>
        </w:rPr>
        <w:t>et al.</w:t>
      </w:r>
      <w:r>
        <w:t>, “Up: 2025 Edition, Characteristics of Power Plants Seeking Transmission Interconnection As of the End of 2024,” 2025, doi: 10.13140/RG.2.2.12274.67520.</w:t>
      </w:r>
    </w:p>
    <w:p w14:paraId="1433CAF7" w14:textId="77777777" w:rsidR="00FE013C" w:rsidRDefault="00FE013C" w:rsidP="004C16FF">
      <w:pPr>
        <w:pStyle w:val="Bibliography"/>
      </w:pPr>
      <w:r>
        <w:t>[176]</w:t>
      </w:r>
      <w:r>
        <w:tab/>
        <w:t xml:space="preserve">UN, “ENVIRONMENTAL COST OF AI’S ENERGY USE.” </w:t>
      </w:r>
    </w:p>
    <w:p w14:paraId="21FE0F2B" w14:textId="77777777" w:rsidR="00FE013C" w:rsidRDefault="00FE013C" w:rsidP="004C16FF">
      <w:pPr>
        <w:pStyle w:val="Bibliography"/>
      </w:pPr>
      <w:r>
        <w:t>[177]</w:t>
      </w:r>
      <w:r>
        <w:tab/>
        <w:t>Alexander Heiss, Zacharias Sautner, and Zacharias Sautner, “Powering AI: How Do Data Centers Affect Renewable Energy Investment?” [Online]. Available: https://papers.ssrn.com/sol3/papers.cfm?abstract_id=6426079</w:t>
      </w:r>
    </w:p>
    <w:p w14:paraId="2A98A942" w14:textId="77777777" w:rsidR="00FE013C" w:rsidRDefault="00FE013C" w:rsidP="004C16FF">
      <w:pPr>
        <w:pStyle w:val="Bibliography"/>
      </w:pPr>
      <w:r>
        <w:t>[178]</w:t>
      </w:r>
      <w:r>
        <w:tab/>
        <w:t>IESO, “2026 Annual Planning Outlook.” [Online]. Available: https://www.ieso.ca/-/media/Files/IESO/Document-Library/planning-forecasts/apo/2026/2026-APO-Demand-Forecast-Module.pdf</w:t>
      </w:r>
    </w:p>
    <w:p w14:paraId="3DA20B24" w14:textId="77777777" w:rsidR="00FE013C" w:rsidRDefault="00FE013C" w:rsidP="004C16FF">
      <w:pPr>
        <w:pStyle w:val="Bibliography"/>
      </w:pPr>
      <w:r>
        <w:t>[179]</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0C922678" w14:textId="77777777" w:rsidR="00FE013C" w:rsidRDefault="00FE013C" w:rsidP="004C16FF">
      <w:pPr>
        <w:pStyle w:val="Bibliography"/>
      </w:pPr>
      <w:r>
        <w:t>[180]</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5DDA7A85" w14:textId="77777777" w:rsidR="00FE013C" w:rsidRDefault="00FE013C" w:rsidP="004C16FF">
      <w:pPr>
        <w:pStyle w:val="Bibliography"/>
      </w:pPr>
      <w:r>
        <w:t>[181]</w:t>
      </w:r>
      <w:r>
        <w:tab/>
        <w:t>T.-C. Hsueh, “Panel-Scale Reconfigurable Photonic Interconnects for Scalable AI Computation”.</w:t>
      </w:r>
    </w:p>
    <w:p w14:paraId="219B319C" w14:textId="77777777" w:rsidR="00FE013C" w:rsidRDefault="00FE013C" w:rsidP="004C16FF">
      <w:pPr>
        <w:pStyle w:val="Bibliography"/>
      </w:pPr>
      <w:r>
        <w:t>[182]</w:t>
      </w:r>
      <w:r>
        <w:tab/>
        <w:t xml:space="preserve">Y. Ding, Z. P. Cano, A. Yu, J. Lu, and Z. Chen, “Automotive Li-Ion Batteries: Current Status and Future Perspectives,” </w:t>
      </w:r>
      <w:r>
        <w:rPr>
          <w:i/>
          <w:iCs/>
        </w:rPr>
        <w:t>Electrochem. Energy Rev.</w:t>
      </w:r>
      <w:r>
        <w:t>, vol. 2, no. 1, pp. 1–28, Mar. 2019, doi: 10.1007/s41918-018-0022-z.</w:t>
      </w:r>
    </w:p>
    <w:p w14:paraId="59CAF9B9" w14:textId="77777777" w:rsidR="00FE013C" w:rsidRDefault="00FE013C" w:rsidP="004C16FF">
      <w:pPr>
        <w:pStyle w:val="Bibliography"/>
      </w:pPr>
      <w:r>
        <w:t>[183]</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5ADB160E" w14:textId="77777777" w:rsidR="00FE013C" w:rsidRDefault="00FE013C" w:rsidP="004C16FF">
      <w:pPr>
        <w:pStyle w:val="Bibliography"/>
      </w:pPr>
      <w:r>
        <w:t>[184]</w:t>
      </w:r>
      <w:r>
        <w:tab/>
        <w:t xml:space="preserve">R. Eriksson, N. Modig, and K. Elkington, “Synthetic inertia versus fast frequency response: a definition,” </w:t>
      </w:r>
      <w:r>
        <w:rPr>
          <w:i/>
          <w:iCs/>
        </w:rPr>
        <w:t>IET Renew. Power Gener.</w:t>
      </w:r>
      <w:r>
        <w:t>, vol. 12, no. 5, pp. 507–514, Apr. 2018, doi: 10.1049/iet-rpg.2017.0370.</w:t>
      </w:r>
    </w:p>
    <w:p w14:paraId="21EA0DD9" w14:textId="77777777" w:rsidR="00FE013C" w:rsidRDefault="00FE013C" w:rsidP="004C16FF">
      <w:pPr>
        <w:pStyle w:val="Bibliography"/>
      </w:pPr>
      <w:r>
        <w:t>[185]</w:t>
      </w:r>
      <w:r>
        <w:tab/>
        <w:t xml:space="preserve">H. Nikafshan Rad, A. Ghasemi, and M. Marefati, “Cost and environmental analysis and optimization of a new and green three-level waste heat recovery-based cogeneration cycle: A comparative study,” </w:t>
      </w:r>
      <w:r>
        <w:rPr>
          <w:i/>
          <w:iCs/>
        </w:rPr>
        <w:t>Heliyon</w:t>
      </w:r>
      <w:r>
        <w:t>, vol. 10, no. 7, p. e29087, Apr. 2024, doi: 10.1016/j.heliyon.2024.e29087.</w:t>
      </w:r>
    </w:p>
    <w:p w14:paraId="2B2213DA" w14:textId="77777777" w:rsidR="00FE013C" w:rsidRDefault="00FE013C" w:rsidP="004C16FF">
      <w:pPr>
        <w:pStyle w:val="Bibliography"/>
        <w:rPr>
          <w:color w:val="auto"/>
        </w:rPr>
      </w:pPr>
      <w:r>
        <w:rPr>
          <w:color w:val="auto"/>
        </w:rPr>
        <w:fldChar w:fldCharType="end"/>
      </w:r>
    </w:p>
    <w:sectPr w:rsidR="00FE013C" w:rsidSect="005F08CE">
      <w:headerReference w:type="even" r:id="rId20"/>
      <w:headerReference w:type="default" r:id="rId21"/>
      <w:footerReference w:type="default" r:id="rId22"/>
      <w:pgSz w:w="11906" w:h="16838" w:code="9"/>
      <w:pgMar w:top="737" w:right="1077" w:bottom="1077" w:left="1077"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75162" w14:textId="77777777" w:rsidR="0087193F" w:rsidRDefault="0087193F">
      <w:r>
        <w:separator/>
      </w:r>
    </w:p>
  </w:endnote>
  <w:endnote w:type="continuationSeparator" w:id="0">
    <w:p w14:paraId="6CB521C4" w14:textId="77777777" w:rsidR="0087193F" w:rsidRDefault="0087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53DC" w14:textId="77777777" w:rsidR="0087193F" w:rsidRDefault="0087193F">
      <w:r>
        <w:separator/>
      </w:r>
    </w:p>
  </w:footnote>
  <w:footnote w:type="continuationSeparator" w:id="0">
    <w:p w14:paraId="52FE9FDE" w14:textId="77777777" w:rsidR="0087193F" w:rsidRDefault="00871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3"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6"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5"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8"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19"/>
  </w:num>
  <w:num w:numId="4" w16cid:durableId="1280408060">
    <w:abstractNumId w:val="20"/>
  </w:num>
  <w:num w:numId="5" w16cid:durableId="451441336">
    <w:abstractNumId w:val="13"/>
  </w:num>
  <w:num w:numId="6" w16cid:durableId="2038002810">
    <w:abstractNumId w:val="9"/>
  </w:num>
  <w:num w:numId="7" w16cid:durableId="618532243">
    <w:abstractNumId w:val="2"/>
  </w:num>
  <w:num w:numId="8" w16cid:durableId="45876077">
    <w:abstractNumId w:val="12"/>
  </w:num>
  <w:num w:numId="9" w16cid:durableId="1102922736">
    <w:abstractNumId w:val="8"/>
  </w:num>
  <w:num w:numId="10" w16cid:durableId="473761911">
    <w:abstractNumId w:val="18"/>
  </w:num>
  <w:num w:numId="11" w16cid:durableId="661275805">
    <w:abstractNumId w:val="21"/>
  </w:num>
  <w:num w:numId="12" w16cid:durableId="1540119753">
    <w:abstractNumId w:val="10"/>
  </w:num>
  <w:num w:numId="13" w16cid:durableId="881593489">
    <w:abstractNumId w:val="3"/>
  </w:num>
  <w:num w:numId="14" w16cid:durableId="204802956">
    <w:abstractNumId w:val="6"/>
  </w:num>
  <w:num w:numId="15" w16cid:durableId="2062554760">
    <w:abstractNumId w:val="15"/>
  </w:num>
  <w:num w:numId="16" w16cid:durableId="1269310907">
    <w:abstractNumId w:val="4"/>
  </w:num>
  <w:num w:numId="17" w16cid:durableId="357046737">
    <w:abstractNumId w:val="11"/>
  </w:num>
  <w:num w:numId="18" w16cid:durableId="565454282">
    <w:abstractNumId w:val="7"/>
  </w:num>
  <w:num w:numId="19" w16cid:durableId="1621452831">
    <w:abstractNumId w:val="16"/>
  </w:num>
  <w:num w:numId="20" w16cid:durableId="1132864569">
    <w:abstractNumId w:val="14"/>
  </w:num>
  <w:num w:numId="21" w16cid:durableId="1252196837">
    <w:abstractNumId w:val="17"/>
  </w:num>
  <w:num w:numId="22" w16cid:durableId="1693648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CC0"/>
    <w:rsid w:val="00004098"/>
    <w:rsid w:val="00004DA8"/>
    <w:rsid w:val="00021D4C"/>
    <w:rsid w:val="0002304C"/>
    <w:rsid w:val="00023B78"/>
    <w:rsid w:val="000256A6"/>
    <w:rsid w:val="00030122"/>
    <w:rsid w:val="000321B5"/>
    <w:rsid w:val="0003524E"/>
    <w:rsid w:val="00035D77"/>
    <w:rsid w:val="00040480"/>
    <w:rsid w:val="00044C5D"/>
    <w:rsid w:val="000465AA"/>
    <w:rsid w:val="00057870"/>
    <w:rsid w:val="000642A3"/>
    <w:rsid w:val="00070841"/>
    <w:rsid w:val="000717F7"/>
    <w:rsid w:val="00073208"/>
    <w:rsid w:val="0007532D"/>
    <w:rsid w:val="00075A12"/>
    <w:rsid w:val="00080FE2"/>
    <w:rsid w:val="000812E0"/>
    <w:rsid w:val="00081E76"/>
    <w:rsid w:val="0008622D"/>
    <w:rsid w:val="0008678B"/>
    <w:rsid w:val="00095528"/>
    <w:rsid w:val="00095712"/>
    <w:rsid w:val="00095E8E"/>
    <w:rsid w:val="000973F7"/>
    <w:rsid w:val="000A408E"/>
    <w:rsid w:val="000A5126"/>
    <w:rsid w:val="000B39AB"/>
    <w:rsid w:val="000B7BFE"/>
    <w:rsid w:val="000C0A5A"/>
    <w:rsid w:val="000C1B14"/>
    <w:rsid w:val="000C26DB"/>
    <w:rsid w:val="000C2F0C"/>
    <w:rsid w:val="000C3F0F"/>
    <w:rsid w:val="000D010A"/>
    <w:rsid w:val="000D6850"/>
    <w:rsid w:val="000E0127"/>
    <w:rsid w:val="000E3C80"/>
    <w:rsid w:val="000E4885"/>
    <w:rsid w:val="000E64DD"/>
    <w:rsid w:val="000E77FA"/>
    <w:rsid w:val="000F2608"/>
    <w:rsid w:val="000F592A"/>
    <w:rsid w:val="0010384E"/>
    <w:rsid w:val="00103F18"/>
    <w:rsid w:val="00104D7D"/>
    <w:rsid w:val="001109A6"/>
    <w:rsid w:val="00114F15"/>
    <w:rsid w:val="001161F2"/>
    <w:rsid w:val="00116D36"/>
    <w:rsid w:val="001170F1"/>
    <w:rsid w:val="00120E08"/>
    <w:rsid w:val="00131821"/>
    <w:rsid w:val="001329E8"/>
    <w:rsid w:val="00137E95"/>
    <w:rsid w:val="0014185D"/>
    <w:rsid w:val="00142460"/>
    <w:rsid w:val="00145C6F"/>
    <w:rsid w:val="0014625D"/>
    <w:rsid w:val="00147ED5"/>
    <w:rsid w:val="001530DD"/>
    <w:rsid w:val="001617BE"/>
    <w:rsid w:val="001623F2"/>
    <w:rsid w:val="00163578"/>
    <w:rsid w:val="00166ED5"/>
    <w:rsid w:val="0017147F"/>
    <w:rsid w:val="00171B72"/>
    <w:rsid w:val="00172115"/>
    <w:rsid w:val="0017345A"/>
    <w:rsid w:val="00173D97"/>
    <w:rsid w:val="001751D4"/>
    <w:rsid w:val="0017669A"/>
    <w:rsid w:val="001772C5"/>
    <w:rsid w:val="00180502"/>
    <w:rsid w:val="00180833"/>
    <w:rsid w:val="0018348D"/>
    <w:rsid w:val="001850C1"/>
    <w:rsid w:val="00187143"/>
    <w:rsid w:val="0019198D"/>
    <w:rsid w:val="00194936"/>
    <w:rsid w:val="0019592A"/>
    <w:rsid w:val="00195B91"/>
    <w:rsid w:val="00196D1B"/>
    <w:rsid w:val="001A3F06"/>
    <w:rsid w:val="001A5343"/>
    <w:rsid w:val="001A6DB0"/>
    <w:rsid w:val="001A7127"/>
    <w:rsid w:val="001B2A37"/>
    <w:rsid w:val="001B3304"/>
    <w:rsid w:val="001B70F9"/>
    <w:rsid w:val="001B7512"/>
    <w:rsid w:val="001B7822"/>
    <w:rsid w:val="001C0F6D"/>
    <w:rsid w:val="001C1DB8"/>
    <w:rsid w:val="001C2BF8"/>
    <w:rsid w:val="001C3837"/>
    <w:rsid w:val="001D0BAC"/>
    <w:rsid w:val="001D1403"/>
    <w:rsid w:val="001D5471"/>
    <w:rsid w:val="001E0758"/>
    <w:rsid w:val="001E09C3"/>
    <w:rsid w:val="001E0AAE"/>
    <w:rsid w:val="001E162E"/>
    <w:rsid w:val="001E2527"/>
    <w:rsid w:val="001E32DD"/>
    <w:rsid w:val="001F0361"/>
    <w:rsid w:val="001F4430"/>
    <w:rsid w:val="002032C0"/>
    <w:rsid w:val="00203B6C"/>
    <w:rsid w:val="002054B5"/>
    <w:rsid w:val="002068F4"/>
    <w:rsid w:val="002108A4"/>
    <w:rsid w:val="0021274D"/>
    <w:rsid w:val="00215994"/>
    <w:rsid w:val="00217AE8"/>
    <w:rsid w:val="00217ECC"/>
    <w:rsid w:val="00220493"/>
    <w:rsid w:val="00225E6D"/>
    <w:rsid w:val="002261A6"/>
    <w:rsid w:val="00227113"/>
    <w:rsid w:val="002272B2"/>
    <w:rsid w:val="002306B5"/>
    <w:rsid w:val="0023297E"/>
    <w:rsid w:val="00232D2E"/>
    <w:rsid w:val="00234316"/>
    <w:rsid w:val="00240FF9"/>
    <w:rsid w:val="002415E7"/>
    <w:rsid w:val="002458A7"/>
    <w:rsid w:val="002462C2"/>
    <w:rsid w:val="00251236"/>
    <w:rsid w:val="00253CAD"/>
    <w:rsid w:val="002641B9"/>
    <w:rsid w:val="00266077"/>
    <w:rsid w:val="00266ECA"/>
    <w:rsid w:val="00272BD0"/>
    <w:rsid w:val="002777A1"/>
    <w:rsid w:val="00282103"/>
    <w:rsid w:val="0028220C"/>
    <w:rsid w:val="00285B13"/>
    <w:rsid w:val="00286D4E"/>
    <w:rsid w:val="00291800"/>
    <w:rsid w:val="002951E4"/>
    <w:rsid w:val="0029629A"/>
    <w:rsid w:val="00297AD0"/>
    <w:rsid w:val="002A05B5"/>
    <w:rsid w:val="002A0616"/>
    <w:rsid w:val="002A1323"/>
    <w:rsid w:val="002A1396"/>
    <w:rsid w:val="002A4526"/>
    <w:rsid w:val="002A74E3"/>
    <w:rsid w:val="002B35CB"/>
    <w:rsid w:val="002B39C3"/>
    <w:rsid w:val="002B3E4F"/>
    <w:rsid w:val="002C06D9"/>
    <w:rsid w:val="002C0878"/>
    <w:rsid w:val="002C0C00"/>
    <w:rsid w:val="002C20E4"/>
    <w:rsid w:val="002C323F"/>
    <w:rsid w:val="002C35E0"/>
    <w:rsid w:val="002C38FF"/>
    <w:rsid w:val="002C3CD7"/>
    <w:rsid w:val="002C43F2"/>
    <w:rsid w:val="002C45A5"/>
    <w:rsid w:val="002C4691"/>
    <w:rsid w:val="002C5687"/>
    <w:rsid w:val="002C5CB3"/>
    <w:rsid w:val="002D56E0"/>
    <w:rsid w:val="002E0101"/>
    <w:rsid w:val="002E0505"/>
    <w:rsid w:val="002E2886"/>
    <w:rsid w:val="002E442C"/>
    <w:rsid w:val="002E5A5D"/>
    <w:rsid w:val="002E772B"/>
    <w:rsid w:val="002F313A"/>
    <w:rsid w:val="002F47FC"/>
    <w:rsid w:val="002F4FBC"/>
    <w:rsid w:val="00301AC3"/>
    <w:rsid w:val="00302B88"/>
    <w:rsid w:val="00303C61"/>
    <w:rsid w:val="003104FC"/>
    <w:rsid w:val="00310653"/>
    <w:rsid w:val="003110B3"/>
    <w:rsid w:val="00314B47"/>
    <w:rsid w:val="00322C79"/>
    <w:rsid w:val="00323D3C"/>
    <w:rsid w:val="00323DD0"/>
    <w:rsid w:val="003265AE"/>
    <w:rsid w:val="00330029"/>
    <w:rsid w:val="00332576"/>
    <w:rsid w:val="00332F17"/>
    <w:rsid w:val="00333CD8"/>
    <w:rsid w:val="00337DE9"/>
    <w:rsid w:val="00341A95"/>
    <w:rsid w:val="00341E54"/>
    <w:rsid w:val="00342ED7"/>
    <w:rsid w:val="003442B1"/>
    <w:rsid w:val="0035074E"/>
    <w:rsid w:val="00350D1E"/>
    <w:rsid w:val="00352CE2"/>
    <w:rsid w:val="003546AC"/>
    <w:rsid w:val="00354B1B"/>
    <w:rsid w:val="00355C72"/>
    <w:rsid w:val="00356E13"/>
    <w:rsid w:val="00361F8B"/>
    <w:rsid w:val="003625E3"/>
    <w:rsid w:val="00363763"/>
    <w:rsid w:val="00363AE3"/>
    <w:rsid w:val="00365172"/>
    <w:rsid w:val="00365B2C"/>
    <w:rsid w:val="00367469"/>
    <w:rsid w:val="00367A03"/>
    <w:rsid w:val="00367B33"/>
    <w:rsid w:val="003728B2"/>
    <w:rsid w:val="00373AC1"/>
    <w:rsid w:val="00373B58"/>
    <w:rsid w:val="00380693"/>
    <w:rsid w:val="00380ED5"/>
    <w:rsid w:val="00381260"/>
    <w:rsid w:val="00383E7D"/>
    <w:rsid w:val="00392289"/>
    <w:rsid w:val="00392B15"/>
    <w:rsid w:val="00392C53"/>
    <w:rsid w:val="00392EA5"/>
    <w:rsid w:val="0039462A"/>
    <w:rsid w:val="00394AF8"/>
    <w:rsid w:val="003A11C8"/>
    <w:rsid w:val="003A534C"/>
    <w:rsid w:val="003A6352"/>
    <w:rsid w:val="003B1317"/>
    <w:rsid w:val="003B1D88"/>
    <w:rsid w:val="003B30CC"/>
    <w:rsid w:val="003B33E0"/>
    <w:rsid w:val="003B44B7"/>
    <w:rsid w:val="003B53B0"/>
    <w:rsid w:val="003B6288"/>
    <w:rsid w:val="003B7EEF"/>
    <w:rsid w:val="003B7F03"/>
    <w:rsid w:val="003C05F8"/>
    <w:rsid w:val="003C4670"/>
    <w:rsid w:val="003D0802"/>
    <w:rsid w:val="003D3FE4"/>
    <w:rsid w:val="003D7C63"/>
    <w:rsid w:val="003E3E28"/>
    <w:rsid w:val="003E44F5"/>
    <w:rsid w:val="003F24D0"/>
    <w:rsid w:val="003F4876"/>
    <w:rsid w:val="003F5F56"/>
    <w:rsid w:val="003F6317"/>
    <w:rsid w:val="003F666C"/>
    <w:rsid w:val="00405D55"/>
    <w:rsid w:val="00405F8F"/>
    <w:rsid w:val="0040687D"/>
    <w:rsid w:val="00412819"/>
    <w:rsid w:val="0041565E"/>
    <w:rsid w:val="00416183"/>
    <w:rsid w:val="004172B4"/>
    <w:rsid w:val="004211F1"/>
    <w:rsid w:val="00423213"/>
    <w:rsid w:val="00424065"/>
    <w:rsid w:val="00424328"/>
    <w:rsid w:val="004246FC"/>
    <w:rsid w:val="0042470B"/>
    <w:rsid w:val="0042671C"/>
    <w:rsid w:val="00426773"/>
    <w:rsid w:val="00426A09"/>
    <w:rsid w:val="0043037D"/>
    <w:rsid w:val="00430A84"/>
    <w:rsid w:val="00432446"/>
    <w:rsid w:val="0043558A"/>
    <w:rsid w:val="00436A2E"/>
    <w:rsid w:val="00436DD1"/>
    <w:rsid w:val="00444FE2"/>
    <w:rsid w:val="004450CF"/>
    <w:rsid w:val="00452A11"/>
    <w:rsid w:val="00453FDB"/>
    <w:rsid w:val="00462752"/>
    <w:rsid w:val="004644BD"/>
    <w:rsid w:val="00465E05"/>
    <w:rsid w:val="00466451"/>
    <w:rsid w:val="00472E8E"/>
    <w:rsid w:val="00483956"/>
    <w:rsid w:val="00484A3A"/>
    <w:rsid w:val="004864DB"/>
    <w:rsid w:val="00491686"/>
    <w:rsid w:val="0049309D"/>
    <w:rsid w:val="00493D72"/>
    <w:rsid w:val="00494A61"/>
    <w:rsid w:val="00495A80"/>
    <w:rsid w:val="004A0F17"/>
    <w:rsid w:val="004A38EB"/>
    <w:rsid w:val="004A4722"/>
    <w:rsid w:val="004A6040"/>
    <w:rsid w:val="004A620F"/>
    <w:rsid w:val="004B221A"/>
    <w:rsid w:val="004B2C96"/>
    <w:rsid w:val="004B2DB1"/>
    <w:rsid w:val="004C16FF"/>
    <w:rsid w:val="004C1E8D"/>
    <w:rsid w:val="004C48CC"/>
    <w:rsid w:val="004C5D3A"/>
    <w:rsid w:val="004D02F2"/>
    <w:rsid w:val="004D4343"/>
    <w:rsid w:val="004D516A"/>
    <w:rsid w:val="004E2572"/>
    <w:rsid w:val="004E5D29"/>
    <w:rsid w:val="004E7936"/>
    <w:rsid w:val="004F02EF"/>
    <w:rsid w:val="004F362B"/>
    <w:rsid w:val="004F6FE0"/>
    <w:rsid w:val="004F700D"/>
    <w:rsid w:val="005022CC"/>
    <w:rsid w:val="00510160"/>
    <w:rsid w:val="005108FD"/>
    <w:rsid w:val="005117D6"/>
    <w:rsid w:val="005150B5"/>
    <w:rsid w:val="00515495"/>
    <w:rsid w:val="00516167"/>
    <w:rsid w:val="00516CD8"/>
    <w:rsid w:val="005175CC"/>
    <w:rsid w:val="005236B6"/>
    <w:rsid w:val="00525D68"/>
    <w:rsid w:val="00527524"/>
    <w:rsid w:val="00527876"/>
    <w:rsid w:val="00530654"/>
    <w:rsid w:val="00530F71"/>
    <w:rsid w:val="00531B55"/>
    <w:rsid w:val="00532C4C"/>
    <w:rsid w:val="00533059"/>
    <w:rsid w:val="00540990"/>
    <w:rsid w:val="00540B71"/>
    <w:rsid w:val="00544775"/>
    <w:rsid w:val="00545ED6"/>
    <w:rsid w:val="005536A1"/>
    <w:rsid w:val="00555CCB"/>
    <w:rsid w:val="00556DEC"/>
    <w:rsid w:val="00556DF7"/>
    <w:rsid w:val="00560922"/>
    <w:rsid w:val="00561461"/>
    <w:rsid w:val="00561FEA"/>
    <w:rsid w:val="00566296"/>
    <w:rsid w:val="005676C1"/>
    <w:rsid w:val="005705A5"/>
    <w:rsid w:val="00571D9E"/>
    <w:rsid w:val="00572140"/>
    <w:rsid w:val="0057330A"/>
    <w:rsid w:val="00580BAE"/>
    <w:rsid w:val="00581E8E"/>
    <w:rsid w:val="00582570"/>
    <w:rsid w:val="0058473E"/>
    <w:rsid w:val="00584BC7"/>
    <w:rsid w:val="00586E14"/>
    <w:rsid w:val="00593464"/>
    <w:rsid w:val="00593A3C"/>
    <w:rsid w:val="005957BD"/>
    <w:rsid w:val="005962B4"/>
    <w:rsid w:val="00596679"/>
    <w:rsid w:val="005A2E15"/>
    <w:rsid w:val="005A4C37"/>
    <w:rsid w:val="005B0229"/>
    <w:rsid w:val="005B1FF5"/>
    <w:rsid w:val="005B20EC"/>
    <w:rsid w:val="005B3228"/>
    <w:rsid w:val="005B3B34"/>
    <w:rsid w:val="005B5BA4"/>
    <w:rsid w:val="005B6395"/>
    <w:rsid w:val="005C1A2E"/>
    <w:rsid w:val="005C44F5"/>
    <w:rsid w:val="005C58DC"/>
    <w:rsid w:val="005C62D0"/>
    <w:rsid w:val="005D0804"/>
    <w:rsid w:val="005D3F4C"/>
    <w:rsid w:val="005D66E7"/>
    <w:rsid w:val="005D792C"/>
    <w:rsid w:val="005E1042"/>
    <w:rsid w:val="005F08CE"/>
    <w:rsid w:val="005F1307"/>
    <w:rsid w:val="005F31AA"/>
    <w:rsid w:val="005F338F"/>
    <w:rsid w:val="005F5410"/>
    <w:rsid w:val="006010FC"/>
    <w:rsid w:val="00604139"/>
    <w:rsid w:val="0060590B"/>
    <w:rsid w:val="00607AA0"/>
    <w:rsid w:val="00612AA0"/>
    <w:rsid w:val="00613288"/>
    <w:rsid w:val="00614114"/>
    <w:rsid w:val="0061637B"/>
    <w:rsid w:val="00617F36"/>
    <w:rsid w:val="00617F77"/>
    <w:rsid w:val="0062025B"/>
    <w:rsid w:val="00621DDC"/>
    <w:rsid w:val="006236BD"/>
    <w:rsid w:val="00624913"/>
    <w:rsid w:val="0062701F"/>
    <w:rsid w:val="00634212"/>
    <w:rsid w:val="00637A97"/>
    <w:rsid w:val="00637E25"/>
    <w:rsid w:val="00640B1F"/>
    <w:rsid w:val="00642719"/>
    <w:rsid w:val="00642763"/>
    <w:rsid w:val="00645165"/>
    <w:rsid w:val="006456FF"/>
    <w:rsid w:val="00646205"/>
    <w:rsid w:val="00646C76"/>
    <w:rsid w:val="00647BBB"/>
    <w:rsid w:val="00650A30"/>
    <w:rsid w:val="006512AA"/>
    <w:rsid w:val="00651340"/>
    <w:rsid w:val="00653055"/>
    <w:rsid w:val="00653A57"/>
    <w:rsid w:val="006541C1"/>
    <w:rsid w:val="00654C5B"/>
    <w:rsid w:val="00655A07"/>
    <w:rsid w:val="0065715D"/>
    <w:rsid w:val="00657990"/>
    <w:rsid w:val="00661EF0"/>
    <w:rsid w:val="00665F0B"/>
    <w:rsid w:val="00666832"/>
    <w:rsid w:val="00666BB6"/>
    <w:rsid w:val="0066721E"/>
    <w:rsid w:val="006701FD"/>
    <w:rsid w:val="00670E8A"/>
    <w:rsid w:val="0067511B"/>
    <w:rsid w:val="006751FE"/>
    <w:rsid w:val="00677033"/>
    <w:rsid w:val="00680F50"/>
    <w:rsid w:val="006843AB"/>
    <w:rsid w:val="00684620"/>
    <w:rsid w:val="0068505A"/>
    <w:rsid w:val="00685D20"/>
    <w:rsid w:val="0069673B"/>
    <w:rsid w:val="006A5666"/>
    <w:rsid w:val="006A6861"/>
    <w:rsid w:val="006B0924"/>
    <w:rsid w:val="006B3F86"/>
    <w:rsid w:val="006B708C"/>
    <w:rsid w:val="006C04AA"/>
    <w:rsid w:val="006C168C"/>
    <w:rsid w:val="006C2AEA"/>
    <w:rsid w:val="006C5722"/>
    <w:rsid w:val="006C5E08"/>
    <w:rsid w:val="006D0E83"/>
    <w:rsid w:val="006D1510"/>
    <w:rsid w:val="006D435C"/>
    <w:rsid w:val="006E1A39"/>
    <w:rsid w:val="006E21DA"/>
    <w:rsid w:val="006E3CEE"/>
    <w:rsid w:val="006E41AA"/>
    <w:rsid w:val="006E439E"/>
    <w:rsid w:val="006E614B"/>
    <w:rsid w:val="006E6D9E"/>
    <w:rsid w:val="006F0E97"/>
    <w:rsid w:val="006F51CB"/>
    <w:rsid w:val="006F5703"/>
    <w:rsid w:val="0070515F"/>
    <w:rsid w:val="0070582C"/>
    <w:rsid w:val="00711AA9"/>
    <w:rsid w:val="00721E74"/>
    <w:rsid w:val="0072287A"/>
    <w:rsid w:val="0072648C"/>
    <w:rsid w:val="007275B1"/>
    <w:rsid w:val="0073022C"/>
    <w:rsid w:val="00730D0A"/>
    <w:rsid w:val="0073470D"/>
    <w:rsid w:val="0073662B"/>
    <w:rsid w:val="00737A13"/>
    <w:rsid w:val="007447D4"/>
    <w:rsid w:val="007504E5"/>
    <w:rsid w:val="007528D6"/>
    <w:rsid w:val="00757408"/>
    <w:rsid w:val="00760EDA"/>
    <w:rsid w:val="00762428"/>
    <w:rsid w:val="00762DCD"/>
    <w:rsid w:val="00770843"/>
    <w:rsid w:val="00770EE9"/>
    <w:rsid w:val="007711F0"/>
    <w:rsid w:val="007715C4"/>
    <w:rsid w:val="00771877"/>
    <w:rsid w:val="00772C6B"/>
    <w:rsid w:val="00775467"/>
    <w:rsid w:val="007803A3"/>
    <w:rsid w:val="00784DD3"/>
    <w:rsid w:val="00786534"/>
    <w:rsid w:val="0079480E"/>
    <w:rsid w:val="00797947"/>
    <w:rsid w:val="007A48E6"/>
    <w:rsid w:val="007A7079"/>
    <w:rsid w:val="007B470D"/>
    <w:rsid w:val="007B5EF9"/>
    <w:rsid w:val="007B720C"/>
    <w:rsid w:val="007B7606"/>
    <w:rsid w:val="007B76FF"/>
    <w:rsid w:val="007B7F82"/>
    <w:rsid w:val="007C1DA5"/>
    <w:rsid w:val="007C4483"/>
    <w:rsid w:val="007C4CD9"/>
    <w:rsid w:val="007D006A"/>
    <w:rsid w:val="007D00B9"/>
    <w:rsid w:val="007D0685"/>
    <w:rsid w:val="007D08DE"/>
    <w:rsid w:val="007D315D"/>
    <w:rsid w:val="007D4972"/>
    <w:rsid w:val="007D5C38"/>
    <w:rsid w:val="007D632C"/>
    <w:rsid w:val="007D6A70"/>
    <w:rsid w:val="007D7825"/>
    <w:rsid w:val="007E0119"/>
    <w:rsid w:val="007E1BC7"/>
    <w:rsid w:val="007E2AA2"/>
    <w:rsid w:val="007E5970"/>
    <w:rsid w:val="007F14EA"/>
    <w:rsid w:val="007F2B99"/>
    <w:rsid w:val="007F3A9E"/>
    <w:rsid w:val="007F408C"/>
    <w:rsid w:val="007F4093"/>
    <w:rsid w:val="007F7AF6"/>
    <w:rsid w:val="007F7CDC"/>
    <w:rsid w:val="0080266D"/>
    <w:rsid w:val="00803B94"/>
    <w:rsid w:val="008051DD"/>
    <w:rsid w:val="00805509"/>
    <w:rsid w:val="008124C4"/>
    <w:rsid w:val="008130CA"/>
    <w:rsid w:val="00815A16"/>
    <w:rsid w:val="00817CAF"/>
    <w:rsid w:val="00820A59"/>
    <w:rsid w:val="00824393"/>
    <w:rsid w:val="008257C1"/>
    <w:rsid w:val="00831A6A"/>
    <w:rsid w:val="00832063"/>
    <w:rsid w:val="00832BD4"/>
    <w:rsid w:val="00833F3E"/>
    <w:rsid w:val="008344F0"/>
    <w:rsid w:val="00836B83"/>
    <w:rsid w:val="00837B84"/>
    <w:rsid w:val="0084108D"/>
    <w:rsid w:val="00843609"/>
    <w:rsid w:val="008447E1"/>
    <w:rsid w:val="0085025B"/>
    <w:rsid w:val="008513ED"/>
    <w:rsid w:val="00866BB5"/>
    <w:rsid w:val="0087193F"/>
    <w:rsid w:val="008729A6"/>
    <w:rsid w:val="00874C62"/>
    <w:rsid w:val="00875489"/>
    <w:rsid w:val="00877478"/>
    <w:rsid w:val="00884991"/>
    <w:rsid w:val="0089411A"/>
    <w:rsid w:val="0089615F"/>
    <w:rsid w:val="008A0073"/>
    <w:rsid w:val="008A1C61"/>
    <w:rsid w:val="008A2A37"/>
    <w:rsid w:val="008A2F4C"/>
    <w:rsid w:val="008B1FE8"/>
    <w:rsid w:val="008B333D"/>
    <w:rsid w:val="008B5AA3"/>
    <w:rsid w:val="008B7997"/>
    <w:rsid w:val="008C1D8C"/>
    <w:rsid w:val="008C253E"/>
    <w:rsid w:val="008D1B07"/>
    <w:rsid w:val="008D577B"/>
    <w:rsid w:val="008D67D3"/>
    <w:rsid w:val="008D6D76"/>
    <w:rsid w:val="008E07DE"/>
    <w:rsid w:val="008E350C"/>
    <w:rsid w:val="008E5B92"/>
    <w:rsid w:val="008E5F30"/>
    <w:rsid w:val="008E68EC"/>
    <w:rsid w:val="008E6980"/>
    <w:rsid w:val="008E6F28"/>
    <w:rsid w:val="008E7870"/>
    <w:rsid w:val="008F2267"/>
    <w:rsid w:val="008F410C"/>
    <w:rsid w:val="008F5C4B"/>
    <w:rsid w:val="00901B02"/>
    <w:rsid w:val="00901B3D"/>
    <w:rsid w:val="009035F8"/>
    <w:rsid w:val="00903822"/>
    <w:rsid w:val="00905B51"/>
    <w:rsid w:val="009068CF"/>
    <w:rsid w:val="00915220"/>
    <w:rsid w:val="009213EE"/>
    <w:rsid w:val="009216D3"/>
    <w:rsid w:val="009219B6"/>
    <w:rsid w:val="00925EC6"/>
    <w:rsid w:val="00925F1B"/>
    <w:rsid w:val="00931E05"/>
    <w:rsid w:val="0093262F"/>
    <w:rsid w:val="009357C6"/>
    <w:rsid w:val="00941682"/>
    <w:rsid w:val="009429B7"/>
    <w:rsid w:val="00946210"/>
    <w:rsid w:val="009514C3"/>
    <w:rsid w:val="00962BDF"/>
    <w:rsid w:val="00965B5C"/>
    <w:rsid w:val="009669E1"/>
    <w:rsid w:val="00967457"/>
    <w:rsid w:val="00970159"/>
    <w:rsid w:val="0097515A"/>
    <w:rsid w:val="00977FE8"/>
    <w:rsid w:val="00984C4F"/>
    <w:rsid w:val="00984CA9"/>
    <w:rsid w:val="0098546F"/>
    <w:rsid w:val="00991B18"/>
    <w:rsid w:val="00994384"/>
    <w:rsid w:val="0099465F"/>
    <w:rsid w:val="009948A0"/>
    <w:rsid w:val="0099741A"/>
    <w:rsid w:val="009A3002"/>
    <w:rsid w:val="009A54F9"/>
    <w:rsid w:val="009B3274"/>
    <w:rsid w:val="009B372B"/>
    <w:rsid w:val="009B3EC2"/>
    <w:rsid w:val="009C1130"/>
    <w:rsid w:val="009C3032"/>
    <w:rsid w:val="009C3C8B"/>
    <w:rsid w:val="009C5A33"/>
    <w:rsid w:val="009C775C"/>
    <w:rsid w:val="009D69B5"/>
    <w:rsid w:val="009E0A0D"/>
    <w:rsid w:val="009E0D53"/>
    <w:rsid w:val="009E3649"/>
    <w:rsid w:val="009E64DF"/>
    <w:rsid w:val="009F52EC"/>
    <w:rsid w:val="009F5E9B"/>
    <w:rsid w:val="009F7E9F"/>
    <w:rsid w:val="00A01245"/>
    <w:rsid w:val="00A01CCD"/>
    <w:rsid w:val="00A02978"/>
    <w:rsid w:val="00A0306E"/>
    <w:rsid w:val="00A0692C"/>
    <w:rsid w:val="00A07C45"/>
    <w:rsid w:val="00A1253B"/>
    <w:rsid w:val="00A13CFF"/>
    <w:rsid w:val="00A155CD"/>
    <w:rsid w:val="00A16B49"/>
    <w:rsid w:val="00A20371"/>
    <w:rsid w:val="00A23247"/>
    <w:rsid w:val="00A24EAF"/>
    <w:rsid w:val="00A3022C"/>
    <w:rsid w:val="00A32DE7"/>
    <w:rsid w:val="00A34E8F"/>
    <w:rsid w:val="00A42F34"/>
    <w:rsid w:val="00A44D61"/>
    <w:rsid w:val="00A4549A"/>
    <w:rsid w:val="00A47543"/>
    <w:rsid w:val="00A63ABE"/>
    <w:rsid w:val="00A6495D"/>
    <w:rsid w:val="00A675D8"/>
    <w:rsid w:val="00A72334"/>
    <w:rsid w:val="00A75D7F"/>
    <w:rsid w:val="00A75EF8"/>
    <w:rsid w:val="00A8352A"/>
    <w:rsid w:val="00A84736"/>
    <w:rsid w:val="00A85A64"/>
    <w:rsid w:val="00A85F9E"/>
    <w:rsid w:val="00A8646E"/>
    <w:rsid w:val="00A91417"/>
    <w:rsid w:val="00A91FD2"/>
    <w:rsid w:val="00A9262B"/>
    <w:rsid w:val="00A9395C"/>
    <w:rsid w:val="00A95E3D"/>
    <w:rsid w:val="00A96961"/>
    <w:rsid w:val="00AA35E2"/>
    <w:rsid w:val="00AA4A79"/>
    <w:rsid w:val="00AA4B8F"/>
    <w:rsid w:val="00AA4E78"/>
    <w:rsid w:val="00AA52FF"/>
    <w:rsid w:val="00AA7BA7"/>
    <w:rsid w:val="00AB2163"/>
    <w:rsid w:val="00AB503F"/>
    <w:rsid w:val="00AB5408"/>
    <w:rsid w:val="00AB6923"/>
    <w:rsid w:val="00AC2F22"/>
    <w:rsid w:val="00AC40BA"/>
    <w:rsid w:val="00AC5FC4"/>
    <w:rsid w:val="00AD1F07"/>
    <w:rsid w:val="00AD4713"/>
    <w:rsid w:val="00AD7656"/>
    <w:rsid w:val="00AD7884"/>
    <w:rsid w:val="00AD7BFD"/>
    <w:rsid w:val="00AE0C9B"/>
    <w:rsid w:val="00AE143F"/>
    <w:rsid w:val="00AE3245"/>
    <w:rsid w:val="00AE36CD"/>
    <w:rsid w:val="00AE55E1"/>
    <w:rsid w:val="00AE6A99"/>
    <w:rsid w:val="00AE74B4"/>
    <w:rsid w:val="00AF1505"/>
    <w:rsid w:val="00AF3016"/>
    <w:rsid w:val="00AF3830"/>
    <w:rsid w:val="00AF40CE"/>
    <w:rsid w:val="00AF6E46"/>
    <w:rsid w:val="00B0261C"/>
    <w:rsid w:val="00B05FA0"/>
    <w:rsid w:val="00B11F1D"/>
    <w:rsid w:val="00B138D4"/>
    <w:rsid w:val="00B17287"/>
    <w:rsid w:val="00B177C4"/>
    <w:rsid w:val="00B2096E"/>
    <w:rsid w:val="00B23B6D"/>
    <w:rsid w:val="00B27D63"/>
    <w:rsid w:val="00B34AEE"/>
    <w:rsid w:val="00B36D6A"/>
    <w:rsid w:val="00B40CF9"/>
    <w:rsid w:val="00B42475"/>
    <w:rsid w:val="00B42D4C"/>
    <w:rsid w:val="00B4497F"/>
    <w:rsid w:val="00B50B4A"/>
    <w:rsid w:val="00B55492"/>
    <w:rsid w:val="00B55BC9"/>
    <w:rsid w:val="00B56A24"/>
    <w:rsid w:val="00B64FB3"/>
    <w:rsid w:val="00B71BA8"/>
    <w:rsid w:val="00B72506"/>
    <w:rsid w:val="00B73E41"/>
    <w:rsid w:val="00B765D6"/>
    <w:rsid w:val="00B768DA"/>
    <w:rsid w:val="00B8030A"/>
    <w:rsid w:val="00B83856"/>
    <w:rsid w:val="00B854B4"/>
    <w:rsid w:val="00B856CD"/>
    <w:rsid w:val="00B85EB2"/>
    <w:rsid w:val="00B92CC3"/>
    <w:rsid w:val="00B93B28"/>
    <w:rsid w:val="00B9789E"/>
    <w:rsid w:val="00BA1E86"/>
    <w:rsid w:val="00BA2BA6"/>
    <w:rsid w:val="00BB1439"/>
    <w:rsid w:val="00BB69C9"/>
    <w:rsid w:val="00BC0335"/>
    <w:rsid w:val="00BC0E93"/>
    <w:rsid w:val="00BC16C4"/>
    <w:rsid w:val="00BC4945"/>
    <w:rsid w:val="00BC59F2"/>
    <w:rsid w:val="00BC5EE1"/>
    <w:rsid w:val="00BD018A"/>
    <w:rsid w:val="00BD2299"/>
    <w:rsid w:val="00BD2BF1"/>
    <w:rsid w:val="00BD4B33"/>
    <w:rsid w:val="00BE03AE"/>
    <w:rsid w:val="00BE0A60"/>
    <w:rsid w:val="00BE113B"/>
    <w:rsid w:val="00BE3B0C"/>
    <w:rsid w:val="00BE4166"/>
    <w:rsid w:val="00BE4FC7"/>
    <w:rsid w:val="00BE55EA"/>
    <w:rsid w:val="00BE68C7"/>
    <w:rsid w:val="00BE6E41"/>
    <w:rsid w:val="00BE7CB0"/>
    <w:rsid w:val="00BF1056"/>
    <w:rsid w:val="00BF4946"/>
    <w:rsid w:val="00BF5C15"/>
    <w:rsid w:val="00C01144"/>
    <w:rsid w:val="00C04593"/>
    <w:rsid w:val="00C055D1"/>
    <w:rsid w:val="00C071A1"/>
    <w:rsid w:val="00C127D3"/>
    <w:rsid w:val="00C161EC"/>
    <w:rsid w:val="00C16D07"/>
    <w:rsid w:val="00C2010E"/>
    <w:rsid w:val="00C20CFF"/>
    <w:rsid w:val="00C218A6"/>
    <w:rsid w:val="00C24F3F"/>
    <w:rsid w:val="00C33AC1"/>
    <w:rsid w:val="00C3415F"/>
    <w:rsid w:val="00C3424F"/>
    <w:rsid w:val="00C34C89"/>
    <w:rsid w:val="00C355CA"/>
    <w:rsid w:val="00C44659"/>
    <w:rsid w:val="00C45362"/>
    <w:rsid w:val="00C45569"/>
    <w:rsid w:val="00C52C71"/>
    <w:rsid w:val="00C54998"/>
    <w:rsid w:val="00C55716"/>
    <w:rsid w:val="00C57541"/>
    <w:rsid w:val="00C57C71"/>
    <w:rsid w:val="00C57FAE"/>
    <w:rsid w:val="00C6437B"/>
    <w:rsid w:val="00C71CA7"/>
    <w:rsid w:val="00C72DDD"/>
    <w:rsid w:val="00C74BA1"/>
    <w:rsid w:val="00C751CB"/>
    <w:rsid w:val="00C80B29"/>
    <w:rsid w:val="00C8356E"/>
    <w:rsid w:val="00C84E30"/>
    <w:rsid w:val="00C86F0B"/>
    <w:rsid w:val="00C901E2"/>
    <w:rsid w:val="00C90ABC"/>
    <w:rsid w:val="00C92131"/>
    <w:rsid w:val="00CA49D7"/>
    <w:rsid w:val="00CA4C67"/>
    <w:rsid w:val="00CB0BDB"/>
    <w:rsid w:val="00CC570B"/>
    <w:rsid w:val="00CC5EED"/>
    <w:rsid w:val="00CC7EAF"/>
    <w:rsid w:val="00CD0542"/>
    <w:rsid w:val="00CD6F8E"/>
    <w:rsid w:val="00CE10B6"/>
    <w:rsid w:val="00CE1B1C"/>
    <w:rsid w:val="00CE402A"/>
    <w:rsid w:val="00CE5CEE"/>
    <w:rsid w:val="00CF09BC"/>
    <w:rsid w:val="00CF499A"/>
    <w:rsid w:val="00CF6F72"/>
    <w:rsid w:val="00D0205A"/>
    <w:rsid w:val="00D02C10"/>
    <w:rsid w:val="00D04786"/>
    <w:rsid w:val="00D04B6A"/>
    <w:rsid w:val="00D079A2"/>
    <w:rsid w:val="00D1053A"/>
    <w:rsid w:val="00D17DBD"/>
    <w:rsid w:val="00D200B1"/>
    <w:rsid w:val="00D21173"/>
    <w:rsid w:val="00D221DC"/>
    <w:rsid w:val="00D233EF"/>
    <w:rsid w:val="00D26ECD"/>
    <w:rsid w:val="00D27B11"/>
    <w:rsid w:val="00D31E21"/>
    <w:rsid w:val="00D34D14"/>
    <w:rsid w:val="00D40A09"/>
    <w:rsid w:val="00D41ABC"/>
    <w:rsid w:val="00D43001"/>
    <w:rsid w:val="00D478C8"/>
    <w:rsid w:val="00D47CF5"/>
    <w:rsid w:val="00D5023F"/>
    <w:rsid w:val="00D52CC4"/>
    <w:rsid w:val="00D546F1"/>
    <w:rsid w:val="00D56DCB"/>
    <w:rsid w:val="00D572C0"/>
    <w:rsid w:val="00D600DA"/>
    <w:rsid w:val="00D6082B"/>
    <w:rsid w:val="00D61687"/>
    <w:rsid w:val="00D62888"/>
    <w:rsid w:val="00D6323E"/>
    <w:rsid w:val="00D64775"/>
    <w:rsid w:val="00D65F06"/>
    <w:rsid w:val="00D67F5B"/>
    <w:rsid w:val="00D707A7"/>
    <w:rsid w:val="00D70EF1"/>
    <w:rsid w:val="00D71FCA"/>
    <w:rsid w:val="00D73303"/>
    <w:rsid w:val="00D734F8"/>
    <w:rsid w:val="00D746B6"/>
    <w:rsid w:val="00D75763"/>
    <w:rsid w:val="00D81182"/>
    <w:rsid w:val="00D85E14"/>
    <w:rsid w:val="00D8717C"/>
    <w:rsid w:val="00D874DC"/>
    <w:rsid w:val="00D904C4"/>
    <w:rsid w:val="00D9450C"/>
    <w:rsid w:val="00D968E8"/>
    <w:rsid w:val="00DA4899"/>
    <w:rsid w:val="00DA4C8D"/>
    <w:rsid w:val="00DB0B99"/>
    <w:rsid w:val="00DB0C37"/>
    <w:rsid w:val="00DB1FD5"/>
    <w:rsid w:val="00DB24DF"/>
    <w:rsid w:val="00DB6901"/>
    <w:rsid w:val="00DB7639"/>
    <w:rsid w:val="00DC09E9"/>
    <w:rsid w:val="00DC1A35"/>
    <w:rsid w:val="00DC3063"/>
    <w:rsid w:val="00DC4828"/>
    <w:rsid w:val="00DC6319"/>
    <w:rsid w:val="00DC72B4"/>
    <w:rsid w:val="00DD6FC7"/>
    <w:rsid w:val="00DE27F0"/>
    <w:rsid w:val="00DE2AF5"/>
    <w:rsid w:val="00DE3070"/>
    <w:rsid w:val="00DE6321"/>
    <w:rsid w:val="00DE6A2A"/>
    <w:rsid w:val="00DF0C2F"/>
    <w:rsid w:val="00DF2596"/>
    <w:rsid w:val="00DF551E"/>
    <w:rsid w:val="00DF58DF"/>
    <w:rsid w:val="00DF6659"/>
    <w:rsid w:val="00DF7526"/>
    <w:rsid w:val="00E02F2D"/>
    <w:rsid w:val="00E07028"/>
    <w:rsid w:val="00E07F2C"/>
    <w:rsid w:val="00E14DE0"/>
    <w:rsid w:val="00E17344"/>
    <w:rsid w:val="00E20CA4"/>
    <w:rsid w:val="00E2506A"/>
    <w:rsid w:val="00E26484"/>
    <w:rsid w:val="00E27421"/>
    <w:rsid w:val="00E3235C"/>
    <w:rsid w:val="00E342F7"/>
    <w:rsid w:val="00E34A9C"/>
    <w:rsid w:val="00E47D1C"/>
    <w:rsid w:val="00E56DF3"/>
    <w:rsid w:val="00E61F85"/>
    <w:rsid w:val="00E621BF"/>
    <w:rsid w:val="00E66E1D"/>
    <w:rsid w:val="00E74A80"/>
    <w:rsid w:val="00E75DCC"/>
    <w:rsid w:val="00E75DEE"/>
    <w:rsid w:val="00E87A9C"/>
    <w:rsid w:val="00E92130"/>
    <w:rsid w:val="00EA1707"/>
    <w:rsid w:val="00EA2F7B"/>
    <w:rsid w:val="00EA2FA4"/>
    <w:rsid w:val="00EA3B7C"/>
    <w:rsid w:val="00EA6137"/>
    <w:rsid w:val="00EA67DF"/>
    <w:rsid w:val="00EA776E"/>
    <w:rsid w:val="00EB03E4"/>
    <w:rsid w:val="00EB1FF0"/>
    <w:rsid w:val="00EB3CAD"/>
    <w:rsid w:val="00EB4F97"/>
    <w:rsid w:val="00EB5E56"/>
    <w:rsid w:val="00EB7271"/>
    <w:rsid w:val="00EB77FB"/>
    <w:rsid w:val="00EC024C"/>
    <w:rsid w:val="00EC0439"/>
    <w:rsid w:val="00EC11D5"/>
    <w:rsid w:val="00ED0153"/>
    <w:rsid w:val="00ED11B4"/>
    <w:rsid w:val="00ED2C1B"/>
    <w:rsid w:val="00ED54A3"/>
    <w:rsid w:val="00ED5900"/>
    <w:rsid w:val="00EE0471"/>
    <w:rsid w:val="00EE168C"/>
    <w:rsid w:val="00EE5514"/>
    <w:rsid w:val="00EE6C9C"/>
    <w:rsid w:val="00EF0A8C"/>
    <w:rsid w:val="00EF17CB"/>
    <w:rsid w:val="00EF1B88"/>
    <w:rsid w:val="00EF54E4"/>
    <w:rsid w:val="00F0303A"/>
    <w:rsid w:val="00F03B21"/>
    <w:rsid w:val="00F04E69"/>
    <w:rsid w:val="00F07242"/>
    <w:rsid w:val="00F07E08"/>
    <w:rsid w:val="00F07E5A"/>
    <w:rsid w:val="00F1013B"/>
    <w:rsid w:val="00F11272"/>
    <w:rsid w:val="00F12DCF"/>
    <w:rsid w:val="00F14637"/>
    <w:rsid w:val="00F14A82"/>
    <w:rsid w:val="00F14BD8"/>
    <w:rsid w:val="00F14FD4"/>
    <w:rsid w:val="00F166F8"/>
    <w:rsid w:val="00F17FC4"/>
    <w:rsid w:val="00F20B6D"/>
    <w:rsid w:val="00F20E8C"/>
    <w:rsid w:val="00F23251"/>
    <w:rsid w:val="00F30983"/>
    <w:rsid w:val="00F30DD8"/>
    <w:rsid w:val="00F31A23"/>
    <w:rsid w:val="00F33804"/>
    <w:rsid w:val="00F36463"/>
    <w:rsid w:val="00F37B6C"/>
    <w:rsid w:val="00F417EF"/>
    <w:rsid w:val="00F432AD"/>
    <w:rsid w:val="00F44B4B"/>
    <w:rsid w:val="00F50509"/>
    <w:rsid w:val="00F51CFF"/>
    <w:rsid w:val="00F52BDA"/>
    <w:rsid w:val="00F5465D"/>
    <w:rsid w:val="00F56D3B"/>
    <w:rsid w:val="00F61006"/>
    <w:rsid w:val="00F628EC"/>
    <w:rsid w:val="00F65405"/>
    <w:rsid w:val="00F65F01"/>
    <w:rsid w:val="00F66B81"/>
    <w:rsid w:val="00F67283"/>
    <w:rsid w:val="00F70DBD"/>
    <w:rsid w:val="00F71164"/>
    <w:rsid w:val="00F7126E"/>
    <w:rsid w:val="00F722B9"/>
    <w:rsid w:val="00F722BB"/>
    <w:rsid w:val="00F72FC8"/>
    <w:rsid w:val="00F732F9"/>
    <w:rsid w:val="00F7616C"/>
    <w:rsid w:val="00F76513"/>
    <w:rsid w:val="00F7716E"/>
    <w:rsid w:val="00F81B79"/>
    <w:rsid w:val="00F85C33"/>
    <w:rsid w:val="00F9103B"/>
    <w:rsid w:val="00F914E9"/>
    <w:rsid w:val="00F9303E"/>
    <w:rsid w:val="00F9340C"/>
    <w:rsid w:val="00F93504"/>
    <w:rsid w:val="00F93C13"/>
    <w:rsid w:val="00F97477"/>
    <w:rsid w:val="00FA22E6"/>
    <w:rsid w:val="00FA4329"/>
    <w:rsid w:val="00FA4627"/>
    <w:rsid w:val="00FA53F1"/>
    <w:rsid w:val="00FB1BE5"/>
    <w:rsid w:val="00FB44CF"/>
    <w:rsid w:val="00FB48A0"/>
    <w:rsid w:val="00FB62CE"/>
    <w:rsid w:val="00FB732E"/>
    <w:rsid w:val="00FC26B6"/>
    <w:rsid w:val="00FC3188"/>
    <w:rsid w:val="00FC528D"/>
    <w:rsid w:val="00FC5E40"/>
    <w:rsid w:val="00FC638D"/>
    <w:rsid w:val="00FD154D"/>
    <w:rsid w:val="00FD5AD2"/>
    <w:rsid w:val="00FD5E90"/>
    <w:rsid w:val="00FD76F5"/>
    <w:rsid w:val="00FE013C"/>
    <w:rsid w:val="00FE141F"/>
    <w:rsid w:val="00FE2248"/>
    <w:rsid w:val="00FE61B7"/>
    <w:rsid w:val="00FE7955"/>
    <w:rsid w:val="00FF0DBE"/>
    <w:rsid w:val="00FF26BE"/>
    <w:rsid w:val="00FF5DCC"/>
    <w:rsid w:val="00FF620A"/>
    <w:rsid w:val="00FF659B"/>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97E"/>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Hamed.Aly@dal.ca"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processes-template</Template>
  <TotalTime>5</TotalTime>
  <Pages>64</Pages>
  <Words>91105</Words>
  <Characters>519303</Characters>
  <Application>Microsoft Office Word</Application>
  <DocSecurity>0</DocSecurity>
  <Lines>4327</Lines>
  <Paragraphs>1218</Paragraphs>
  <ScaleCrop>false</ScaleCrop>
  <Company/>
  <LinksUpToDate>false</LinksUpToDate>
  <CharactersWithSpaces>609190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Hamed Aly</cp:lastModifiedBy>
  <cp:revision>3</cp:revision>
  <cp:lastPrinted>2026-06-17T16:15:00Z</cp:lastPrinted>
  <dcterms:created xsi:type="dcterms:W3CDTF">2026-06-17T16:15:00Z</dcterms:created>
  <dcterms:modified xsi:type="dcterms:W3CDTF">2026-06-17T16:25:00Z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zotero-version="9.0.5"&gt;&lt;session id="vVc6kzzB"/&gt;&lt;style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ies>
</file>