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F572E" w14:textId="77777777" w:rsidR="00F97477" w:rsidRDefault="00F97477" w:rsidP="004C16FF">
      <w:pPr>
        <w:spacing w:after="200"/>
        <w:jc w:val="center"/>
        <w:rPr>
          <w:b/>
          <w:bCs/>
          <w:color w:val="1A1A2E"/>
          <w:sz w:val="44"/>
          <w:szCs w:val="44"/>
        </w:rPr>
      </w:pPr>
      <w:r w:rsidRPr="00F97477">
        <w:rPr>
          <w:b/>
          <w:bCs/>
          <w:color w:val="1A1A2E"/>
          <w:sz w:val="44"/>
          <w:szCs w:val="44"/>
        </w:rPr>
        <w:t>Energy Infrastructure for AI Data Centers: A Critical Review of Grid Integration, Techno-Economic Challenges, and Future Pathways</w:t>
      </w:r>
    </w:p>
    <w:p w14:paraId="39BF5648" w14:textId="694DAC2F" w:rsidR="00FE013C" w:rsidRPr="009216D3" w:rsidRDefault="009216D3" w:rsidP="009216D3">
      <w:pPr>
        <w:pStyle w:val="AuthorNames"/>
        <w:rPr>
          <w:b w:val="0"/>
          <w:bCs/>
          <w:color w:val="auto"/>
        </w:rPr>
      </w:pPr>
      <w:r w:rsidRPr="009216D3">
        <w:rPr>
          <w:b w:val="0"/>
          <w:bCs/>
          <w:color w:val="auto"/>
        </w:rPr>
        <w:t>Mahmoud Kiasari, Hamed Aly</w:t>
      </w:r>
    </w:p>
    <w:p w14:paraId="401CD877" w14:textId="0B248BBC" w:rsidR="009216D3" w:rsidRPr="009216D3" w:rsidRDefault="009216D3" w:rsidP="009216D3">
      <w:pPr>
        <w:pStyle w:val="AuthorNames"/>
        <w:rPr>
          <w:b w:val="0"/>
          <w:bCs/>
          <w:color w:val="auto"/>
        </w:rPr>
      </w:pPr>
      <w:r w:rsidRPr="009216D3">
        <w:rPr>
          <w:b w:val="0"/>
          <w:bCs/>
          <w:color w:val="auto"/>
        </w:rPr>
        <w:t>Smart grid and Green Power Research Lab, Electrical and Computer Engineering Department, Faculty of Engineering, Dalhousie University, Halifax, Nova Scotia, Canada</w:t>
      </w:r>
    </w:p>
    <w:p w14:paraId="4C36FEDD" w14:textId="2C68D4E3" w:rsidR="00FE013C" w:rsidRPr="009216D3" w:rsidRDefault="009216D3" w:rsidP="009216D3">
      <w:pPr>
        <w:pStyle w:val="Correspondence"/>
        <w:spacing w:before="0" w:after="0"/>
        <w:rPr>
          <w:bCs/>
          <w:color w:val="auto"/>
          <w:lang w:val="fr-FR"/>
        </w:rPr>
      </w:pPr>
      <w:hyperlink r:id="rId9" w:history="1">
        <w:r w:rsidRPr="009216D3">
          <w:rPr>
            <w:rStyle w:val="Hyperlink"/>
            <w:bCs/>
            <w:lang w:val="fr-FR"/>
          </w:rPr>
          <w:t>Mahmoud.Kiasari@dal.ca</w:t>
        </w:r>
      </w:hyperlink>
      <w:r w:rsidRPr="009216D3">
        <w:rPr>
          <w:bCs/>
          <w:color w:val="auto"/>
          <w:lang w:val="fr-FR"/>
        </w:rPr>
        <w:t xml:space="preserve">, </w:t>
      </w:r>
      <w:hyperlink r:id="rId10" w:history="1">
        <w:r w:rsidRPr="009216D3">
          <w:rPr>
            <w:rStyle w:val="Hyperlink"/>
            <w:bCs/>
            <w:lang w:val="fr-FR"/>
          </w:rPr>
          <w:t>Hamed.Aly@dal.ca</w:t>
        </w:r>
      </w:hyperlink>
    </w:p>
    <w:p w14:paraId="500596E8" w14:textId="6C03598D" w:rsidR="0098546F" w:rsidRPr="001A427F" w:rsidRDefault="00FE013C" w:rsidP="00E613FB">
      <w:pPr>
        <w:pStyle w:val="Abstract"/>
        <w:rPr>
          <w:bCs/>
          <w:highlight w:val="yellow"/>
          <w:lang w:val="en-CA"/>
        </w:rPr>
      </w:pPr>
      <w:r>
        <w:rPr>
          <w:b/>
        </w:rPr>
        <w:t xml:space="preserve">Abstract: </w:t>
      </w:r>
      <w:r w:rsidR="00F02BE4" w:rsidRPr="00F02BE4">
        <w:rPr>
          <w:bCs/>
          <w:highlight w:val="yellow"/>
        </w:rPr>
        <w:t xml:space="preserve">AI workloads are growing quickly, and that growth is causing a significant boost in electricity usage across the world in data </w:t>
      </w:r>
      <w:proofErr w:type="spellStart"/>
      <w:r w:rsidR="00F02BE4" w:rsidRPr="00F02BE4">
        <w:rPr>
          <w:bCs/>
          <w:highlight w:val="yellow"/>
        </w:rPr>
        <w:t>centres</w:t>
      </w:r>
      <w:proofErr w:type="spellEnd"/>
      <w:r w:rsidR="00F02BE4" w:rsidRPr="00F02BE4">
        <w:rPr>
          <w:bCs/>
          <w:highlight w:val="yellow"/>
        </w:rPr>
        <w:t xml:space="preserve">, which present various energy concerns including availability, reliability, sustainability, and cost. A systematic literature review under the PRISMA 2020 framework is carried out and analyzed in this review to examine energy-infrastructure requirements of AI data centers powered by renewable energy. </w:t>
      </w:r>
      <w:r w:rsidR="00E613FB" w:rsidRPr="00E613FB">
        <w:rPr>
          <w:bCs/>
          <w:highlight w:val="yellow"/>
          <w:lang w:val="en-CA"/>
        </w:rPr>
        <w:t>A total of 185 sources published between 2015 and 2026 were reviewed, including peer-reviewed journal articles, conference papers, standards, agency reports, and industry publications.</w:t>
      </w:r>
      <w:r w:rsidR="00DE7C2F">
        <w:rPr>
          <w:bCs/>
          <w:highlight w:val="yellow"/>
          <w:lang w:val="en-CA"/>
        </w:rPr>
        <w:t xml:space="preserve"> </w:t>
      </w:r>
      <w:r w:rsidR="00F02BE4" w:rsidRPr="00F02BE4">
        <w:rPr>
          <w:bCs/>
          <w:highlight w:val="yellow"/>
        </w:rPr>
        <w:t xml:space="preserve">The study outlines a </w:t>
      </w:r>
      <w:proofErr w:type="gramStart"/>
      <w:r w:rsidR="00F02BE4" w:rsidRPr="00F02BE4">
        <w:rPr>
          <w:bCs/>
          <w:highlight w:val="yellow"/>
        </w:rPr>
        <w:t>seven component</w:t>
      </w:r>
      <w:proofErr w:type="gramEnd"/>
      <w:r w:rsidR="00F02BE4" w:rsidRPr="00F02BE4">
        <w:rPr>
          <w:bCs/>
          <w:highlight w:val="yellow"/>
        </w:rPr>
        <w:t xml:space="preserve"> approach including site assessment, technology selection, electrical architecture, hierarchical control, workload flexibility, economic evaluation, and sustainability compliance. The review compiles and summarizes new advancements in renewable energy technologies, battery-based energy storage solutions, grid integration, power-quality management, and operational strategies applicable to AI computing systems. </w:t>
      </w:r>
      <w:r w:rsidR="003769FC" w:rsidRPr="003769FC">
        <w:rPr>
          <w:bCs/>
          <w:highlight w:val="yellow"/>
        </w:rPr>
        <w:t xml:space="preserve">A key finding is that the </w:t>
      </w:r>
      <w:proofErr w:type="gramStart"/>
      <w:r w:rsidR="003769FC" w:rsidRPr="003769FC">
        <w:rPr>
          <w:bCs/>
          <w:highlight w:val="yellow"/>
        </w:rPr>
        <w:t>volume-weighted average</w:t>
      </w:r>
      <w:proofErr w:type="gramEnd"/>
      <w:r w:rsidR="003769FC" w:rsidRPr="003769FC">
        <w:rPr>
          <w:bCs/>
          <w:highlight w:val="yellow"/>
        </w:rPr>
        <w:t xml:space="preserve"> lithium-ion battery-pack price declined to approximately USD 108/kWh in 2025.</w:t>
      </w:r>
      <w:r w:rsidR="003769FC">
        <w:rPr>
          <w:bCs/>
          <w:highlight w:val="yellow"/>
        </w:rPr>
        <w:t xml:space="preserve"> </w:t>
      </w:r>
      <w:r w:rsidR="00F02BE4" w:rsidRPr="00F02BE4">
        <w:rPr>
          <w:bCs/>
          <w:highlight w:val="yellow"/>
        </w:rPr>
        <w:t xml:space="preserve">and that lower costs of renewable-energy resources have made renewable-powered infrastructure increasingly economically competitive. The degree of benefit from geographic diversification and complementary wind-solar resource portfolios for reducing the variability of renewable generation and operational flexibility will vary by site. The review also emphasizes the need of separating generation costs, hybrid-system costs, and delivered electricity costs in project economic analysis. The results show that renewable generation and renewable-storage hybrid projects may be economically competitive in a favorable resource, regulatory and market environment, but the success of the project is highly sensitive to the range of site-specific parameters, such as resource quality, storage requirements, access to interconnection, financial assumptions and reliability goals. </w:t>
      </w:r>
      <w:r w:rsidR="001A427F" w:rsidRPr="001A427F">
        <w:rPr>
          <w:bCs/>
          <w:highlight w:val="yellow"/>
          <w:lang w:val="en-CA"/>
        </w:rPr>
        <w:t>Finally, a multi-year implementation roadmap identifies potential pathways for the continued integration of renewable energy into future AI data-center infrastructure.</w:t>
      </w:r>
    </w:p>
    <w:p w14:paraId="3F53CE4A" w14:textId="77777777" w:rsidR="00FE013C" w:rsidRDefault="00FE013C" w:rsidP="004C16FF">
      <w:pPr>
        <w:spacing w:after="120"/>
        <w:ind w:firstLine="480"/>
      </w:pPr>
      <w:r>
        <w:rPr>
          <w:b/>
        </w:rPr>
        <w:t xml:space="preserve">Keywords: </w:t>
      </w:r>
      <w:r>
        <w:rPr>
          <w:szCs w:val="24"/>
        </w:rPr>
        <w:t>AI data centers, renewable energy integration, energy storage, microgrid optimization, power system modelling, demand-side management, carbon-free energy, levelized cost of energy</w:t>
      </w:r>
    </w:p>
    <w:p w14:paraId="4B0FB0DC" w14:textId="13FFE478" w:rsidR="00FE013C" w:rsidRDefault="00FE013C" w:rsidP="004C16FF">
      <w:pPr>
        <w:pStyle w:val="Heading10"/>
        <w:jc w:val="both"/>
        <w:rPr>
          <w:color w:val="auto"/>
        </w:rPr>
      </w:pPr>
      <w:r>
        <w:rPr>
          <w:color w:val="auto"/>
          <w:lang w:eastAsia="zh-CN"/>
        </w:rPr>
        <w:t xml:space="preserve">1. </w:t>
      </w:r>
      <w:r>
        <w:rPr>
          <w:color w:val="auto"/>
        </w:rPr>
        <w:t>Introduction</w:t>
      </w:r>
    </w:p>
    <w:p w14:paraId="3400CE5A" w14:textId="77777777" w:rsidR="00FE013C" w:rsidRDefault="00FE013C" w:rsidP="004C16FF">
      <w:pPr>
        <w:pStyle w:val="Heading20"/>
        <w:jc w:val="both"/>
        <w:rPr>
          <w:color w:val="auto"/>
          <w:lang w:val="en-CA"/>
        </w:rPr>
      </w:pPr>
      <w:r w:rsidRPr="00962BDF">
        <w:rPr>
          <w:color w:val="auto"/>
          <w:lang w:val="en-CA"/>
        </w:rPr>
        <w:lastRenderedPageBreak/>
        <w:t>1.1. Global Data Center Energy Consumption an</w:t>
      </w:r>
      <w:r>
        <w:rPr>
          <w:color w:val="auto"/>
          <w:lang w:val="en-CA"/>
        </w:rPr>
        <w:t>d AI workload Growth</w:t>
      </w:r>
    </w:p>
    <w:p w14:paraId="1DF911CA" w14:textId="21FCB737" w:rsidR="00FE013C" w:rsidRPr="00962BDF" w:rsidRDefault="00FE013C" w:rsidP="004C16FF">
      <w:pPr>
        <w:pStyle w:val="Text"/>
        <w:rPr>
          <w:color w:val="auto"/>
        </w:rPr>
      </w:pPr>
      <w:r w:rsidRPr="00962BDF">
        <w:rPr>
          <w:color w:val="auto"/>
        </w:rPr>
        <w:t xml:space="preserve">In the last ten years, the entire digital infrastructure has been </w:t>
      </w:r>
      <w:r w:rsidR="00232D2E" w:rsidRPr="00962BDF">
        <w:rPr>
          <w:color w:val="auto"/>
        </w:rPr>
        <w:t>revolutionized</w:t>
      </w:r>
      <w:r w:rsidRPr="00962BDF">
        <w:rPr>
          <w:color w:val="auto"/>
        </w:rPr>
        <w:t xml:space="preserve">, and the main driver behind this is the explosion of applications based on Artificial Intelligence. Data </w:t>
      </w:r>
      <w:r w:rsidR="00232D2E" w:rsidRPr="00962BDF">
        <w:rPr>
          <w:color w:val="auto"/>
        </w:rPr>
        <w:t>canters</w:t>
      </w:r>
      <w:r w:rsidRPr="00962BDF">
        <w:rPr>
          <w:color w:val="auto"/>
        </w:rPr>
        <w:t xml:space="preserve"> alone are a huge component of this infrastructure and are expected to use approximately 415 TWh of electricity in 2024, which is approximately 1.5% of the world</w:t>
      </w:r>
      <w:r>
        <w:rPr>
          <w:color w:val="auto"/>
        </w:rPr>
        <w:fldChar w:fldCharType="begin"/>
      </w:r>
      <w:r>
        <w:rPr>
          <w:color w:val="auto"/>
        </w:rPr>
        <w:instrText xml:space="preserve"> ADDIN ZOTERO_ITEM CSL_CITATION {"citationID":"FZ6OZSne","properties":{"formattedCitation":"[1], [2]","plainCitation":"[1], [2]","noteIndex":0},"citationItems":[{"id":1889,"uris":["http://zotero.org/users/9870935/items/TZ76RS7G"],"itemData":{"id":1889,"type":"post-weblog","title":"Data Centres and Data Transmission Networks","URL":"https://www.iea.org/energy-system/buildings/data-centres-and-data-transmission-networks","author":[{"family":"IEA","given":""}]}},{"id":1899,"uris":["http://zotero.org/users/9870935/items/DSZ4EYRB"],"itemData":{"id":1899,"type":"report","DOI":"10.2172/1372902","language":"en","number":"LBNL--1005775, 1372902","page":"LBNL--1005775, 1372902","source":"DOI.org (Crossref)","title":"United States Data Center Energy Usage Report","URL":"http://www.osti.gov/servlets/purl/1372902/","author":[{"family":"Shehabi","given":"Arman"},{"family":"Smith","given":"Sarah"},{"family":"Sartor","given":"Dale"},{"family":"Brown","given":"Richard"},{"family":"Herrlin","given":"Magnus"},{"family":"Koomey","given":"Jonathan"},{"family":"Masanet","given":"Eric"},{"family":"Horner","given":"Nathaniel"},{"family":"Azevedo","given":"Inês"},{"family":"Lintner","given":"William"}],"accessed":{"date-parts":[["2026",5,10]]},"issued":{"date-parts":[["2016",6,1]]}}}],"schema":"https://github.com/citation-style-language/schema/raw/master/csl-citation.json"} </w:instrText>
      </w:r>
      <w:r>
        <w:rPr>
          <w:color w:val="auto"/>
        </w:rPr>
        <w:fldChar w:fldCharType="separate"/>
      </w:r>
      <w:r w:rsidRPr="000C3F0F">
        <w:t>[1], [2]</w:t>
      </w:r>
      <w:r>
        <w:rPr>
          <w:color w:val="auto"/>
        </w:rPr>
        <w:fldChar w:fldCharType="end"/>
      </w:r>
      <w:r w:rsidRPr="00962BDF">
        <w:rPr>
          <w:color w:val="auto"/>
        </w:rPr>
        <w:t xml:space="preserve">. According to the International Energy Agency (IEA), this consumption may grow to 945 TWh by 2030 based on current growth rates, mainly because of the training and inferring workloads of AI </w:t>
      </w:r>
      <w:bookmarkStart w:id="0" w:name="ZOTERO_BREF_H70vUx20hBhO"/>
      <w:r w:rsidRPr="00962BDF">
        <w:rPr>
          <w:color w:val="auto"/>
        </w:rPr>
        <w:t>models</w:t>
      </w:r>
      <w:bookmarkEnd w:id="0"/>
      <w:r>
        <w:rPr>
          <w:color w:val="auto"/>
        </w:rPr>
        <w:fldChar w:fldCharType="begin"/>
      </w:r>
      <w:r>
        <w:rPr>
          <w:color w:val="auto"/>
        </w:rPr>
        <w:instrText xml:space="preserve"> ADDIN ZOTERO_ITEM CSL_CITATION {"citationID":"FQVAVlET","properties":{"formattedCitation":"[3]","plainCitation":"[3]","noteIndex":0},"citationItems":[{"id":1891,"uris":["http://zotero.org/users/9870935/items/Y726ZSXQ"],"itemData":{"id":1891,"type":"post-weblog","title":"Energy and AI","URL":"https://www.iea.org/reports/energy-and-ai","author":[{"family":"IEA","given":""}],"accessed":{"date-parts":[["2025",4,10]]}}}],"schema":"https://github.com/citation-style-language/schema/raw/master/csl-citation.json"} </w:instrText>
      </w:r>
      <w:r>
        <w:rPr>
          <w:color w:val="auto"/>
        </w:rPr>
        <w:fldChar w:fldCharType="separate"/>
      </w:r>
      <w:r w:rsidRPr="00AE6A99">
        <w:t>[3]</w:t>
      </w:r>
      <w:r>
        <w:rPr>
          <w:color w:val="auto"/>
        </w:rPr>
        <w:fldChar w:fldCharType="end"/>
      </w:r>
      <w:r w:rsidRPr="00962BDF">
        <w:rPr>
          <w:color w:val="auto"/>
        </w:rPr>
        <w:t xml:space="preserve">. This is a staggering leap, feeding the electricity use of a power-hungry country the size of Japan into the global grid in just six years, and shows how critical it is to move towards sustainable energy solutions in data </w:t>
      </w:r>
      <w:r w:rsidR="00232D2E" w:rsidRPr="00962BDF">
        <w:rPr>
          <w:color w:val="auto"/>
        </w:rPr>
        <w:t>center</w:t>
      </w:r>
      <w:r w:rsidRPr="00962BDF">
        <w:rPr>
          <w:color w:val="auto"/>
        </w:rPr>
        <w:t xml:space="preserve"> operations.</w:t>
      </w:r>
    </w:p>
    <w:p w14:paraId="772C239C" w14:textId="4EC0D9EB" w:rsidR="00FE013C" w:rsidRDefault="00FE013C" w:rsidP="0095647B">
      <w:pPr>
        <w:pStyle w:val="Text"/>
        <w:rPr>
          <w:color w:val="auto"/>
        </w:rPr>
      </w:pPr>
      <w:r w:rsidRPr="00962BDF">
        <w:rPr>
          <w:color w:val="auto"/>
        </w:rPr>
        <w:t xml:space="preserve">This challenge is evident in the energy consumption of specific AI models. To train GPT-3, a 175-billion-parameter language model developed by OpenAI, approximately 1, 287 MWh of electricity was required, which corresponds to an estimated CO2 equivalent emission of 552 </w:t>
      </w:r>
      <w:r w:rsidR="00232D2E" w:rsidRPr="00962BDF">
        <w:rPr>
          <w:color w:val="auto"/>
        </w:rPr>
        <w:t>tones</w:t>
      </w:r>
      <w:r>
        <w:rPr>
          <w:color w:val="auto"/>
        </w:rPr>
        <w:fldChar w:fldCharType="begin"/>
      </w:r>
      <w:r>
        <w:rPr>
          <w:color w:val="auto"/>
        </w:rPr>
        <w:instrText xml:space="preserve"> ADDIN ZOTERO_ITEM CSL_CITATION {"citationID":"bMaUHCAr","properties":{"formattedCitation":"[4], [5]","plainCitation":"[4], [5]","noteIndex":0},"citationItems":[{"id":1900,"uris":["http://zotero.org/users/9870935/items/IDZTTL47"],"itemData":{"id":1900,"type":"article","abstract":"The computation demand for machine learning (ML) has grown rapidly recently, which comes with a number of costs. Estimating the energy cost helps measure its environmental impact and finding greener strategies, yet it is challenging without detailed information. We calculate the energy use and carbon footprint of several recent large models-T5, Meena, GShard, Switch Transformer, and GPT-3-and refine earlier estimates for the neural architecture search that found Evolved Transformer. We highlight the following opportunities to improve energy efficiency and CO2 equivalent emissions (CO2e): Large but sparsely activated DNNs can consume &amp;lt;1/10th the energy of large, dense DNNs without sacrificing accuracy despite using as many or even more parameters. Geographic location matters for ML workload scheduling since the fraction of carbon-free energy and resulting CO2e vary ~5X-10X, even within the same country and the same organization. We are now optimizing where and when large models are trained. Specific datacenter infrastructure matters, as Cloud datacenters can be ~1.4-2X more energy efficient than typical datacenters, and the ML-oriented accelerators inside them can be ~2-5X more effective than off-the-shelf systems. Remarkably, the choice of DNN, datacenter, and processor can reduce the carbon footprint up to ~100-1000X. These large factors also make retroactive estimates of energy cost difficult. To avoid miscalculations, we believe ML papers requiring large computational resources should make energy consumption and CO2e explicit when practical. We are working to be more transparent about energy use and CO2e in our future research. To help reduce the carbon footprint of ML, we believe energy usage and CO2e should be a key metric in evaluating models, and we are collaborating with MLPerf developers to include energy usage during training and inference in this industry standard benchmark.","DOI":"10.48550/ARXIV.2104.10350","license":"arXiv.org perpetual, non-exclusive license","note":"version: 3","publisher":"arXiv","source":"DOI.org (Datacite)","title":"Carbon Emissions and Large Neural Network Training","URL":"https://arxiv.org/abs/2104.10350","author":[{"family":"Patterson","given":"David"},{"family":"Gonzalez","given":"Joseph"},{"family":"Le","given":"Quoc"},{"family":"Liang","given":"Chen"},{"family":"Munguia","given":"Lluis-Miquel"},{"family":"Rothchild","given":"Daniel"},{"family":"So","given":"David"},{"family":"Texier","given":"Maud"},{"family":"Dean","given":"Jeff"}],"accessed":{"date-parts":[["2026",5,10]]},"issued":{"date-parts":[["2021"]]}}},{"id":1901,"uris":["http://zotero.org/users/9870935/items/TV95D224"],"itemData":{"id":1901,"type":"article","abstract":"Recent progress in hardware and methodology for training neural networks has ushered in a new generation of large networks trained on abundant data. These models have obtained notable gains in accuracy across many NLP tasks. However, these accuracy improvements depend on the availability of exceptionally large computational resources that necessitate similarly substantial energy consumption. As a result these models are costly to train and develop, both financially, due to the cost of hardware and electricity or cloud compute time, and environmentally, due to the carbon footprint required to fuel modern tensor processing hardware. In this paper we bring this issue to the attention of NLP researchers by quantifying the approximate financial and environmental costs of training a variety of recently successful neural network models for NLP. Based on these findings, we propose actionable recommendations to reduce costs and improve equity in NLP research and practice.","DOI":"10.48550/ARXIV.1906.02243","license":"arXiv.org perpetual, non-exclusive license","note":"version: 1","publisher":"arXiv","source":"DOI.org (Datacite)","title":"Energy and Policy Considerations for Deep Learning in NLP","URL":"https://arxiv.org/abs/1906.02243","author":[{"family":"Strubell","given":"Emma"},{"family":"Ganesh","given":"Ananya"},{"family":"McCallum","given":"Andrew"}],"accessed":{"date-parts":[["2026",5,10]]},"issued":{"date-parts":[["2019"]]}}}],"schema":"https://github.com/citation-style-language/schema/raw/master/csl-citation.json"} </w:instrText>
      </w:r>
      <w:r>
        <w:rPr>
          <w:color w:val="auto"/>
        </w:rPr>
        <w:fldChar w:fldCharType="separate"/>
      </w:r>
      <w:r w:rsidRPr="00AA4E78">
        <w:t>[4], [5]</w:t>
      </w:r>
      <w:r>
        <w:rPr>
          <w:color w:val="auto"/>
        </w:rPr>
        <w:fldChar w:fldCharType="end"/>
      </w:r>
      <w:r w:rsidRPr="00962BDF">
        <w:rPr>
          <w:color w:val="auto"/>
        </w:rPr>
        <w:t xml:space="preserve">. The next GPT, with significantly more parameters, would have an even greater energy cost. Exact numbers are still proprietary, but such a model would likely be even more costly on a per-use basis. The model called </w:t>
      </w:r>
      <w:bookmarkStart w:id="1" w:name="ZOTERO_BREF_wu8OLmHyuqzg"/>
      <w:r w:rsidRPr="00962BDF">
        <w:rPr>
          <w:color w:val="auto"/>
        </w:rPr>
        <w:t>BLOOM</w:t>
      </w:r>
      <w:r w:rsidRPr="00F65F01">
        <w:t xml:space="preserve"> </w:t>
      </w:r>
      <w:bookmarkEnd w:id="1"/>
      <w:r>
        <w:fldChar w:fldCharType="begin"/>
      </w:r>
      <w:r>
        <w:instrText xml:space="preserve"> ADDIN ZOTERO_ITEM CSL_CITATION {"citationID":"c8vEVAQa","properties":{"formattedCitation":"[6]","plainCitation":"[6]","noteIndex":0},"citationItems":[{"id":1903,"uris":["http://zotero.org/users/9870935/items/QAA9ZM27"],"itemData":{"id":1903,"type":"article-journal","container-title":"Resources, Conservation and Recycling","DOI":"10.1016/j.resconrec.2025.108670","ISSN":"09213449","journalAbbreviation":"Resources, Conservation and Recycling","language":"en","page":"108670","source":"DOI.org (Crossref)","title":"Assessing the carbon footprint of language models: Towards sustainability in AI","title-short":"Assessing the carbon footprint of language models","volume":"226","author":[{"family":"Jeanquartier","given":"Fleur"},{"family":"Jean-Quartier","given":"Claire"},{"family":"Rieder","given":"Paul"},{"family":"Misirlić","given":"Vedad"},{"family":"Pasero","given":"Christian"},{"family":"Hohensinner","given":"Richard"},{"family":"Müller","given":"Heimo"},{"family":"Holzinger","given":"Andreas"}],"issued":{"date-parts":[["2026",2]]}}}],"schema":"https://github.com/citation-style-language/schema/raw/master/csl-citation.json"} </w:instrText>
      </w:r>
      <w:r>
        <w:fldChar w:fldCharType="separate"/>
      </w:r>
      <w:r w:rsidRPr="00F76513">
        <w:t>[6]</w:t>
      </w:r>
      <w:r>
        <w:fldChar w:fldCharType="end"/>
      </w:r>
      <w:r w:rsidRPr="00962BDF">
        <w:rPr>
          <w:color w:val="auto"/>
        </w:rPr>
        <w:t xml:space="preserve"> is an open-source model consisting of 176 billion parameters that took approximately 433 MWh in training. These are the numbers of single training events; the total amount of energy used by constant inferences per year to serve billions of user queries is much higher than the training energy. </w:t>
      </w:r>
      <w:r w:rsidR="009A7CA8" w:rsidRPr="00161993">
        <w:rPr>
          <w:color w:val="auto"/>
          <w:highlight w:val="yellow"/>
          <w:lang w:val="en-CA"/>
        </w:rPr>
        <w:t>Recent studies have highlighted that the cumulative energy demand associated with large-scale inference workloads can be substantial because even modest per-query electricity consumption becomes significant when deployed across millions of daily requests</w:t>
      </w:r>
      <w:r w:rsidRPr="00161993">
        <w:rPr>
          <w:color w:val="auto"/>
          <w:highlight w:val="yellow"/>
        </w:rPr>
        <w:fldChar w:fldCharType="begin"/>
      </w:r>
      <w:r w:rsidRPr="00161993">
        <w:rPr>
          <w:color w:val="auto"/>
          <w:highlight w:val="yellow"/>
        </w:rPr>
        <w:instrText xml:space="preserve"> ADDIN ZOTERO_ITEM CSL_CITATION {"citationID":"9bnS3cRe","properties":{"formattedCitation":"[7]","plainCitation":"[7]","noteIndex":0},"citationItems":[{"id":1904,"uris":["http://zotero.org/users/9870935/items/NXPFN7GH"],"itemData":{"id":1904,"type":"article","abstract":"Large Language Models (LLMs) have recently shown remarkable capabilities in various software engineering tasks, spurring the rapid growth of the Large Language Models for Software Engineering (LLM4SE) area. However, limited attention has been paid to developing efficient LLM4SE techniques that demand minimal computational cost, time, and memory resources, as well as green LLM4SE solutions that reduce energy consumption, water usage, and carbon emissions. This paper aims to redirect the focus of the research community towards the efficiency and greenness of LLM4SE, while also sharing potential research directions to achieve this goal. It commences with a brief overview of the significance of LLM4SE and highlights the need for efficient and green LLM4SE solutions. Subsequently, the paper presents a vision for a future where efficient and green LLM4SE revolutionizes the LLM-based software engineering tool landscape, benefiting various stakeholders, including industry, individual practitioners, and society. The paper then delineates a roadmap for future research, outlining specific research paths and potential solutions for the research community to pursue. While not intended to be a definitive guide, the paper aims to inspire further progress, with the ultimate goal of establishing efficient and green LLM4SE as a central element in the future of software engineering.","DOI":"10.48550/arXiv.2404.04566","note":"arXiv:2404.04566 [cs]","number":"arXiv:2404.04566","publisher":"arXiv","source":"arXiv.org","title":"Efficient and Green Large Language Models for Software Engineering: Literature Review, Vision, and the Road Ahead","title-short":"Efficient and Green Large Language Models for Software Engineering","URL":"http://arxiv.org/abs/2404.04566","author":[{"family":"Shi","given":"Jieke"},{"family":"Yang","given":"Zhou"},{"family":"Lo","given":"David"}],"accessed":{"date-parts":[["2026",5,10]]},"issued":{"date-parts":[["2024",12,4]]}}}],"schema":"https://github.com/citation-style-language/schema/raw/master/csl-citation.json"} </w:instrText>
      </w:r>
      <w:r w:rsidRPr="00161993">
        <w:rPr>
          <w:color w:val="auto"/>
          <w:highlight w:val="yellow"/>
        </w:rPr>
        <w:fldChar w:fldCharType="separate"/>
      </w:r>
      <w:r w:rsidRPr="00161993">
        <w:rPr>
          <w:highlight w:val="yellow"/>
        </w:rPr>
        <w:t>[7]</w:t>
      </w:r>
      <w:r w:rsidRPr="00161993">
        <w:rPr>
          <w:color w:val="auto"/>
          <w:highlight w:val="yellow"/>
        </w:rPr>
        <w:fldChar w:fldCharType="end"/>
      </w:r>
      <w:r w:rsidRPr="00161993">
        <w:rPr>
          <w:color w:val="auto"/>
          <w:highlight w:val="yellow"/>
        </w:rPr>
        <w:t>.</w:t>
      </w:r>
    </w:p>
    <w:p w14:paraId="1E5549E4" w14:textId="30B80573" w:rsidR="00FE013C" w:rsidRPr="00FA40BC" w:rsidRDefault="00FE013C" w:rsidP="00FA40BC">
      <w:pPr>
        <w:pStyle w:val="Text"/>
        <w:rPr>
          <w:color w:val="auto"/>
          <w:lang w:val="en-CA"/>
        </w:rPr>
      </w:pPr>
      <w:r w:rsidRPr="00291195">
        <w:rPr>
          <w:color w:val="auto"/>
          <w:highlight w:val="yellow"/>
        </w:rPr>
        <w:t xml:space="preserve">One of the biggest tipping points in electricity demand growth since the electrification of industry will come with AI, with one research group estimating </w:t>
      </w:r>
      <w:r w:rsidRPr="00291195">
        <w:rPr>
          <w:color w:val="auto"/>
          <w:highlight w:val="yellow"/>
        </w:rPr>
        <w:fldChar w:fldCharType="begin"/>
      </w:r>
      <w:r w:rsidRPr="00291195">
        <w:rPr>
          <w:color w:val="auto"/>
          <w:highlight w:val="yellow"/>
        </w:rPr>
        <w:instrText xml:space="preserve"> ADDIN ZOTERO_ITEM CSL_CITATION {"citationID":"rCwg3Daa","properties":{"formattedCitation":"[8]","plainCitation":"[8]","noteIndex":0},"citationItems":[{"id":1908,"uris":["http://zotero.org/users/9870935/items/5SZSS7UD"],"itemData":{"id":1908,"type":"article","abstract":"The rapid growth of artificial intelligence (AI) is driving an unprecedented increase in the electricity demand of AI data centers, raising emerging challenges for electric power grids. Understanding the characteristics of AI data center loads and their interactions with the grid is therefore critical for ensuring both reliable power system operation and sustainable AI development. This paper provides a comprehensive review and vision of this evolving landscape. Specifically, this paper (i) presents an overview of AI data center infrastructure and its key components, (ii) examines the key characteristics and patterns of electricity demand across the stages of model preparation, training, fine-tuning, and inference, (iii) analyzes the critical challenges that AI data center loads pose to power systems across three interrelated timescales, including long-term planning and interconnection, short-term operation and electricity markets, and real-time dynamics and stability, and (iv) discusses potential solutions from the perspectives of the grid, AI data centers, and AI end-users to address these challenges. By synthesizing current knowledge and outlining future directions, this review aims to guide research and development in support of the joint advancement of AI data centers and power systems toward reliable, efficient, and sustainable operation.","DOI":"10.48550/arXiv.2509.07218","note":"arXiv:2509.07218 [eess]","number":"arXiv:2509.07218","publisher":"arXiv","source":"arXiv.org","title":"Electricity Demand and Grid Impacts of AI Data Centers: Challenges and Prospects","title-short":"Electricity Demand and Grid Impacts of AI Data Centers","URL":"http://arxiv.org/abs/2509.07218","author":[{"family":"Chen","given":"Xin"},{"family":"Wang","given":"Xiaoyang"},{"family":"Colacelli","given":"Ana"},{"family":"Lee","given":"Matt"},{"family":"Xie","given":"Le"}],"accessed":{"date-parts":[["2026",5,10]]},"issued":{"date-parts":[["2025",11,26]]}}}],"schema":"https://github.com/citation-style-language/schema/raw/master/csl-citation.json"} </w:instrText>
      </w:r>
      <w:r w:rsidRPr="00291195">
        <w:rPr>
          <w:color w:val="auto"/>
          <w:highlight w:val="yellow"/>
        </w:rPr>
        <w:fldChar w:fldCharType="separate"/>
      </w:r>
      <w:r w:rsidRPr="00291195">
        <w:rPr>
          <w:highlight w:val="yellow"/>
        </w:rPr>
        <w:t>[8]</w:t>
      </w:r>
      <w:r w:rsidRPr="00291195">
        <w:rPr>
          <w:color w:val="auto"/>
          <w:highlight w:val="yellow"/>
        </w:rPr>
        <w:fldChar w:fldCharType="end"/>
      </w:r>
      <w:r w:rsidRPr="00291195">
        <w:rPr>
          <w:color w:val="auto"/>
          <w:highlight w:val="yellow"/>
        </w:rPr>
        <w:t xml:space="preserve"> </w:t>
      </w:r>
      <w:r w:rsidR="00291195">
        <w:rPr>
          <w:color w:val="auto"/>
          <w:highlight w:val="yellow"/>
        </w:rPr>
        <w:t>that</w:t>
      </w:r>
      <w:r w:rsidR="00FA40BC" w:rsidRPr="00291195">
        <w:rPr>
          <w:color w:val="auto"/>
          <w:highlight w:val="yellow"/>
          <w:lang w:val="en-CA"/>
        </w:rPr>
        <w:t xml:space="preserve"> data-center electricity demand could increase by approximately 165% between 2024 and 2030, although the magnitude and geographic distribution of this growth remain uncertain</w:t>
      </w:r>
      <w:r w:rsidRPr="00291195">
        <w:rPr>
          <w:color w:val="auto"/>
          <w:highlight w:val="yellow"/>
        </w:rPr>
        <w:t>.</w:t>
      </w:r>
      <w:r>
        <w:rPr>
          <w:color w:val="auto"/>
        </w:rPr>
        <w:t xml:space="preserve"> </w:t>
      </w:r>
      <w:r w:rsidRPr="007B5EF9">
        <w:rPr>
          <w:color w:val="auto"/>
        </w:rPr>
        <w:t>However, the Power Usage Effectiveness (PUE) of the surveyed locations did not show any significant gains in efficiency as measured by PUE,</w:t>
      </w:r>
      <w:r>
        <w:rPr>
          <w:color w:val="auto"/>
        </w:rPr>
        <w:t xml:space="preserve"> </w:t>
      </w:r>
      <w:r w:rsidRPr="007B5EF9">
        <w:rPr>
          <w:color w:val="auto"/>
        </w:rPr>
        <w:t xml:space="preserve">according to the Uptime Institute 2024 Global Data Center </w:t>
      </w:r>
      <w:bookmarkStart w:id="2" w:name="ZOTERO_BREF_VzOpl4gXp4N6"/>
      <w:r w:rsidRPr="007B5EF9">
        <w:rPr>
          <w:color w:val="auto"/>
        </w:rPr>
        <w:t>Survey</w:t>
      </w:r>
      <w:bookmarkEnd w:id="2"/>
      <w:r>
        <w:rPr>
          <w:color w:val="auto"/>
        </w:rPr>
        <w:fldChar w:fldCharType="begin"/>
      </w:r>
      <w:r>
        <w:rPr>
          <w:color w:val="auto"/>
        </w:rPr>
        <w:instrText xml:space="preserve"> ADDIN ZOTERO_ITEM CSL_CITATION {"citationID":"rwRbst5Q","properties":{"formattedCitation":"[9]","plainCitation":"[9]","noteIndex":0},"citationItems":[{"id":1912,"uris":["http://zotero.org/users/9870935/items/YDR6GAHQ"],"itemData":{"id":1912,"type":"article-journal","language":"en","source":"Zotero","title":"Uptime Institute Global Data Center Survey 2024","URL":"https://uptimeinstitute.com/resources/research-and-reports/uptime-institute-global-data-center-survey-results-2024","author":[{"family":"Donnellan","given":"Douglas"},{"family":"Lawrence","given":"Andy"},{"family":"Bizo","given":"Daniel"},{"family":"Judge","given":"Peter"},{"family":"O’Brien","given":"John"},{"family":"Davis","given":"Jacqueline"},{"family":"Smolaks","given":"Max"},{"family":"Williams-George","given":"Jabari"},{"family":"Weinschenk","given":"Rose"}],"issued":{"date-parts":[["2024"]]}}}],"schema":"https://github.com/citation-style-language/schema/raw/master/csl-citation.json"} </w:instrText>
      </w:r>
      <w:r>
        <w:rPr>
          <w:color w:val="auto"/>
        </w:rPr>
        <w:fldChar w:fldCharType="separate"/>
      </w:r>
      <w:r w:rsidRPr="00341E54">
        <w:t>[9]</w:t>
      </w:r>
      <w:r>
        <w:rPr>
          <w:color w:val="auto"/>
        </w:rPr>
        <w:fldChar w:fldCharType="end"/>
      </w:r>
      <w:r w:rsidRPr="007B5EF9">
        <w:rPr>
          <w:color w:val="auto"/>
        </w:rPr>
        <w:t xml:space="preserve">. </w:t>
      </w:r>
      <w:r w:rsidRPr="00653055">
        <w:rPr>
          <w:color w:val="auto"/>
        </w:rPr>
        <w:t xml:space="preserve">Meanwhile, AI-specific accelerators, such as the NVIDIA H100 GPU, with a thermal design power (TDP) of up to 700 watts per unit, are pushing the compute density to levels that challenge conventional cooling and power delivery </w:t>
      </w:r>
      <w:bookmarkStart w:id="3" w:name="ZOTERO_BREF_Q2km8TRZH2ar"/>
      <w:r w:rsidRPr="00653055">
        <w:rPr>
          <w:color w:val="auto"/>
        </w:rPr>
        <w:t>architectures</w:t>
      </w:r>
      <w:bookmarkEnd w:id="3"/>
      <w:r>
        <w:rPr>
          <w:color w:val="auto"/>
        </w:rPr>
        <w:fldChar w:fldCharType="begin"/>
      </w:r>
      <w:r>
        <w:rPr>
          <w:color w:val="auto"/>
        </w:rPr>
        <w:instrText xml:space="preserve"> ADDIN ZOTERO_ITEM CSL_CITATION {"citationID":"02xLPkbf","properties":{"formattedCitation":"[10]","plainCitation":"[10]","noteIndex":0},"citationItems":[{"id":1914,"uris":["http://zotero.org/users/9870935/items/MRD83LE5"],"itemData":{"id":1914,"type":"article-journal","language":"en","source":"Zotero","title":"NVIDIA Hopper Architecture In-Depth","URL":"https://developer.nvidia.com/blog/nvidia-hopper-architecture-in-depth/","author":[{"family":"Andersch","given":"Michael"},{"family":"Palmer","given":"Greg"},{"family":"Krashinsky","given":"Ronny"},{"family":"Stam","given":"Nick"},{"family":"Mehta","given":"Vishal"},{"family":"Brito","given":"Gonzalo"},{"family":"Ramaswamy","given":"Sridhar"}]}}],"schema":"https://github.com/citation-style-language/schema/raw/master/csl-citation.json"} </w:instrText>
      </w:r>
      <w:r>
        <w:rPr>
          <w:color w:val="auto"/>
        </w:rPr>
        <w:fldChar w:fldCharType="separate"/>
      </w:r>
      <w:r w:rsidRPr="007F14EA">
        <w:t>[10]</w:t>
      </w:r>
      <w:r>
        <w:rPr>
          <w:color w:val="auto"/>
        </w:rPr>
        <w:fldChar w:fldCharType="end"/>
      </w:r>
      <w:r w:rsidRPr="00653055">
        <w:rPr>
          <w:color w:val="auto"/>
        </w:rPr>
        <w:t>.</w:t>
      </w:r>
      <w:r>
        <w:rPr>
          <w:color w:val="auto"/>
        </w:rPr>
        <w:t xml:space="preserve"> </w:t>
      </w:r>
      <w:r w:rsidRPr="001D1403">
        <w:rPr>
          <w:color w:val="auto"/>
        </w:rPr>
        <w:t xml:space="preserve">Fig. 1 illustrates this growth trajectory, showing historical data </w:t>
      </w:r>
      <w:r w:rsidR="00232D2E" w:rsidRPr="001D1403">
        <w:rPr>
          <w:color w:val="auto"/>
        </w:rPr>
        <w:t>center</w:t>
      </w:r>
      <w:r w:rsidRPr="001D1403">
        <w:rPr>
          <w:color w:val="auto"/>
        </w:rPr>
        <w:t xml:space="preserve"> electricity consumption from 2015 to 2024 alongside IEA projections to 2030, with the AI-driven inflection point clearly visible after 2022.</w:t>
      </w:r>
    </w:p>
    <w:p w14:paraId="490072E4" w14:textId="77777777" w:rsidR="00FE013C" w:rsidRDefault="00FE013C" w:rsidP="00FA53F1">
      <w:pPr>
        <w:pStyle w:val="Heading10"/>
        <w:keepNext/>
        <w:spacing w:before="0" w:after="0"/>
        <w:jc w:val="center"/>
      </w:pPr>
      <w:r>
        <w:rPr>
          <w:noProof/>
        </w:rPr>
        <w:drawing>
          <wp:inline distT="0" distB="0" distL="0" distR="0" wp14:anchorId="556059C0" wp14:editId="17CD0762">
            <wp:extent cx="3383902" cy="1966587"/>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t="7176"/>
                    <a:stretch>
                      <a:fillRect/>
                    </a:stretch>
                  </pic:blipFill>
                  <pic:spPr bwMode="auto">
                    <a:xfrm>
                      <a:off x="0" y="0"/>
                      <a:ext cx="3402368" cy="1977318"/>
                    </a:xfrm>
                    <a:prstGeom prst="rect">
                      <a:avLst/>
                    </a:prstGeom>
                    <a:ln>
                      <a:noFill/>
                    </a:ln>
                    <a:extLst>
                      <a:ext uri="{53640926-AAD7-44D8-BBD7-CCE9431645EC}">
                        <a14:shadowObscured xmlns:a14="http://schemas.microsoft.com/office/drawing/2010/main"/>
                      </a:ext>
                    </a:extLst>
                  </pic:spPr>
                </pic:pic>
              </a:graphicData>
            </a:graphic>
          </wp:inline>
        </w:drawing>
      </w:r>
    </w:p>
    <w:p w14:paraId="31445E1C" w14:textId="6BFFF7BE" w:rsidR="00FE013C" w:rsidRDefault="00FE013C" w:rsidP="00FA53F1">
      <w:pPr>
        <w:pStyle w:val="Caption"/>
        <w:jc w:val="center"/>
        <w:rPr>
          <w:color w:val="auto"/>
          <w:lang w:eastAsia="zh-CN"/>
        </w:rPr>
      </w:pPr>
      <w:r>
        <w:t xml:space="preserve">Figure </w:t>
      </w:r>
      <w:r>
        <w:fldChar w:fldCharType="begin"/>
      </w:r>
      <w:r>
        <w:instrText xml:space="preserve"> SEQ Figure \* ARABIC </w:instrText>
      </w:r>
      <w:r>
        <w:fldChar w:fldCharType="separate"/>
      </w:r>
      <w:r w:rsidR="00807110">
        <w:rPr>
          <w:noProof/>
        </w:rPr>
        <w:t>1</w:t>
      </w:r>
      <w:r>
        <w:rPr>
          <w:noProof/>
        </w:rPr>
        <w:fldChar w:fldCharType="end"/>
      </w:r>
      <w:r>
        <w:t xml:space="preserve">: </w:t>
      </w:r>
      <w:r w:rsidRPr="008451C0">
        <w:t xml:space="preserve">Global data </w:t>
      </w:r>
      <w:r w:rsidR="00232D2E" w:rsidRPr="008451C0">
        <w:t>center</w:t>
      </w:r>
      <w:r w:rsidRPr="008451C0">
        <w:t xml:space="preserve"> electricity consumption and projections (2015–2030). Source: IEA, 2025</w:t>
      </w:r>
    </w:p>
    <w:p w14:paraId="26DB2460" w14:textId="77777777" w:rsidR="00FE013C" w:rsidRDefault="00FE013C" w:rsidP="004C16FF">
      <w:pPr>
        <w:pStyle w:val="Heading20"/>
        <w:jc w:val="both"/>
        <w:rPr>
          <w:color w:val="auto"/>
          <w:lang w:val="en-CA"/>
        </w:rPr>
      </w:pPr>
      <w:r w:rsidRPr="00962BDF">
        <w:rPr>
          <w:color w:val="auto"/>
          <w:lang w:val="en-CA"/>
        </w:rPr>
        <w:lastRenderedPageBreak/>
        <w:t>1.</w:t>
      </w:r>
      <w:r>
        <w:rPr>
          <w:color w:val="auto"/>
          <w:lang w:val="en-CA"/>
        </w:rPr>
        <w:t>2</w:t>
      </w:r>
      <w:r w:rsidRPr="00962BDF">
        <w:rPr>
          <w:color w:val="auto"/>
          <w:lang w:val="en-CA"/>
        </w:rPr>
        <w:t xml:space="preserve">. </w:t>
      </w:r>
      <w:r>
        <w:rPr>
          <w:color w:val="auto"/>
          <w:lang w:val="en-CA"/>
        </w:rPr>
        <w:t>The Renewable Energy Imperative</w:t>
      </w:r>
    </w:p>
    <w:p w14:paraId="400F464D" w14:textId="17EC6C22" w:rsidR="00FE013C" w:rsidRPr="00ED0153" w:rsidRDefault="00FE013C" w:rsidP="004C16FF">
      <w:pPr>
        <w:pStyle w:val="Text"/>
        <w:rPr>
          <w:color w:val="auto"/>
        </w:rPr>
      </w:pPr>
      <w:r w:rsidRPr="00ED0153">
        <w:rPr>
          <w:color w:val="auto"/>
        </w:rPr>
        <w:t xml:space="preserve">Three simultaneous drivers, namely, climate goals, cost trends, and growing technical viability, are coming together in data </w:t>
      </w:r>
      <w:r w:rsidR="00232D2E" w:rsidRPr="00ED0153">
        <w:rPr>
          <w:color w:val="auto"/>
        </w:rPr>
        <w:t>center</w:t>
      </w:r>
      <w:r w:rsidRPr="00ED0153">
        <w:rPr>
          <w:color w:val="auto"/>
        </w:rPr>
        <w:t xml:space="preserve"> power systems for the integration of renewable energy sources. With over 130 countries aligning themselves to reach zero carbon emissions by 2050 under the Paris Agreement</w:t>
      </w:r>
      <w:r>
        <w:rPr>
          <w:color w:val="auto"/>
        </w:rPr>
        <w:t xml:space="preserve">, </w:t>
      </w:r>
      <w:r>
        <w:rPr>
          <w:szCs w:val="24"/>
        </w:rPr>
        <w:t xml:space="preserve">the information technology sector has emerged as a critical focus area for </w:t>
      </w:r>
      <w:r w:rsidR="00232D2E">
        <w:rPr>
          <w:szCs w:val="24"/>
        </w:rPr>
        <w:t>decarbonization</w:t>
      </w:r>
      <w:r>
        <w:rPr>
          <w:szCs w:val="24"/>
        </w:rPr>
        <w:t xml:space="preserve"> efforts</w:t>
      </w:r>
      <w:r>
        <w:rPr>
          <w:szCs w:val="24"/>
        </w:rPr>
        <w:fldChar w:fldCharType="begin"/>
      </w:r>
      <w:r>
        <w:rPr>
          <w:szCs w:val="24"/>
        </w:rPr>
        <w:instrText xml:space="preserve"> ADDIN ZOTERO_ITEM CSL_CITATION {"citationID":"sZccwHfz","properties":{"formattedCitation":"[11]","plainCitation":"[11]","noteIndex":0},"citationItems":[{"id":1916,"uris":["http://zotero.org/users/9870935/items/8YNRELWV"],"itemData":{"id":1916,"type":"report","abstract":"The Synthesis Report (SYR) is a stand-alone synthesis of the most policy-relevant evidence from the scientific, technical, and socio-economic literature assessed in the Sixth Assessment Report (AR6) of the Intergovernmental Panel on Climate Change (IPCC). The SYR distils and integrates the main findings of the three reports of the Working Groups of the IPCC during the AR6, and the three AR6 Special Reports into a concise document. It consists of a Summary for Policymakers and a longer report.","DOI":"10.59327/IPCC/AR6-9789291691647","language":"en","note":"edition: First","publisher":"Intergovernmental Panel on Climate Change (IPCC)","source":"DOI.org (Crossref)","title":"IPCC, 2023: Climate Change 2023: Synthesis Report. Contribution of Working Groups I, II and III to the Sixth Assessment Report of the Intergovernmental Panel on Climate Change [Core Writing Team, H. Lee and J. Romero (eds.)]. IPCC, Geneva, Switzerland.","title-short":"IPCC, 2023","URL":"https://www.ipcc.ch/report/ar6/syr/","contributor":[{"family":"Lee","given":"Hoesung"}],"author":[{"family":"Calvin","given":"Katherine"},{"family":"Dasgupta","given":"Dipak"},{"family":"Krinner","given":"Gerhard"},{"family":"Mukherji","given":"Aditi"},{"family":"Thorne","given":"Peter W."},{"family":"Trisos","given":"Christopher"},{"family":"Romero","given":"José"},{"family":"Aldunce","given":"Paulina"},{"family":"Barrett","given":"Ko"},{"family":"Blanco","given":"Gabriel"},{"family":"Cheung","given":"William W.L."},{"family":"Connors","given":"Sarah"},{"family":"Denton","given":"Fatima"},{"family":"Diongue-Niang","given":"Aïda"},{"family":"Dodman","given":"David"},{"family":"Garschagen","given":"Matthias"},{"family":"Geden","given":"Oliver"},{"family":"Hayward","given":"Bronwyn"},{"family":"Jones","given":"Christopher"},{"family":"Jotzo","given":"Frank"},{"family":"Krug","given":"Thelma"},{"family":"Lasco","given":"Rodel"},{"family":"Lee","given":"Yune-Yi"},{"family":"Masson-Delmotte","given":"Valérie"},{"family":"Meinshausen","given":"Malte"},{"family":"Mintenbeck","given":"Katja"},{"family":"Mokssit","given":"Abdalah"},{"family":"Otto","given":"Friederike E.L."},{"family":"Pathak","given":"Minal"},{"family":"Pirani","given":"Anna"},{"family":"Poloczanska","given":"Elvira"},{"family":"Pörtner","given":"Hans-Otto"},{"family":"Revi","given":"Aromar"},{"family":"Roberts","given":"Debra C."},{"family":"Roy","given":"Joyashree"},{"family":"Ruane","given":"Alex C."},{"family":"Skea","given":"Jim"},{"family":"Shukla","given":"Priyadarshi R."},{"family":"Slade","given":"Raphael"},{"family":"Slangen","given":"Aimée"},{"family":"Sokona","given":"Youba"},{"family":"Sörensson","given":"Anna A."},{"family":"Tignor","given":"Melinda"},{"family":"Van Vuuren","given":"Detlef"},{"family":"Wei","given":"Yi-Ming"},{"family":"Winkler","given":"Harald"},{"family":"Zhai","given":"Panmao"},{"family":"Zommers","given":"Zinta"},{"family":"Hourcade","given":"Jean-Charles"},{"family":"Johnson","given":"Francis X."},{"family":"Pachauri","given":"Shonali"},{"family":"Simpson","given":"Nicholas P."},{"family":"Singh","given":"Chandni"},{"family":"Thomas","given":"Adelle"},{"family":"Totin","given":"Edmond"},{"family":"Alegría","given":"Andrés"},{"family":"Armour","given":"Kyle"},{"family":"Bednar-Friedl","given":"Birgit"},{"family":"Blok","given":"Kornelis"},{"family":"Cissé","given":"Guéladio"},{"family":"Dentener","given":"Frank"},{"family":"Eriksen","given":"Siri"},{"family":"Fischer","given":"Erich"},{"family":"Garner","given":"Gregory"},{"family":"Guivarch","given":"Céline"},{"family":"Haasnoot","given":"Marjolijn"},{"family":"Hansen","given":"Gerrit"},{"family":"Hauser","given":"Mathias"},{"family":"Hawkins","given":"Ed"},{"family":"Hermans","given":"Tim"},{"family":"Kopp","given":"Robert"},{"family":"Leprince-Ringuet","given":"Noëmie"},{"family":"Lewis","given":"Jared"},{"family":"Ley","given":"Debora"},{"family":"Ludden","given":"Chloé"},{"family":"Niamir","given":"Leila"},{"family":"Nicholls","given":"Zebedee"},{"family":"Some","given":"Shreya"},{"family":"Szopa","given":"Sophie"},{"family":"Trewin","given":"Blair"},{"family":"Van Der Wijst","given":"Kaj-Ivar"},{"family":"Winter","given":"Gundula"},{"family":"Witting","given":"Maximilian"},{"family":"Birt","given":"Arlene"},{"family":"Ha","given":"Meeyoung"}],"editor":[{"family":"Arias","given":"Paola"},{"family":"Bustamante","given":"Mercedes"},{"family":"Elgizouli","given":"Ismail"},{"family":"Flato","given":"Gregory"},{"family":"Howden","given":"Mark"},{"family":"Méndez-Vallejo","given":"Carlos"},{"family":"Pereira","given":"Joy Jacqueline"},{"family":"Pichs-Madruga","given":"Ramón"},{"family":"Rose","given":"Steven K."},{"family":"Saheb","given":"Yamina"},{"family":"Sánchez Rodríguez","given":"Roberto"},{"family":"Ürge-Vorsatz","given":"Diana"},{"family":"Xiao","given":"Cunde"},{"family":"Yassaa","given":"Noureddine"},{"family":"Romero","given":"José"},{"family":"Kim","given":"Jinmi"},{"family":"Haites","given":"Erik F."},{"family":"Jung","given":"Yonghun"},{"family":"Stavins","given":"Robert"},{"family":"Birt","given":"Arlene"},{"family":"Ha","given":"Meeyoung"},{"family":"Orendain","given":"Dan Jezreel A."},{"family":"Ignon","given":"Lance"},{"family":"Park","given":"Semin"},{"family":"Park","given":"Youngin"},{"family":"Reisinger","given":"Andy"},{"family":"Cammaramo","given":"Diego"},{"family":"Fischlin","given":"Andreas"},{"family":"Fuglestvedt","given":"Jan S."},{"family":"Hansen","given":"Gerrit"},{"family":"Ludden","given":"Chloé"},{"family":"Masson-Delmotte","given":"Valérie"},{"family":"Matthews","given":"J.B. Robin"},{"family":"Mintenbeck","given":"Katja"},{"family":"Pirani","given":"Anna"},{"family":"Poloczanska","given":"Elvira"},{"family":"Leprince-Ringuet","given":"Noëmie"},{"family":"Péan","given":"Clotilde"}],"accessed":{"date-parts":[["2026",5,10]]},"issued":{"date-parts":[["2023",7,25]]}}}],"schema":"https://github.com/citation-style-language/schema/raw/master/csl-citation.json"} </w:instrText>
      </w:r>
      <w:r>
        <w:rPr>
          <w:szCs w:val="24"/>
        </w:rPr>
        <w:fldChar w:fldCharType="separate"/>
      </w:r>
      <w:r w:rsidRPr="00380693">
        <w:t>[11]</w:t>
      </w:r>
      <w:r>
        <w:rPr>
          <w:szCs w:val="24"/>
        </w:rPr>
        <w:fldChar w:fldCharType="end"/>
      </w:r>
      <w:r>
        <w:rPr>
          <w:color w:val="auto"/>
        </w:rPr>
        <w:t xml:space="preserve">. </w:t>
      </w:r>
      <w:r w:rsidRPr="00ED0153">
        <w:rPr>
          <w:color w:val="auto"/>
        </w:rPr>
        <w:t>Major technology firms such as Google, Microsoft, and Meta have all committed to running 24/7 carbon-free energy (CFE) operations by 2030, a criterion that includes matching all hours of electricity use with clean generation, not accounting for it on an annual basis using renewable electricity certificates (RECs)</w:t>
      </w:r>
      <w:r>
        <w:rPr>
          <w:color w:val="auto"/>
        </w:rPr>
        <w:fldChar w:fldCharType="begin"/>
      </w:r>
      <w:r>
        <w:rPr>
          <w:color w:val="auto"/>
        </w:rPr>
        <w:instrText xml:space="preserve"> ADDIN ZOTERO_ITEM CSL_CITATION {"citationID":"RLy1z3N4","properties":{"formattedCitation":"[12]","plainCitation":"[12]","noteIndex":0},"citationItems":[{"id":1918,"uris":["http://zotero.org/users/9870935/items/RYFNBGUU"],"itemData":{"id":1918,"type":"post-weblog","title":"Driving sustainable innovation for society","URL":"https://datacenters.google/operating-sustainably/"}}],"schema":"https://github.com/citation-style-language/schema/raw/master/csl-citation.json"} </w:instrText>
      </w:r>
      <w:r>
        <w:rPr>
          <w:color w:val="auto"/>
        </w:rPr>
        <w:fldChar w:fldCharType="separate"/>
      </w:r>
      <w:r w:rsidRPr="00A13CFF">
        <w:t>[12]</w:t>
      </w:r>
      <w:r>
        <w:rPr>
          <w:color w:val="auto"/>
        </w:rPr>
        <w:fldChar w:fldCharType="end"/>
      </w:r>
      <w:r w:rsidRPr="00ED0153">
        <w:rPr>
          <w:color w:val="auto"/>
        </w:rPr>
        <w:t>.</w:t>
      </w:r>
    </w:p>
    <w:p w14:paraId="2508C021" w14:textId="7F6122A5" w:rsidR="00FE013C" w:rsidRPr="00ED0153" w:rsidRDefault="00FE013C" w:rsidP="00E41B2F">
      <w:pPr>
        <w:pStyle w:val="Text"/>
        <w:rPr>
          <w:color w:val="auto"/>
        </w:rPr>
      </w:pPr>
      <w:r w:rsidRPr="00ED0153">
        <w:rPr>
          <w:color w:val="auto"/>
        </w:rPr>
        <w:t xml:space="preserve">The price curve of renewable energy technologies has reshaped the way data </w:t>
      </w:r>
      <w:r w:rsidR="00232D2E" w:rsidRPr="00ED0153">
        <w:rPr>
          <w:color w:val="auto"/>
        </w:rPr>
        <w:t>centers</w:t>
      </w:r>
      <w:r w:rsidRPr="00ED0153">
        <w:rPr>
          <w:color w:val="auto"/>
        </w:rPr>
        <w:t xml:space="preserve"> purchase power. PV module prices have dropped by more than 90</w:t>
      </w:r>
      <w:r>
        <w:rPr>
          <w:color w:val="auto"/>
        </w:rPr>
        <w:t xml:space="preserve">% </w:t>
      </w:r>
      <w:r w:rsidRPr="00ED0153">
        <w:rPr>
          <w:color w:val="auto"/>
        </w:rPr>
        <w:t>since 2010, to approximately $0.15 to $0.25 per watt for commercial-grade modules in 2024, and PV system costs for ground-mounted utility-scale systems are approximately $0.75 to $1.40 per watt</w:t>
      </w:r>
      <w:r>
        <w:rPr>
          <w:color w:val="auto"/>
        </w:rPr>
        <w:fldChar w:fldCharType="begin"/>
      </w:r>
      <w:r>
        <w:rPr>
          <w:color w:val="auto"/>
        </w:rPr>
        <w:instrText xml:space="preserve"> ADDIN ZOTERO_ITEM CSL_CITATION {"citationID":"1RHMHOqW","properties":{"formattedCitation":"[13], [14]","plainCitation":"[13], [14]","noteIndex":0},"citationItems":[{"id":1920,"uris":["http://zotero.org/users/9870935/items/859TF279"],"itemData":{"id":1920,"type":"report","DOI":"10.2172/2376145","language":"en","number":"NREL/PR--7A40-90042, 2376145, MainId:91820","page":"NREL/PR--7A40-90042, 2376145, MainId:91820","source":"DOI.org (Crossref)","title":"Spring 2024 Solar Industry Update","URL":"https://www.osti.gov/servlets/purl/2376145/","author":[{"family":"Feldman","given":"David"},{"family":"Zuboy","given":"Jarett"},{"family":"Dummit","given":"Krysta"},{"family":"Stright","given":"Dana"},{"family":"Heine","given":"Matthew"},{"family":"Grossman","given":"Shayna"},{"family":"Margolis","given":"Robert"}],"accessed":{"date-parts":[["2026",5,10]]},"issued":{"date-parts":[["2024",5,14]]}}},{"id":1922,"uris":["http://zotero.org/users/9870935/items/MRZVWECC"],"itemData":{"id":1922,"type":"article-journal","language":"en","source":"Zotero","title":"Renewable power generation costs in 2023","URL":"https://www.irena.org/-/media/Files/IRENA/Agency/Publication/2024/Sep/IRENA_Renewable_power_generation_costs_in_2023.pdf","author":[{"literal":"IRENA"}]}}],"schema":"https://github.com/citation-style-language/schema/raw/master/csl-citation.json"} </w:instrText>
      </w:r>
      <w:r>
        <w:rPr>
          <w:color w:val="auto"/>
        </w:rPr>
        <w:fldChar w:fldCharType="separate"/>
      </w:r>
      <w:r w:rsidRPr="00665F0B">
        <w:t>[13], [14]</w:t>
      </w:r>
      <w:r>
        <w:rPr>
          <w:color w:val="auto"/>
        </w:rPr>
        <w:fldChar w:fldCharType="end"/>
      </w:r>
      <w:r w:rsidRPr="00ED0153">
        <w:rPr>
          <w:color w:val="auto"/>
        </w:rPr>
        <w:t>. Onshore wind has also performed well, with capacity factors in the range of 25%–40</w:t>
      </w:r>
      <w:r>
        <w:rPr>
          <w:color w:val="auto"/>
        </w:rPr>
        <w:t xml:space="preserve">% </w:t>
      </w:r>
      <w:r w:rsidRPr="00ED0153">
        <w:rPr>
          <w:color w:val="auto"/>
        </w:rPr>
        <w:t xml:space="preserve">and </w:t>
      </w:r>
      <w:r>
        <w:rPr>
          <w:color w:val="auto"/>
        </w:rPr>
        <w:t>Levelized Cost of Energy (</w:t>
      </w:r>
      <w:r w:rsidRPr="00ED0153">
        <w:rPr>
          <w:color w:val="auto"/>
        </w:rPr>
        <w:t>LCOE</w:t>
      </w:r>
      <w:r>
        <w:rPr>
          <w:color w:val="auto"/>
        </w:rPr>
        <w:t>)</w:t>
      </w:r>
      <w:r w:rsidRPr="00ED0153">
        <w:rPr>
          <w:color w:val="auto"/>
        </w:rPr>
        <w:t xml:space="preserve"> in the range of $25 to $45 per MWh, placing onshore wind among the most cost-competitive electricity generation technologies worldwide </w:t>
      </w:r>
      <w:r>
        <w:rPr>
          <w:color w:val="auto"/>
        </w:rPr>
        <w:fldChar w:fldCharType="begin"/>
      </w:r>
      <w:r>
        <w:rPr>
          <w:color w:val="auto"/>
        </w:rPr>
        <w:instrText xml:space="preserve"> ADDIN ZOTERO_ITEM CSL_CITATION {"citationID":"ViEJMM5V","properties":{"formattedCitation":"[15], [16]","plainCitation":"[15], [16]","noteIndex":0},"citationItems":[{"id":1892,"uris":["http://zotero.org/users/9870935/items/FF7QIGXZ"],"itemData":{"id":1892,"type":"post-weblog","title":"Wind","URL":"https://www.iea.org/energy-system/renewables/wind","author":[{"family":"IEA","given":""}],"accessed":{"date-parts":[["2025",2,25]]},"issued":{"date-parts":[["2025",2,25]]}}},{"id":1925,"uris":["http://zotero.org/users/9870935/items/ZT343IZI"],"itemData":{"id":1925,"type":"article-journal","language":"en","source":"Zotero","title":"Renewable power generation costs in 2024","URL":"https://www.rinnovabili.it/wp-content/uploads/2025/07/IRENA-RENEWABLE-POWER-GENERATION-COSTS-IN-2024.pdf"}}],"schema":"https://github.com/citation-style-language/schema/raw/master/csl-citation.json"} </w:instrText>
      </w:r>
      <w:r>
        <w:rPr>
          <w:color w:val="auto"/>
        </w:rPr>
        <w:fldChar w:fldCharType="separate"/>
      </w:r>
      <w:r w:rsidRPr="003F5F56">
        <w:t>[15], [16]</w:t>
      </w:r>
      <w:r>
        <w:rPr>
          <w:color w:val="auto"/>
        </w:rPr>
        <w:fldChar w:fldCharType="end"/>
      </w:r>
      <w:r w:rsidRPr="00ED0153">
        <w:rPr>
          <w:color w:val="auto"/>
        </w:rPr>
        <w:t xml:space="preserve">. </w:t>
      </w:r>
      <w:r w:rsidR="00EC4C43" w:rsidRPr="001C37FA">
        <w:rPr>
          <w:color w:val="auto"/>
          <w:highlight w:val="yellow"/>
          <w:lang w:val="en-CA"/>
        </w:rPr>
        <w:t>Bloomberg New Energy Finance (BNEF) reported that the volume-weighted average lithium-ion battery-pack price declined from approximately USD 300/kWh in 2020 to USD 108/kWh in 2025 [17]. This value represents the battery pack only and does not include the additional costs associated with power-conversion equipment, thermal management, controls, engineering, procurement, construction, and grid integration required for a complete battery energy storage system</w:t>
      </w:r>
      <w:r w:rsidRPr="001C37FA">
        <w:rPr>
          <w:color w:val="auto"/>
          <w:highlight w:val="yellow"/>
        </w:rPr>
        <w:fldChar w:fldCharType="begin"/>
      </w:r>
      <w:r w:rsidRPr="001C37FA">
        <w:rPr>
          <w:color w:val="auto"/>
          <w:highlight w:val="yellow"/>
        </w:rPr>
        <w:instrText xml:space="preserve"> ADDIN ZOTERO_ITEM CSL_CITATION {"citationID":"m55nU3hq","properties":{"formattedCitation":"[17]","plainCitation":"[17]","noteIndex":0},"citationItems":[{"id":1923,"uris":["http://zotero.org/users/9870935/items/K5N743Z5"],"itemData":{"id":1923,"type":"post-weblog","title":"BNEF: Lithium-ion battery pack prices fall to $108/kWh, stationary storage becomes lowest price segment","URL":"https://www.ess-news.com/2025/12/09/bnef-lithium-ion-battery-pack-prices-fall-to-108-kwh-stationary-storage-becomes-lowest-price-segment/","author":[{"family":"BNEF","given":""}],"accessed":{"date-parts":[["2025",12,9]]}}}],"schema":"https://github.com/citation-style-language/schema/raw/master/csl-citation.json"} </w:instrText>
      </w:r>
      <w:r w:rsidRPr="001C37FA">
        <w:rPr>
          <w:color w:val="auto"/>
          <w:highlight w:val="yellow"/>
        </w:rPr>
        <w:fldChar w:fldCharType="separate"/>
      </w:r>
      <w:r w:rsidRPr="001C37FA">
        <w:rPr>
          <w:highlight w:val="yellow"/>
        </w:rPr>
        <w:t>[17]</w:t>
      </w:r>
      <w:r w:rsidRPr="001C37FA">
        <w:rPr>
          <w:color w:val="auto"/>
          <w:highlight w:val="yellow"/>
        </w:rPr>
        <w:fldChar w:fldCharType="end"/>
      </w:r>
      <w:r w:rsidRPr="001C37FA">
        <w:rPr>
          <w:color w:val="auto"/>
          <w:highlight w:val="yellow"/>
        </w:rPr>
        <w:t>.</w:t>
      </w:r>
    </w:p>
    <w:p w14:paraId="5BBF88C1" w14:textId="77777777" w:rsidR="00FE013C" w:rsidRDefault="00FE013C" w:rsidP="004C16FF">
      <w:pPr>
        <w:pStyle w:val="Text"/>
        <w:rPr>
          <w:color w:val="auto"/>
        </w:rPr>
      </w:pPr>
      <w:r w:rsidRPr="00ED0153">
        <w:rPr>
          <w:color w:val="auto"/>
        </w:rPr>
        <w:t xml:space="preserve">Advances in inverter technology, grid-forming control algorithms, and advanced energy management systems </w:t>
      </w:r>
      <w:r w:rsidRPr="0039462A">
        <w:rPr>
          <w:color w:val="auto"/>
        </w:rPr>
        <w:t>have substantially strengthened the technical feasibility of high-penetration renewable energy integration</w:t>
      </w:r>
      <w:r w:rsidRPr="00ED0153">
        <w:rPr>
          <w:color w:val="auto"/>
        </w:rPr>
        <w:t xml:space="preserve">. Nonetheless, non-synchronous generator grid-forming inverters can now offer synthetic inertia, voltage, and frequency regulation functions previously available only from synchronous generators, allowing for an increased penetration level of </w:t>
      </w:r>
      <w:r>
        <w:rPr>
          <w:color w:val="auto"/>
        </w:rPr>
        <w:t>Variable Renewable Energy (VRE)</w:t>
      </w:r>
      <w:r w:rsidRPr="00ED0153">
        <w:rPr>
          <w:color w:val="auto"/>
        </w:rPr>
        <w:t xml:space="preserve"> to ensure grid stability without compromising the inherent benefits of VRE</w:t>
      </w:r>
      <w:r>
        <w:rPr>
          <w:color w:val="auto"/>
        </w:rPr>
        <w:fldChar w:fldCharType="begin"/>
      </w:r>
      <w:r>
        <w:rPr>
          <w:color w:val="auto"/>
        </w:rPr>
        <w:instrText xml:space="preserve"> ADDIN ZOTERO_ITEM CSL_CITATION {"citationID":"6SsBicdT","properties":{"formattedCitation":"[18]","plainCitation":"[18]","noteIndex":0},"citationItems":[{"id":1927,"uris":["http://zotero.org/users/9870935/items/PZK7R79L"],"itemData":{"id":1927,"type":"article-journal","abstract":"The penetration of distributed energy resources in electrical grids has been steadily increasing in an effort to reduce greenhouse gas emissions. Inverters, as interfaces between distributed energy resources and grids, have become critical assets in modern power systems. In recent years, the development and application of grid-forming inverters have gained significant traction due to their capability of supporting power grid operations. A comprehensive review of grid-forming inverters is presented for power system applications. A comparison between grid-forming inverters and grid-following inverters is conducted in terms of their functionalities to highlight the potential of grid-forming inverter technologies in support of power system stability and resiliency. In addition, advanced control strategies integrated into grid-forming inverters under various operation conditions are presented through reviewing the innovations introduced in recent literature and in industrial applications. This paper is intended to provide an updated reference regarding grid-forming inverters for power system applications to researchers and practitioners in the field of power electronics.","container-title":"Chinese Journal of Electrical Engineering","DOI":"10.23919/CJEE.2022.000001","ISSN":"2096-1529","issue":"1","journalAbbreviation":"Chin. J. Electr. Eng.","language":"en","page":"1-15","source":"DOI.org (Crossref)","title":"Review of Grid-forming Inverters in Support of Power System Operation","volume":"8","author":[{"family":"Song","given":"Guanhong"},{"family":"Cao","given":"Bo"},{"family":"Chang","given":"Liuchen"}],"issued":{"date-parts":[["2022",3]]}}}],"schema":"https://github.com/citation-style-language/schema/raw/master/csl-citation.json"} </w:instrText>
      </w:r>
      <w:r>
        <w:rPr>
          <w:color w:val="auto"/>
        </w:rPr>
        <w:fldChar w:fldCharType="separate"/>
      </w:r>
      <w:r w:rsidRPr="002272B2">
        <w:t>[18]</w:t>
      </w:r>
      <w:r>
        <w:rPr>
          <w:color w:val="auto"/>
        </w:rPr>
        <w:fldChar w:fldCharType="end"/>
      </w:r>
      <w:r w:rsidRPr="00ED0153">
        <w:rPr>
          <w:color w:val="auto"/>
        </w:rPr>
        <w:t xml:space="preserve">. Simultaneously, the rise and development of advanced load management strategies, such as AI workload scheduling and demand response participation, offer new tools for managing loads and demands in real time </w:t>
      </w:r>
      <w:r>
        <w:rPr>
          <w:color w:val="auto"/>
        </w:rPr>
        <w:fldChar w:fldCharType="begin"/>
      </w:r>
      <w:r>
        <w:rPr>
          <w:color w:val="auto"/>
        </w:rPr>
        <w:instrText xml:space="preserve"> ADDIN ZOTERO_ITEM CSL_CITATION {"citationID":"ooxH8Xz9","properties":{"formattedCitation":"[19]","plainCitation":"[19]","noteIndex":0},"citationItems":[{"id":1928,"uris":["http://zotero.org/users/9870935/items/S33CS4FH"],"itemData":{"id":1928,"type":"article-journal","container-title":"Renewable and Sustainable Energy Reviews","DOI":"10.1016/j.rser.2021.111787","ISSN":"13640321","journalAbbreviation":"Renewable and Sustainable Energy Reviews","language":"en","page":"111787","source":"DOI.org (Crossref)","title":"A survey of challenges and solutions for the integration of renewable energy in datacenters","volume":"155","author":[{"family":"Rostirolla","given":"G."},{"family":"Grange","given":"L."},{"family":"Minh-Thuyen","given":"T."},{"family":"Stolf","given":"P."},{"family":"Pierson","given":"J.M."},{"family":"Da Costa","given":"G."},{"family":"Baudic","given":"G."},{"family":"Haddad","given":"M."},{"family":"Kassab","given":"A."},{"family":"Nicod","given":"J.M."},{"family":"Philippe","given":"L."},{"family":"Rehn-Sonigo","given":"V."},{"family":"Roche","given":"R."},{"family":"Celik","given":"B."},{"family":"Caux","given":"S."},{"family":"Lecuivre","given":"J."}],"issued":{"date-parts":[["2022",3]]}}}],"schema":"https://github.com/citation-style-language/schema/raw/master/csl-citation.json"} </w:instrText>
      </w:r>
      <w:r>
        <w:rPr>
          <w:color w:val="auto"/>
        </w:rPr>
        <w:fldChar w:fldCharType="separate"/>
      </w:r>
      <w:r w:rsidRPr="00624913">
        <w:t>[19]</w:t>
      </w:r>
      <w:r>
        <w:rPr>
          <w:color w:val="auto"/>
        </w:rPr>
        <w:fldChar w:fldCharType="end"/>
      </w:r>
      <w:r w:rsidRPr="00ED0153">
        <w:rPr>
          <w:color w:val="auto"/>
        </w:rPr>
        <w:t>.</w:t>
      </w:r>
    </w:p>
    <w:p w14:paraId="39C34F63" w14:textId="77777777" w:rsidR="009153F7" w:rsidRPr="009153F7" w:rsidRDefault="009153F7" w:rsidP="009153F7">
      <w:pPr>
        <w:pStyle w:val="Text"/>
        <w:rPr>
          <w:color w:val="auto"/>
        </w:rPr>
      </w:pPr>
      <w:r w:rsidRPr="009153F7">
        <w:rPr>
          <w:color w:val="auto"/>
        </w:rPr>
        <w:t>Despite these advances, implementation remains constrained by interconnection delays, resource variability, power-quality requirements, storage costs, workload limitations, and project-specific regulatory conditions. The framework developed in this review organizes these technical, economic, and operational considerations into a structured decision process. It is intended to support project evaluation rather than to claim universal reductions in cost, storage capacity, or interconnection time.</w:t>
      </w:r>
    </w:p>
    <w:p w14:paraId="1759E4D0" w14:textId="77777777" w:rsidR="00FE013C" w:rsidRPr="009E3649" w:rsidRDefault="00FE013C" w:rsidP="004C16FF">
      <w:pPr>
        <w:pStyle w:val="Heading20"/>
        <w:jc w:val="both"/>
        <w:rPr>
          <w:color w:val="auto"/>
          <w:lang w:val="en-CA"/>
        </w:rPr>
      </w:pPr>
      <w:r w:rsidRPr="00962BDF">
        <w:rPr>
          <w:color w:val="auto"/>
          <w:lang w:val="en-CA"/>
        </w:rPr>
        <w:t>1.</w:t>
      </w:r>
      <w:r>
        <w:rPr>
          <w:color w:val="auto"/>
          <w:lang w:val="en-CA"/>
        </w:rPr>
        <w:t>3</w:t>
      </w:r>
      <w:r w:rsidRPr="00962BDF">
        <w:rPr>
          <w:color w:val="auto"/>
          <w:lang w:val="en-CA"/>
        </w:rPr>
        <w:t xml:space="preserve">. </w:t>
      </w:r>
      <w:r>
        <w:rPr>
          <w:color w:val="auto"/>
          <w:lang w:val="en-CA"/>
        </w:rPr>
        <w:t>Core Challenges in Renewable Integration</w:t>
      </w:r>
    </w:p>
    <w:p w14:paraId="6EABBE6D" w14:textId="3163A9FC" w:rsidR="00FE013C" w:rsidRPr="009E3649" w:rsidRDefault="00FE013C" w:rsidP="004C16FF">
      <w:pPr>
        <w:pStyle w:val="Text"/>
        <w:rPr>
          <w:color w:val="auto"/>
        </w:rPr>
      </w:pPr>
      <w:r>
        <w:rPr>
          <w:szCs w:val="24"/>
        </w:rPr>
        <w:t xml:space="preserve">Despite </w:t>
      </w:r>
      <w:r w:rsidR="00232D2E">
        <w:rPr>
          <w:szCs w:val="24"/>
        </w:rPr>
        <w:t>favorable</w:t>
      </w:r>
      <w:r>
        <w:rPr>
          <w:szCs w:val="24"/>
        </w:rPr>
        <w:t xml:space="preserve"> economic and technological trends, significant challenges remain in achieving reliable, renewable-powered data </w:t>
      </w:r>
      <w:r w:rsidR="00232D2E">
        <w:rPr>
          <w:szCs w:val="24"/>
        </w:rPr>
        <w:t>center</w:t>
      </w:r>
      <w:r>
        <w:rPr>
          <w:szCs w:val="24"/>
        </w:rPr>
        <w:t xml:space="preserve"> operations</w:t>
      </w:r>
      <w:r w:rsidRPr="009E3649">
        <w:rPr>
          <w:color w:val="auto"/>
        </w:rPr>
        <w:t>. Solar and wind generation have inherent intermittency, which makes it difficult to match the supply and demand at the transmission level. Managing this mismatch requires energy storage, demand flexibility, and expansion of the grid</w:t>
      </w:r>
      <w:r>
        <w:rPr>
          <w:color w:val="auto"/>
        </w:rPr>
        <w:fldChar w:fldCharType="begin"/>
      </w:r>
      <w:r>
        <w:rPr>
          <w:color w:val="auto"/>
        </w:rPr>
        <w:instrText xml:space="preserve"> ADDIN ZOTERO_ITEM CSL_CITATION {"citationID":"1FDqwgbX","properties":{"formattedCitation":"[20]","plainCitation":"[20]","noteIndex":0},"citationItems":[{"id":1929,"uris":["http://zotero.org/users/9870935/items/E595FMYI"],"itemData":{"id":1929,"type":"article-journal","container-title":"Renewable Energy","DOI":"10.1016/j.renene.2022.10.060","ISSN":"09601481","journalAbbreviation":"Renewable Energy","language":"en","page":"111-123","source":"DOI.org (Crossref)","title":"Temporal complementarity and value of wind-PV hybrid systems across the United States","volume":"201","author":[{"family":"Harrison-Atlas","given":"Dylan"},{"family":"Murphy","given":"Caitlin"},{"family":"Schleifer","given":"Anna"},{"family":"Grue","given":"Nicholas"}],"issued":{"date-parts":[["2022",12]]}}}],"schema":"https://github.com/citation-style-language/schema/raw/master/csl-citation.json"} </w:instrText>
      </w:r>
      <w:r>
        <w:rPr>
          <w:color w:val="auto"/>
        </w:rPr>
        <w:fldChar w:fldCharType="separate"/>
      </w:r>
      <w:r w:rsidRPr="00465E05">
        <w:t>[20]</w:t>
      </w:r>
      <w:r>
        <w:rPr>
          <w:color w:val="auto"/>
        </w:rPr>
        <w:fldChar w:fldCharType="end"/>
      </w:r>
      <w:r w:rsidRPr="009E3649">
        <w:rPr>
          <w:color w:val="auto"/>
        </w:rPr>
        <w:t xml:space="preserve">. </w:t>
      </w:r>
      <w:r w:rsidRPr="009E3649">
        <w:rPr>
          <w:color w:val="auto"/>
        </w:rPr>
        <w:lastRenderedPageBreak/>
        <w:t>Rapid variations in solar power due to cloud cover can mean that it drops by 60–90</w:t>
      </w:r>
      <w:r>
        <w:rPr>
          <w:color w:val="auto"/>
        </w:rPr>
        <w:t xml:space="preserve">% </w:t>
      </w:r>
      <w:r w:rsidRPr="009E3649">
        <w:rPr>
          <w:color w:val="auto"/>
        </w:rPr>
        <w:t>in a few minutes; similarly, hourly changes in wind generation could be 30–50</w:t>
      </w:r>
      <w:r>
        <w:rPr>
          <w:color w:val="auto"/>
        </w:rPr>
        <w:t xml:space="preserve">% </w:t>
      </w:r>
      <w:r w:rsidRPr="009E3649">
        <w:rPr>
          <w:color w:val="auto"/>
        </w:rPr>
        <w:t>without wind interruptions</w:t>
      </w:r>
      <w:r>
        <w:rPr>
          <w:color w:val="auto"/>
        </w:rPr>
        <w:fldChar w:fldCharType="begin"/>
      </w:r>
      <w:r>
        <w:rPr>
          <w:color w:val="auto"/>
        </w:rPr>
        <w:instrText xml:space="preserve"> ADDIN ZOTERO_ITEM CSL_CITATION {"citationID":"rCqKCj7x","properties":{"formattedCitation":"[21]","plainCitation":"[21]","noteIndex":0},"citationItems":[{"id":1930,"uris":["http://zotero.org/users/9870935/items/C89D8944"],"itemData":{"id":1930,"type":"article-journal","abstract":"Abstract\n            \n              The inherent intermittency of solar power due to diurnal and seasonal cycles has usually resulted in the need for alternative generation sources thereby increasing system operation costs. However, when solar power is spread over a large geographical area with significant time differences, the  intermittency can be significantly reduced and also the electricity market balancing cost. The aim of this article is to address the fundamental scientific question on how the intermittency of solar power generation is affected by aggregation, which is of great interest in the wider power and energy community and would have profound impacts on the solar energy integration into the energy supply and Net-Zero Implementation. This article goes beyond the typical regional analysis by investigating solar power intermittency at 5 aggregation levels from a global perspective based on global 7 year hourly meteorological re-analysis data with a fine spatial resolution of\n              \n                \n                  $${0.25}^{\\circ }\\times {0.25}^{\\circ } (\\sim 28 \\; \\mathrm{km} \\times 28 \\; \\mathrm{km})$$\n                  \n                    \n                      \n                        \n                          0.25\n                        \n                        </w:instrText>
      </w:r>
      <w:r>
        <w:rPr>
          <w:rFonts w:ascii="Cambria Math" w:hAnsi="Cambria Math" w:cs="Cambria Math"/>
          <w:color w:val="auto"/>
        </w:rPr>
        <w:instrText>∘</w:instrText>
      </w:r>
      <w:r>
        <w:rPr>
          <w:color w:val="auto"/>
        </w:rPr>
        <w:instrText xml:space="preserve">\n                      \n                      ×\n                      \n                        \n                          0.25\n                        \n                        </w:instrText>
      </w:r>
      <w:r>
        <w:rPr>
          <w:rFonts w:ascii="Cambria Math" w:hAnsi="Cambria Math" w:cs="Cambria Math"/>
          <w:color w:val="auto"/>
        </w:rPr>
        <w:instrText>∘</w:instrText>
      </w:r>
      <w:r>
        <w:rPr>
          <w:color w:val="auto"/>
        </w:rPr>
        <w:instrText xml:space="preserve">\n                      \n                      \n                        (\n                        </w:instrText>
      </w:r>
      <w:r>
        <w:rPr>
          <w:rFonts w:ascii="Cambria Math" w:hAnsi="Cambria Math" w:cs="Cambria Math"/>
          <w:color w:val="auto"/>
        </w:rPr>
        <w:instrText>∼</w:instrText>
      </w:r>
      <w:r>
        <w:rPr>
          <w:color w:val="auto"/>
        </w:rPr>
        <w:instrText xml:space="preserve">\n                        28\n                        \n                        km\n                        ×\n                        28\n                        \n                        km\n                        )\n                      \n                    \n                  \n                \n              \n              . In the proposed assessment framework, a coefficient of variation (CV) is used to quantify solar power intermittency and hence characterize the potential benefits of wide area solar power aggregation. A duration curve is used to characterize the intermittency in terms of power availability and a probability density function is further employed to investigate the dispersion and scaling behavior of CV at different aggregation levels. The findings indicate that the CV of solar power generation of ‘Inner Mongolia’ in China drops from 129.65 to 105.65% in the level of ‘Asia’ (by 24% decrease), to 56.11% in ‘Asia-North_America’ (by 73.54% decrease) and to the smallest 43.50% in ‘Global’ (by 86.15% decrease), nearly 3.5 times of that in ‘Asia’; (b) the availability of solar power generation increases from 52.17% in Germany, to 73.30% in ‘Europe_EU_plus’, to 77.82% in ‘Europe’, to 98.59% in ‘Europe-North_America’ (80.60% in ‘Europe-Africa’, 96.90% in ‘Europe-Asia’), to 100% in ‘Global’. Finally, conclusions and recommendations are provided to support a Net-Zero strategy.","container-title":"Scientific Reports","DOI":"10.1038/s41598-022-05247-2","ISSN":"2045-2322","issue":"1","journalAbbreviation":"Sci Rep","language":"en","page":"1363","source":"DOI.org (Crossref)","title":"Solar power generation intermittency and aggregation","volume":"12","author":[{"family":"Wu","given":"Cong"},{"family":"Zhang","given":"Xiao-Ping"},{"family":"Sterling","given":"Michael"}],"issued":{"date-parts":[["2022",1,25]]}}}],"schema":"https://github.com/citation-style-language/schema/raw/master/csl-citation.json"} </w:instrText>
      </w:r>
      <w:r>
        <w:rPr>
          <w:color w:val="auto"/>
        </w:rPr>
        <w:fldChar w:fldCharType="separate"/>
      </w:r>
      <w:r w:rsidRPr="00266ECA">
        <w:t>[21]</w:t>
      </w:r>
      <w:r>
        <w:rPr>
          <w:color w:val="auto"/>
        </w:rPr>
        <w:fldChar w:fldCharType="end"/>
      </w:r>
      <w:r w:rsidRPr="009E3649">
        <w:rPr>
          <w:color w:val="auto"/>
        </w:rPr>
        <w:t>.</w:t>
      </w:r>
      <w:r>
        <w:rPr>
          <w:color w:val="auto"/>
        </w:rPr>
        <w:t xml:space="preserve"> </w:t>
      </w:r>
      <w:r w:rsidRPr="009E3649">
        <w:rPr>
          <w:color w:val="auto"/>
        </w:rPr>
        <w:t>These variability patterns require storage systems to span gaps of hours, depending on the resource profile and load requirements.</w:t>
      </w:r>
    </w:p>
    <w:p w14:paraId="4DB544A6" w14:textId="290BDDDC" w:rsidR="00FE013C" w:rsidRDefault="00FE013C" w:rsidP="004C16FF">
      <w:pPr>
        <w:spacing w:after="120"/>
        <w:ind w:firstLine="480"/>
      </w:pPr>
      <w:r w:rsidRPr="009E3649">
        <w:rPr>
          <w:color w:val="auto"/>
        </w:rPr>
        <w:t xml:space="preserve">Another key issue is </w:t>
      </w:r>
      <w:r w:rsidR="00232D2E" w:rsidRPr="009E3649">
        <w:rPr>
          <w:color w:val="auto"/>
        </w:rPr>
        <w:t>power</w:t>
      </w:r>
      <w:r w:rsidRPr="009E3649">
        <w:rPr>
          <w:color w:val="auto"/>
        </w:rPr>
        <w:t xml:space="preserve"> quality. High harmonic distortion is produced by data </w:t>
      </w:r>
      <w:r w:rsidR="00232D2E" w:rsidRPr="009E3649">
        <w:rPr>
          <w:color w:val="auto"/>
        </w:rPr>
        <w:t>center</w:t>
      </w:r>
      <w:r w:rsidRPr="009E3649">
        <w:rPr>
          <w:color w:val="auto"/>
        </w:rPr>
        <w:t xml:space="preserve"> loads, especially computing loads employing switched-mode power supplies (SMPS). The number of modern nonlinear loads, such as the variable frequency drive (VFD) for cooling systems and LED lights, adds to the total harmonic distortion (THD), which should not exceed 5</w:t>
      </w:r>
      <w:r>
        <w:rPr>
          <w:color w:val="auto"/>
        </w:rPr>
        <w:t xml:space="preserve">% </w:t>
      </w:r>
      <w:r w:rsidRPr="009E3649">
        <w:rPr>
          <w:color w:val="auto"/>
        </w:rPr>
        <w:t>based on IEEE 519 standards</w:t>
      </w:r>
      <w:r>
        <w:rPr>
          <w:color w:val="auto"/>
        </w:rPr>
        <w:fldChar w:fldCharType="begin"/>
      </w:r>
      <w:r>
        <w:rPr>
          <w:color w:val="auto"/>
        </w:rPr>
        <w:instrText xml:space="preserve"> ADDIN ZOTERO_ITEM CSL_CITATION {"citationID":"2jvlTvRp","properties":{"formattedCitation":"[22]","plainCitation":"[22]","noteIndex":0},"citationItems":[{"id":1944,"uris":["http://zotero.org/users/9870935/items/XZS2JQRQ"],"itemData":{"id":1944,"type":"standard","DOI":"10.1109/IEEESTD.2022.9848440","ISBN":"978-1-5044-8727-6","license":"https://doi.org/10.15223/policy-029","publisher":"IEEE","source":"DOI.org (Crossref)","title":"IEEE Standard for Harmonic Control in Electric Power Systems","URL":"https://ieeexplore.ieee.org/document/9848440/","accessed":{"date-parts":[["2026",5,10]]}}}],"schema":"https://github.com/citation-style-language/schema/raw/master/csl-citation.json"} </w:instrText>
      </w:r>
      <w:r>
        <w:rPr>
          <w:color w:val="auto"/>
        </w:rPr>
        <w:fldChar w:fldCharType="separate"/>
      </w:r>
      <w:r w:rsidRPr="006C04AA">
        <w:t>[22]</w:t>
      </w:r>
      <w:r>
        <w:rPr>
          <w:color w:val="auto"/>
        </w:rPr>
        <w:fldChar w:fldCharType="end"/>
      </w:r>
      <w:r w:rsidRPr="009E3649">
        <w:rPr>
          <w:color w:val="auto"/>
        </w:rPr>
        <w:t xml:space="preserve">. </w:t>
      </w:r>
      <w:r>
        <w:rPr>
          <w:szCs w:val="24"/>
        </w:rPr>
        <w:t>The addition of inverter-based renewable energy sources introduces additional harmonic sources, requiring careful design of filtering and power conditioning systems to maintain compliance with power quality standards.</w:t>
      </w:r>
    </w:p>
    <w:p w14:paraId="3E176142" w14:textId="41665F4D" w:rsidR="00FE013C" w:rsidRDefault="00FE013C" w:rsidP="004C16FF">
      <w:pPr>
        <w:pStyle w:val="Text"/>
        <w:rPr>
          <w:color w:val="auto"/>
        </w:rPr>
      </w:pPr>
      <w:r w:rsidRPr="00946210">
        <w:rPr>
          <w:color w:val="auto"/>
        </w:rPr>
        <w:t>Complex grid interconnection requirements pose a major barrier to deployment. In congested regions</w:t>
      </w:r>
      <w:r w:rsidRPr="009E3649">
        <w:rPr>
          <w:color w:val="auto"/>
        </w:rPr>
        <w:t xml:space="preserve">, such as those currently experiencing queues of 3–5 years for studies with $50,000 to $500,000 and grid upgrades potentially running into the $10 million range, as is currently the case with </w:t>
      </w:r>
      <w:r>
        <w:rPr>
          <w:color w:val="auto"/>
        </w:rPr>
        <w:t>the California ISO (</w:t>
      </w:r>
      <w:r w:rsidRPr="009E3649">
        <w:rPr>
          <w:color w:val="auto"/>
        </w:rPr>
        <w:t xml:space="preserve">CAISO) and </w:t>
      </w:r>
      <w:r w:rsidRPr="00531B55">
        <w:rPr>
          <w:color w:val="auto"/>
        </w:rPr>
        <w:t xml:space="preserve">Pennsylvania-New Jersey-Maryland Interconnection </w:t>
      </w:r>
      <w:r>
        <w:rPr>
          <w:color w:val="auto"/>
        </w:rPr>
        <w:t xml:space="preserve">(PJM) </w:t>
      </w:r>
      <w:r w:rsidRPr="009E3649">
        <w:rPr>
          <w:color w:val="auto"/>
        </w:rPr>
        <w:t>in the United States</w:t>
      </w:r>
      <w:r>
        <w:rPr>
          <w:color w:val="auto"/>
        </w:rPr>
        <w:fldChar w:fldCharType="begin"/>
      </w:r>
      <w:r w:rsidR="00F77E8E">
        <w:rPr>
          <w:color w:val="auto"/>
        </w:rPr>
        <w:instrText xml:space="preserve"> ADDIN ZOTERO_ITEM CSL_CITATION {"citationID":"CVOYVTOr","properties":{"formattedCitation":"[23]","plainCitation":"[23]","noteIndex":0},"citationItems":[{"id":1946,"uris":["http://zotero.org/users/9870935/items/HLXVEVRX"],"itemData":{"id":1946,"type":"article-journal","abstract":"Data Centers and Their Energy Consumption: Frequently Asked Questions In its simplest form, a data center is a physical facility that houses and runs large computer systems. U.S. data center annual energy use in 2023 (not accounting for cryptocurrency) was approximately 176 terawatt-hours (TWh), approximately 4.4% of U.S. annual electricity consumption that year, according to a report by Lawrence Berkeley National Laboratory. A data center typically contains multiple computer servers, data storage devices, and network equipment that can provide information technology (IT) infrastructure service for organizations to store, manage, process, and transmit large amounts of data. Some projections show that data center energy consumption could double or triple by 2028, accounting for up to 12% of U.S. electricity use.","language":"en","source":"Zotero","title":"Data Centers and Their Energy Consumption: Frequently Asked Questions","URL":"https://www.congress.gov/crs_external_products/R/PDF/R48646/R48646.1.pdf","author":[{"family":"Offutt","given":"Martin C"},{"family":"Zhu","given":"Ling"}]}}],"schema":"https://github.com/citation-style-language/schema/raw/master/csl-citation.json"} </w:instrText>
      </w:r>
      <w:r>
        <w:rPr>
          <w:color w:val="auto"/>
        </w:rPr>
        <w:fldChar w:fldCharType="separate"/>
      </w:r>
      <w:r w:rsidRPr="00D233EF">
        <w:t>[23]</w:t>
      </w:r>
      <w:r>
        <w:rPr>
          <w:color w:val="auto"/>
        </w:rPr>
        <w:fldChar w:fldCharType="end"/>
      </w:r>
      <w:r w:rsidRPr="009E3649">
        <w:rPr>
          <w:color w:val="auto"/>
        </w:rPr>
        <w:t xml:space="preserve">. In July 2023, </w:t>
      </w:r>
      <w:r w:rsidRPr="00531B55">
        <w:rPr>
          <w:color w:val="auto"/>
        </w:rPr>
        <w:t xml:space="preserve">the Federal Energy Regulatory Commission </w:t>
      </w:r>
      <w:r>
        <w:rPr>
          <w:color w:val="auto"/>
        </w:rPr>
        <w:t>(</w:t>
      </w:r>
      <w:r w:rsidRPr="009E3649">
        <w:rPr>
          <w:color w:val="auto"/>
        </w:rPr>
        <w:t>FERC</w:t>
      </w:r>
      <w:r>
        <w:rPr>
          <w:color w:val="auto"/>
        </w:rPr>
        <w:t>)</w:t>
      </w:r>
      <w:r w:rsidRPr="009E3649">
        <w:rPr>
          <w:color w:val="auto"/>
        </w:rPr>
        <w:t xml:space="preserve"> issued Order 2023 to streamline the interconnection process for inverter-based resources by establishing </w:t>
      </w:r>
      <w:r w:rsidR="00232D2E" w:rsidRPr="009E3649">
        <w:rPr>
          <w:color w:val="auto"/>
        </w:rPr>
        <w:t>standardized</w:t>
      </w:r>
      <w:r w:rsidRPr="009E3649">
        <w:rPr>
          <w:color w:val="auto"/>
        </w:rPr>
        <w:t xml:space="preserve"> procedures and timelines for interconnection applications </w:t>
      </w:r>
      <w:r>
        <w:rPr>
          <w:color w:val="auto"/>
        </w:rPr>
        <w:fldChar w:fldCharType="begin"/>
      </w:r>
      <w:r>
        <w:rPr>
          <w:color w:val="auto"/>
        </w:rPr>
        <w:instrText xml:space="preserve"> ADDIN ZOTERO_ITEM CSL_CITATION {"citationID":"6q9bQTl0","properties":{"formattedCitation":"[24]","plainCitation":"[24]","noteIndex":0},"citationItems":[{"id":1948,"uris":["http://zotero.org/users/9870935/items/H8VJGQHI"],"itemData":{"id":1948,"type":"post-weblog","title":"Improvements to Generator Interconnection Procedures and Agreements","URL":"https://www.federalregister.gov/documents/2023/09/06/2023-16628/improvements-to-generator-interconnection-procedures-and-agreements","accessed":{"date-parts":[["2023",9,6]]}}}],"schema":"https://github.com/citation-style-language/schema/raw/master/csl-citation.json"} </w:instrText>
      </w:r>
      <w:r>
        <w:rPr>
          <w:color w:val="auto"/>
        </w:rPr>
        <w:fldChar w:fldCharType="separate"/>
      </w:r>
      <w:r w:rsidRPr="002E2886">
        <w:t>[24]</w:t>
      </w:r>
      <w:r>
        <w:rPr>
          <w:color w:val="auto"/>
        </w:rPr>
        <w:fldChar w:fldCharType="end"/>
      </w:r>
      <w:r>
        <w:rPr>
          <w:color w:val="auto"/>
        </w:rPr>
        <w:t>, where its i</w:t>
      </w:r>
      <w:r w:rsidRPr="009E3649">
        <w:rPr>
          <w:color w:val="auto"/>
        </w:rPr>
        <w:t>mplementation will take several years.</w:t>
      </w:r>
    </w:p>
    <w:p w14:paraId="21FAE95C" w14:textId="77777777" w:rsidR="00FE013C" w:rsidRDefault="00FE013C" w:rsidP="004C16FF">
      <w:pPr>
        <w:pStyle w:val="Heading20"/>
        <w:jc w:val="both"/>
        <w:rPr>
          <w:color w:val="auto"/>
        </w:rPr>
      </w:pPr>
      <w:r w:rsidRPr="00962BDF">
        <w:rPr>
          <w:color w:val="auto"/>
          <w:lang w:val="en-CA"/>
        </w:rPr>
        <w:t>1.</w:t>
      </w:r>
      <w:r>
        <w:rPr>
          <w:color w:val="auto"/>
          <w:lang w:val="en-CA"/>
        </w:rPr>
        <w:t>4</w:t>
      </w:r>
      <w:r w:rsidRPr="00962BDF">
        <w:rPr>
          <w:color w:val="auto"/>
          <w:lang w:val="en-CA"/>
        </w:rPr>
        <w:t xml:space="preserve">. </w:t>
      </w:r>
      <w:r w:rsidRPr="003F6317">
        <w:rPr>
          <w:color w:val="auto"/>
        </w:rPr>
        <w:t>Scope and Objectives</w:t>
      </w:r>
    </w:p>
    <w:p w14:paraId="31D733BB" w14:textId="061FD973" w:rsidR="00FE013C" w:rsidRPr="003F6317" w:rsidRDefault="00FE013C" w:rsidP="004C16FF">
      <w:pPr>
        <w:pStyle w:val="Text"/>
        <w:rPr>
          <w:color w:val="auto"/>
        </w:rPr>
      </w:pPr>
      <w:r w:rsidRPr="003F6317">
        <w:rPr>
          <w:color w:val="auto"/>
        </w:rPr>
        <w:t xml:space="preserve">This study addresses the design and operation of AI data </w:t>
      </w:r>
      <w:r w:rsidR="00232D2E" w:rsidRPr="003F6317">
        <w:rPr>
          <w:color w:val="auto"/>
        </w:rPr>
        <w:t>centers</w:t>
      </w:r>
      <w:r w:rsidRPr="003F6317">
        <w:rPr>
          <w:color w:val="auto"/>
        </w:rPr>
        <w:t xml:space="preserve"> powered predominantly by renewable energy at scales ranging from 10 MW to 1,000 MW. Three primary objectives guide this work: </w:t>
      </w:r>
    </w:p>
    <w:p w14:paraId="27E86773" w14:textId="54B9BE92" w:rsidR="00FE013C" w:rsidRPr="003F6317" w:rsidRDefault="00FE013C" w:rsidP="004C16FF">
      <w:pPr>
        <w:pStyle w:val="Text"/>
        <w:rPr>
          <w:color w:val="auto"/>
        </w:rPr>
      </w:pPr>
      <w:r w:rsidRPr="003F6317">
        <w:rPr>
          <w:color w:val="auto"/>
        </w:rPr>
        <w:t xml:space="preserve">(1) To </w:t>
      </w:r>
      <w:r w:rsidR="00232D2E" w:rsidRPr="003F6317">
        <w:rPr>
          <w:color w:val="auto"/>
        </w:rPr>
        <w:t>synthesize</w:t>
      </w:r>
      <w:r w:rsidRPr="003F6317">
        <w:rPr>
          <w:color w:val="auto"/>
        </w:rPr>
        <w:t xml:space="preserve"> current technical knowledge across power systems, renewable energy, energy storage, and control architectures into a unified and actionable framework. </w:t>
      </w:r>
    </w:p>
    <w:p w14:paraId="19D56A71" w14:textId="2172AE98" w:rsidR="00FE013C" w:rsidRPr="003F6317" w:rsidRDefault="00FE013C" w:rsidP="004C16FF">
      <w:pPr>
        <w:pStyle w:val="Text"/>
        <w:rPr>
          <w:color w:val="auto"/>
        </w:rPr>
      </w:pPr>
      <w:r w:rsidRPr="003F6317">
        <w:rPr>
          <w:color w:val="auto"/>
        </w:rPr>
        <w:t xml:space="preserve">(2) To provide transparent economic modelling, including </w:t>
      </w:r>
      <w:r w:rsidR="00232D2E" w:rsidRPr="003F6317">
        <w:rPr>
          <w:color w:val="auto"/>
        </w:rPr>
        <w:t>levelized</w:t>
      </w:r>
      <w:r w:rsidRPr="003F6317">
        <w:rPr>
          <w:color w:val="auto"/>
        </w:rPr>
        <w:t xml:space="preserve"> cost of energy (LCOE), net present value (NPV), and sensitivity analysis, enabling operators across different scales to evaluate project feasibility under consistent assumptions. </w:t>
      </w:r>
    </w:p>
    <w:p w14:paraId="2B61255A" w14:textId="77777777" w:rsidR="00FE013C" w:rsidRPr="003F6317" w:rsidRDefault="00FE013C" w:rsidP="004C16FF">
      <w:pPr>
        <w:pStyle w:val="Text"/>
        <w:rPr>
          <w:color w:val="auto"/>
        </w:rPr>
      </w:pPr>
      <w:r w:rsidRPr="003F6317">
        <w:rPr>
          <w:color w:val="auto"/>
        </w:rPr>
        <w:t xml:space="preserve">(3) To validate the proposed framework against real-world deployments by leading industry operators, including Google, Meta, Microsoft, Equinix, and Apple, and extracting transferable design and operational insights across diverse facility scales. </w:t>
      </w:r>
    </w:p>
    <w:p w14:paraId="48E2BF4B" w14:textId="77777777" w:rsidR="00FE013C" w:rsidRPr="003F6317" w:rsidRDefault="00FE013C" w:rsidP="004C16FF">
      <w:pPr>
        <w:pStyle w:val="Text"/>
        <w:rPr>
          <w:color w:val="auto"/>
        </w:rPr>
      </w:pPr>
      <w:r w:rsidRPr="003F6317">
        <w:rPr>
          <w:color w:val="auto"/>
        </w:rPr>
        <w:t>The framework is intentionally modular and geographically agnostic, addressing a key limitation of existing hyperscale-centric case studies and enabling consistent application across various resource conditions, grid environments, and deployment sizes.</w:t>
      </w:r>
    </w:p>
    <w:p w14:paraId="3DD172AB" w14:textId="77777777" w:rsidR="00FE013C" w:rsidRDefault="00FE013C" w:rsidP="004C16FF">
      <w:pPr>
        <w:pStyle w:val="Heading20"/>
        <w:jc w:val="both"/>
        <w:rPr>
          <w:color w:val="auto"/>
          <w:lang w:val="en-CA"/>
        </w:rPr>
      </w:pPr>
      <w:r w:rsidRPr="00962BDF">
        <w:rPr>
          <w:color w:val="auto"/>
          <w:lang w:val="en-CA"/>
        </w:rPr>
        <w:t>1.</w:t>
      </w:r>
      <w:r>
        <w:rPr>
          <w:color w:val="auto"/>
          <w:lang w:val="en-CA"/>
        </w:rPr>
        <w:t>5</w:t>
      </w:r>
      <w:r w:rsidRPr="00962BDF">
        <w:rPr>
          <w:color w:val="auto"/>
          <w:lang w:val="en-CA"/>
        </w:rPr>
        <w:t xml:space="preserve">. </w:t>
      </w:r>
      <w:r>
        <w:rPr>
          <w:color w:val="auto"/>
          <w:lang w:val="en-CA"/>
        </w:rPr>
        <w:t>Research Gap and Paper Statement</w:t>
      </w:r>
    </w:p>
    <w:p w14:paraId="2728DC78" w14:textId="77777777" w:rsidR="00FE013C" w:rsidRPr="00070841" w:rsidRDefault="00FE013C" w:rsidP="004C16FF">
      <w:pPr>
        <w:pStyle w:val="Text"/>
        <w:rPr>
          <w:color w:val="auto"/>
        </w:rPr>
      </w:pPr>
      <w:r w:rsidRPr="00070841">
        <w:rPr>
          <w:color w:val="auto"/>
        </w:rPr>
        <w:t xml:space="preserve">Although there are numerous studies on individual aspects of renewable electricity integration, in practical terms, there is a lack of comprehensive studies that account for all aspects of the process of designing and operating a data center with renewable power. Most of the published literature has concentrated on one of two aspects: either the technical side of power systems or the economic side of </w:t>
      </w:r>
      <w:r w:rsidRPr="00070841">
        <w:rPr>
          <w:color w:val="auto"/>
        </w:rPr>
        <w:lastRenderedPageBreak/>
        <w:t xml:space="preserve">energy procurement, with no attempt to integrate both, </w:t>
      </w:r>
      <w:r w:rsidRPr="00B856CD">
        <w:rPr>
          <w:color w:val="auto"/>
        </w:rPr>
        <w:t>leaving a critical gap where the technical and economic dimensions are not integrated</w:t>
      </w:r>
      <w:r w:rsidRPr="00B856CD" w:rsidDel="00B856CD">
        <w:rPr>
          <w:color w:val="auto"/>
        </w:rPr>
        <w:t xml:space="preserve"> </w:t>
      </w:r>
      <w:r>
        <w:rPr>
          <w:color w:val="auto"/>
        </w:rPr>
        <w:fldChar w:fldCharType="begin"/>
      </w:r>
      <w:r>
        <w:rPr>
          <w:color w:val="auto"/>
        </w:rPr>
        <w:instrText xml:space="preserve"> ADDIN ZOTERO_ITEM CSL_CITATION {"citationID":"LVVwUwTx","properties":{"formattedCitation":"[25]","plainCitation":"[25]","noteIndex":0},"citationItems":[{"id":1949,"uris":["http://zotero.org/users/9870935/items/D2SVF9GW"],"itemData":{"id":1949,"type":"article-journal","container-title":"Energy and Built Environment","DOI":"10.1016/j.enbenv.2024.08.009","ISSN":"26661233","issue":"1","journalAbbreviation":"Energy and Built Environment","language":"en","page":"206-226","source":"DOI.org (Crossref)","title":"Towards energy-efficient data centers: A comprehensive review of passive and active cooling strategies","title-short":"Towards energy-efficient data centers","volume":"7","author":[{"family":"Cai","given":"Senhong"},{"family":"Gou","given":"Zhonghua"}],"issued":{"date-parts":[["2026",2]]}}}],"schema":"https://github.com/citation-style-language/schema/raw/master/csl-citation.json"} </w:instrText>
      </w:r>
      <w:r>
        <w:rPr>
          <w:color w:val="auto"/>
        </w:rPr>
        <w:fldChar w:fldCharType="separate"/>
      </w:r>
      <w:r w:rsidRPr="00E342F7">
        <w:t>[25]</w:t>
      </w:r>
      <w:r>
        <w:rPr>
          <w:color w:val="auto"/>
        </w:rPr>
        <w:fldChar w:fldCharType="end"/>
      </w:r>
      <w:r w:rsidRPr="00070841">
        <w:rPr>
          <w:color w:val="auto"/>
        </w:rPr>
        <w:t>. Furthermore, the dynamic nature of AI workloads, with small shifts to increasingly power-dense accelerators, necessitates an analysis that is in line with the latest hardware capabilities and their impact on creating effective infrastructure implementations</w:t>
      </w:r>
      <w:r>
        <w:rPr>
          <w:color w:val="auto"/>
        </w:rPr>
        <w:fldChar w:fldCharType="begin"/>
      </w:r>
      <w:r>
        <w:rPr>
          <w:color w:val="auto"/>
        </w:rPr>
        <w:instrText xml:space="preserve"> ADDIN ZOTERO_ITEM CSL_CITATION {"citationID":"SsyN2B2u","properties":{"formattedCitation":"[26]","plainCitation":"[26]","noteIndex":0},"citationItems":[{"id":1951,"uris":["http://zotero.org/users/9870935/items/IURTR4AQ"],"itemData":{"id":1951,"type":"article-journal","language":"en","source":"Zotero","title":"AI, Data Centers, and the U.S. Electric Grid: A Watershed Moment","URL":"https://www.belfercenter.org/research-analysis/ai-data-centers-us-electric-grid","author":[{"family":"Mural","given":"Rachel"},{"family":"Pherwani","given":"Dipesh"},{"family":"Gupta","given":"Chaitanya"},{"family":"Yu","given":"Yiqi"},{"family":"Takahashi","given":"Ai"},{"family":"Kim","given":"Dongjoo"},{"family":"Majumder","given":"Subir"},{"family":"Lee","given":"Henry"},{"family":"Yu","given":"Minlan"},{"family":"Xie","given":"Le"}]}}],"schema":"https://github.com/citation-style-language/schema/raw/master/csl-citation.json"} </w:instrText>
      </w:r>
      <w:r>
        <w:rPr>
          <w:color w:val="auto"/>
        </w:rPr>
        <w:fldChar w:fldCharType="separate"/>
      </w:r>
      <w:r w:rsidRPr="00A8646E">
        <w:t>[26]</w:t>
      </w:r>
      <w:r>
        <w:rPr>
          <w:color w:val="auto"/>
        </w:rPr>
        <w:fldChar w:fldCharType="end"/>
      </w:r>
      <w:r w:rsidRPr="00070841">
        <w:rPr>
          <w:color w:val="auto"/>
        </w:rPr>
        <w:t>.</w:t>
      </w:r>
    </w:p>
    <w:p w14:paraId="659EB2F8" w14:textId="7F41F94F" w:rsidR="00FE013C" w:rsidRDefault="00FE013C" w:rsidP="004C16FF">
      <w:pPr>
        <w:pStyle w:val="Text"/>
        <w:rPr>
          <w:color w:val="auto"/>
        </w:rPr>
      </w:pPr>
      <w:r w:rsidRPr="00070841">
        <w:rPr>
          <w:color w:val="auto"/>
        </w:rPr>
        <w:t xml:space="preserve">This study addresses this gap by </w:t>
      </w:r>
      <w:r w:rsidRPr="00BE113B">
        <w:rPr>
          <w:color w:val="auto"/>
        </w:rPr>
        <w:t>proposing a seven-component framework for designing and deploying</w:t>
      </w:r>
      <w:r>
        <w:rPr>
          <w:color w:val="auto"/>
        </w:rPr>
        <w:t xml:space="preserve"> </w:t>
      </w:r>
      <w:r w:rsidRPr="00070841">
        <w:rPr>
          <w:color w:val="auto"/>
        </w:rPr>
        <w:t xml:space="preserve">renewable-powered AI data </w:t>
      </w:r>
      <w:r w:rsidR="00232D2E" w:rsidRPr="00070841">
        <w:rPr>
          <w:color w:val="auto"/>
        </w:rPr>
        <w:t>centers</w:t>
      </w:r>
      <w:r w:rsidRPr="00070841">
        <w:rPr>
          <w:color w:val="auto"/>
        </w:rPr>
        <w:t xml:space="preserve">. The framework covers the following aspects. </w:t>
      </w:r>
    </w:p>
    <w:p w14:paraId="1444C9F5" w14:textId="77777777" w:rsidR="00FE013C" w:rsidRDefault="00FE013C" w:rsidP="004C16FF">
      <w:pPr>
        <w:pStyle w:val="Text"/>
        <w:rPr>
          <w:color w:val="auto"/>
        </w:rPr>
      </w:pPr>
      <w:r w:rsidRPr="00070841">
        <w:rPr>
          <w:color w:val="auto"/>
        </w:rPr>
        <w:t xml:space="preserve">(1) Site assessment and resource evaluation, </w:t>
      </w:r>
    </w:p>
    <w:p w14:paraId="2E048B21" w14:textId="77777777" w:rsidR="00FE013C" w:rsidRDefault="00FE013C" w:rsidP="004C16FF">
      <w:pPr>
        <w:pStyle w:val="Text"/>
        <w:rPr>
          <w:color w:val="auto"/>
        </w:rPr>
      </w:pPr>
      <w:r w:rsidRPr="00070841">
        <w:rPr>
          <w:color w:val="auto"/>
        </w:rPr>
        <w:t xml:space="preserve">(2) Technology mix optimization, </w:t>
      </w:r>
    </w:p>
    <w:p w14:paraId="7F5A43A1" w14:textId="77777777" w:rsidR="00FE013C" w:rsidRDefault="00FE013C" w:rsidP="004C16FF">
      <w:pPr>
        <w:pStyle w:val="Text"/>
        <w:rPr>
          <w:color w:val="auto"/>
        </w:rPr>
      </w:pPr>
      <w:r w:rsidRPr="00070841">
        <w:rPr>
          <w:color w:val="auto"/>
        </w:rPr>
        <w:t xml:space="preserve">(3) Electrical architecture and integration design, </w:t>
      </w:r>
    </w:p>
    <w:p w14:paraId="44E1851A" w14:textId="77777777" w:rsidR="00FE013C" w:rsidRDefault="00FE013C" w:rsidP="004C16FF">
      <w:pPr>
        <w:pStyle w:val="Text"/>
        <w:rPr>
          <w:color w:val="auto"/>
        </w:rPr>
      </w:pPr>
      <w:r w:rsidRPr="00070841">
        <w:rPr>
          <w:color w:val="auto"/>
        </w:rPr>
        <w:t xml:space="preserve">(4) Hierarchical control and dispatch strategies, </w:t>
      </w:r>
    </w:p>
    <w:p w14:paraId="1ABC1BFA" w14:textId="77777777" w:rsidR="00FE013C" w:rsidRDefault="00FE013C" w:rsidP="004C16FF">
      <w:pPr>
        <w:pStyle w:val="Text"/>
        <w:rPr>
          <w:color w:val="auto"/>
        </w:rPr>
      </w:pPr>
      <w:r w:rsidRPr="00070841">
        <w:rPr>
          <w:color w:val="auto"/>
        </w:rPr>
        <w:t xml:space="preserve">(5) Demand-side workload flexibility, </w:t>
      </w:r>
    </w:p>
    <w:p w14:paraId="3D89FE04" w14:textId="77777777" w:rsidR="00FE013C" w:rsidRDefault="00FE013C" w:rsidP="004C16FF">
      <w:pPr>
        <w:pStyle w:val="Text"/>
        <w:rPr>
          <w:color w:val="auto"/>
        </w:rPr>
      </w:pPr>
      <w:r w:rsidRPr="00070841">
        <w:rPr>
          <w:color w:val="auto"/>
        </w:rPr>
        <w:t xml:space="preserve">(6) Economic viability modelling, and </w:t>
      </w:r>
    </w:p>
    <w:p w14:paraId="71E2C222" w14:textId="77777777" w:rsidR="00FE013C" w:rsidRDefault="00FE013C" w:rsidP="004C16FF">
      <w:pPr>
        <w:pStyle w:val="Text"/>
        <w:rPr>
          <w:color w:val="auto"/>
        </w:rPr>
      </w:pPr>
      <w:r w:rsidRPr="00070841">
        <w:rPr>
          <w:color w:val="auto"/>
        </w:rPr>
        <w:t xml:space="preserve">(7) </w:t>
      </w:r>
      <w:r w:rsidRPr="00FB48A0">
        <w:rPr>
          <w:color w:val="auto"/>
        </w:rPr>
        <w:t>Resilience and sustainability compliance</w:t>
      </w:r>
      <w:r w:rsidRPr="00070841">
        <w:rPr>
          <w:color w:val="auto"/>
        </w:rPr>
        <w:t xml:space="preserve"> are also important. </w:t>
      </w:r>
    </w:p>
    <w:p w14:paraId="233E74A9" w14:textId="094A324A" w:rsidR="00FE013C" w:rsidRPr="00070841" w:rsidRDefault="00FE013C" w:rsidP="004C16FF">
      <w:pPr>
        <w:pStyle w:val="Text"/>
        <w:rPr>
          <w:color w:val="auto"/>
        </w:rPr>
      </w:pPr>
      <w:r w:rsidRPr="00070841">
        <w:rPr>
          <w:color w:val="auto"/>
        </w:rPr>
        <w:t xml:space="preserve">The main argument is that hybrid systems integrating renewable energy generation, energy storage, power grid interconnection, and demand-side flexibility can enable the economically sustainable, environmentally friendly, and highly reliable operation of AI data </w:t>
      </w:r>
      <w:r w:rsidR="00232D2E" w:rsidRPr="00070841">
        <w:rPr>
          <w:color w:val="auto"/>
        </w:rPr>
        <w:t>centers</w:t>
      </w:r>
      <w:r w:rsidRPr="00070841">
        <w:rPr>
          <w:color w:val="auto"/>
        </w:rPr>
        <w:t xml:space="preserve"> in various geographical and climatic environments.</w:t>
      </w:r>
    </w:p>
    <w:p w14:paraId="2E0E36DC" w14:textId="3C0AE254" w:rsidR="00FE013C" w:rsidRDefault="00FE013C" w:rsidP="004C16FF">
      <w:pPr>
        <w:pStyle w:val="Text"/>
        <w:rPr>
          <w:color w:val="auto"/>
        </w:rPr>
      </w:pPr>
      <w:r w:rsidRPr="007A7079">
        <w:rPr>
          <w:color w:val="auto"/>
        </w:rPr>
        <w:t xml:space="preserve">Section 2 </w:t>
      </w:r>
      <w:r w:rsidR="00232D2E" w:rsidRPr="007A7079">
        <w:rPr>
          <w:color w:val="auto"/>
        </w:rPr>
        <w:t>synthesizes</w:t>
      </w:r>
      <w:r w:rsidRPr="007A7079">
        <w:rPr>
          <w:color w:val="auto"/>
        </w:rPr>
        <w:t xml:space="preserve"> the state of the art and identifies key literature gaps. Section 3 covers the electrical fundamentals of data </w:t>
      </w:r>
      <w:r w:rsidR="00232D2E" w:rsidRPr="007A7079">
        <w:rPr>
          <w:color w:val="auto"/>
        </w:rPr>
        <w:t>center</w:t>
      </w:r>
      <w:r w:rsidRPr="007A7079">
        <w:rPr>
          <w:color w:val="auto"/>
        </w:rPr>
        <w:t xml:space="preserve"> systems. Section 4 characterizes renewable energy resources and assessment methodologies. Section 5 examines energy storage and backup systems, including sizing methodologies. Section 6 covers power system modelling and simulation. Section 7 presents the core seven-component framework for renewable-powered AI data </w:t>
      </w:r>
      <w:r w:rsidR="00232D2E" w:rsidRPr="007A7079">
        <w:rPr>
          <w:color w:val="auto"/>
        </w:rPr>
        <w:t>center</w:t>
      </w:r>
      <w:r w:rsidRPr="007A7079">
        <w:rPr>
          <w:color w:val="auto"/>
        </w:rPr>
        <w:t xml:space="preserve"> design. Section 8 validates the framework through five industry case studies. Section 9 analyzes key technical challenges and mitigation strategies. Section 10 provides economic analysis, including LCOE, NPV, and payback calculations. Section 11 covers operational strategies and demand-side integration. Section 12 reviews regulatory and sustainability requirements. </w:t>
      </w:r>
      <w:r w:rsidRPr="00650A30">
        <w:rPr>
          <w:color w:val="auto"/>
        </w:rPr>
        <w:t>Section 13 presents conclusions and recommendations. Section 14 identifies future research directions.</w:t>
      </w:r>
    </w:p>
    <w:p w14:paraId="1CD78179" w14:textId="6EE08197" w:rsidR="00CD098A" w:rsidRPr="001718D7" w:rsidRDefault="00CD098A" w:rsidP="00CD098A">
      <w:pPr>
        <w:pStyle w:val="Heading20"/>
        <w:jc w:val="both"/>
        <w:rPr>
          <w:color w:val="auto"/>
          <w:highlight w:val="yellow"/>
          <w:lang w:val="en-CA"/>
        </w:rPr>
      </w:pPr>
      <w:r w:rsidRPr="001718D7">
        <w:rPr>
          <w:color w:val="auto"/>
          <w:highlight w:val="yellow"/>
          <w:lang w:val="en-CA"/>
        </w:rPr>
        <w:t>1.6. Review Methodology</w:t>
      </w:r>
    </w:p>
    <w:p w14:paraId="128ECCA9" w14:textId="77777777" w:rsidR="00CD098A" w:rsidRPr="001718D7" w:rsidRDefault="00CD098A" w:rsidP="00CD098A">
      <w:pPr>
        <w:pStyle w:val="Heading20"/>
        <w:jc w:val="both"/>
        <w:rPr>
          <w:i w:val="0"/>
          <w:iCs/>
          <w:color w:val="auto"/>
          <w:highlight w:val="yellow"/>
          <w:lang w:val="en-CA"/>
        </w:rPr>
      </w:pPr>
      <w:r w:rsidRPr="001718D7">
        <w:rPr>
          <w:i w:val="0"/>
          <w:iCs/>
          <w:color w:val="auto"/>
          <w:highlight w:val="yellow"/>
          <w:lang w:val="en-CA"/>
        </w:rPr>
        <w:t>This review was carried out following the guidelines of the Preferred Reporting Items for Systematic Reviews and Meta-Analyses (PRISMA 2020) to ensure transparency, reproducibility, and methodological rigor in the identification, screening, and synthesis of relevant literature.</w:t>
      </w:r>
    </w:p>
    <w:p w14:paraId="763016BC" w14:textId="73E7043D" w:rsidR="00CD098A" w:rsidRPr="001718D7" w:rsidRDefault="00CD098A" w:rsidP="00CD098A">
      <w:pPr>
        <w:pStyle w:val="Heading20"/>
        <w:jc w:val="both"/>
        <w:rPr>
          <w:color w:val="auto"/>
          <w:highlight w:val="yellow"/>
          <w:lang w:val="en-CA"/>
        </w:rPr>
      </w:pPr>
      <w:r w:rsidRPr="001718D7">
        <w:rPr>
          <w:color w:val="auto"/>
          <w:highlight w:val="yellow"/>
          <w:lang w:val="en-CA"/>
        </w:rPr>
        <w:t>1.6.1 Literature Sources and Search Strategy</w:t>
      </w:r>
    </w:p>
    <w:p w14:paraId="73EE2B5F" w14:textId="009A7F7E" w:rsidR="00CD098A" w:rsidRPr="001718D7" w:rsidRDefault="00CD098A" w:rsidP="00CD098A">
      <w:pPr>
        <w:pStyle w:val="Heading20"/>
        <w:jc w:val="both"/>
        <w:rPr>
          <w:i w:val="0"/>
          <w:iCs/>
          <w:color w:val="auto"/>
          <w:highlight w:val="yellow"/>
          <w:lang w:val="en-CA"/>
        </w:rPr>
      </w:pPr>
      <w:r w:rsidRPr="001718D7">
        <w:rPr>
          <w:i w:val="0"/>
          <w:iCs/>
          <w:color w:val="auto"/>
          <w:highlight w:val="yellow"/>
          <w:lang w:val="en-CA"/>
        </w:rPr>
        <w:t>Five main bibliographic databases (Scopus, Web of Science Core Collection, IEEE Xplore, ScienceDirect and Google Scholar) were used for a systematic search. Grey-literature sources were used in conjunction with the peer-reviewed literature, including publications from the International Energy Agency (IEA), International Renewable Energy Agency (IRENA), U.S. National Renewable Energy Laboratory (NREL), BloombergNEF (BNEF), Lazard, U.S. Federal Energy Regulatory Commission (FERC), and the Uptime Institute. Additionally, standards and regulatory documents have been gained directly from the organisations, including International Standards Organisation (ISO), IEO, International Sustainability Standards Board (ISSB), and Greenhouse Gases Protocol (GHGP).</w:t>
      </w:r>
    </w:p>
    <w:p w14:paraId="6D49C8F4" w14:textId="03D64970" w:rsidR="00CD098A" w:rsidRPr="001718D7" w:rsidRDefault="00CD098A" w:rsidP="00CD098A">
      <w:pPr>
        <w:pStyle w:val="Heading20"/>
        <w:jc w:val="both"/>
        <w:rPr>
          <w:color w:val="auto"/>
          <w:highlight w:val="yellow"/>
          <w:lang w:val="en-CA"/>
        </w:rPr>
      </w:pPr>
      <w:r w:rsidRPr="001718D7">
        <w:rPr>
          <w:color w:val="auto"/>
          <w:highlight w:val="yellow"/>
          <w:lang w:val="en-CA"/>
        </w:rPr>
        <w:lastRenderedPageBreak/>
        <w:t>1.6.2 Eligibility Criteria</w:t>
      </w:r>
    </w:p>
    <w:p w14:paraId="35612F82" w14:textId="26C4563C" w:rsidR="00CD098A" w:rsidRPr="001718D7" w:rsidRDefault="00CD098A" w:rsidP="00CD098A">
      <w:pPr>
        <w:pStyle w:val="Heading20"/>
        <w:jc w:val="both"/>
        <w:rPr>
          <w:i w:val="0"/>
          <w:iCs/>
          <w:color w:val="auto"/>
          <w:highlight w:val="yellow"/>
          <w:lang w:val="en-CA"/>
        </w:rPr>
      </w:pPr>
      <w:r w:rsidRPr="001718D7">
        <w:rPr>
          <w:i w:val="0"/>
          <w:iCs/>
          <w:color w:val="auto"/>
          <w:highlight w:val="yellow"/>
          <w:lang w:val="en-CA"/>
        </w:rPr>
        <w:t>Studies were included if they: (i) discussed the integration of renewable energy, energy storage, power quality, grid interaction, energy cost, energy efficiency, energy operational strategy, regulation, and/or emissions in the data center environment; (ii) used quantitative data including energy cost, energy efficiency, energy capacity factor, reliability, or energy emission results; (iii) were published between the years 2015 and 2026; and (iv) were from peer reviewed journals, conference proceedings, standards organizations, government agencies, research instutions, and/or recognized industrial sources.Studies that were mainly promotional vendor-oriented literature without clear methodology, opinion pieces without evidence, duplicate studies from the same authors, older versions of the same studies, and those on traditional enterprise data centers, with no relevance to data centers and infrastructure based on AI, were discounted.</w:t>
      </w:r>
    </w:p>
    <w:p w14:paraId="789120AF" w14:textId="03CCDDBA" w:rsidR="00CD098A" w:rsidRPr="001718D7" w:rsidRDefault="00CD098A" w:rsidP="00CD098A">
      <w:pPr>
        <w:pStyle w:val="Heading20"/>
        <w:jc w:val="both"/>
        <w:rPr>
          <w:color w:val="auto"/>
          <w:highlight w:val="yellow"/>
          <w:lang w:val="en-CA"/>
        </w:rPr>
      </w:pPr>
      <w:r w:rsidRPr="001718D7">
        <w:rPr>
          <w:color w:val="auto"/>
          <w:highlight w:val="yellow"/>
          <w:lang w:val="en-CA"/>
        </w:rPr>
        <w:t>1.6.3 Screening and Selection Process</w:t>
      </w:r>
    </w:p>
    <w:p w14:paraId="691D5E95" w14:textId="77777777" w:rsidR="00F73CD6" w:rsidRPr="00F73CD6" w:rsidRDefault="00F73CD6" w:rsidP="00F73CD6">
      <w:pPr>
        <w:pStyle w:val="Heading20"/>
        <w:jc w:val="both"/>
        <w:rPr>
          <w:i w:val="0"/>
          <w:iCs/>
          <w:color w:val="auto"/>
          <w:highlight w:val="yellow"/>
          <w:lang w:val="en-CA"/>
        </w:rPr>
      </w:pPr>
      <w:r w:rsidRPr="00F73CD6">
        <w:rPr>
          <w:i w:val="0"/>
          <w:iCs/>
          <w:color w:val="auto"/>
          <w:highlight w:val="yellow"/>
          <w:lang w:val="en-CA"/>
        </w:rPr>
        <w:t>The search identified 1,604 records, comprising 1,420 records from bibliographic databases and 184 records from grey-literature and institutional sources. Following the removal of 317 duplicate records, 1,287 records remained for title and abstract screening. At this stage, 891 records were excluded because they did not satisfy the eligibility criteria. The remaining 396 records underwent full-text assessment. Of these, 211 were excluded because they lacked sufficient quantitative or methodological information, fell outside the scope of the review, or had been superseded by more recent publications. A final set of 185 sources was retained for qualitative synthesis. The evidence base comprised 92 peer-reviewed journal articles, 21 conference papers, 14 standards and patents, 38 agency and institutional reports, 16 corporate or industry publications, and 4 web-based sources. Figure 2 summarizes the identification, screening, eligibility, and inclusion stages.</w:t>
      </w:r>
    </w:p>
    <w:p w14:paraId="240F0818" w14:textId="77777777" w:rsidR="001718D7" w:rsidRPr="001718D7" w:rsidRDefault="001718D7" w:rsidP="00F73CD6">
      <w:pPr>
        <w:pStyle w:val="Heading20"/>
        <w:keepNext/>
        <w:spacing w:before="0" w:after="0"/>
        <w:jc w:val="center"/>
        <w:rPr>
          <w:highlight w:val="yellow"/>
        </w:rPr>
      </w:pPr>
      <w:r w:rsidRPr="001718D7">
        <w:rPr>
          <w:iCs/>
          <w:color w:val="auto"/>
          <w:highlight w:val="yellow"/>
          <w:lang w:val="en-CA"/>
        </w:rPr>
        <w:drawing>
          <wp:inline distT="0" distB="0" distL="0" distR="0" wp14:anchorId="7FD963D5" wp14:editId="2460F1B6">
            <wp:extent cx="3725838" cy="2046641"/>
            <wp:effectExtent l="0" t="0" r="8255" b="0"/>
            <wp:docPr id="3468810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8151" b="9448"/>
                    <a:stretch>
                      <a:fillRect/>
                    </a:stretch>
                  </pic:blipFill>
                  <pic:spPr bwMode="auto">
                    <a:xfrm>
                      <a:off x="0" y="0"/>
                      <a:ext cx="3755543" cy="2062958"/>
                    </a:xfrm>
                    <a:prstGeom prst="rect">
                      <a:avLst/>
                    </a:prstGeom>
                    <a:noFill/>
                    <a:ln>
                      <a:noFill/>
                    </a:ln>
                    <a:extLst>
                      <a:ext uri="{53640926-AAD7-44D8-BBD7-CCE9431645EC}">
                        <a14:shadowObscured xmlns:a14="http://schemas.microsoft.com/office/drawing/2010/main"/>
                      </a:ext>
                    </a:extLst>
                  </pic:spPr>
                </pic:pic>
              </a:graphicData>
            </a:graphic>
          </wp:inline>
        </w:drawing>
      </w:r>
    </w:p>
    <w:p w14:paraId="51D7D1DF" w14:textId="70FFDD59" w:rsidR="001718D7" w:rsidRPr="001718D7" w:rsidRDefault="001718D7" w:rsidP="001718D7">
      <w:pPr>
        <w:pStyle w:val="Caption"/>
        <w:jc w:val="center"/>
        <w:rPr>
          <w:noProof/>
          <w:snapToGrid w:val="0"/>
          <w:color w:val="auto"/>
          <w:szCs w:val="22"/>
          <w:lang w:val="en-CA" w:bidi="en-US"/>
        </w:rPr>
      </w:pPr>
      <w:r w:rsidRPr="001718D7">
        <w:rPr>
          <w:highlight w:val="yellow"/>
        </w:rPr>
        <w:t xml:space="preserve">Figure </w:t>
      </w:r>
      <w:r w:rsidRPr="001718D7">
        <w:rPr>
          <w:highlight w:val="yellow"/>
        </w:rPr>
        <w:fldChar w:fldCharType="begin"/>
      </w:r>
      <w:r w:rsidRPr="001718D7">
        <w:rPr>
          <w:highlight w:val="yellow"/>
        </w:rPr>
        <w:instrText xml:space="preserve"> SEQ Figure \* ARABIC </w:instrText>
      </w:r>
      <w:r w:rsidRPr="001718D7">
        <w:rPr>
          <w:highlight w:val="yellow"/>
        </w:rPr>
        <w:fldChar w:fldCharType="separate"/>
      </w:r>
      <w:r w:rsidR="00807110">
        <w:rPr>
          <w:noProof/>
          <w:highlight w:val="yellow"/>
        </w:rPr>
        <w:t>2</w:t>
      </w:r>
      <w:r w:rsidRPr="001718D7">
        <w:rPr>
          <w:highlight w:val="yellow"/>
        </w:rPr>
        <w:fldChar w:fldCharType="end"/>
      </w:r>
      <w:r w:rsidRPr="001718D7">
        <w:rPr>
          <w:highlight w:val="yellow"/>
        </w:rPr>
        <w:t xml:space="preserve"> PRISMA 2020 Flow Diagram of the Literature Screening and Selection Process</w:t>
      </w:r>
    </w:p>
    <w:p w14:paraId="1E937BAB" w14:textId="0EB9EBDB" w:rsidR="001718D7" w:rsidRPr="001718D7" w:rsidRDefault="001718D7" w:rsidP="001718D7">
      <w:pPr>
        <w:pStyle w:val="Heading20"/>
        <w:jc w:val="both"/>
        <w:rPr>
          <w:iCs/>
          <w:color w:val="auto"/>
          <w:lang w:val="en-CA"/>
        </w:rPr>
      </w:pPr>
    </w:p>
    <w:p w14:paraId="6535F3C0" w14:textId="77777777" w:rsidR="001718D7" w:rsidRPr="00CD098A" w:rsidRDefault="001718D7" w:rsidP="00CD098A">
      <w:pPr>
        <w:pStyle w:val="Heading20"/>
        <w:jc w:val="both"/>
        <w:rPr>
          <w:i w:val="0"/>
          <w:iCs/>
          <w:color w:val="auto"/>
          <w:lang w:val="en-CA"/>
        </w:rPr>
      </w:pPr>
    </w:p>
    <w:p w14:paraId="4BB267FC" w14:textId="77777777" w:rsidR="00CD098A" w:rsidRDefault="00CD098A" w:rsidP="00CD098A">
      <w:pPr>
        <w:pStyle w:val="Heading20"/>
        <w:jc w:val="both"/>
        <w:rPr>
          <w:color w:val="auto"/>
          <w:lang w:val="en-CA"/>
        </w:rPr>
      </w:pPr>
    </w:p>
    <w:p w14:paraId="725B69FD" w14:textId="77777777" w:rsidR="00FE013C" w:rsidRDefault="00FE013C" w:rsidP="004C16FF">
      <w:pPr>
        <w:pStyle w:val="Heading10"/>
        <w:jc w:val="both"/>
        <w:rPr>
          <w:color w:val="auto"/>
        </w:rPr>
      </w:pPr>
      <w:r>
        <w:rPr>
          <w:color w:val="auto"/>
          <w:lang w:eastAsia="zh-CN"/>
        </w:rPr>
        <w:t xml:space="preserve">2. </w:t>
      </w:r>
      <w:r>
        <w:rPr>
          <w:color w:val="auto"/>
        </w:rPr>
        <w:t>Literature Review and State-of-the-Art</w:t>
      </w:r>
    </w:p>
    <w:p w14:paraId="4B93E1DF" w14:textId="77777777" w:rsidR="00132B05" w:rsidRPr="00132B05" w:rsidRDefault="00FE013C" w:rsidP="00132B05">
      <w:pPr>
        <w:spacing w:after="120"/>
        <w:ind w:firstLine="480"/>
        <w:rPr>
          <w:szCs w:val="24"/>
        </w:rPr>
      </w:pPr>
      <w:r w:rsidRPr="009055C9">
        <w:rPr>
          <w:szCs w:val="24"/>
          <w:highlight w:val="yellow"/>
        </w:rPr>
        <w:lastRenderedPageBreak/>
        <w:t xml:space="preserve">This section </w:t>
      </w:r>
      <w:r w:rsidR="00232D2E" w:rsidRPr="009055C9">
        <w:rPr>
          <w:szCs w:val="24"/>
          <w:highlight w:val="yellow"/>
        </w:rPr>
        <w:t>synthesizes</w:t>
      </w:r>
      <w:r w:rsidRPr="009055C9">
        <w:rPr>
          <w:szCs w:val="24"/>
          <w:highlight w:val="yellow"/>
        </w:rPr>
        <w:t xml:space="preserve"> the existing body of knowledge across five domains critical to renewable-powered AI data </w:t>
      </w:r>
      <w:r w:rsidR="00232D2E" w:rsidRPr="009055C9">
        <w:rPr>
          <w:szCs w:val="24"/>
          <w:highlight w:val="yellow"/>
        </w:rPr>
        <w:t>centers</w:t>
      </w:r>
      <w:r w:rsidRPr="009055C9">
        <w:rPr>
          <w:szCs w:val="24"/>
          <w:highlight w:val="yellow"/>
        </w:rPr>
        <w:t xml:space="preserve">: data </w:t>
      </w:r>
      <w:r w:rsidR="00232D2E" w:rsidRPr="009055C9">
        <w:rPr>
          <w:szCs w:val="24"/>
          <w:highlight w:val="yellow"/>
        </w:rPr>
        <w:t>center</w:t>
      </w:r>
      <w:r w:rsidRPr="009055C9">
        <w:rPr>
          <w:szCs w:val="24"/>
          <w:highlight w:val="yellow"/>
        </w:rPr>
        <w:t xml:space="preserve"> power consumption, renewable energy technologies, energy storage systems, microgrid and grid integration, and industry case studies. </w:t>
      </w:r>
      <w:r w:rsidR="00132B05" w:rsidRPr="009055C9">
        <w:rPr>
          <w:szCs w:val="24"/>
          <w:highlight w:val="yellow"/>
        </w:rPr>
        <w:t>This section synthesizes the existing body of knowledge across five domains critical to renewable-powered AI data centers: data center power consumption, renewable energy technologies, energy storage systems, microgrid and grid integration, and industry case studies. The synthesis draws on 185 sources retained after the PRISMA screening process described in Section 1.6, including 92 peer-reviewed journal articles, 21 conference papers, 14 standards and patents, 38 agency and institutional reports, and 20 corporate and grey-literature sources published between 2015 and 2026.</w:t>
      </w:r>
    </w:p>
    <w:p w14:paraId="27716A7A" w14:textId="034D1736" w:rsidR="00FE013C" w:rsidRDefault="00FE013C" w:rsidP="00132B05">
      <w:pPr>
        <w:spacing w:after="120"/>
        <w:ind w:firstLine="480"/>
        <w:rPr>
          <w:color w:val="auto"/>
        </w:rPr>
      </w:pPr>
      <w:r>
        <w:rPr>
          <w:color w:val="auto"/>
        </w:rPr>
        <w:t>2.1. AI Data Center Power Consumption</w:t>
      </w:r>
    </w:p>
    <w:p w14:paraId="450E82AB" w14:textId="77777777" w:rsidR="00FE013C" w:rsidRPr="00684620" w:rsidRDefault="00FE013C" w:rsidP="004C16FF">
      <w:pPr>
        <w:spacing w:after="120"/>
        <w:ind w:firstLine="480"/>
        <w:rPr>
          <w:szCs w:val="24"/>
        </w:rPr>
      </w:pPr>
      <w:r w:rsidRPr="00684620">
        <w:rPr>
          <w:szCs w:val="24"/>
        </w:rPr>
        <w:t xml:space="preserve">Unlike traditional enterprise data centers, AI data centers have different power consumption characteristics because the workloads on GPUs and TPUs are of high intensity and concentrated nature. </w:t>
      </w:r>
      <w:r w:rsidRPr="00561461">
        <w:rPr>
          <w:szCs w:val="24"/>
        </w:rPr>
        <w:t>AI accelerators such as the NVIDIA H100 Tensor Core GPU come in two main form factors: the PCIe version (up to 350 W) and the SXM version (up to 700 W), with the SXM variant delivering substantially higher memory bandwidth and compute throughput at the cost of significantly higher power draw</w:t>
      </w:r>
      <w:r>
        <w:rPr>
          <w:szCs w:val="24"/>
        </w:rPr>
        <w:t xml:space="preserve"> </w:t>
      </w:r>
      <w:r>
        <w:rPr>
          <w:szCs w:val="24"/>
        </w:rPr>
        <w:fldChar w:fldCharType="begin"/>
      </w:r>
      <w:r>
        <w:rPr>
          <w:szCs w:val="24"/>
        </w:rPr>
        <w:instrText xml:space="preserve"> ADDIN ZOTERO_ITEM CSL_CITATION {"citationID":"ZFTw5Hk5","properties":{"formattedCitation":"[10], [27]","plainCitation":"[10], [27]","noteIndex":0},"citationItems":[{"id":1914,"uris":["http://zotero.org/users/9870935/items/MRD83LE5"],"itemData":{"id":1914,"type":"article-journal","language":"en","source":"Zotero","title":"NVIDIA Hopper Architecture In-Depth","URL":"https://developer.nvidia.com/blog/nvidia-hopper-architecture-in-depth/","author":[{"family":"Andersch","given":"Michael"},{"family":"Palmer","given":"Greg"},{"family":"Krashinsky","given":"Ronny"},{"family":"Stam","given":"Nick"},{"family":"Mehta","given":"Vishal"},{"family":"Brito","given":"Gonzalo"},{"family":"Ramaswamy","given":"Sridhar"}]}},{"id":1954,"uris":["http://zotero.org/users/9870935/items/PCATWEQE"],"itemData":{"id":1954,"type":"article-journal","container-title":"IEEE Transactions on Parallel and Distributed Systems","DOI":"10.1109/TPDS.2021.3115630","ISSN":"1045-9219, 1558-2183, 2161-9883","issue":"6","journalAbbreviation":"IEEE Trans. Parallel Distrib. Syst.","license":"https://ieeexplore.ieee.org/Xplorehelp/downloads/license-information/IEEE.html","page":"1451-1463","source":"DOI.org (Crossref)","title":"A Survey of GPU Multitasking Methods Supported by Hardware Architecture","volume":"33","author":[{"family":"Zhao","given":"Chen"},{"family":"Gao","given":"Wu"},{"family":"Nie","given":"Feiping"},{"family":"Zhou","given":"Huiyang"}],"issued":{"date-parts":[["2022",6,1]]}}}],"schema":"https://github.com/citation-style-language/schema/raw/master/csl-citation.json"} </w:instrText>
      </w:r>
      <w:r>
        <w:rPr>
          <w:szCs w:val="24"/>
        </w:rPr>
        <w:fldChar w:fldCharType="separate"/>
      </w:r>
      <w:r w:rsidRPr="00B56A24">
        <w:t>[10], [27]</w:t>
      </w:r>
      <w:r>
        <w:rPr>
          <w:szCs w:val="24"/>
        </w:rPr>
        <w:fldChar w:fldCharType="end"/>
      </w:r>
      <w:r>
        <w:rPr>
          <w:szCs w:val="24"/>
        </w:rPr>
        <w:t xml:space="preserve">. </w:t>
      </w:r>
      <w:r w:rsidRPr="00684620">
        <w:rPr>
          <w:szCs w:val="24"/>
        </w:rPr>
        <w:t>Power densities can reach 30 kW on a rack with eight GPUs per server and multiple servers per rack, whereas typical enterprise computing rack power densities are 5–10 kW</w:t>
      </w:r>
      <w:r>
        <w:rPr>
          <w:szCs w:val="24"/>
        </w:rPr>
        <w:fldChar w:fldCharType="begin"/>
      </w:r>
      <w:r>
        <w:rPr>
          <w:szCs w:val="24"/>
        </w:rPr>
        <w:instrText xml:space="preserve"> ADDIN ZOTERO_ITEM CSL_CITATION {"citationID":"fI33HUPr","properties":{"formattedCitation":"[28]","plainCitation":"[28]","noteIndex":0},"citationItems":[{"id":1956,"uris":["http://zotero.org/users/9870935/items/LXX5NDM3"],"itemData":{"id":1956,"type":"article-journal","language":"en","source":"Zotero","title":"How 6 AI Attributes Change Data Center Design","URL":"https://download.schneider-electric.com/files?p_Doc_Ref=SPD_WP110_EN&amp;p_enDocType=White+Paper&amp;p_File_Name=WP110_V3_1_EN.pdf","author":[{"family":"Avelar","given":"Victor"},{"family":"Donovan","given":"Patrick"}]}}],"schema":"https://github.com/citation-style-language/schema/raw/master/csl-citation.json"} </w:instrText>
      </w:r>
      <w:r>
        <w:rPr>
          <w:szCs w:val="24"/>
        </w:rPr>
        <w:fldChar w:fldCharType="separate"/>
      </w:r>
      <w:r w:rsidRPr="00A47543">
        <w:t>[28]</w:t>
      </w:r>
      <w:r>
        <w:rPr>
          <w:szCs w:val="24"/>
        </w:rPr>
        <w:fldChar w:fldCharType="end"/>
      </w:r>
      <w:r w:rsidRPr="00684620">
        <w:rPr>
          <w:szCs w:val="24"/>
        </w:rPr>
        <w:t>. This significant increase in computing density has far-reaching effects on power delivery infrastructure, cooling system design, and facility power usage.</w:t>
      </w:r>
    </w:p>
    <w:p w14:paraId="58B7A460" w14:textId="77777777" w:rsidR="00FE013C" w:rsidRPr="00684620" w:rsidRDefault="00FE013C" w:rsidP="004C16FF">
      <w:pPr>
        <w:spacing w:after="120"/>
        <w:ind w:firstLine="480"/>
        <w:rPr>
          <w:szCs w:val="24"/>
        </w:rPr>
      </w:pPr>
      <w:r w:rsidRPr="00684620">
        <w:rPr>
          <w:szCs w:val="24"/>
        </w:rPr>
        <w:t>The intensity and timing of training vary depending on the inference made. Training is designed to use high and near-maximum power for hours to weeks and has little or no "idle" time between computation cycles</w:t>
      </w:r>
      <w:r>
        <w:rPr>
          <w:szCs w:val="24"/>
        </w:rPr>
        <w:fldChar w:fldCharType="begin"/>
      </w:r>
      <w:r>
        <w:rPr>
          <w:szCs w:val="24"/>
        </w:rPr>
        <w:instrText xml:space="preserve"> ADDIN ZOTERO_ITEM CSL_CITATION {"citationID":"JIAomyCW","properties":{"formattedCitation":"[4], [29]","plainCitation":"[4], [29]","noteIndex":0},"citationItems":[{"id":1900,"uris":["http://zotero.org/users/9870935/items/IDZTTL47"],"itemData":{"id":1900,"type":"article","abstract":"The computation demand for machine learning (ML) has grown rapidly recently, which comes with a number of costs. Estimating the energy cost helps measure its environmental impact and finding greener strategies, yet it is challenging without detailed information. We calculate the energy use and carbon footprint of several recent large models-T5, Meena, GShard, Switch Transformer, and GPT-3-and refine earlier estimates for the neural architecture search that found Evolved Transformer. We highlight the following opportunities to improve energy efficiency and CO2 equivalent emissions (CO2e): Large but sparsely activated DNNs can consume &amp;lt;1/10th the energy of large, dense DNNs without sacrificing accuracy despite using as many or even more parameters. Geographic location matters for ML workload scheduling since the fraction of carbon-free energy and resulting CO2e vary ~5X-10X, even within the same country and the same organization. We are now optimizing where and when large models are trained. Specific datacenter infrastructure matters, as Cloud datacenters can be ~1.4-2X more energy efficient than typical datacenters, and the ML-oriented accelerators inside them can be ~2-5X more effective than off-the-shelf systems. Remarkably, the choice of DNN, datacenter, and processor can reduce the carbon footprint up to ~100-1000X. These large factors also make retroactive estimates of energy cost difficult. To avoid miscalculations, we believe ML papers requiring large computational resources should make energy consumption and CO2e explicit when practical. We are working to be more transparent about energy use and CO2e in our future research. To help reduce the carbon footprint of ML, we believe energy usage and CO2e should be a key metric in evaluating models, and we are collaborating with MLPerf developers to include energy usage during training and inference in this industry standard benchmark.","DOI":"10.48550/ARXIV.2104.10350","license":"arXiv.org perpetual, non-exclusive license","note":"version: 3","publisher":"arXiv","source":"DOI.org (Datacite)","title":"Carbon Emissions and Large Neural Network Training","URL":"https://arxiv.org/abs/2104.10350","author":[{"family":"Patterson","given":"David"},{"family":"Gonzalez","given":"Joseph"},{"family":"Le","given":"Quoc"},{"family":"Liang","given":"Chen"},{"family":"Munguia","given":"Lluis-Miquel"},{"family":"Rothchild","given":"Daniel"},{"family":"So","given":"David"},{"family":"Texier","given":"Maud"},{"family":"Dean","given":"Jeff"}],"accessed":{"date-parts":[["2026",5,10]]},"issued":{"date-parts":[["2021"]]}}},{"id":1957,"uris":["http://zotero.org/users/9870935/items/93BT8GDX"],"itemData":{"id":1957,"type":"article","abstract":"Recent work has demonstrated substantial gains on many NLP tasks and benchmarks by pre-training on a large corpus of text followed by fine-tuning on a specific task. While typically task-agnostic in architecture, this method still requires task-specific fine-tuning datasets of thousands or tens of thousands of examples. By contrast, humans can generally perform a new language task from only a few examples or from simple instructions - something which current NLP systems still largely struggle to do. Here we show that scaling up language models greatly improves task-agnostic, few-shot performance, sometimes even reaching competitiveness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as well as several tasks that require on-the-fly reasoning or domain adaptation, such as unscrambling words, using a novel word in a sentence, or performing 3-digit arithmetic. At the same time, we also identify some datasets where GPT-3's few-shot learning still struggles, as well as some datasets where GPT-3 faces methodological issues related to training on large web corpora. Finally, we find that GPT-3 can generate samples of news articles which human evaluators have difficulty distinguishing from articles written by humans. We discuss broader societal impacts of this finding and of GPT-3 in general.","DOI":"10.48550/ARXIV.2005.14165","license":"arXiv.org perpetual, non-exclusive license","note":"version: 4","publisher":"arXiv","source":"DOI.org (Datacite)","title":"Language Models are Few-Shot Learners","URL":"https://arxiv.org/abs/2005.14165","author":[{"family":"Brown","given":"Tom B."},{"family":"Mann","given":"Benjamin"},{"family":"Ryder","given":"Nick"},{"family":"Subbiah","given":"Melanie"},{"family":"Kaplan","given":"Jared"},{"family":"Dhariwal","given":"Prafulla"},{"family":"Neelakantan","given":"Arvind"},{"family":"Shyam","given":"Pranav"},{"family":"Sastry","given":"Girish"},{"family":"Askell","given":"Amanda"},{"family":"Agarwal","given":"Sandhini"},{"family":"Herbert-Voss","given":"Ariel"},{"family":"Krueger","given":"Gretchen"},{"family":"Henighan","given":"Tom"},{"family":"Child","given":"Rewon"},{"family":"Ramesh","given":"Aditya"},{"family":"Ziegler","given":"Daniel M."},{"family":"Wu","given":"Jeffrey"},{"family":"Winter","given":"Clemens"},{"family":"Hesse","given":"Christopher"},{"family":"Chen","given":"Mark"},{"family":"Sigler","given":"Eric"},{"family":"Litwin","given":"Mateusz"},{"family":"Gray","given":"Scott"},{"family":"Chess","given":"Benjamin"},{"family":"Clark","given":"Jack"},{"family":"Berner","given":"Christopher"},{"family":"McCandlish","given":"Sam"},{"family":"Radford","given":"Alec"},{"family":"Sutskever","given":"Ilya"},{"family":"Amodei","given":"Dario"}],"accessed":{"date-parts":[["2026",5,10]]},"issued":{"date-parts":[["2020"]]}}}],"schema":"https://github.com/citation-style-language/schema/raw/master/csl-citation.json"} </w:instrText>
      </w:r>
      <w:r>
        <w:rPr>
          <w:szCs w:val="24"/>
        </w:rPr>
        <w:fldChar w:fldCharType="separate"/>
      </w:r>
      <w:r w:rsidRPr="005B5BA4">
        <w:t>[4], [29]</w:t>
      </w:r>
      <w:r>
        <w:rPr>
          <w:szCs w:val="24"/>
        </w:rPr>
        <w:fldChar w:fldCharType="end"/>
      </w:r>
      <w:r>
        <w:rPr>
          <w:szCs w:val="24"/>
        </w:rPr>
        <w:t xml:space="preserve">. </w:t>
      </w:r>
      <w:r w:rsidRPr="00684620">
        <w:rPr>
          <w:szCs w:val="24"/>
        </w:rPr>
        <w:t xml:space="preserve">Inference workloads are more variable because power consumption can vary depending on the number of requests, the model complexity, and the batch size. Research shows that training loads generally use 80-95% of the peak GPU power, and inferences use 40-70% of the peak GPU power, depending on the application and traffic </w:t>
      </w:r>
      <w:r>
        <w:rPr>
          <w:szCs w:val="24"/>
        </w:rPr>
        <w:fldChar w:fldCharType="begin"/>
      </w:r>
      <w:r>
        <w:rPr>
          <w:szCs w:val="24"/>
        </w:rPr>
        <w:instrText xml:space="preserve"> ADDIN ZOTERO_ITEM CSL_CITATION {"citationID":"oHiR4RkN","properties":{"formattedCitation":"[30]","plainCitation":"[30]","noteIndex":0},"citationItems":[{"id":1960,"uris":["http://zotero.org/users/9870935/items/PYZHUHRC"],"itemData":{"id":1960,"type":"article-journal","abstract":"Training large language models (LLMs) consumes vast energy and produces substantial carbon emissions, yet this impact remains largely invisible due to limited transparency. We compile reported and estimated training emissions (2018–2024) for 13 state-of-the-art models and reframe them through human-friendly comparisons, such as trees required for absorption, and per-capita footprints, via our interactive demo. Our findings highlight both the alarming scale of emissions and the lack of standardized reporting. We position this work as a contribution to Creative Practices, advancing public awareness and encouraging model reporting transparency of generative AI (GenAI). Our demo is available: https://neurips-c02-viz.vercel.app/.","language":"en","source":"Zotero","title":"Carbon Literacy for Generative AI: Visualizing Training Emissions Through Human-Scale Equivalents","URL":"https://openreview.net/forum?id=86NT1eVitH&amp;referrer=%5Bthe%20profile%20of%20Mahveen%20Raza%5D(%2Fprofile%3Fid%3D~Mahveen_Raza1)","author":[{"family":"Raza","given":"Mahveen"}]}}],"schema":"https://github.com/citation-style-language/schema/raw/master/csl-citation.json"} </w:instrText>
      </w:r>
      <w:r>
        <w:rPr>
          <w:szCs w:val="24"/>
        </w:rPr>
        <w:fldChar w:fldCharType="separate"/>
      </w:r>
      <w:r w:rsidRPr="00363763">
        <w:t>[30]</w:t>
      </w:r>
      <w:r>
        <w:rPr>
          <w:szCs w:val="24"/>
        </w:rPr>
        <w:fldChar w:fldCharType="end"/>
      </w:r>
      <w:r w:rsidRPr="00684620">
        <w:rPr>
          <w:szCs w:val="24"/>
        </w:rPr>
        <w:t>. The temporal load pattern has important implications for integration planning for renewable energy, as the length of time they are stored and dispatched depends on this.</w:t>
      </w:r>
    </w:p>
    <w:p w14:paraId="1829D0F1" w14:textId="27F46A08" w:rsidR="00FE013C" w:rsidRPr="00684620" w:rsidRDefault="00FE013C" w:rsidP="004C16FF">
      <w:pPr>
        <w:spacing w:after="120"/>
        <w:ind w:firstLine="480"/>
        <w:rPr>
          <w:szCs w:val="24"/>
        </w:rPr>
      </w:pPr>
      <w:r w:rsidRPr="00684620">
        <w:rPr>
          <w:szCs w:val="24"/>
        </w:rPr>
        <w:t xml:space="preserve">The most widely used measure for the energy efficiency of a data </w:t>
      </w:r>
      <w:r w:rsidR="00232D2E" w:rsidRPr="00684620">
        <w:rPr>
          <w:szCs w:val="24"/>
        </w:rPr>
        <w:t>center</w:t>
      </w:r>
      <w:r w:rsidRPr="00684620">
        <w:rPr>
          <w:szCs w:val="24"/>
        </w:rPr>
        <w:t xml:space="preserve"> is called the power usage effectiveness (PUE), which is calculated as the ratio of total facility power to IT equipment power. The Uptime Institute 2024 Global Data Center Survey, which drew results from almost 900 operators worldwide, found an industry average PUE of 1.56, and facilities with the lowest scores had a PUE of 1.06 [9]. However, the survey found that there has been little improvement in PUE in the last five years, as the overall average value has not significantly changed since 2019. The plateau is attributed to the rising power needs of these accelerators, as efficiency advances in power distribution and cooling have failed to keep up. Generally, Google's plants have been at the forefront of the PUE front, with a trailing 12-month average of 1.10 across the worldwide fleet of the company, owing to the use of advanced cooling systems, custom server design, and AI-based temperature management</w:t>
      </w:r>
      <w:r>
        <w:rPr>
          <w:szCs w:val="24"/>
        </w:rPr>
        <w:fldChar w:fldCharType="begin"/>
      </w:r>
      <w:r>
        <w:rPr>
          <w:szCs w:val="24"/>
        </w:rPr>
        <w:instrText xml:space="preserve"> ADDIN ZOTERO_ITEM CSL_CITATION {"citationID":"kJk7hCJe","properties":{"unsorted":false,"formattedCitation":"[31]","plainCitation":"[31]","noteIndex":0},"citationItems":[{"id":1961,"uris":["http://zotero.org/users/9870935/items/RMS65YHB"],"itemData":{"id":1961,"type":"post-weblog","title":"Growing the internet while reducing energy consumption","URL":"https://datacenters.google/efficiency/","author":[{"family":"Google","given":""}]}}],"schema":"https://github.com/citation-style-language/schema/raw/master/csl-citation.json"} </w:instrText>
      </w:r>
      <w:r>
        <w:rPr>
          <w:szCs w:val="24"/>
        </w:rPr>
        <w:fldChar w:fldCharType="separate"/>
      </w:r>
      <w:r w:rsidRPr="00436DD1">
        <w:t>[31]</w:t>
      </w:r>
      <w:r>
        <w:rPr>
          <w:szCs w:val="24"/>
        </w:rPr>
        <w:fldChar w:fldCharType="end"/>
      </w:r>
      <w:r w:rsidRPr="00684620">
        <w:rPr>
          <w:szCs w:val="24"/>
        </w:rPr>
        <w:t>.</w:t>
      </w:r>
    </w:p>
    <w:p w14:paraId="17416DC4" w14:textId="700F7B86" w:rsidR="00FE013C" w:rsidRPr="00684620" w:rsidRDefault="00FE013C" w:rsidP="004C16FF">
      <w:pPr>
        <w:spacing w:after="120"/>
        <w:ind w:firstLine="480"/>
        <w:rPr>
          <w:szCs w:val="24"/>
        </w:rPr>
      </w:pPr>
      <w:r w:rsidRPr="00684620">
        <w:rPr>
          <w:szCs w:val="24"/>
        </w:rPr>
        <w:t xml:space="preserve">The second most energy-intensive consumer of energy in data </w:t>
      </w:r>
      <w:r w:rsidR="00232D2E" w:rsidRPr="00684620">
        <w:rPr>
          <w:szCs w:val="24"/>
        </w:rPr>
        <w:t>centers</w:t>
      </w:r>
      <w:r w:rsidRPr="00684620">
        <w:rPr>
          <w:szCs w:val="24"/>
        </w:rPr>
        <w:t xml:space="preserve"> is the cooling system, which consumes between 30% and 50</w:t>
      </w:r>
      <w:r>
        <w:rPr>
          <w:szCs w:val="24"/>
        </w:rPr>
        <w:t xml:space="preserve">% </w:t>
      </w:r>
      <w:r w:rsidRPr="00684620">
        <w:rPr>
          <w:szCs w:val="24"/>
        </w:rPr>
        <w:t xml:space="preserve">of the total energy used by the data </w:t>
      </w:r>
      <w:r w:rsidR="00232D2E" w:rsidRPr="00684620">
        <w:rPr>
          <w:szCs w:val="24"/>
        </w:rPr>
        <w:t>center</w:t>
      </w:r>
      <w:r w:rsidRPr="00684620">
        <w:rPr>
          <w:szCs w:val="24"/>
        </w:rPr>
        <w:t xml:space="preserve"> facility</w:t>
      </w:r>
      <w:r>
        <w:rPr>
          <w:szCs w:val="24"/>
        </w:rPr>
        <w:fldChar w:fldCharType="begin"/>
      </w:r>
      <w:r>
        <w:rPr>
          <w:szCs w:val="24"/>
        </w:rPr>
        <w:instrText xml:space="preserve"> ADDIN ZOTERO_ITEM CSL_CITATION {"citationID":"CnjmtKzh","properties":{"unsorted":false,"formattedCitation":"[32], [33]","plainCitation":"[32], [33]","noteIndex":0},"citationItems":[{"id":1962,"uris":["http://zotero.org/users/9870935/items/CJR355SS"],"itemData":{"id":1962,"type":"article-journal","container-title":"Sustainable Energy Technologies and Assessments","DOI":"10.1016/j.seta.2025.104511","ISSN":"22131388","journalAbbreviation":"Sustainable Energy Technologies and Assessments","language":"en","page":"104511","source":"DOI.org (Crossref)","title":"AI-driven cooling technologies for high-performance data centres: state-of-the-art review and future directions","title-short":"AI-driven cooling technologies for high-performance data centres","volume":"82","author":[{"family":"Al Kez","given":"Dlzar"},{"family":"Foley","given":"Aoife M"},{"family":"Hasan Wong","given":"Fadhli Wong B.M."},{"family":"Dolfi","given":"Andrea"},{"family":"Srinivasan","given":"Geetha"}],"issued":{"date-parts":[["2025",10]]}}},{"id":1963,"uris":["http://zotero.org/users/9870935/items/KNQTTPD2"],"itemData":{"id":1963,"type":"article-journal","container-title":"Energy Procedia","DOI":"10.1016/j.egypro.2017.03.581","ISSN":"18766102","journalAbbreviation":"Energy Procedia","language":"en","page":"2047-2052","source":"DOI.org (Crossref)","title":"Cooling Energy Consumption Investigation of Data Center IT Room with Vertical Placed Server","volume":"105","author":[{"family":"Zhang","given":"X."},{"family":"Lindberg","given":"T."},{"family":"Xiong","given":"N."},{"family":"Vyatkin","given":"V."},{"family":"Mousavi","given":"A."}],"issued":{"date-parts":[["2017",5]]}}}],"schema":"https://github.com/citation-style-language/schema/raw/master/csl-citation.json"} </w:instrText>
      </w:r>
      <w:r>
        <w:rPr>
          <w:szCs w:val="24"/>
        </w:rPr>
        <w:fldChar w:fldCharType="separate"/>
      </w:r>
      <w:r w:rsidRPr="00AE143F">
        <w:t>[32], [33]</w:t>
      </w:r>
      <w:r>
        <w:rPr>
          <w:szCs w:val="24"/>
        </w:rPr>
        <w:fldChar w:fldCharType="end"/>
      </w:r>
      <w:r w:rsidRPr="00684620">
        <w:rPr>
          <w:szCs w:val="24"/>
        </w:rPr>
        <w:t xml:space="preserve">. The traditional cooling method has limitations in high-density AI deployments, where the heat generation per square meter can surpass that achievable using a conventional computer room air conditioning (CRAC) system. Liquid cooling is a technology that can provide significant efficiency </w:t>
      </w:r>
      <w:r w:rsidRPr="00684620">
        <w:rPr>
          <w:szCs w:val="24"/>
        </w:rPr>
        <w:lastRenderedPageBreak/>
        <w:t xml:space="preserve">gains, up </w:t>
      </w:r>
      <w:r>
        <w:rPr>
          <w:szCs w:val="24"/>
        </w:rPr>
        <w:t>to 40%</w:t>
      </w:r>
      <w:r w:rsidRPr="00684620">
        <w:rPr>
          <w:szCs w:val="24"/>
        </w:rPr>
        <w:t xml:space="preserve"> of cooling energy compared to air-based cooling</w:t>
      </w:r>
      <w:r>
        <w:rPr>
          <w:szCs w:val="24"/>
        </w:rPr>
        <w:t xml:space="preserve"> </w:t>
      </w:r>
      <w:r>
        <w:rPr>
          <w:szCs w:val="24"/>
        </w:rPr>
        <w:fldChar w:fldCharType="begin"/>
      </w:r>
      <w:r>
        <w:rPr>
          <w:szCs w:val="24"/>
        </w:rPr>
        <w:instrText xml:space="preserve"> ADDIN ZOTERO_ITEM CSL_CITATION {"citationID":"vtXS9ZhK","properties":{"unsorted":false,"formattedCitation":"[34]","plainCitation":"[34]","noteIndex":0},"citationItems":[{"id":1964,"uris":["http://zotero.org/users/9870935/items/97W4FH39"],"itemData":{"id":1964,"type":"article-journal","container-title":"Applied Thermal Engineering","DOI":"10.1016/j.applthermaleng.2024.123112","ISSN":"13594311","journalAbbreviation":"Applied Thermal Engineering","language":"en","page":"123112","source":"DOI.org (Crossref)","title":"Liquid cooling of data centers: A necessity facing challenges","title-short":"Liquid cooling of data centers","volume":"247","author":[{"family":"Azarifar","given":"Mohammad"},{"family":"Arik","given":"Mehmet"},{"family":"Chang","given":"Je-Young"}],"issued":{"date-parts":[["2024",6]]}}}],"schema":"https://github.com/citation-style-language/schema/raw/master/csl-citation.json"} </w:instrText>
      </w:r>
      <w:r>
        <w:rPr>
          <w:szCs w:val="24"/>
        </w:rPr>
        <w:fldChar w:fldCharType="separate"/>
      </w:r>
      <w:r w:rsidRPr="001C1DB8">
        <w:t>[34]</w:t>
      </w:r>
      <w:r>
        <w:rPr>
          <w:szCs w:val="24"/>
        </w:rPr>
        <w:fldChar w:fldCharType="end"/>
      </w:r>
      <w:r w:rsidRPr="00684620">
        <w:rPr>
          <w:szCs w:val="24"/>
        </w:rPr>
        <w:t xml:space="preserve">. Next-generation data </w:t>
      </w:r>
      <w:r w:rsidR="00232D2E" w:rsidRPr="00684620">
        <w:rPr>
          <w:szCs w:val="24"/>
        </w:rPr>
        <w:t>center</w:t>
      </w:r>
      <w:r w:rsidRPr="00684620">
        <w:rPr>
          <w:szCs w:val="24"/>
        </w:rPr>
        <w:t xml:space="preserve"> designs by Microsoft do not use water to cool the data </w:t>
      </w:r>
      <w:r w:rsidR="00232D2E" w:rsidRPr="00684620">
        <w:rPr>
          <w:szCs w:val="24"/>
        </w:rPr>
        <w:t>center</w:t>
      </w:r>
      <w:r w:rsidRPr="00684620">
        <w:rPr>
          <w:szCs w:val="24"/>
        </w:rPr>
        <w:t xml:space="preserve"> and are at the forefront of cooling technology for AI workloads</w:t>
      </w:r>
      <w:r>
        <w:rPr>
          <w:szCs w:val="24"/>
        </w:rPr>
        <w:fldChar w:fldCharType="begin"/>
      </w:r>
      <w:r>
        <w:rPr>
          <w:szCs w:val="24"/>
        </w:rPr>
        <w:instrText xml:space="preserve"> ADDIN ZOTERO_ITEM CSL_CITATION {"citationID":"1bmuswBt","properties":{"unsorted":false,"formattedCitation":"[35]","plainCitation":"[35]","noteIndex":0},"citationItems":[{"id":1965,"uris":["http://zotero.org/users/9870935/items/NFH32ZLK"],"itemData":{"id":1965,"type":"article-journal","container-title":"Technology Review for Carbon Neutrality","DOI":"10.26599/TRCN.2025.9550014","ISSN":"3007-6544, 3007-3944","language":"en","page":"9550014","source":"DOI.org (Crossref)","title":"Accelerating liquid cooling adoption in data centers: necessity, challenges and solutions","title-short":"Accelerating liquid cooling adoption in data centers","author":[{"family":"Zhou","given":"David"},{"family":"Du","given":"Liguang"},{"family":"Xu","given":"Ran"},{"family":"Song","given":"Jiqiang"},{"family":"Chen","given":"Na"},{"family":"Zheng","given":"Shanshan"},{"family":"Fan","given":"Yuehong"}],"issued":{"date-parts":[["2025",12]]}}}],"schema":"https://github.com/citation-style-language/schema/raw/master/csl-citation.json"} </w:instrText>
      </w:r>
      <w:r>
        <w:rPr>
          <w:szCs w:val="24"/>
        </w:rPr>
        <w:fldChar w:fldCharType="separate"/>
      </w:r>
      <w:r w:rsidRPr="008A2F4C">
        <w:t>[35]</w:t>
      </w:r>
      <w:r>
        <w:rPr>
          <w:szCs w:val="24"/>
        </w:rPr>
        <w:fldChar w:fldCharType="end"/>
      </w:r>
      <w:r w:rsidRPr="00684620">
        <w:rPr>
          <w:szCs w:val="24"/>
        </w:rPr>
        <w:t>.</w:t>
      </w:r>
    </w:p>
    <w:p w14:paraId="441CC53B" w14:textId="77777777" w:rsidR="00FE013C" w:rsidRDefault="00FE013C" w:rsidP="004C16FF">
      <w:pPr>
        <w:pStyle w:val="Heading20"/>
        <w:jc w:val="both"/>
        <w:rPr>
          <w:color w:val="auto"/>
        </w:rPr>
      </w:pPr>
      <w:r>
        <w:rPr>
          <w:color w:val="auto"/>
        </w:rPr>
        <w:t>2.2. Renewable Energy Technologies</w:t>
      </w:r>
    </w:p>
    <w:p w14:paraId="1EC737C9" w14:textId="0B22094F" w:rsidR="00FE013C" w:rsidRPr="005C62D0" w:rsidRDefault="00FE013C" w:rsidP="004C16FF">
      <w:pPr>
        <w:spacing w:after="120"/>
        <w:ind w:firstLine="480"/>
        <w:rPr>
          <w:szCs w:val="24"/>
        </w:rPr>
      </w:pPr>
      <w:r w:rsidRPr="00967457">
        <w:rPr>
          <w:szCs w:val="24"/>
        </w:rPr>
        <w:t xml:space="preserve">In the last 10 years, solar PV technology has experienced an incredible shift in cost and performance. The efficiencies of mainstream commercial modules have increased from </w:t>
      </w:r>
      <w:r w:rsidRPr="00571D9E">
        <w:rPr>
          <w:szCs w:val="24"/>
        </w:rPr>
        <w:t>15–17</w:t>
      </w:r>
      <w:r>
        <w:rPr>
          <w:szCs w:val="24"/>
        </w:rPr>
        <w:t xml:space="preserve">% </w:t>
      </w:r>
      <w:r w:rsidRPr="00571D9E">
        <w:rPr>
          <w:szCs w:val="24"/>
        </w:rPr>
        <w:t>in 2016</w:t>
      </w:r>
      <w:r w:rsidRPr="00967457">
        <w:rPr>
          <w:szCs w:val="24"/>
        </w:rPr>
        <w:t xml:space="preserve"> to </w:t>
      </w:r>
      <w:r w:rsidRPr="00571D9E">
        <w:rPr>
          <w:szCs w:val="24"/>
        </w:rPr>
        <w:t>21–23</w:t>
      </w:r>
      <w:r>
        <w:rPr>
          <w:szCs w:val="24"/>
        </w:rPr>
        <w:t>%</w:t>
      </w:r>
      <w:r w:rsidRPr="00571D9E">
        <w:rPr>
          <w:szCs w:val="24"/>
        </w:rPr>
        <w:t xml:space="preserve"> in 2026</w:t>
      </w:r>
      <w:r w:rsidRPr="00967457">
        <w:rPr>
          <w:szCs w:val="24"/>
        </w:rPr>
        <w:t xml:space="preserve">, with efficiencies of </w:t>
      </w:r>
      <w:r w:rsidRPr="00571D9E">
        <w:rPr>
          <w:szCs w:val="24"/>
        </w:rPr>
        <w:t>24</w:t>
      </w:r>
      <w:r>
        <w:rPr>
          <w:szCs w:val="24"/>
        </w:rPr>
        <w:t>–</w:t>
      </w:r>
      <w:r w:rsidRPr="00571D9E">
        <w:rPr>
          <w:szCs w:val="24"/>
        </w:rPr>
        <w:t>25</w:t>
      </w:r>
      <w:r>
        <w:rPr>
          <w:szCs w:val="24"/>
        </w:rPr>
        <w:t xml:space="preserve">% </w:t>
      </w:r>
      <w:r w:rsidRPr="00571D9E">
        <w:rPr>
          <w:szCs w:val="24"/>
        </w:rPr>
        <w:t>for premium modules</w:t>
      </w:r>
      <w:r w:rsidRPr="00967457">
        <w:rPr>
          <w:szCs w:val="24"/>
        </w:rPr>
        <w:t xml:space="preserve"> achieved by advanced </w:t>
      </w:r>
      <w:proofErr w:type="spellStart"/>
      <w:r w:rsidRPr="00571D9E">
        <w:rPr>
          <w:szCs w:val="24"/>
        </w:rPr>
        <w:t>TOPCon</w:t>
      </w:r>
      <w:proofErr w:type="spellEnd"/>
      <w:r w:rsidRPr="00571D9E">
        <w:rPr>
          <w:szCs w:val="24"/>
        </w:rPr>
        <w:t>, heterojunction (HJT), and back contact (BC)</w:t>
      </w:r>
      <w:r w:rsidRPr="00967457">
        <w:rPr>
          <w:szCs w:val="24"/>
        </w:rPr>
        <w:t xml:space="preserve"> cell architectures</w:t>
      </w:r>
      <w:r>
        <w:rPr>
          <w:szCs w:val="24"/>
        </w:rPr>
        <w:fldChar w:fldCharType="begin"/>
      </w:r>
      <w:r>
        <w:rPr>
          <w:szCs w:val="24"/>
        </w:rPr>
        <w:instrText xml:space="preserve"> ADDIN ZOTERO_ITEM CSL_CITATION {"citationID":"UthNAGrE","properties":{"unsorted":false,"formattedCitation":"[36]","plainCitation":"[36]","noteIndex":0},"citationItems":[{"id":1967,"uris":["http://zotero.org/users/9870935/items/AQSZGCZJ"],"itemData":{"id":1967,"type":"article-journal","abstract":"Perovskite–TOPCon\n              2\n              tandem solar cells reaching 31.3% efficiency on front-textured devices, enabled by an optimized AlO\n              \n                x\n              \n              -based hydrogenation process that provides high passivation quality.\n            \n          , \n            \n              We demonstrate high-efficiency perovskite–silicon tandem solar cells using double-sided tunnel oxide passivated contacts (TOPCon\n              2\n              ) bottom cells, achieving 30.2% efficiency on both-sides flat and 31.3% on front-textured devices. The former is enabled by high passivation quality on flat surfaces and the latter by enhanced optical performance. These results highlight that TOPCon\n              2\n              is a promising platform for scalable tandem integration beyond silicon heterojunction-based bottom cells.","container-title":"EES Solar","DOI":"10.1039/D5EL00105F","ISSN":"3033-4063","issue":"5","journalAbbreviation":"EES Sol.","language":"en","page":"732-735","source":"DOI.org (Crossref)","title":"Over 31%-efficient perovskite–TOPCon solar cells enabled by AlO&lt;sub&gt; &lt;i&gt;x&lt;/i&gt; &lt;/sub&gt; -based hydrogenation and front sub-micron texturing","volume":"1","author":[{"family":"Hurni","given":"Julien"},{"family":"Artuk","given":"Kerem"},{"family":"Schaller","given":"Thibault"},{"family":"Austin","given":"Jonathan S."},{"family":"Sakakibara","given":"Reyu"},{"family":"Paviet-Salomon","given":"Bertrand"},{"family":"Morisset","given":"Audrey"},{"family":"Fu","given":"Fan"},{"family":"Ballif","given":"Christophe"},{"family":"Wolff","given":"Christian M."},{"family":"Haug","given":"Franz-Josef"}],"issued":{"date-parts":[["2025"]]}}}],"schema":"https://github.com/citation-style-language/schema/raw/master/csl-citation.json"} </w:instrText>
      </w:r>
      <w:r>
        <w:rPr>
          <w:szCs w:val="24"/>
        </w:rPr>
        <w:fldChar w:fldCharType="separate"/>
      </w:r>
      <w:r w:rsidRPr="001B2A37">
        <w:t>[36]</w:t>
      </w:r>
      <w:r>
        <w:rPr>
          <w:szCs w:val="24"/>
        </w:rPr>
        <w:fldChar w:fldCharType="end"/>
      </w:r>
      <w:r w:rsidRPr="005C62D0">
        <w:rPr>
          <w:szCs w:val="24"/>
        </w:rPr>
        <w:t>. The efficiency of the inverter has also improved, and modern string and central inverters can achieve a weighted efficiency of 95–98.5 % %under different load conditions</w:t>
      </w:r>
      <w:r>
        <w:rPr>
          <w:szCs w:val="24"/>
        </w:rPr>
        <w:fldChar w:fldCharType="begin"/>
      </w:r>
      <w:r>
        <w:rPr>
          <w:szCs w:val="24"/>
        </w:rPr>
        <w:instrText xml:space="preserve"> ADDIN ZOTERO_ITEM CSL_CITATION {"citationID":"PZTT6vfG","properties":{"unsorted":false,"formattedCitation":"[37]","plainCitation":"[37]","noteIndex":0},"citationItems":[{"id":1969,"uris":["http://zotero.org/users/9870935/items/BE7V2SLT"],"itemData":{"id":1969,"type":"article-journal","abstract":"This review analyzes the transition from silicon to wide-bandgap (WBG) and ultrawide-bandgap (UWBG) semiconductor materials for power electronics, focusing on Silicon Carbide (SiC) and Gallium Nitride (GaN) technologies. Following a PRISMA-based systematic review methodology, we analyzed 94 peer-reviewed publications spanning device technology, converter architectures, and system applications. We employ a bottom-up approach, progressing from fundamental material properties through device architectures and converter topologies to system-level implications. We examine how intrinsic material properties enable operation at elevated temperatures, voltages, and frequencies while minimizing losses. Through analysis of Figures of Merit and system-level Key Performance Indicators, we quantify WBG benefits across automotive, industrial, renewable energy, and consumer electronics sectors, demonstrating 3–5× power density improvements and 20–40% cost reductions. The review presents emerging device technologies, including vertical GaN for medium-voltage applications and monolithic bidirectional switches (BDSs), enabling single-stage power conversion. We provide the first comprehensive topology-level comparison of emerging vertical GaN and monolithic bidirectional switches against established SiC solutions, identifying specific applications where each technology offers advantages. A comprehensive topology-by-topology comparison between SiC and GaN is provided, offering design guidelines for device selection. The review addresses practical constraints, including dynamic on-resistance degradation, threshold voltage instability, and electromagnetic interference challenges for both SiC and GaN. Finally, we examine emerging UWBG materials (β-Ga2O3, AlN, c-BN, Diamond) and their development status, manufacturing challenges, supply chain considerations, and commercialization prospects for ultra-high-voltage applications.","container-title":"Electronics","DOI":"10.3390/electronics15040835","ISSN":"2079-9292","issue":"4","journalAbbreviation":"Electronics","language":"en","page":"835","source":"DOI.org (Crossref)","title":"Wide and Ultrawide Bandgap Power Semiconductors: A Comprehensive System-Level Review","title-short":"Wide and Ultrawide Bandgap Power Semiconductors","volume":"15","author":[{"family":"Galioto","given":"Giuseppe"},{"family":"Vitale","given":"Gianpaolo"},{"family":"Sferlazza","given":"Antonino"},{"family":"Lullo","given":"Giuseppe"},{"family":"Giaconia","given":"Giuseppe Costantino"}],"issued":{"date-parts":[["2026",2,15]]}}}],"schema":"https://github.com/citation-style-language/schema/raw/master/csl-citation.json"} </w:instrText>
      </w:r>
      <w:r>
        <w:rPr>
          <w:szCs w:val="24"/>
        </w:rPr>
        <w:fldChar w:fldCharType="separate"/>
      </w:r>
      <w:r w:rsidRPr="00905B51">
        <w:t>[37]</w:t>
      </w:r>
      <w:r>
        <w:rPr>
          <w:szCs w:val="24"/>
        </w:rPr>
        <w:fldChar w:fldCharType="end"/>
      </w:r>
      <w:r w:rsidRPr="005C62D0">
        <w:rPr>
          <w:szCs w:val="24"/>
        </w:rPr>
        <w:t xml:space="preserve">. The </w:t>
      </w:r>
      <w:r w:rsidR="00232D2E" w:rsidRPr="005C62D0">
        <w:rPr>
          <w:szCs w:val="24"/>
        </w:rPr>
        <w:t>levelized</w:t>
      </w:r>
      <w:r w:rsidRPr="005C62D0">
        <w:rPr>
          <w:szCs w:val="24"/>
        </w:rPr>
        <w:t xml:space="preserve"> cost of electricity for utility-scale solar PV has dropped to $30 to $50/MWh in high-resource areas and is the lowest-cost source of new electricity generation in most markets globally</w:t>
      </w:r>
      <w:r>
        <w:rPr>
          <w:szCs w:val="24"/>
        </w:rPr>
        <w:fldChar w:fldCharType="begin"/>
      </w:r>
      <w:r>
        <w:rPr>
          <w:szCs w:val="24"/>
        </w:rPr>
        <w:instrText xml:space="preserve"> ADDIN ZOTERO_ITEM CSL_CITATION {"citationID":"tTrONRbG","properties":{"unsorted":false,"formattedCitation":"[38], [39]","plainCitation":"[38], [39]","noteIndex":0},"citationItems":[{"id":1971,"uris":["http://zotero.org/users/9870935/items/5GP7ICS4"],"itemData":{"id":1971,"type":"article-journal","abstract":"This study analyzes the record electricity consumption in Croatia during the July 2024 heatwave and evaluates how the increased deployment of onshore wind and solar photovoltaics (PV) could mitigate a similar event in the future. Electricity demand and generation patterns under current (2024) and projected (2030) scenarios have been simulated using a sub-hourly power system model. The findings show that during the July 2024 heatwave, Croatia imported 35% of the electricity, with prices exceeding 400 €/MWh during peak hours. By 2030, the expanded wind and solar PV sectors (1.5 GW each) will increase the renewable share from 38.8% in July 2024 to 54.7% in July 2030. On the annual level, renewable energy generation increases from 53.8% in 2024 up to 66.9% in 2030. As result, the carbon intensity of the power sector will reduce from 223 gCO2eq/kWhel in 2024 to 197 gCO2eq/kWhel in 2030. The share of fossil fuel generation will increase slightly, from 19.7% in 2024 to 22% in 2030, but more significantly in the summer to meet the heatwave-induced electricity demand. Besides that, short-term energy storage of 2 GWh (400 MW discharge over 5 h) could effectively manage evening peak demands after solar PV ceases production.","container-title":"Applied Sciences","DOI":"10.3390/app15126440","ISSN":"2076-3417","issue":"12","journalAbbreviation":"Applied Sciences","language":"en","page":"6440","source":"DOI.org (Crossref)","title":"Resilience Under Heatwaves: Croatia’s Power System During the July 2024 Heatwave and the Role of Variable Renewable Energy by 2030","title-short":"Resilience Under Heatwaves","volume":"15","author":[{"family":"Blecich","given":"Paolo"},{"family":"Bonefačić","given":"Igor"},{"family":"Senčić","given":"Tomislav"},{"family":"Wolf","given":"Igor"}],"issued":{"date-parts":[["2025",6,7]]}}},{"id":1972,"uris":["http://zotero.org/users/9870935/items/9RNMIIGK"],"itemData":{"id":1972,"type":"article-journal","abstract":"Societies need a practical way to assess total costs of future energy mixes in complex power systems. To demonstrate such an approach, we assess the cost of electricity in the ERCOT system across two distinct generation mix scenarios, varying mostly by wind, solar and gas-fired generation, between 2023 and 2050. We use commercial software, also used by system operators and power plant developers, to ensure that evolving generation mixes in both scenarios can meet electricity demands at all times at all nodes. Such jurisdiction-specific, hourly nodal dispatch modeling is recognized as necessary for more accurate representation of costs to maintain reliable operations in complex electricity systems. We capture generation and some system costs, which we call consumer cost of electricity, CCOE, given that end-users pay these costs under different line items in their electricity bills. CCOEs are insightful cost estimates for system planning and policy discussions for a given power system and must be recalculated for different scenarios as technologies, market designs, policies, and more, change. This can be done as part of routine annual or bespoke analyses conducted by system operators.","container-title":"Energies","DOI":"10.3390/en19092195","ISSN":"1996-1073","issue":"9","journalAbbreviation":"Energies","language":"en","page":"2195","source":"DOI.org (Crossref)","title":"Assessing Economic Costs of Two Reliable Generation Mix Scenarios in the ERCOT System","volume":"19","author":[{"family":"Gülen","given":"Gürcan"},{"family":"Das","given":"Jani"},{"family":"Young","given":"Michael H."}],"issued":{"date-parts":[["2026",5,1]]}}}],"schema":"https://github.com/citation-style-language/schema/raw/master/csl-citation.json"} </w:instrText>
      </w:r>
      <w:r>
        <w:rPr>
          <w:szCs w:val="24"/>
        </w:rPr>
        <w:fldChar w:fldCharType="separate"/>
      </w:r>
      <w:r w:rsidRPr="005108FD">
        <w:t>[38], [39]</w:t>
      </w:r>
      <w:r>
        <w:rPr>
          <w:szCs w:val="24"/>
        </w:rPr>
        <w:fldChar w:fldCharType="end"/>
      </w:r>
      <w:r w:rsidRPr="005C62D0">
        <w:rPr>
          <w:szCs w:val="24"/>
        </w:rPr>
        <w:t>.</w:t>
      </w:r>
    </w:p>
    <w:p w14:paraId="5BB3DB35" w14:textId="77777777" w:rsidR="00FE013C" w:rsidRPr="005C62D0" w:rsidRDefault="00FE013C" w:rsidP="004C16FF">
      <w:pPr>
        <w:spacing w:after="120"/>
        <w:ind w:firstLine="480"/>
        <w:rPr>
          <w:szCs w:val="24"/>
        </w:rPr>
      </w:pPr>
      <w:r w:rsidRPr="00532C4C">
        <w:rPr>
          <w:szCs w:val="24"/>
        </w:rPr>
        <w:t>Onshore wind turbines now achieve capacity factors of 25–40% in high-resource regions</w:t>
      </w:r>
      <w:r w:rsidRPr="005C62D0">
        <w:rPr>
          <w:szCs w:val="24"/>
        </w:rPr>
        <w:t>, and optimal offshore wind installations reach 40–50</w:t>
      </w:r>
      <w:r>
        <w:rPr>
          <w:szCs w:val="24"/>
        </w:rPr>
        <w:t>%</w:t>
      </w:r>
      <w:r>
        <w:rPr>
          <w:szCs w:val="24"/>
        </w:rPr>
        <w:fldChar w:fldCharType="begin"/>
      </w:r>
      <w:r>
        <w:rPr>
          <w:szCs w:val="24"/>
        </w:rPr>
        <w:instrText xml:space="preserve"> ADDIN ZOTERO_ITEM CSL_CITATION {"citationID":"xiX6SGhq","properties":{"unsorted":false,"formattedCitation":"[40]","plainCitation":"[40]","noteIndex":0},"citationItems":[{"id":1974,"uris":["http://zotero.org/users/9870935/items/63N6BPKB"],"itemData":{"id":1974,"type":"article-journal","language":"en","source":"Zotero","title":"Offshore Wind Market Report: 2024 Edition","URL":"https://docs.nlr.gov/docs/fy24osti/90897.pdf","author":[{"family":"McCoy","given":"Angel"},{"family":"Musial","given":"Walter"},{"family":"Hammond","given":"Rob"},{"family":"Hernando","given":"Daniel Mulas"},{"family":"Duffy","given":"Patrick"},{"family":"Beiter","given":"Philipp"},{"family":"Pérez","given":"Paula"},{"family":"Baranowski","given":"Ruth"},{"family":"Reber","given":"Gage"},{"family":"Spitsen","given":"Paul"}]}}],"schema":"https://github.com/citation-style-language/schema/raw/master/csl-citation.json"} </w:instrText>
      </w:r>
      <w:r>
        <w:rPr>
          <w:szCs w:val="24"/>
        </w:rPr>
        <w:fldChar w:fldCharType="separate"/>
      </w:r>
      <w:r w:rsidRPr="00A02978">
        <w:rPr>
          <w:szCs w:val="24"/>
        </w:rPr>
        <w:t>[40]</w:t>
      </w:r>
      <w:r>
        <w:rPr>
          <w:szCs w:val="24"/>
        </w:rPr>
        <w:fldChar w:fldCharType="end"/>
      </w:r>
      <w:r w:rsidRPr="005C62D0">
        <w:rPr>
          <w:szCs w:val="24"/>
        </w:rPr>
        <w:t xml:space="preserve">. </w:t>
      </w:r>
      <w:r w:rsidRPr="00642763">
        <w:rPr>
          <w:szCs w:val="24"/>
        </w:rPr>
        <w:t xml:space="preserve">Onshore wind has a global weighted-average LCOE of </w:t>
      </w:r>
      <w:r w:rsidRPr="00A02978">
        <w:rPr>
          <w:szCs w:val="24"/>
        </w:rPr>
        <w:t>$0.034 per kWh</w:t>
      </w:r>
      <w:r w:rsidRPr="00642763">
        <w:rPr>
          <w:szCs w:val="24"/>
        </w:rPr>
        <w:t xml:space="preserve">, making it the most cost-competitive new power generation technology worldwide, according to the </w:t>
      </w:r>
      <w:r w:rsidRPr="00A02978">
        <w:rPr>
          <w:szCs w:val="24"/>
        </w:rPr>
        <w:t>IRENA Renewable Power Generation Costs</w:t>
      </w:r>
      <w:r w:rsidRPr="00642763">
        <w:rPr>
          <w:szCs w:val="24"/>
        </w:rPr>
        <w:t xml:space="preserve"> report</w:t>
      </w:r>
      <w:r>
        <w:rPr>
          <w:szCs w:val="24"/>
        </w:rPr>
        <w:fldChar w:fldCharType="begin"/>
      </w:r>
      <w:r>
        <w:rPr>
          <w:szCs w:val="24"/>
        </w:rPr>
        <w:instrText xml:space="preserve"> ADDIN ZOTERO_ITEM CSL_CITATION {"citationID":"lLYQKQhh","properties":{"unsorted":false,"formattedCitation":"[16]","plainCitation":"[16]","noteIndex":0},"citationItems":[{"id":1925,"uris":["http://zotero.org/users/9870935/items/ZT343IZI"],"itemData":{"id":1925,"type":"article-journal","language":"en","source":"Zotero","title":"Renewable power generation costs in 2024","URL":"https://www.rinnovabili.it/wp-content/uploads/2025/07/IRENA-RENEWABLE-POWER-GENERATION-COSTS-IN-2024.pdf"}}],"schema":"https://github.com/citation-style-language/schema/raw/master/csl-citation.json"} </w:instrText>
      </w:r>
      <w:r>
        <w:rPr>
          <w:szCs w:val="24"/>
        </w:rPr>
        <w:fldChar w:fldCharType="separate"/>
      </w:r>
      <w:r w:rsidRPr="006236BD">
        <w:t>[16]</w:t>
      </w:r>
      <w:r>
        <w:rPr>
          <w:szCs w:val="24"/>
        </w:rPr>
        <w:fldChar w:fldCharType="end"/>
      </w:r>
      <w:r w:rsidRPr="005C62D0">
        <w:rPr>
          <w:szCs w:val="24"/>
        </w:rPr>
        <w:t>. The use of LiDAR technology and numerical weather prediction has improved wind resource assessment, allowing for better siting decisions and energy yield estimates</w:t>
      </w:r>
      <w:r>
        <w:rPr>
          <w:szCs w:val="24"/>
        </w:rPr>
        <w:fldChar w:fldCharType="begin"/>
      </w:r>
      <w:r>
        <w:rPr>
          <w:szCs w:val="24"/>
        </w:rPr>
        <w:instrText xml:space="preserve"> ADDIN ZOTERO_ITEM CSL_CITATION {"citationID":"Qawnu7Gv","properties":{"unsorted":false,"formattedCitation":"[41]","plainCitation":"[41]","noteIndex":0},"citationItems":[{"id":1975,"uris":["http://zotero.org/users/9870935/items/KPYHMCRF"],"itemData":{"id":1975,"type":"article-journal","container-title":"Environmental Modelling &amp; Software","DOI":"10.1016/j.envsoft.2017.05.006","ISSN":"13648152","journalAbbreviation":"Environmental Modelling &amp; Software","language":"en","page":"1-12","source":"DOI.org (Crossref)","title":"Wind resource assessment using airborne LiDAR data and smoothed particle hydrodynamics","volume":"95","author":[{"family":"Lukač","given":"Niko"},{"family":"Štumberger","given":"Gorazd"},{"family":"Žalik","given":"Borut"}],"issued":{"date-parts":[["2017",9]]}}}],"schema":"https://github.com/citation-style-language/schema/raw/master/csl-citation.json"} </w:instrText>
      </w:r>
      <w:r>
        <w:rPr>
          <w:szCs w:val="24"/>
        </w:rPr>
        <w:fldChar w:fldCharType="separate"/>
      </w:r>
      <w:r w:rsidRPr="00D21173">
        <w:t>[41]</w:t>
      </w:r>
      <w:r>
        <w:rPr>
          <w:szCs w:val="24"/>
        </w:rPr>
        <w:fldChar w:fldCharType="end"/>
      </w:r>
      <w:r w:rsidRPr="005C62D0">
        <w:rPr>
          <w:szCs w:val="24"/>
        </w:rPr>
        <w:t>. Wind and solar generation are naturally complementary because wind tends to generate more energy during the night and winter months when solar generation is minimal, and solar generation is more dominant during the day and summer months when wind generation is low, resulting in a natural way to reduce the aggregate variability in hybrid systems</w:t>
      </w:r>
      <w:r>
        <w:rPr>
          <w:szCs w:val="24"/>
        </w:rPr>
        <w:fldChar w:fldCharType="begin"/>
      </w:r>
      <w:r>
        <w:rPr>
          <w:szCs w:val="24"/>
        </w:rPr>
        <w:instrText xml:space="preserve"> ADDIN ZOTERO_ITEM CSL_CITATION {"citationID":"KUWUAQKN","properties":{"unsorted":false,"formattedCitation":"[42]","plainCitation":"[42]","noteIndex":0},"citationItems":[{"id":1976,"uris":["http://zotero.org/users/9870935/items/2VTAZCBN"],"itemData":{"id":1976,"type":"article-journal","abstract":"&lt;p&gt;Renewable energy is essential for power system decarbonization, but extended and unexpected periods of extremely low wind and solar resources (i.e., wind and solar droughts) pose a threat to reliability. The challenge is further exacerbated if shortages of the two occur simultaneously or if they affect neighboring grids simultaneously. Here we present a framework to characterize these events and propose three metrics to comprehensively assess renewable energy quality: resource availability, variability, and extremeness. An examination of long-term data across a vast geographical region shows a strong spatial correlation and temporal coincidence of renewable energy droughts. It also finds a lack of sites that excel in all three quality attributes, which presents a trilemma to investors, system planners, and policymakers. These findings underscore the significance of considering factors beyond mere resource availability and contribute to developing informed strategies for the reliable and sustainable deployment of variable energy resources.&lt;/p&gt;","DOI":"10.17615/C4JD-4Y42","license":"In Copyright","publisher":"The University of North Carolina at Chapel Hill University Libraries","source":"DOI.org (Datacite)","title":"Renewable energy quality trilemma and coincident wind and solar droughts","URL":"https://cdr.lib.unc.edu/concern/articles/m039kk378","author":[{"family":"Virguez","given":"Edgar"},{"family":"Ma","given":"Qingyuan"},{"family":"Li","given":"Mingquan"},{"family":"Gao","given":"Shuo"},{"family":"Shan","given":"Rui"},{"family":"Abdulla","given":"Ahmed"},{"family":"Patiño-Echeverri","given":"Dalia"}],"accessed":{"date-parts":[["2026",5,16]]}}}],"schema":"https://github.com/citation-style-language/schema/raw/master/csl-citation.json"} </w:instrText>
      </w:r>
      <w:r>
        <w:rPr>
          <w:szCs w:val="24"/>
        </w:rPr>
        <w:fldChar w:fldCharType="separate"/>
      </w:r>
      <w:r w:rsidRPr="00533059">
        <w:t>[42]</w:t>
      </w:r>
      <w:r>
        <w:rPr>
          <w:szCs w:val="24"/>
        </w:rPr>
        <w:fldChar w:fldCharType="end"/>
      </w:r>
      <w:r w:rsidRPr="005C62D0">
        <w:rPr>
          <w:szCs w:val="24"/>
        </w:rPr>
        <w:t>.</w:t>
      </w:r>
    </w:p>
    <w:p w14:paraId="1DED5B25" w14:textId="77777777" w:rsidR="00FE013C" w:rsidRDefault="00FE013C" w:rsidP="004C16FF">
      <w:pPr>
        <w:spacing w:after="120"/>
        <w:ind w:firstLine="480"/>
        <w:rPr>
          <w:szCs w:val="24"/>
        </w:rPr>
      </w:pPr>
      <w:r w:rsidRPr="005C62D0">
        <w:rPr>
          <w:szCs w:val="24"/>
        </w:rPr>
        <w:t>Hydroelectric power, specifically pumped-storage hydropower (PSH), is a vital component of the energy balancing equation at the grid level. PSH accounts for approximately 95% of the world's electricity storage capacity and offers gigawatt hours of storage at much lower costs than battery systems</w:t>
      </w:r>
      <w:r>
        <w:rPr>
          <w:szCs w:val="24"/>
        </w:rPr>
        <w:fldChar w:fldCharType="begin"/>
      </w:r>
      <w:r>
        <w:rPr>
          <w:szCs w:val="24"/>
        </w:rPr>
        <w:instrText xml:space="preserve"> ADDIN ZOTERO_ITEM CSL_CITATION {"citationID":"jSwEnIfV","properties":{"unsorted":false,"formattedCitation":"[43]","plainCitation":"[43]","noteIndex":0},"citationItems":[{"id":1977,"uris":["http://zotero.org/users/9870935/items/F2FF39J5"],"itemData":{"id":1977,"type":"article-journal","abstract":"Energy storage technologies are becoming increasingly important when it comes to maintaining the balance between electricity generation and consumption, especially with the increasing share of variable renewable energy sources (VRES). Pumped storage hydropower plants (PSHs) are currently the largest form of energy storage at the grid level. The aim of this study is to investigate the importance and prospects of using PSHs as part of the energy transition to decarbonize energy sources. A comparison was made between PSHs and battery energy storage systems (BESSs) in terms of technical, economic, and ecological aspects. To identify the key factors influencing the wider adoption of PSHs, a combined approach using SWOT analysis (which assesses strengths, weaknesses, opportunities, and threats) and the Analytical Hierarchy Process (AHP) as a decision support tool was applied. Regulatory and market uncertainties (13.54%) and financial inequality (12.77%) rank first and belong to the “Threats” group, with energy storage capacity (10.11%) as the most important factor from the “Strengths” group and increased demand for energy storage (9.01%) as the most important factor from the “Opportunities” group. Forecasts up to 2050 show that the capacity of PSHs must be doubled to enable the integration of 80% of VRES into the grids. The study concludes that PSHs play a key role in the energy transition, especially for long-term energy storage and grid stabilization, while BESSs offer complementary benefits for short-term storage and fast frequency regulation. Recommendations to policymakers include the development of clear, accelerated project approval procedures, financial incentives, and support for hybrid PSH systems to accelerate the energy transition and meet decarbonization targets.","container-title":"Technologies","DOI":"10.3390/technologies13070305","ISSN":"2227-7080","issue":"7","journalAbbreviation":"Technologies","language":"en","page":"305","source":"DOI.org (Crossref)","title":"SWOT-AHP Analysis of the Importance and Adoption of Pumped-Storage Hydropower","volume":"13","author":[{"family":"Bošnjaković","given":"Mladen"},{"family":"Veljić","given":"Nataša"},{"family":"Božič","given":"Jelena Topić"},{"family":"Muhič","given":"Simon"}],"issued":{"date-parts":[["2025",7,16]]}}}],"schema":"https://github.com/citation-style-language/schema/raw/master/csl-citation.json"} </w:instrText>
      </w:r>
      <w:r>
        <w:rPr>
          <w:szCs w:val="24"/>
        </w:rPr>
        <w:fldChar w:fldCharType="separate"/>
      </w:r>
      <w:r w:rsidRPr="007B720C">
        <w:t>[43]</w:t>
      </w:r>
      <w:r>
        <w:rPr>
          <w:szCs w:val="24"/>
        </w:rPr>
        <w:fldChar w:fldCharType="end"/>
      </w:r>
      <w:r w:rsidRPr="005C62D0">
        <w:rPr>
          <w:szCs w:val="24"/>
        </w:rPr>
        <w:t>. Run-of-the-river hydroelectric schemes are well suited for baseload generation, with relatively low environmental impacts, whereas reservoir systems enable storage for periods of a few weeks, which is necessary to account for the variability of renewable energy over the course of a year</w:t>
      </w:r>
      <w:r>
        <w:rPr>
          <w:szCs w:val="24"/>
        </w:rPr>
        <w:fldChar w:fldCharType="begin"/>
      </w:r>
      <w:r>
        <w:rPr>
          <w:szCs w:val="24"/>
        </w:rPr>
        <w:instrText xml:space="preserve"> ADDIN ZOTERO_ITEM CSL_CITATION {"citationID":"3nXsAAsS","properties":{"unsorted":false,"formattedCitation":"[44]","plainCitation":"[44]","noteIndex":0},"citationItems":[{"id":1980,"uris":["http://zotero.org/users/9870935/items/LG6W4RRX"],"itemData":{"id":1980,"type":"article-journal","container-title":"Renewable Energy","DOI":"10.1016/j.renene.2024.121411","ISSN":"09601481","journalAbbreviation":"Renewable Energy","language":"en","page":"121411","source":"DOI.org (Crossref)","title":"The role of hydropower in decarbonisation scenarios","volume":"236","author":[{"family":"Catania","given":"M."},{"family":"Parolin","given":"F."},{"family":"Fattori","given":"F."},{"family":"Colbertaldo","given":"P."}],"issued":{"date-parts":[["2024",12]]}}}],"schema":"https://github.com/citation-style-language/schema/raw/master/csl-citation.json"} </w:instrText>
      </w:r>
      <w:r>
        <w:rPr>
          <w:szCs w:val="24"/>
        </w:rPr>
        <w:fldChar w:fldCharType="separate"/>
      </w:r>
      <w:r w:rsidRPr="000B39AB">
        <w:t>[44]</w:t>
      </w:r>
      <w:r>
        <w:rPr>
          <w:szCs w:val="24"/>
        </w:rPr>
        <w:fldChar w:fldCharType="end"/>
      </w:r>
      <w:r w:rsidRPr="005C62D0">
        <w:rPr>
          <w:szCs w:val="24"/>
        </w:rPr>
        <w:t>. However, new hydroelectric development is constrained by geography and environmental permitting in many regions, limiting scalability.</w:t>
      </w:r>
    </w:p>
    <w:p w14:paraId="35CE5A95" w14:textId="77777777" w:rsidR="00FE013C" w:rsidRDefault="00FE013C" w:rsidP="004C16FF">
      <w:pPr>
        <w:pStyle w:val="Heading20"/>
        <w:jc w:val="both"/>
        <w:rPr>
          <w:color w:val="auto"/>
        </w:rPr>
      </w:pPr>
      <w:r>
        <w:rPr>
          <w:color w:val="auto"/>
        </w:rPr>
        <w:t>2.3. Energy Storage Technologies</w:t>
      </w:r>
    </w:p>
    <w:p w14:paraId="314E80E9" w14:textId="2B2F7778" w:rsidR="00A71ADA" w:rsidRPr="00EA0A9E" w:rsidRDefault="00A71ADA" w:rsidP="00EA0A9E">
      <w:pPr>
        <w:spacing w:after="120"/>
        <w:ind w:firstLine="480"/>
        <w:rPr>
          <w:szCs w:val="24"/>
          <w:highlight w:val="yellow"/>
          <w:lang w:val="en-CA"/>
        </w:rPr>
      </w:pPr>
      <w:r w:rsidRPr="00EA0A9E">
        <w:rPr>
          <w:szCs w:val="24"/>
          <w:highlight w:val="yellow"/>
          <w:lang w:val="en-CA"/>
        </w:rPr>
        <w:t xml:space="preserve">Currently, there is no other available technology that dominates stationary energy storage. The volume weighted average price for lithium-ion battery packs in 2020 fell from some USD 300/kWh to USD 108/kWh in 2025, according to </w:t>
      </w:r>
      <w:proofErr w:type="spellStart"/>
      <w:r w:rsidRPr="00EA0A9E">
        <w:rPr>
          <w:szCs w:val="24"/>
          <w:highlight w:val="yellow"/>
          <w:lang w:val="en-CA"/>
        </w:rPr>
        <w:t>BloombergNEF</w:t>
      </w:r>
      <w:proofErr w:type="spellEnd"/>
      <w:r w:rsidRPr="00EA0A9E">
        <w:rPr>
          <w:szCs w:val="24"/>
          <w:highlight w:val="yellow"/>
          <w:lang w:val="en-CA"/>
        </w:rPr>
        <w:t xml:space="preserve"> </w:t>
      </w:r>
      <w:r w:rsidR="00EA0A9E">
        <w:rPr>
          <w:szCs w:val="24"/>
        </w:rPr>
        <w:fldChar w:fldCharType="begin"/>
      </w:r>
      <w:r w:rsidR="00EA0A9E">
        <w:rPr>
          <w:szCs w:val="24"/>
        </w:rPr>
        <w:instrText xml:space="preserve"> ADDIN ZOTERO_ITEM CSL_CITATION {"citationID":"ezeneD25","properties":{"unsorted":false,"formattedCitation":"[17]","plainCitation":"[17]","noteIndex":0},"citationItems":[{"id":1923,"uris":["http://zotero.org/users/9870935/items/K5N743Z5"],"itemData":{"id":1923,"type":"post-weblog","title":"BNEF: Lithium-ion battery pack prices fall to $108/kWh, stationary storage becomes lowest price segment","URL":"https://www.ess-news.com/2025/12/09/bnef-lithium-ion-battery-pack-prices-fall-to-108-kwh-stationary-storage-becomes-lowest-price-segment/","author":[{"family":"BNEF","given":""}],"accessed":{"date-parts":[["2025",12,9]]}}}],"schema":"https://github.com/citation-style-language/schema/raw/master/csl-citation.json"} </w:instrText>
      </w:r>
      <w:r w:rsidR="00EA0A9E">
        <w:rPr>
          <w:szCs w:val="24"/>
        </w:rPr>
        <w:fldChar w:fldCharType="separate"/>
      </w:r>
      <w:r w:rsidR="00EA0A9E" w:rsidRPr="006512AA">
        <w:t>[17]</w:t>
      </w:r>
      <w:r w:rsidR="00EA0A9E">
        <w:rPr>
          <w:szCs w:val="24"/>
        </w:rPr>
        <w:fldChar w:fldCharType="end"/>
      </w:r>
      <w:r w:rsidRPr="00EA0A9E">
        <w:rPr>
          <w:szCs w:val="24"/>
          <w:highlight w:val="yellow"/>
          <w:lang w:val="en-CA"/>
        </w:rPr>
        <w:t xml:space="preserve">. Note that this is battery-pricing not </w:t>
      </w:r>
      <w:r w:rsidR="00EA0A9E" w:rsidRPr="00EA0A9E">
        <w:rPr>
          <w:szCs w:val="24"/>
          <w:highlight w:val="yellow"/>
          <w:lang w:val="en-CA"/>
        </w:rPr>
        <w:t>including</w:t>
      </w:r>
      <w:r w:rsidRPr="00EA0A9E">
        <w:rPr>
          <w:szCs w:val="24"/>
          <w:highlight w:val="yellow"/>
          <w:lang w:val="en-CA"/>
        </w:rPr>
        <w:t xml:space="preserve"> extra expenses for power-conversion gear, thermal management, controls, engineering, procurement, construction, and the integration with the grid if applicable of a battery energy storage system (BESS). Due to this, Lithium Iron Phosphate (LFP) chemistry has become the mainstream selection in stationary storage applications where battery cycle life (usually &gt; 4000 cycles at 80% depth of discharge), low cost, and safer attributes prevail over those of nickel manganese cobalt (NMC) and nickel cobalt aluminum (NCA) chemistries </w:t>
      </w:r>
      <w:r w:rsidR="00EA0A9E">
        <w:rPr>
          <w:szCs w:val="24"/>
        </w:rPr>
        <w:fldChar w:fldCharType="begin"/>
      </w:r>
      <w:r w:rsidR="00EA0A9E">
        <w:rPr>
          <w:szCs w:val="24"/>
        </w:rPr>
        <w:instrText xml:space="preserve"> ADDIN ZOTERO_ITEM CSL_CITATION {"citationID":"rUFBjQZm","properties":{"unsorted":false,"formattedCitation":"[45], [46]","plainCitation":"[45], [46]","noteIndex":0},"citationItems":[{"id":1982,"uris":["http://zotero.org/users/9870935/items/GEX9B6EX"],"itemData":{"id":1982,"type":"article-journal","container-title":"Future Batteries","DOI":"10.1016/j.fub.2024.100007","ISSN":"29502640","journalAbbreviation":"Future Batteries","language":"en","page":"100007","source":"DOI.org (Crossref)","title":"Navigating battery choices: A comparative study of lithium iron phosphate and nickel manganese cobalt battery technologies","title-short":"Navigating battery choices","volume":"4","author":[{"family":"Evro","given":"Solomon"},{"family":"Ajumobi","given":"Abdurahman"},{"family":"Mayon","given":"Darrell"},{"family":"Tomomewo","given":"Olusegun Stanley"}],"issued":{"date-parts":[["2024",12]]}}},{"id":1983,"uris":["http://zotero.org/users/9870935/items/I5Q4VHW6"],"itemData":{"id":1983,"type":"article-journal","abstract":"Abstract\n            A significant turning point in the search for environmentally friendly energy storage options is the switch from lithium‐ion to sodium‐ion batteries. This review highlights the potential of sodium‐ion battery (NIB) technology to address the environmental and financial issues related to lithium‐ion systems by thoroughly examining recent developments in NIB technology. It is noted that sodium is more abundant and less expensive than lithium, NIBs have several benefits that could drastically lower the total cost of energy storage systems. In addition, this study examines new findings in important fields including electrolyte compositions, electrode materials, and battery performances of lithium‐ion batteries (LIBs) and NIBs. The article highlights advancements in anode and cathode materials, with a focus on improving energy density, cycle stability, and rate capability of both LIBs and NIBs. The review also covers the advances made in comprehending the electrochemical mechanisms and special difficulties associated with NIBs, such as material degradation and sodium ion diffusion. Future research directions are discussed, with an emphasis on enhancing the scalability and commercial viability of sodium‐ion technology over lithium on Electric Grid. Considering sustainability objectives and the integration of renewable energy sources, the review's assessment of sodium‐ion batteries’ possible effects on the future state of energy storage is included in its conclusion.","container-title":"The Chemical Record","DOI":"10.1002/tcr.202400176","ISSN":"1527-8999, 1528-0691","issue":"12","journalAbbreviation":"The Chemical Record","language":"en","page":"e202400176","source":"DOI.org (Crossref)","title":"From Lithium‐Ion to Sodium‐Ion Batteries for Sustainable Energy Storage: A Comprehensive Review on Recent Research Advancements and Perspectives","title-short":"From Lithium‐Ion to Sodium‐Ion Batteries for Sustainable Energy Storage","volume":"24","author":[{"family":"Chandra Bhowmik","given":"Konok"},{"family":"Rahman","given":"Md. Arafat"},{"family":"Billah","given":"Md. Muktadir"},{"family":"Paul","given":"Aoyon"}],"issued":{"date-parts":[["2024",12]]}}}],"schema":"https://github.com/citation-style-language/schema/raw/master/csl-citation.json"} </w:instrText>
      </w:r>
      <w:r w:rsidR="00EA0A9E">
        <w:rPr>
          <w:szCs w:val="24"/>
        </w:rPr>
        <w:fldChar w:fldCharType="separate"/>
      </w:r>
      <w:r w:rsidR="00EA0A9E" w:rsidRPr="00965B5C">
        <w:t>[45], [46]</w:t>
      </w:r>
      <w:r w:rsidR="00EA0A9E">
        <w:rPr>
          <w:szCs w:val="24"/>
        </w:rPr>
        <w:fldChar w:fldCharType="end"/>
      </w:r>
      <w:r w:rsidRPr="00EA0A9E">
        <w:rPr>
          <w:szCs w:val="24"/>
          <w:highlight w:val="yellow"/>
          <w:lang w:val="en-CA"/>
        </w:rPr>
        <w:t xml:space="preserve">. Lithium-ion round trip efficiency is normally in </w:t>
      </w:r>
      <w:r w:rsidRPr="00EA0A9E">
        <w:rPr>
          <w:szCs w:val="24"/>
          <w:highlight w:val="yellow"/>
          <w:lang w:val="en-CA"/>
        </w:rPr>
        <w:lastRenderedPageBreak/>
        <w:t>the range of 85% to 95% and adequate thermal management is needed to ensure battery performance and calendar life.</w:t>
      </w:r>
    </w:p>
    <w:p w14:paraId="3D88FCA9" w14:textId="287A52CA" w:rsidR="00A71ADA" w:rsidRPr="00EA0A9E" w:rsidRDefault="00A71ADA" w:rsidP="00EA0A9E">
      <w:pPr>
        <w:spacing w:after="120"/>
        <w:ind w:firstLine="480"/>
        <w:rPr>
          <w:szCs w:val="24"/>
          <w:highlight w:val="yellow"/>
          <w:lang w:val="en-CA"/>
        </w:rPr>
      </w:pPr>
      <w:r w:rsidRPr="00EA0A9E">
        <w:rPr>
          <w:szCs w:val="24"/>
          <w:highlight w:val="yellow"/>
          <w:lang w:val="en-CA"/>
        </w:rPr>
        <w:t xml:space="preserve">Long-duration energy-storage (LDES) technologies are gaining traction for periods of storage beyond about 8-hours. While the start-up cost for vanadium redox flow batteries (VRFBs) is still relatively high, they have long cycle lifetimes (typically over 20,000 cycles) and have the power and energy capacity that can be separated </w:t>
      </w:r>
      <w:r w:rsidR="00EA0A9E">
        <w:rPr>
          <w:szCs w:val="24"/>
        </w:rPr>
        <w:fldChar w:fldCharType="begin"/>
      </w:r>
      <w:r w:rsidR="00EA0A9E">
        <w:rPr>
          <w:szCs w:val="24"/>
        </w:rPr>
        <w:instrText xml:space="preserve"> ADDIN ZOTERO_ITEM CSL_CITATION {"citationID":"YCICZ6dN","properties":{"unsorted":false,"formattedCitation":"[47]","plainCitation":"[47]","noteIndex":0},"citationItems":[{"id":1984,"uris":["http://zotero.org/users/9870935/items/M6SVEFZJ"],"itemData":{"id":1984,"type":"article-journal","container-title":"Next Research","DOI":"10.1016/j.nexres.2025.100767","ISSN":"30504759","issue":"4","journalAbbreviation":"Next Research","language":"en","page":"100767","source":"DOI.org (Crossref)","title":"A comprehensive review of vanadium redox flow batteries: Principles, benefits, and applications","title-short":"A comprehensive review of vanadium redox flow batteries","volume":"2","author":[{"family":"Barzigar","given":"Amirhossein"},{"family":"Ebadati","given":"Erfan"},{"family":"Mujumdar","given":"Arun S"},{"family":"Hosseinalipour","given":"S.M."}],"issued":{"date-parts":[["2025",12]]}}}],"schema":"https://github.com/citation-style-language/schema/raw/master/csl-citation.json"} </w:instrText>
      </w:r>
      <w:r w:rsidR="00EA0A9E">
        <w:rPr>
          <w:szCs w:val="24"/>
        </w:rPr>
        <w:fldChar w:fldCharType="separate"/>
      </w:r>
      <w:r w:rsidR="00EA0A9E" w:rsidRPr="008130CA">
        <w:t>[47]</w:t>
      </w:r>
      <w:r w:rsidR="00EA0A9E">
        <w:rPr>
          <w:szCs w:val="24"/>
        </w:rPr>
        <w:fldChar w:fldCharType="end"/>
      </w:r>
      <w:r w:rsidRPr="00EA0A9E">
        <w:rPr>
          <w:szCs w:val="24"/>
          <w:highlight w:val="yellow"/>
          <w:lang w:val="en-CA"/>
        </w:rPr>
        <w:t xml:space="preserve">. The technology using iron-air has </w:t>
      </w:r>
      <w:proofErr w:type="gramStart"/>
      <w:r w:rsidRPr="00EA0A9E">
        <w:rPr>
          <w:szCs w:val="24"/>
          <w:highlight w:val="yellow"/>
          <w:lang w:val="en-CA"/>
        </w:rPr>
        <w:t>being</w:t>
      </w:r>
      <w:proofErr w:type="gramEnd"/>
      <w:r w:rsidRPr="00EA0A9E">
        <w:rPr>
          <w:szCs w:val="24"/>
          <w:highlight w:val="yellow"/>
          <w:lang w:val="en-CA"/>
        </w:rPr>
        <w:t xml:space="preserve"> proposed as another option for multi-day storage, with storage cost of $20/kWh and discharge time of more than 100 hours envisioned, to enhance the economic viability of VLD energy storage [48]. Hydrogen storage using green hydrogen can produce storage times that range from weeks up to months, but the present trajectory of research from H2 electrolysis to electricity generation in fuel cells has a round-trip efficiency of about 25–40%, and electricity prices are still much higher than a conventional battery-storage system.</w:t>
      </w:r>
    </w:p>
    <w:p w14:paraId="56825C19" w14:textId="39413FD2" w:rsidR="00A71ADA" w:rsidRPr="00EA0A9E" w:rsidRDefault="00A71ADA" w:rsidP="00E11FE4">
      <w:pPr>
        <w:spacing w:after="120"/>
        <w:ind w:firstLine="480"/>
        <w:rPr>
          <w:szCs w:val="24"/>
          <w:highlight w:val="yellow"/>
          <w:lang w:val="en-CA"/>
        </w:rPr>
      </w:pPr>
      <w:r w:rsidRPr="00EA0A9E">
        <w:rPr>
          <w:szCs w:val="24"/>
          <w:highlight w:val="yellow"/>
          <w:lang w:val="en-CA"/>
        </w:rPr>
        <w:t xml:space="preserve">Energy-storage sizing methodologies have advanced from deterministic methods relying on prespecified worst cases to probabilistic and optimization-based methods. One widely used probabilistic sizing method is adequacy measures like Loss of Load Expectation (LOLE), defined as the mean time that the targeted load is not met by available electricity supply. The planning target adopted in this review is 99.99% availability (annual-duration relationship simplified: 0.876 h/year, or 52.6 min/year). When compared to the deterministic approach, probabilistic methods offer a more realistic representation of system performance, as they explicitly account for the frequency and duration of supply shortcomings. Their implementation, however, necessitates time-series information containing load information, renewable generation information, storage operation information and grid availability information </w:t>
      </w:r>
      <w:r w:rsidR="00D51B19" w:rsidRPr="009A5758">
        <w:rPr>
          <w:szCs w:val="24"/>
          <w:highlight w:val="yellow"/>
        </w:rPr>
        <w:fldChar w:fldCharType="begin"/>
      </w:r>
      <w:r w:rsidR="00E11FE4">
        <w:rPr>
          <w:szCs w:val="24"/>
          <w:highlight w:val="yellow"/>
        </w:rPr>
        <w:instrText xml:space="preserve"> ADDIN ZOTERO_ITEM CSL_CITATION {"citationID":"9gclYoSe","properties":{"unsorted":false,"formattedCitation":"[48]","plainCitation":"[48]","noteIndex":0},"citationItems":[{"id":1989,"uris":["http://zotero.org/users/9870935/items/3AV4CVJ6"],"itemData":{"id":1989,"type":"article-journal","container-title":"Journal of Energy Storage","DOI":"10.1016/j.est.2025.119502","ISSN":"2352152X","journalAbbreviation":"Journal of Energy Storage","language":"en","page":"119502","source":"DOI.org (Crossref)","title":"Optimal sizing of battery storage for cost-effective peak shaving in regional distribution networks","volume":"141","author":[{"family":"Rana","given":"Md Masud"},{"family":"Mo","given":"Huadong"},{"family":"Shafiullah","given":"G.M."},{"family":"Qiao","given":"Li"},{"family":"Dong","given":"Daoyi"}],"issued":{"date-parts":[["2026",1]]}}}],"schema":"https://github.com/citation-style-language/schema/raw/master/csl-citation.json"} </w:instrText>
      </w:r>
      <w:r w:rsidR="00D51B19" w:rsidRPr="009A5758">
        <w:rPr>
          <w:szCs w:val="24"/>
          <w:highlight w:val="yellow"/>
        </w:rPr>
        <w:fldChar w:fldCharType="separate"/>
      </w:r>
      <w:r w:rsidR="00E11FE4" w:rsidRPr="00E11FE4">
        <w:rPr>
          <w:highlight w:val="yellow"/>
        </w:rPr>
        <w:t>[48]</w:t>
      </w:r>
      <w:r w:rsidR="00D51B19" w:rsidRPr="009A5758">
        <w:rPr>
          <w:szCs w:val="24"/>
          <w:highlight w:val="yellow"/>
        </w:rPr>
        <w:fldChar w:fldCharType="end"/>
      </w:r>
      <w:r w:rsidRPr="00EA0A9E">
        <w:rPr>
          <w:szCs w:val="24"/>
          <w:highlight w:val="yellow"/>
          <w:lang w:val="en-CA"/>
        </w:rPr>
        <w:t>.</w:t>
      </w:r>
    </w:p>
    <w:p w14:paraId="2A29A5EA" w14:textId="77777777" w:rsidR="00FE013C" w:rsidRDefault="00FE013C" w:rsidP="004C16FF">
      <w:pPr>
        <w:pStyle w:val="Heading20"/>
        <w:jc w:val="both"/>
        <w:rPr>
          <w:color w:val="auto"/>
        </w:rPr>
      </w:pPr>
      <w:r>
        <w:rPr>
          <w:color w:val="auto"/>
        </w:rPr>
        <w:t>2.4. Microgrids and Grid Integration</w:t>
      </w:r>
    </w:p>
    <w:p w14:paraId="1ACED6C1" w14:textId="7F60A082" w:rsidR="00FE013C" w:rsidRPr="00D0205A" w:rsidRDefault="00FE013C" w:rsidP="00E11FE4">
      <w:pPr>
        <w:spacing w:after="120"/>
        <w:ind w:firstLine="480"/>
        <w:rPr>
          <w:szCs w:val="24"/>
        </w:rPr>
      </w:pPr>
      <w:r w:rsidRPr="00D0205A">
        <w:rPr>
          <w:szCs w:val="24"/>
        </w:rPr>
        <w:t xml:space="preserve">With the growing penetration of inverter-based resources (IBRs), microgrid control strategies have progressed considerably. The concept of grid-forming inverters is a paradigm shift from grid-following designs that use phase-locked loops (PLLs) to </w:t>
      </w:r>
      <w:r w:rsidR="005F08CE" w:rsidRPr="00D0205A">
        <w:rPr>
          <w:szCs w:val="24"/>
        </w:rPr>
        <w:t>synchronize</w:t>
      </w:r>
      <w:r w:rsidRPr="00D0205A">
        <w:rPr>
          <w:szCs w:val="24"/>
        </w:rPr>
        <w:t xml:space="preserve"> with the grid frequency</w:t>
      </w:r>
      <w:r>
        <w:rPr>
          <w:szCs w:val="24"/>
        </w:rPr>
        <w:fldChar w:fldCharType="begin"/>
      </w:r>
      <w:r w:rsidR="00E11FE4">
        <w:rPr>
          <w:szCs w:val="24"/>
        </w:rPr>
        <w:instrText xml:space="preserve"> ADDIN ZOTERO_ITEM CSL_CITATION {"citationID":"GRPOjuAH","properties":{"unsorted":false,"formattedCitation":"[49]","plainCitation":"[49]","noteIndex":0},"citationItems":[{"id":1991,"uris":["http://zotero.org/users/9870935/items/TCP3MAYA"],"itemData":{"id":1991,"type":"article-journal","abstract":"With the global penetration of renewable energy exceeding 30%, power systems are increasingly challenged by inertia deficiency and weak grid stability, expos-ing the limitations of conventional grid-following inverters (GFLI) which rely on external synchronization and may provoke sub-synchronous oscillations. This review analyzes the technological transition toward grid-forming inverters (GFMI)—capable of autonomously establishing and regulating voltage and fre-quency—and assesses their application in renewable energy systems. Through bibliometric analysis, case studies from major Chinese renewable bases, and hardware-in-the-loop simulations under weak-grid conditions (SCR as low as 1.0), we identify significant advancements in wide-bandgap semiconductor to-pologies, adaptive control strategies such as virtual synchronous generator (VSG) and self-synchronizing control (SSC), impedance reshaping, and fault ride-through capability. Real-world implementations demonstrate markedly improved performance: inertia response time reduced to 0.48s, suppression of sub-synchronous oscillations by 89%, reactive response within 25ms, and suc-cessful black-start within 180 seconds, alongside notable economic benefits in-cluding reduced wind curtailment and lower equipment costs. Nevertheless, widespread adoption faces standardization gaps particularly in thermal man-agement of high-frequency devices, multi-timescale stability certification, and market mechanisms for ancillary services. We conclude that GFMI represents a foundational technology for future high-renewable power systems, though its full deployment requires integrated progress in adaptive intelligence, interna-tional standard alignment, and policy-supported market frameworks.","container-title":"Advances in Engineering Research Possibilities and Challenges","DOI":"10.63313/AERpc.9047","ISSN":"3079-5192, 3079-5206","issue":"2","journalAbbreviation":"Advances in Engineering Research Possibilities and Challenges","license":"http://creativecommons.org/licenses/by/4.0/","page":"37","source":"DOI.org (Crossref)","title":"From Grid-Following to Grid-Forming: A Review of Converter Technology Paradigm Shift and Its Applications in Renewable-Rich Power Systems","title-short":"From Grid-Following to Grid-Forming","volume":"2","author":[{"family":"Ma","given":"Zixiang"}],"issued":{"date-parts":[["2025",8,22]]}}}],"schema":"https://github.com/citation-style-language/schema/raw/master/csl-citation.json"} </w:instrText>
      </w:r>
      <w:r>
        <w:rPr>
          <w:szCs w:val="24"/>
        </w:rPr>
        <w:fldChar w:fldCharType="separate"/>
      </w:r>
      <w:r w:rsidR="00E11FE4" w:rsidRPr="00E11FE4">
        <w:t>[49]</w:t>
      </w:r>
      <w:r>
        <w:rPr>
          <w:szCs w:val="24"/>
        </w:rPr>
        <w:fldChar w:fldCharType="end"/>
      </w:r>
      <w:r w:rsidRPr="00D0205A">
        <w:rPr>
          <w:szCs w:val="24"/>
        </w:rPr>
        <w:t>. The IEEE 2800-2022 standard was developed specifically for IBRs and defines the performance criteria for frequency response, voltage support, and ride-through that allow for reliable operation at high levels of renewable penetration</w:t>
      </w:r>
      <w:r>
        <w:rPr>
          <w:szCs w:val="24"/>
        </w:rPr>
        <w:fldChar w:fldCharType="begin"/>
      </w:r>
      <w:r w:rsidR="00E11FE4">
        <w:rPr>
          <w:szCs w:val="24"/>
        </w:rPr>
        <w:instrText xml:space="preserve"> ADDIN ZOTERO_ITEM CSL_CITATION {"citationID":"yvSCoOuc","properties":{"unsorted":false,"formattedCitation":"[50]","plainCitation":"[50]","noteIndex":0},"citationItems":[{"id":1990,"uris":["http://zotero.org/users/9870935/items/XCEZUJHB"],"itemData":{"id":1990,"type":"standard","DOI":"10.1109/IEEESTD.2022.9762253","ISBN":"978-1-5044-8462-6","license":"https://doi.org/10.15223/policy-029","publisher":"IEEE","source":"DOI.org (Crossref)","title":"IEEE Standard for Interconnection and Interoperability of Inverter-Based Resources (IBRs) Interconnecting with Associated Transmission Electric Power Systems","URL":"https://ieeexplore.ieee.org/document/9762253/","accessed":{"date-parts":[["2026",5,16]]}}}],"schema":"https://github.com/citation-style-language/schema/raw/master/csl-citation.json"} </w:instrText>
      </w:r>
      <w:r>
        <w:rPr>
          <w:szCs w:val="24"/>
        </w:rPr>
        <w:fldChar w:fldCharType="separate"/>
      </w:r>
      <w:r w:rsidR="00E11FE4" w:rsidRPr="00E11FE4">
        <w:t>[50]</w:t>
      </w:r>
      <w:r>
        <w:rPr>
          <w:szCs w:val="24"/>
        </w:rPr>
        <w:fldChar w:fldCharType="end"/>
      </w:r>
      <w:r w:rsidRPr="00D0205A">
        <w:rPr>
          <w:szCs w:val="24"/>
        </w:rPr>
        <w:t>. FERC Order 2023 also clarifies the interconnection process, providing streamlined timelines and pre-certification routes to mitigate delays in the queue</w:t>
      </w:r>
      <w:r>
        <w:rPr>
          <w:szCs w:val="24"/>
        </w:rPr>
        <w:fldChar w:fldCharType="begin"/>
      </w:r>
      <w:r>
        <w:rPr>
          <w:szCs w:val="24"/>
        </w:rPr>
        <w:instrText xml:space="preserve"> ADDIN ZOTERO_ITEM CSL_CITATION {"citationID":"B0z5zbuE","properties":{"unsorted":false,"formattedCitation":"[24]","plainCitation":"[24]","noteIndex":0},"citationItems":[{"id":1948,"uris":["http://zotero.org/users/9870935/items/H8VJGQHI"],"itemData":{"id":1948,"type":"post-weblog","title":"Improvements to Generator Interconnection Procedures and Agreements","URL":"https://www.federalregister.gov/documents/2023/09/06/2023-16628/improvements-to-generator-interconnection-procedures-and-agreements","accessed":{"date-parts":[["2023",9,6]]}}}],"schema":"https://github.com/citation-style-language/schema/raw/master/csl-citation.json"} </w:instrText>
      </w:r>
      <w:r>
        <w:rPr>
          <w:szCs w:val="24"/>
        </w:rPr>
        <w:fldChar w:fldCharType="separate"/>
      </w:r>
      <w:r w:rsidRPr="00F0303A">
        <w:t>[24]</w:t>
      </w:r>
      <w:r>
        <w:rPr>
          <w:szCs w:val="24"/>
        </w:rPr>
        <w:fldChar w:fldCharType="end"/>
      </w:r>
      <w:r w:rsidRPr="00D0205A">
        <w:rPr>
          <w:szCs w:val="24"/>
        </w:rPr>
        <w:t>.</w:t>
      </w:r>
    </w:p>
    <w:p w14:paraId="0C116E4D" w14:textId="26360350" w:rsidR="00FE013C" w:rsidRPr="00D0205A" w:rsidRDefault="00FE013C" w:rsidP="00E11FE4">
      <w:pPr>
        <w:spacing w:after="120"/>
        <w:ind w:firstLine="480"/>
        <w:rPr>
          <w:szCs w:val="24"/>
        </w:rPr>
      </w:pPr>
      <w:r w:rsidRPr="00D0205A">
        <w:rPr>
          <w:szCs w:val="24"/>
        </w:rPr>
        <w:t xml:space="preserve">In data </w:t>
      </w:r>
      <w:r w:rsidR="005F08CE" w:rsidRPr="00D0205A">
        <w:rPr>
          <w:szCs w:val="24"/>
        </w:rPr>
        <w:t>center</w:t>
      </w:r>
      <w:r w:rsidRPr="00D0205A">
        <w:rPr>
          <w:szCs w:val="24"/>
        </w:rPr>
        <w:t xml:space="preserve"> microgrids, harmonic distortion, power factor correction, and voltage regulation are important considerations for power quality management. IEEE 519 specifies a THD limit of less than 5</w:t>
      </w:r>
      <w:r>
        <w:rPr>
          <w:szCs w:val="24"/>
        </w:rPr>
        <w:t xml:space="preserve">% </w:t>
      </w:r>
      <w:r w:rsidRPr="00D0205A">
        <w:rPr>
          <w:szCs w:val="24"/>
        </w:rPr>
        <w:t>at the point of common coupling (PCC), and individual harmonic limits of 3</w:t>
      </w:r>
      <w:r>
        <w:rPr>
          <w:szCs w:val="24"/>
        </w:rPr>
        <w:t xml:space="preserve">% </w:t>
      </w:r>
      <w:r w:rsidRPr="00D0205A">
        <w:rPr>
          <w:szCs w:val="24"/>
        </w:rPr>
        <w:t>for characteristic harmonics</w:t>
      </w:r>
      <w:r>
        <w:rPr>
          <w:szCs w:val="24"/>
        </w:rPr>
        <w:fldChar w:fldCharType="begin"/>
      </w:r>
      <w:r>
        <w:rPr>
          <w:szCs w:val="24"/>
        </w:rPr>
        <w:instrText xml:space="preserve"> ADDIN ZOTERO_ITEM CSL_CITATION {"citationID":"ZWo2jUJC","properties":{"unsorted":false,"formattedCitation":"[22]","plainCitation":"[22]","noteIndex":0},"citationItems":[{"id":1944,"uris":["http://zotero.org/users/9870935/items/XZS2JQRQ"],"itemData":{"id":1944,"type":"standard","DOI":"10.1109/IEEESTD.2022.9848440","ISBN":"978-1-5044-8727-6","license":"https://doi.org/10.15223/policy-029","publisher":"IEEE","source":"DOI.org (Crossref)","title":"IEEE Standard for Harmonic Control in Electric Power Systems","URL":"https://ieeexplore.ieee.org/document/9848440/","accessed":{"date-parts":[["2026",5,10]]}}}],"schema":"https://github.com/citation-style-language/schema/raw/master/csl-citation.json"} </w:instrText>
      </w:r>
      <w:r>
        <w:rPr>
          <w:szCs w:val="24"/>
        </w:rPr>
        <w:fldChar w:fldCharType="separate"/>
      </w:r>
      <w:r w:rsidRPr="004C48CC">
        <w:t>[22]</w:t>
      </w:r>
      <w:r>
        <w:rPr>
          <w:szCs w:val="24"/>
        </w:rPr>
        <w:fldChar w:fldCharType="end"/>
      </w:r>
      <w:r w:rsidRPr="00D0205A">
        <w:rPr>
          <w:szCs w:val="24"/>
        </w:rPr>
        <w:t xml:space="preserve">. SMPSs, VFDs, and LED drivers are examples of nonlinear loads in modern data </w:t>
      </w:r>
      <w:r w:rsidR="005F08CE" w:rsidRPr="00D0205A">
        <w:rPr>
          <w:szCs w:val="24"/>
        </w:rPr>
        <w:t>centers</w:t>
      </w:r>
      <w:r w:rsidRPr="00D0205A">
        <w:rPr>
          <w:szCs w:val="24"/>
        </w:rPr>
        <w:t xml:space="preserve"> that can produce substantial harmonic currents, resulting in transformer overheating, capacitor bank damage, and overload of the neutral conductor if left unchecked</w:t>
      </w:r>
      <w:r>
        <w:rPr>
          <w:szCs w:val="24"/>
        </w:rPr>
        <w:fldChar w:fldCharType="begin"/>
      </w:r>
      <w:r w:rsidR="00E11FE4">
        <w:rPr>
          <w:szCs w:val="24"/>
        </w:rPr>
        <w:instrText xml:space="preserve"> ADDIN ZOTERO_ITEM CSL_CITATION {"citationID":"jj4vX417","properties":{"unsorted":false,"formattedCitation":"[51]","plainCitation":"[51]","noteIndex":0},"citationItems":[{"id":1993,"uris":["http://zotero.org/users/9870935/items/2D54TKGT"],"itemData":{"id":1993,"type":"paper-conference","container-title":"2024 21st International Conference on Harmonics and Quality of Power (ICHQP)","DOI":"10.1109/ICHQP61174.2024.10768696","event-title":"2024 21st International Conference on Harmonics and Quality of Power (ICHQP)","ISBN":"979-8-3503-8256-3","license":"https://doi.org/10.15223/policy-029","page":"415-420","publisher":"IEEE","publisher-place":"Chengdu, China","source":"DOI.org (Crossref)","title":"Review of revisions of IEEE 519 Standard on Power System Harmonics (1981 to 2022)","URL":"https://ieeexplore.ieee.org/document/10768696/","author":[{"family":"Shelar","given":"Sachin"},{"family":"Bankar","given":"Deepak"},{"family":"Bakre","given":"Shashikant"}],"accessed":{"date-parts":[["2026",5,16]]},"issued":{"date-parts":[["2024",10,15]]}}}],"schema":"https://github.com/citation-style-language/schema/raw/master/csl-citation.json"} </w:instrText>
      </w:r>
      <w:r>
        <w:rPr>
          <w:szCs w:val="24"/>
        </w:rPr>
        <w:fldChar w:fldCharType="separate"/>
      </w:r>
      <w:r w:rsidR="00E11FE4" w:rsidRPr="00E11FE4">
        <w:t>[51]</w:t>
      </w:r>
      <w:r>
        <w:rPr>
          <w:szCs w:val="24"/>
        </w:rPr>
        <w:fldChar w:fldCharType="end"/>
      </w:r>
      <w:r w:rsidRPr="00D0205A">
        <w:rPr>
          <w:szCs w:val="24"/>
        </w:rPr>
        <w:t>. In high-density computing, active power filters and multi-pulse rectifier topologies are effective solutions for harmonic compliance.</w:t>
      </w:r>
    </w:p>
    <w:p w14:paraId="13C13EB1" w14:textId="77777777" w:rsidR="00FE013C" w:rsidRDefault="00FE013C" w:rsidP="004C16FF">
      <w:pPr>
        <w:pStyle w:val="Heading20"/>
        <w:jc w:val="both"/>
        <w:rPr>
          <w:color w:val="auto"/>
        </w:rPr>
      </w:pPr>
      <w:r>
        <w:rPr>
          <w:color w:val="auto"/>
        </w:rPr>
        <w:t>2.5. Industry Case Studies</w:t>
      </w:r>
    </w:p>
    <w:p w14:paraId="778EC10C" w14:textId="5AE515ED" w:rsidR="00FE013C" w:rsidRPr="00215994" w:rsidRDefault="00FE013C" w:rsidP="00E11FE4">
      <w:pPr>
        <w:spacing w:after="120"/>
        <w:ind w:firstLine="480"/>
        <w:rPr>
          <w:szCs w:val="24"/>
        </w:rPr>
      </w:pPr>
      <w:r w:rsidRPr="00215994">
        <w:rPr>
          <w:szCs w:val="24"/>
        </w:rPr>
        <w:lastRenderedPageBreak/>
        <w:t xml:space="preserve">Google has become an industry leader in buying renewable energy. The company has recently increased its contracting activities, resulting in </w:t>
      </w:r>
      <w:r w:rsidRPr="007447D4">
        <w:rPr>
          <w:szCs w:val="24"/>
        </w:rPr>
        <w:t xml:space="preserve">a portfolio of over 22 GW of contracted renewable capacity — with total pipeline commitments exceeding 30 GW — through more than 170 power purchase agreements </w:t>
      </w:r>
      <w:r w:rsidRPr="00215994">
        <w:rPr>
          <w:szCs w:val="24"/>
        </w:rPr>
        <w:t>(PPAs)</w:t>
      </w:r>
      <w:r>
        <w:rPr>
          <w:szCs w:val="24"/>
        </w:rPr>
        <w:fldChar w:fldCharType="begin"/>
      </w:r>
      <w:r w:rsidR="00E11FE4">
        <w:rPr>
          <w:szCs w:val="24"/>
        </w:rPr>
        <w:instrText xml:space="preserve"> ADDIN ZOTERO_ITEM CSL_CITATION {"citationID":"hR3obl5V","properties":{"unsorted":false,"formattedCitation":"[52]","plainCitation":"[52]","noteIndex":0},"citationItems":[{"id":1995,"uris":["http://zotero.org/users/9870935/items/ZZ4BDIPH"],"itemData":{"id":1995,"type":"post-weblog","title":"Google Environmental Report 2025","URL":"https://sustainability.google/reports/google-2025-environmental-report/","author":[{"family":"Google","given":""}]}}],"schema":"https://github.com/citation-style-language/schema/raw/master/csl-citation.json"} </w:instrText>
      </w:r>
      <w:r>
        <w:rPr>
          <w:szCs w:val="24"/>
        </w:rPr>
        <w:fldChar w:fldCharType="separate"/>
      </w:r>
      <w:r w:rsidR="00E11FE4" w:rsidRPr="00E11FE4">
        <w:t>[52]</w:t>
      </w:r>
      <w:r>
        <w:rPr>
          <w:szCs w:val="24"/>
        </w:rPr>
        <w:fldChar w:fldCharType="end"/>
      </w:r>
      <w:r w:rsidRPr="00215994">
        <w:rPr>
          <w:szCs w:val="24"/>
        </w:rPr>
        <w:t xml:space="preserve">. Google met its hourly carbon-free energy (CFE) </w:t>
      </w:r>
      <w:r w:rsidRPr="00291195">
        <w:rPr>
          <w:szCs w:val="24"/>
          <w:highlight w:val="yellow"/>
        </w:rPr>
        <w:t>matching metric at 64% worldwide</w:t>
      </w:r>
      <w:r w:rsidR="00291195" w:rsidRPr="00291195">
        <w:rPr>
          <w:szCs w:val="24"/>
          <w:highlight w:val="yellow"/>
        </w:rPr>
        <w:t xml:space="preserve"> on 2024</w:t>
      </w:r>
      <w:r w:rsidRPr="00215994">
        <w:rPr>
          <w:szCs w:val="24"/>
        </w:rPr>
        <w:t xml:space="preserve"> and continues on its path toward achieving its structural target of 100</w:t>
      </w:r>
      <w:r>
        <w:rPr>
          <w:szCs w:val="24"/>
        </w:rPr>
        <w:t xml:space="preserve">% </w:t>
      </w:r>
      <w:r w:rsidRPr="00215994">
        <w:rPr>
          <w:szCs w:val="24"/>
        </w:rPr>
        <w:t>CFE operation on all regional grids by 2030</w:t>
      </w:r>
      <w:r>
        <w:rPr>
          <w:szCs w:val="24"/>
        </w:rPr>
        <w:fldChar w:fldCharType="begin"/>
      </w:r>
      <w:r w:rsidR="00E11FE4">
        <w:rPr>
          <w:szCs w:val="24"/>
        </w:rPr>
        <w:instrText xml:space="preserve"> ADDIN ZOTERO_ITEM CSL_CITATION {"citationID":"CKrzWUpd","properties":{"unsorted":false,"formattedCitation":"[52], [53]","plainCitation":"[52], [53]","noteIndex":0},"citationItems":[{"id":1995,"uris":["http://zotero.org/users/9870935/items/ZZ4BDIPH"],"itemData":{"id":1995,"type":"post-weblog","title":"Google Environmental Report 2025","URL":"https://sustainability.google/reports/google-2025-environmental-report/","author":[{"family":"Google","given":""}]}},{"id":1996,"uris":["http://zotero.org/users/9870935/items/JWXMITAD"],"itemData":{"id":1996,"type":"article-journal","abstract":"The meteoric rise of artificial intelligence (AI) has propelled global data center energy consumption to 415 terawatt-hours in 2024, with projections doubling to 945 TWh by 2030, driven by AI’s computational intensity and cooling demands. This review synthesizes cutting-edge solutions for sustainable AI-driven data centers, emphasizing renewable energy (solar, wind, hydropower) and advanced cooling technologies (liquid cooling, immersion cooling, heat reuse). Through global case studies, such as Google’s solar-powered facilities, and African innovations, like Kenya’s geothermal-powered centers, it showcases scalable integrations reducing energy use by 20-30%. In Africa, where data center capacity grows 25% annually, abundant renewables and water-efficient cooling address high-temperature challenges, yet infrastructure, cost, and equity barriers persist. Future pathways, including eco-friendly coolants and small modular reactors, are proposed alongside policy reforms to ensure net-zero alignment. This article calls for interdisciplinary collaboration to bridge digital divides, offering actionable insights for researchers, industry, and policymakers to drive sustainable AI infrastructure, particularly in Africa’s burgeoning digital landscape.","container-title":"Global Journal of Engineering and Technology Advances","DOI":"10.30574/gjeta.2025.24.3.0279","ISSN":"25825003","issue":"3","journalAbbreviation":"Global J. Eng. Technol. Adv.","page":"328-344","source":"DOI.org (Crossref)","title":"The AI-Driven Energy Surge: A comprehensive review of sustainable power solutions for data centers","title-short":"The AI-Driven Energy Surge","volume":"24","author":[{"family":"Mavisclara","given":"Ohaka Amarachi"},{"family":"Oshobugie","given":"Ibrahim Isiaka"},{"family":"Olufunmi","given":"Atoyebi Temitope"},{"family":"Bolaji","given":"Abdulrazaq Abdulrahman"},{"family":"Olawale","given":"Akadiri Oluwatoyin"},{"family":"Anulika","given":"Nwafor Chidinma"},{"family":"Samuel","given":"Okafor Kenechukwu"}],"issued":{"date-parts":[["2025",9,30]]}}}],"schema":"https://github.com/citation-style-language/schema/raw/master/csl-citation.json"} </w:instrText>
      </w:r>
      <w:r>
        <w:rPr>
          <w:szCs w:val="24"/>
        </w:rPr>
        <w:fldChar w:fldCharType="separate"/>
      </w:r>
      <w:r w:rsidR="00E11FE4" w:rsidRPr="00E11FE4">
        <w:t>[52], [53]</w:t>
      </w:r>
      <w:r>
        <w:rPr>
          <w:szCs w:val="24"/>
        </w:rPr>
        <w:fldChar w:fldCharType="end"/>
      </w:r>
      <w:r w:rsidRPr="00215994">
        <w:rPr>
          <w:szCs w:val="24"/>
        </w:rPr>
        <w:t xml:space="preserve">. This approach involves the deployment of a 50 MW on-site wind generation framework at its data </w:t>
      </w:r>
      <w:r w:rsidR="005F08CE" w:rsidRPr="00215994">
        <w:rPr>
          <w:szCs w:val="24"/>
        </w:rPr>
        <w:t>center</w:t>
      </w:r>
      <w:r w:rsidRPr="00215994">
        <w:rPr>
          <w:szCs w:val="24"/>
        </w:rPr>
        <w:t xml:space="preserve"> cluster in Iowa, along with more than 200 MW of wind and solar PPAs in Chile. Google’s strategy is to spread out their architecture geographically, taking advantage of the anticorrelated, complementary nature of wind assets in the U.S. Midwest and solar assets in the Southwest to significantly reduce the overall variability of the grid they are tied to</w:t>
      </w:r>
      <w:r>
        <w:rPr>
          <w:szCs w:val="24"/>
        </w:rPr>
        <w:fldChar w:fldCharType="begin"/>
      </w:r>
      <w:r w:rsidR="00E11FE4">
        <w:rPr>
          <w:szCs w:val="24"/>
        </w:rPr>
        <w:instrText xml:space="preserve"> ADDIN ZOTERO_ITEM CSL_CITATION {"citationID":"qNnagB7S","properties":{"unsorted":false,"formattedCitation":"[53]","plainCitation":"[53]","noteIndex":0},"citationItems":[{"id":1996,"uris":["http://zotero.org/users/9870935/items/JWXMITAD"],"itemData":{"id":1996,"type":"article-journal","abstract":"The meteoric rise of artificial intelligence (AI) has propelled global data center energy consumption to 415 terawatt-hours in 2024, with projections doubling to 945 TWh by 2030, driven by AI’s computational intensity and cooling demands. This review synthesizes cutting-edge solutions for sustainable AI-driven data centers, emphasizing renewable energy (solar, wind, hydropower) and advanced cooling technologies (liquid cooling, immersion cooling, heat reuse). Through global case studies, such as Google’s solar-powered facilities, and African innovations, like Kenya’s geothermal-powered centers, it showcases scalable integrations reducing energy use by 20-30%. In Africa, where data center capacity grows 25% annually, abundant renewables and water-efficient cooling address high-temperature challenges, yet infrastructure, cost, and equity barriers persist. Future pathways, including eco-friendly coolants and small modular reactors, are proposed alongside policy reforms to ensure net-zero alignment. This article calls for interdisciplinary collaboration to bridge digital divides, offering actionable insights for researchers, industry, and policymakers to drive sustainable AI infrastructure, particularly in Africa’s burgeoning digital landscape.","container-title":"Global Journal of Engineering and Technology Advances","DOI":"10.30574/gjeta.2025.24.3.0279","ISSN":"25825003","issue":"3","journalAbbreviation":"Global J. Eng. Technol. Adv.","page":"328-344","source":"DOI.org (Crossref)","title":"The AI-Driven Energy Surge: A comprehensive review of sustainable power solutions for data centers","title-short":"The AI-Driven Energy Surge","volume":"24","author":[{"family":"Mavisclara","given":"Ohaka Amarachi"},{"family":"Oshobugie","given":"Ibrahim Isiaka"},{"family":"Olufunmi","given":"Atoyebi Temitope"},{"family":"Bolaji","given":"Abdulrazaq Abdulrahman"},{"family":"Olawale","given":"Akadiri Oluwatoyin"},{"family":"Anulika","given":"Nwafor Chidinma"},{"family":"Samuel","given":"Okafor Kenechukwu"}],"issued":{"date-parts":[["2025",9,30]]}}}],"schema":"https://github.com/citation-style-language/schema/raw/master/csl-citation.json"} </w:instrText>
      </w:r>
      <w:r>
        <w:rPr>
          <w:szCs w:val="24"/>
        </w:rPr>
        <w:fldChar w:fldCharType="separate"/>
      </w:r>
      <w:r w:rsidR="00E11FE4" w:rsidRPr="00E11FE4">
        <w:t>[53]</w:t>
      </w:r>
      <w:r>
        <w:rPr>
          <w:szCs w:val="24"/>
        </w:rPr>
        <w:fldChar w:fldCharType="end"/>
      </w:r>
      <w:r w:rsidRPr="00215994">
        <w:rPr>
          <w:szCs w:val="24"/>
        </w:rPr>
        <w:t xml:space="preserve">.  </w:t>
      </w:r>
    </w:p>
    <w:p w14:paraId="3A90E4C4" w14:textId="51EDED2E" w:rsidR="00FE013C" w:rsidRPr="00215994" w:rsidRDefault="00FE013C" w:rsidP="00E11FE4">
      <w:pPr>
        <w:spacing w:after="120"/>
        <w:ind w:firstLine="480"/>
        <w:rPr>
          <w:szCs w:val="24"/>
        </w:rPr>
      </w:pPr>
      <w:r w:rsidRPr="00215994">
        <w:rPr>
          <w:szCs w:val="24"/>
        </w:rPr>
        <w:t xml:space="preserve">Meta has taken a differentiated approach, focusing on </w:t>
      </w:r>
      <w:r w:rsidR="005F08CE" w:rsidRPr="00215994">
        <w:rPr>
          <w:szCs w:val="24"/>
        </w:rPr>
        <w:t>localized</w:t>
      </w:r>
      <w:r w:rsidRPr="00215994">
        <w:rPr>
          <w:szCs w:val="24"/>
        </w:rPr>
        <w:t xml:space="preserve"> fuel cell deployment and extensive grid additionality. Meta installed 5 MW of SOFCs at its Prineville, OR data </w:t>
      </w:r>
      <w:r w:rsidR="005F08CE" w:rsidRPr="00215994">
        <w:rPr>
          <w:szCs w:val="24"/>
        </w:rPr>
        <w:t>center</w:t>
      </w:r>
      <w:r w:rsidRPr="00215994">
        <w:rPr>
          <w:szCs w:val="24"/>
        </w:rPr>
        <w:t xml:space="preserve"> campus to supply stable primary baseload power</w:t>
      </w:r>
      <w:r>
        <w:rPr>
          <w:szCs w:val="24"/>
        </w:rPr>
        <w:fldChar w:fldCharType="begin"/>
      </w:r>
      <w:r w:rsidR="00E11FE4">
        <w:rPr>
          <w:szCs w:val="24"/>
        </w:rPr>
        <w:instrText xml:space="preserve"> ADDIN ZOTERO_ITEM CSL_CITATION {"citationID":"yI9ZUW0O","properties":{"unsorted":false,"formattedCitation":"[53]","plainCitation":"[53]","noteIndex":0},"citationItems":[{"id":1996,"uris":["http://zotero.org/users/9870935/items/JWXMITAD"],"itemData":{"id":1996,"type":"article-journal","abstract":"The meteoric rise of artificial intelligence (AI) has propelled global data center energy consumption to 415 terawatt-hours in 2024, with projections doubling to 945 TWh by 2030, driven by AI’s computational intensity and cooling demands. This review synthesizes cutting-edge solutions for sustainable AI-driven data centers, emphasizing renewable energy (solar, wind, hydropower) and advanced cooling technologies (liquid cooling, immersion cooling, heat reuse). Through global case studies, such as Google’s solar-powered facilities, and African innovations, like Kenya’s geothermal-powered centers, it showcases scalable integrations reducing energy use by 20-30%. In Africa, where data center capacity grows 25% annually, abundant renewables and water-efficient cooling address high-temperature challenges, yet infrastructure, cost, and equity barriers persist. Future pathways, including eco-friendly coolants and small modular reactors, are proposed alongside policy reforms to ensure net-zero alignment. This article calls for interdisciplinary collaboration to bridge digital divides, offering actionable insights for researchers, industry, and policymakers to drive sustainable AI infrastructure, particularly in Africa’s burgeoning digital landscape.","container-title":"Global Journal of Engineering and Technology Advances","DOI":"10.30574/gjeta.2025.24.3.0279","ISSN":"25825003","issue":"3","journalAbbreviation":"Global J. Eng. Technol. Adv.","page":"328-344","source":"DOI.org (Crossref)","title":"The AI-Driven Energy Surge: A comprehensive review of sustainable power solutions for data centers","title-short":"The AI-Driven Energy Surge","volume":"24","author":[{"family":"Mavisclara","given":"Ohaka Amarachi"},{"family":"Oshobugie","given":"Ibrahim Isiaka"},{"family":"Olufunmi","given":"Atoyebi Temitope"},{"family":"Bolaji","given":"Abdulrazaq Abdulrahman"},{"family":"Olawale","given":"Akadiri Oluwatoyin"},{"family":"Anulika","given":"Nwafor Chidinma"},{"family":"Samuel","given":"Okafor Kenechukwu"}],"issued":{"date-parts":[["2025",9,30]]}}}],"schema":"https://github.com/citation-style-language/schema/raw/master/csl-citation.json"} </w:instrText>
      </w:r>
      <w:r>
        <w:rPr>
          <w:szCs w:val="24"/>
        </w:rPr>
        <w:fldChar w:fldCharType="separate"/>
      </w:r>
      <w:r w:rsidR="00E11FE4" w:rsidRPr="00E11FE4">
        <w:t>[53]</w:t>
      </w:r>
      <w:r>
        <w:rPr>
          <w:szCs w:val="24"/>
        </w:rPr>
        <w:fldChar w:fldCharType="end"/>
      </w:r>
      <w:r w:rsidRPr="00215994">
        <w:rPr>
          <w:szCs w:val="24"/>
        </w:rPr>
        <w:t xml:space="preserve">. Since 2020, Meta has been structurally matching its operational electricity consumption with clean energy additions annually, with contracted wind and solar capacity now representing nearly 29 GW of clean energy capacity globally </w:t>
      </w:r>
      <w:r>
        <w:rPr>
          <w:szCs w:val="24"/>
        </w:rPr>
        <w:fldChar w:fldCharType="begin"/>
      </w:r>
      <w:r w:rsidR="00E11FE4">
        <w:rPr>
          <w:szCs w:val="24"/>
        </w:rPr>
        <w:instrText xml:space="preserve"> ADDIN ZOTERO_ITEM CSL_CITATION {"citationID":"Zg4mrp1i","properties":{"unsorted":false,"formattedCitation":"[54], [55]","plainCitation":"[54], [55]","noteIndex":0},"citationItems":[{"id":1998,"uris":["http://zotero.org/users/9870935/items/3PR5HCM7"],"itemData":{"id":1998,"type":"post-weblog","title":"2025 Sustainability Report","URL":"https://sustainability.atmeta.com/wp-content/uploads/2025/08/Meta_2025-Sustainability-Report.pdf","author":[{"family":"Meta","given":""}]}},{"id":1999,"uris":["http://zotero.org/users/9870935/items/KFJTNUYK"],"itemData":{"id":1999,"type":"post-weblog","title":"Corporate Clean Energy Buying Fell in 2025 After Nearly a Decade of Growth","URL":"https://about.bnef.com/insights/clean-energy/corporate-clean-energy-buying-fell-in-2025-after-nearly-a-decade-of-growth/","author":[{"family":"BloombergNEF","given":""}]}}],"schema":"https://github.com/citation-style-language/schema/raw/master/csl-citation.json"} </w:instrText>
      </w:r>
      <w:r>
        <w:rPr>
          <w:szCs w:val="24"/>
        </w:rPr>
        <w:fldChar w:fldCharType="separate"/>
      </w:r>
      <w:r w:rsidR="00E11FE4" w:rsidRPr="00E11FE4">
        <w:t>[54], [55]</w:t>
      </w:r>
      <w:r>
        <w:rPr>
          <w:szCs w:val="24"/>
        </w:rPr>
        <w:fldChar w:fldCharType="end"/>
      </w:r>
      <w:r w:rsidRPr="00215994">
        <w:rPr>
          <w:szCs w:val="24"/>
        </w:rPr>
        <w:t xml:space="preserve">.  </w:t>
      </w:r>
    </w:p>
    <w:p w14:paraId="63A51356" w14:textId="4673AE78" w:rsidR="00FE013C" w:rsidRPr="00215994" w:rsidRDefault="00FE013C" w:rsidP="00E11FE4">
      <w:pPr>
        <w:spacing w:after="120"/>
        <w:ind w:firstLine="480"/>
        <w:rPr>
          <w:szCs w:val="24"/>
        </w:rPr>
      </w:pPr>
      <w:r w:rsidRPr="00215994">
        <w:rPr>
          <w:szCs w:val="24"/>
        </w:rPr>
        <w:t xml:space="preserve">At the same time, Microsoft has been leading the way with very </w:t>
      </w:r>
      <w:r w:rsidR="005F08CE" w:rsidRPr="00215994">
        <w:rPr>
          <w:szCs w:val="24"/>
        </w:rPr>
        <w:t>decentralized</w:t>
      </w:r>
      <w:r w:rsidRPr="00215994">
        <w:rPr>
          <w:szCs w:val="24"/>
        </w:rPr>
        <w:t xml:space="preserve"> baseload ideas. This includes Project Natick, an underwater data </w:t>
      </w:r>
      <w:r w:rsidR="005F08CE" w:rsidRPr="00215994">
        <w:rPr>
          <w:szCs w:val="24"/>
        </w:rPr>
        <w:t>center</w:t>
      </w:r>
      <w:r w:rsidRPr="00215994">
        <w:rPr>
          <w:szCs w:val="24"/>
        </w:rPr>
        <w:t xml:space="preserve"> deployment that achieved a 99.9</w:t>
      </w:r>
      <w:r>
        <w:rPr>
          <w:szCs w:val="24"/>
        </w:rPr>
        <w:t xml:space="preserve">% </w:t>
      </w:r>
      <w:r w:rsidRPr="00215994">
        <w:rPr>
          <w:szCs w:val="24"/>
        </w:rPr>
        <w:t xml:space="preserve">uptime reliability factor and an eight-fold reduction in hardware failure rates compared with traditional land-based data </w:t>
      </w:r>
      <w:r w:rsidR="005F08CE" w:rsidRPr="00215994">
        <w:rPr>
          <w:szCs w:val="24"/>
        </w:rPr>
        <w:t>centers</w:t>
      </w:r>
      <w:r w:rsidRPr="00215994">
        <w:rPr>
          <w:szCs w:val="24"/>
        </w:rPr>
        <w:t xml:space="preserve"> </w:t>
      </w:r>
      <w:r>
        <w:rPr>
          <w:szCs w:val="24"/>
        </w:rPr>
        <w:fldChar w:fldCharType="begin"/>
      </w:r>
      <w:r w:rsidR="00E11FE4">
        <w:rPr>
          <w:szCs w:val="24"/>
        </w:rPr>
        <w:instrText xml:space="preserve"> ADDIN ZOTERO_ITEM CSL_CITATION {"citationID":"8st61XpZ","properties":{"unsorted":false,"formattedCitation":"[56], [57]","plainCitation":"[56], [57]","noteIndex":0},"citationItems":[{"id":2005,"uris":["http://zotero.org/users/9870935/items/GPXLWD7A"],"itemData":{"id":2005,"type":"article-journal","abstract":"This research investigates the future landscape of cloud computing, concentrating specifically on Microsoft's pioneering underwater data center initiative. With the global demand for cloud services on the rise, there is an urgent need for sustainable and efficient solutions to address the increasing requirements for data storage. Microsoft's underwater data centers, part of Project Natick, are designed to confront these challenges by leveraging the natural cooling capabilities of ocean water, which significantly lowers energy consumption in comparison to conventional land-based facilities. Beyond energy efficiency, these submerged data centers present an opportunity to lessen the environmental footprint associated with extensive data storage, thereby offering a distinctive method for promoting eco-friendly computing. This thorough study assesses the technological innovations, economic feasibility, and environmental consequences of underwater data centers, evaluating their capacity to fulfil the scalability and reliability needs of cloud infrastructure. The research also examines the practicality of large-scale deployment, the challenges of underwater connectivity, and maintenance, and the long-term resilience of the infrastructure. By analyzing findings from Microsoft's pilot projects, this study seeks to enhance understanding of how underwater data centers could transform the future of cloud computing, potentially revolutionizing digital data storage and management in a more sustainable and efficient manner.","issue":"3","language":"en","source":"Zotero","title":"Exploring the Future of Cloud Computing: A Comprehensive Study of Microsoft's Underwater Data Centers","URL":"https://www.taylorfrancis.com/chapters/edit/10.1201/9781003492160-7/exploring-cloud-computing-platforms-metrics-used-compare-cloud-service-providers-parul-dubey-arvind-kumar-tiwari","volume":"12","author":[{"family":"Panchal","given":"Yash"},{"family":"Dubey","given":"Shivam"},{"family":"Pathak","given":"Rashmi"}],"issued":{"date-parts":[["2025"]]}}},{"id":2001,"uris":["http://zotero.org/users/9870935/items/2FD7ZXSC"],"itemData":{"id":2001,"type":"article-journal","language":"en","source":"Zotero","title":"Project Natick — Microsoft's Self-sufficient Underwater Datacenters","URL":"https://www.researchgate.net/publication/328214732_Project_Natick-Microsoft's_Self-sufficient_Underwater_Datacenters","author":[{"family":"Simon","given":"Kevin"}]}}],"schema":"https://github.com/citation-style-language/schema/raw/master/csl-citation.json"} </w:instrText>
      </w:r>
      <w:r>
        <w:rPr>
          <w:szCs w:val="24"/>
        </w:rPr>
        <w:fldChar w:fldCharType="separate"/>
      </w:r>
      <w:r w:rsidR="00E11FE4" w:rsidRPr="00E11FE4">
        <w:t>[56], [57]</w:t>
      </w:r>
      <w:r>
        <w:rPr>
          <w:szCs w:val="24"/>
        </w:rPr>
        <w:fldChar w:fldCharType="end"/>
      </w:r>
      <w:r w:rsidRPr="00215994">
        <w:rPr>
          <w:szCs w:val="24"/>
        </w:rPr>
        <w:t>. To support the very large workloads of AI, Microsoft has transitioned to nuclear energy frameworks, with direct, long-term power supply relationships that provide stable, non-intermittent baseload power that is carbon-free</w:t>
      </w:r>
      <w:r>
        <w:rPr>
          <w:szCs w:val="24"/>
        </w:rPr>
        <w:fldChar w:fldCharType="begin"/>
      </w:r>
      <w:r w:rsidR="00E11FE4">
        <w:rPr>
          <w:szCs w:val="24"/>
        </w:rPr>
        <w:instrText xml:space="preserve"> ADDIN ZOTERO_ITEM CSL_CITATION {"citationID":"XDrsuJcP","properties":{"unsorted":false,"formattedCitation":"[58]","plainCitation":"[58]","noteIndex":0},"citationItems":[{"id":2006,"uris":["http://zotero.org/users/9870935/items/X97WKK42"],"itemData":{"id":2006,"type":"article-journal","abstract":"Societies need a practical way to assess total costs of future energy mixes in complex power systems. To demonstrate such an approach, we assess the cost of electricity in the ERCOT system across two distinct generation mix scenarios, varying mostly by wind, solar and gas-fired generation, between 2023 and 2050. We use commercial software, also used by system operators and power plant developers, to ensure that evolving generation mixes in both scenarios can meet electricity demands at all times at all nodes. Such jurisdiction-specific, hourly nodal dispatch modeling is recognized as necessary for more accurate representation of costs to maintain reliable operations in complex electricity systems. We capture generation and some system costs, which we call consumer cost of electricity, CCOE, given that end-users pay these costs under different line items in their electricity bills. CCOEs are insightful cost estimates for system planning and policy discussions for a given power system and must be recalculated for different scenarios as technologies, market designs, policies, and more, change. This can be done as part of routine annual or bespoke analyses conducted by system operators.","container-title":"Energies","DOI":"10.3390/en19092195","ISSN":"1996-1073","issue":"9","journalAbbreviation":"Energies","language":"en","page":"2195","source":"DOI.org (Crossref)","title":"Assessing Economic Costs of Two Reliable Generation Mix Scenarios in the ERCOT System","volume":"19","author":[{"family":"Gülen","given":"Gürcan"},{"family":"Das","given":"Jani"},{"family":"Young","given":"Michael H."}],"issued":{"date-parts":[["2026",5,1]]}}}],"schema":"https://github.com/citation-style-language/schema/raw/master/csl-citation.json"} </w:instrText>
      </w:r>
      <w:r>
        <w:rPr>
          <w:szCs w:val="24"/>
        </w:rPr>
        <w:fldChar w:fldCharType="separate"/>
      </w:r>
      <w:r w:rsidR="00E11FE4" w:rsidRPr="00E11FE4">
        <w:t>[58]</w:t>
      </w:r>
      <w:r>
        <w:rPr>
          <w:szCs w:val="24"/>
        </w:rPr>
        <w:fldChar w:fldCharType="end"/>
      </w:r>
      <w:r w:rsidRPr="00215994">
        <w:rPr>
          <w:szCs w:val="24"/>
        </w:rPr>
        <w:t>.</w:t>
      </w:r>
    </w:p>
    <w:p w14:paraId="4EE3A5CE" w14:textId="04FF18E7" w:rsidR="00FE013C" w:rsidRPr="00215994" w:rsidRDefault="00FE013C" w:rsidP="00E11FE4">
      <w:pPr>
        <w:spacing w:after="120"/>
        <w:ind w:firstLine="480"/>
        <w:rPr>
          <w:szCs w:val="24"/>
        </w:rPr>
      </w:pPr>
      <w:r w:rsidRPr="00215994">
        <w:rPr>
          <w:szCs w:val="24"/>
        </w:rPr>
        <w:t xml:space="preserve">Equinix is the world's largest colocation data </w:t>
      </w:r>
      <w:r w:rsidR="005F08CE" w:rsidRPr="00215994">
        <w:rPr>
          <w:szCs w:val="24"/>
        </w:rPr>
        <w:t>center</w:t>
      </w:r>
      <w:r w:rsidRPr="00215994">
        <w:rPr>
          <w:szCs w:val="24"/>
        </w:rPr>
        <w:t xml:space="preserve"> provider with a presence in more than 260 facilities, which manages a very </w:t>
      </w:r>
      <w:r w:rsidR="005F08CE" w:rsidRPr="00215994">
        <w:rPr>
          <w:szCs w:val="24"/>
        </w:rPr>
        <w:t>decentralized</w:t>
      </w:r>
      <w:r w:rsidRPr="00215994">
        <w:rPr>
          <w:szCs w:val="24"/>
        </w:rPr>
        <w:t xml:space="preserve"> clean energy procurement architecture</w:t>
      </w:r>
      <w:r>
        <w:rPr>
          <w:szCs w:val="24"/>
        </w:rPr>
        <w:fldChar w:fldCharType="begin"/>
      </w:r>
      <w:r w:rsidR="00E11FE4">
        <w:rPr>
          <w:szCs w:val="24"/>
        </w:rPr>
        <w:instrText xml:space="preserve"> ADDIN ZOTERO_ITEM CSL_CITATION {"citationID":"55g5vk6s","properties":{"unsorted":false,"formattedCitation":"[59]","plainCitation":"[59]","noteIndex":0},"citationItems":[{"id":2007,"uris":["http://zotero.org/users/9870935/items/KHWRQFNN"],"itemData":{"id":2007,"type":"post-weblog","title":"Sustainability Report 2025","URL":"https://delivery-p112322-e1154416.adobeaemcloud.com/adobe/assets/deliver/urn:aaid:aem:116e6fc1-6217-4132-8fcf-1dc7096396df/Equinix-Inc_2025_Sustainability-Report.pdf","author":[{"family":"Equinix","given":""}]}}],"schema":"https://github.com/citation-style-language/schema/raw/master/csl-citation.json"} </w:instrText>
      </w:r>
      <w:r>
        <w:rPr>
          <w:szCs w:val="24"/>
        </w:rPr>
        <w:fldChar w:fldCharType="separate"/>
      </w:r>
      <w:r w:rsidR="00E11FE4" w:rsidRPr="00E11FE4">
        <w:t>[59]</w:t>
      </w:r>
      <w:r>
        <w:rPr>
          <w:szCs w:val="24"/>
        </w:rPr>
        <w:fldChar w:fldCharType="end"/>
      </w:r>
      <w:r w:rsidRPr="00215994">
        <w:rPr>
          <w:szCs w:val="24"/>
        </w:rPr>
        <w:t>. Equinix has established a 96</w:t>
      </w:r>
      <w:r>
        <w:rPr>
          <w:szCs w:val="24"/>
        </w:rPr>
        <w:t xml:space="preserve">% </w:t>
      </w:r>
      <w:r w:rsidRPr="00215994">
        <w:rPr>
          <w:szCs w:val="24"/>
        </w:rPr>
        <w:t xml:space="preserve">global renewable energy coverage metric for its retail data </w:t>
      </w:r>
      <w:r w:rsidR="005F08CE" w:rsidRPr="00215994">
        <w:rPr>
          <w:szCs w:val="24"/>
        </w:rPr>
        <w:t>center</w:t>
      </w:r>
      <w:r w:rsidRPr="00215994">
        <w:rPr>
          <w:szCs w:val="24"/>
        </w:rPr>
        <w:t xml:space="preserve"> portfolio, with multiple hundreds of megawatts of </w:t>
      </w:r>
      <w:r w:rsidRPr="00CE402A">
        <w:rPr>
          <w:szCs w:val="24"/>
        </w:rPr>
        <w:t>solar and wind capacity across California, Arizona, Texas, and Europe</w:t>
      </w:r>
      <w:r>
        <w:rPr>
          <w:szCs w:val="24"/>
        </w:rPr>
        <w:fldChar w:fldCharType="begin"/>
      </w:r>
      <w:r w:rsidR="00E11FE4">
        <w:rPr>
          <w:szCs w:val="24"/>
        </w:rPr>
        <w:instrText xml:space="preserve"> ADDIN ZOTERO_ITEM CSL_CITATION {"citationID":"4AetSQpC","properties":{"unsorted":false,"formattedCitation":"[59]","plainCitation":"[59]","noteIndex":0},"citationItems":[{"id":2007,"uris":["http://zotero.org/users/9870935/items/KHWRQFNN"],"itemData":{"id":2007,"type":"post-weblog","title":"Sustainability Report 2025","URL":"https://delivery-p112322-e1154416.adobeaemcloud.com/adobe/assets/deliver/urn:aaid:aem:116e6fc1-6217-4132-8fcf-1dc7096396df/Equinix-Inc_2025_Sustainability-Report.pdf","author":[{"family":"Equinix","given":""}]}}],"schema":"https://github.com/citation-style-language/schema/raw/master/csl-citation.json"} </w:instrText>
      </w:r>
      <w:r>
        <w:rPr>
          <w:szCs w:val="24"/>
        </w:rPr>
        <w:fldChar w:fldCharType="separate"/>
      </w:r>
      <w:r w:rsidR="00E11FE4" w:rsidRPr="00E11FE4">
        <w:t>[59]</w:t>
      </w:r>
      <w:r>
        <w:rPr>
          <w:szCs w:val="24"/>
        </w:rPr>
        <w:fldChar w:fldCharType="end"/>
      </w:r>
      <w:r w:rsidRPr="00215994">
        <w:rPr>
          <w:szCs w:val="24"/>
        </w:rPr>
        <w:t>.</w:t>
      </w:r>
    </w:p>
    <w:p w14:paraId="0E5CA854" w14:textId="3F0A2522" w:rsidR="00FE013C" w:rsidRDefault="00FE013C" w:rsidP="00E11FE4">
      <w:pPr>
        <w:spacing w:after="120"/>
        <w:ind w:firstLine="480"/>
        <w:rPr>
          <w:szCs w:val="24"/>
        </w:rPr>
      </w:pPr>
      <w:r w:rsidRPr="00215994">
        <w:rPr>
          <w:szCs w:val="24"/>
        </w:rPr>
        <w:t>Likewise, Apple has removed its operating footprint and matched 100</w:t>
      </w:r>
      <w:r>
        <w:rPr>
          <w:szCs w:val="24"/>
        </w:rPr>
        <w:t xml:space="preserve">% </w:t>
      </w:r>
      <w:r w:rsidRPr="00215994">
        <w:rPr>
          <w:szCs w:val="24"/>
        </w:rPr>
        <w:t xml:space="preserve">renewable energy at its corporate operations and upstream manufacturing supply chain. This setup includes a </w:t>
      </w:r>
      <w:r w:rsidR="005F08CE" w:rsidRPr="00215994">
        <w:rPr>
          <w:szCs w:val="24"/>
        </w:rPr>
        <w:t>specialized</w:t>
      </w:r>
      <w:r w:rsidRPr="00215994">
        <w:rPr>
          <w:szCs w:val="24"/>
        </w:rPr>
        <w:t xml:space="preserve"> 10 MW solid oxide fuel cell array at its Maiden, North Carolina data </w:t>
      </w:r>
      <w:r w:rsidR="005F08CE" w:rsidRPr="00215994">
        <w:rPr>
          <w:szCs w:val="24"/>
        </w:rPr>
        <w:t>center</w:t>
      </w:r>
      <w:r w:rsidRPr="00215994">
        <w:rPr>
          <w:szCs w:val="24"/>
        </w:rPr>
        <w:t>, which runs in parallel with significant onsite solar power generation</w:t>
      </w:r>
      <w:r>
        <w:rPr>
          <w:szCs w:val="24"/>
        </w:rPr>
        <w:t xml:space="preserve">. </w:t>
      </w:r>
      <w:r w:rsidRPr="00215994">
        <w:rPr>
          <w:szCs w:val="24"/>
        </w:rPr>
        <w:t xml:space="preserve">These are clearly public-facing corporate efforts to prove that although perfect, real-time 24/7 CFE matching is a continuing challenge on the grid, utility-scale renewable-powered data </w:t>
      </w:r>
      <w:r w:rsidR="005F08CE" w:rsidRPr="00215994">
        <w:rPr>
          <w:szCs w:val="24"/>
        </w:rPr>
        <w:t>center</w:t>
      </w:r>
      <w:r w:rsidRPr="00215994">
        <w:rPr>
          <w:szCs w:val="24"/>
        </w:rPr>
        <w:t xml:space="preserve"> configurations are technically stable and economically better options for hyperscale infrastructure</w:t>
      </w:r>
      <w:r>
        <w:rPr>
          <w:szCs w:val="24"/>
        </w:rPr>
        <w:fldChar w:fldCharType="begin"/>
      </w:r>
      <w:r w:rsidR="00E11FE4">
        <w:rPr>
          <w:szCs w:val="24"/>
        </w:rPr>
        <w:instrText xml:space="preserve"> ADDIN ZOTERO_ITEM CSL_CITATION {"citationID":"aW9zBp1f","properties":{"unsorted":false,"formattedCitation":"[60]","plainCitation":"[60]","noteIndex":0},"citationItems":[{"id":2010,"uris":["http://zotero.org/users/9870935/items/36ZP5SVZ"],"itemData":{"id":2010,"type":"post-weblog","title":"Environmental Progress Report","URL":"https://www.apple.com/environment/pdf/Apple_Environmental_Progress_Report_2025.pdf","author":[{"family":"Apple","given":""}]}}],"schema":"https://github.com/citation-style-language/schema/raw/master/csl-citation.json"} </w:instrText>
      </w:r>
      <w:r>
        <w:rPr>
          <w:szCs w:val="24"/>
        </w:rPr>
        <w:fldChar w:fldCharType="separate"/>
      </w:r>
      <w:r w:rsidR="00E11FE4" w:rsidRPr="00E11FE4">
        <w:t>[60]</w:t>
      </w:r>
      <w:r>
        <w:rPr>
          <w:szCs w:val="24"/>
        </w:rPr>
        <w:fldChar w:fldCharType="end"/>
      </w:r>
      <w:r w:rsidRPr="00215994">
        <w:rPr>
          <w:szCs w:val="24"/>
        </w:rPr>
        <w:t>.</w:t>
      </w:r>
    </w:p>
    <w:p w14:paraId="13B265DA" w14:textId="77777777" w:rsidR="00FE013C" w:rsidRDefault="00FE013C" w:rsidP="004C16FF">
      <w:pPr>
        <w:pStyle w:val="Heading20"/>
        <w:jc w:val="both"/>
        <w:rPr>
          <w:color w:val="auto"/>
        </w:rPr>
      </w:pPr>
      <w:r>
        <w:rPr>
          <w:color w:val="auto"/>
        </w:rPr>
        <w:t xml:space="preserve">2.6. </w:t>
      </w:r>
      <w:r w:rsidRPr="00B768DA">
        <w:rPr>
          <w:color w:val="auto"/>
        </w:rPr>
        <w:t>Critical Comparative Analysis of Renewable Integration Frameworks</w:t>
      </w:r>
    </w:p>
    <w:p w14:paraId="544E38E3" w14:textId="54E97258" w:rsidR="00177B3A" w:rsidRPr="00177B3A" w:rsidRDefault="00177B3A" w:rsidP="008A765B">
      <w:pPr>
        <w:spacing w:after="120"/>
        <w:ind w:firstLine="480"/>
        <w:rPr>
          <w:szCs w:val="24"/>
          <w:lang w:val="en-CA"/>
        </w:rPr>
      </w:pPr>
      <w:r w:rsidRPr="002A0D24">
        <w:rPr>
          <w:szCs w:val="24"/>
          <w:highlight w:val="yellow"/>
          <w:lang w:val="en-CA"/>
        </w:rPr>
        <w:t>Previous studies on renewable-energy integration for data centers can be grouped into four broad categories, each with distinct strengths, limitations, and implementation challenges. Table 1 provides a comparative assessment of these approaches and includes representative references supporting the identified technical strengths, economic blind spots, and implementation barriers. The analysis highlights the specific gaps that motivate the integrated framework proposed in this study.</w:t>
      </w:r>
    </w:p>
    <w:p w14:paraId="3CC51054" w14:textId="5980B47B" w:rsidR="00FE013C" w:rsidRDefault="00FE013C" w:rsidP="004C16FF">
      <w:pPr>
        <w:pStyle w:val="Caption"/>
        <w:keepNext/>
      </w:pPr>
      <w:r>
        <w:lastRenderedPageBreak/>
        <w:t xml:space="preserve">Table </w:t>
      </w:r>
      <w:r>
        <w:fldChar w:fldCharType="begin"/>
      </w:r>
      <w:r>
        <w:instrText xml:space="preserve"> SEQ Table \* ARABIC </w:instrText>
      </w:r>
      <w:r>
        <w:fldChar w:fldCharType="separate"/>
      </w:r>
      <w:r w:rsidR="003A3C82">
        <w:rPr>
          <w:noProof/>
        </w:rPr>
        <w:t>1</w:t>
      </w:r>
      <w:r>
        <w:rPr>
          <w:noProof/>
        </w:rPr>
        <w:fldChar w:fldCharType="end"/>
      </w:r>
      <w:r>
        <w:t xml:space="preserve"> </w:t>
      </w:r>
      <w:r w:rsidRPr="008B20D6">
        <w:t>Comparative Analysis of Renewable Integration Approaches for Data Centers</w:t>
      </w:r>
    </w:p>
    <w:tbl>
      <w:tblPr>
        <w:tblStyle w:val="Mdeck5tablebodythreelines"/>
        <w:tblW w:w="0" w:type="auto"/>
        <w:tblLayout w:type="fixed"/>
        <w:tblLook w:val="04A0" w:firstRow="1" w:lastRow="0" w:firstColumn="1" w:lastColumn="0" w:noHBand="0" w:noVBand="1"/>
      </w:tblPr>
      <w:tblGrid>
        <w:gridCol w:w="1678"/>
        <w:gridCol w:w="1695"/>
        <w:gridCol w:w="1695"/>
        <w:gridCol w:w="1947"/>
        <w:gridCol w:w="1829"/>
      </w:tblGrid>
      <w:tr w:rsidR="00FE013C" w:rsidRPr="00E2702F" w14:paraId="41D68597" w14:textId="77777777" w:rsidTr="00103F18">
        <w:trPr>
          <w:cnfStyle w:val="100000000000" w:firstRow="1" w:lastRow="0" w:firstColumn="0" w:lastColumn="0" w:oddVBand="0" w:evenVBand="0" w:oddHBand="0" w:evenHBand="0" w:firstRowFirstColumn="0" w:firstRowLastColumn="0" w:lastRowFirstColumn="0" w:lastRowLastColumn="0"/>
        </w:trPr>
        <w:tc>
          <w:tcPr>
            <w:tcW w:w="1678" w:type="dxa"/>
            <w:hideMark/>
          </w:tcPr>
          <w:p w14:paraId="6F104B4B" w14:textId="77777777" w:rsidR="00FE013C" w:rsidRPr="00E2702F" w:rsidRDefault="00FE013C" w:rsidP="004C16FF">
            <w:pPr>
              <w:pStyle w:val="TableBody"/>
              <w:jc w:val="both"/>
              <w:rPr>
                <w:b/>
                <w:bCs/>
                <w:color w:val="auto"/>
                <w:sz w:val="16"/>
                <w:szCs w:val="16"/>
                <w:highlight w:val="yellow"/>
                <w:lang w:val="en-US"/>
              </w:rPr>
            </w:pPr>
            <w:r w:rsidRPr="00E2702F">
              <w:rPr>
                <w:b/>
                <w:bCs/>
                <w:color w:val="auto"/>
                <w:sz w:val="16"/>
                <w:szCs w:val="16"/>
                <w:highlight w:val="yellow"/>
                <w:lang w:val="en-US"/>
              </w:rPr>
              <w:t>Approach</w:t>
            </w:r>
          </w:p>
        </w:tc>
        <w:tc>
          <w:tcPr>
            <w:tcW w:w="1695" w:type="dxa"/>
            <w:hideMark/>
          </w:tcPr>
          <w:p w14:paraId="5F2561D9" w14:textId="77777777" w:rsidR="00FE013C" w:rsidRPr="00E2702F" w:rsidRDefault="00FE013C" w:rsidP="004C16FF">
            <w:pPr>
              <w:pStyle w:val="TableBody"/>
              <w:jc w:val="both"/>
              <w:rPr>
                <w:b/>
                <w:bCs/>
                <w:color w:val="auto"/>
                <w:sz w:val="16"/>
                <w:szCs w:val="16"/>
                <w:highlight w:val="yellow"/>
                <w:lang w:val="en-US"/>
              </w:rPr>
            </w:pPr>
            <w:r w:rsidRPr="00E2702F">
              <w:rPr>
                <w:b/>
                <w:bCs/>
                <w:color w:val="auto"/>
                <w:sz w:val="16"/>
                <w:szCs w:val="16"/>
                <w:highlight w:val="yellow"/>
                <w:lang w:val="en-US"/>
              </w:rPr>
              <w:t>Technical Strengths</w:t>
            </w:r>
          </w:p>
        </w:tc>
        <w:tc>
          <w:tcPr>
            <w:tcW w:w="1695" w:type="dxa"/>
            <w:hideMark/>
          </w:tcPr>
          <w:p w14:paraId="3827A75C" w14:textId="77777777" w:rsidR="00FE013C" w:rsidRPr="00E2702F" w:rsidRDefault="00FE013C" w:rsidP="004C16FF">
            <w:pPr>
              <w:pStyle w:val="TableBody"/>
              <w:jc w:val="both"/>
              <w:rPr>
                <w:b/>
                <w:bCs/>
                <w:color w:val="auto"/>
                <w:sz w:val="16"/>
                <w:szCs w:val="16"/>
                <w:highlight w:val="yellow"/>
                <w:lang w:val="en-US"/>
              </w:rPr>
            </w:pPr>
            <w:r w:rsidRPr="00E2702F">
              <w:rPr>
                <w:b/>
                <w:bCs/>
                <w:color w:val="auto"/>
                <w:sz w:val="16"/>
                <w:szCs w:val="16"/>
                <w:highlight w:val="yellow"/>
                <w:lang w:val="en-US"/>
              </w:rPr>
              <w:t>Economic Blind Spots</w:t>
            </w:r>
          </w:p>
        </w:tc>
        <w:tc>
          <w:tcPr>
            <w:tcW w:w="1947" w:type="dxa"/>
            <w:hideMark/>
          </w:tcPr>
          <w:p w14:paraId="644C52FB" w14:textId="77777777" w:rsidR="00FE013C" w:rsidRPr="00E2702F" w:rsidRDefault="00FE013C" w:rsidP="004C16FF">
            <w:pPr>
              <w:pStyle w:val="TableBody"/>
              <w:jc w:val="both"/>
              <w:rPr>
                <w:b/>
                <w:bCs/>
                <w:color w:val="auto"/>
                <w:sz w:val="16"/>
                <w:szCs w:val="16"/>
                <w:highlight w:val="yellow"/>
                <w:lang w:val="en-US"/>
              </w:rPr>
            </w:pPr>
            <w:r w:rsidRPr="00E2702F">
              <w:rPr>
                <w:b/>
                <w:bCs/>
                <w:color w:val="auto"/>
                <w:sz w:val="16"/>
                <w:szCs w:val="16"/>
                <w:highlight w:val="yellow"/>
                <w:lang w:val="en-US"/>
              </w:rPr>
              <w:t>Implementation Barriers</w:t>
            </w:r>
          </w:p>
        </w:tc>
        <w:tc>
          <w:tcPr>
            <w:tcW w:w="1829" w:type="dxa"/>
            <w:hideMark/>
          </w:tcPr>
          <w:p w14:paraId="5F1849DD" w14:textId="77777777" w:rsidR="00FE013C" w:rsidRPr="00E2702F" w:rsidRDefault="00FE013C" w:rsidP="004C16FF">
            <w:pPr>
              <w:pStyle w:val="TableBody"/>
              <w:jc w:val="both"/>
              <w:rPr>
                <w:b/>
                <w:bCs/>
                <w:color w:val="auto"/>
                <w:sz w:val="16"/>
                <w:szCs w:val="16"/>
                <w:highlight w:val="yellow"/>
                <w:lang w:val="en-US"/>
              </w:rPr>
            </w:pPr>
            <w:r w:rsidRPr="00E2702F">
              <w:rPr>
                <w:b/>
                <w:bCs/>
                <w:color w:val="auto"/>
                <w:sz w:val="16"/>
                <w:szCs w:val="16"/>
                <w:highlight w:val="yellow"/>
                <w:lang w:val="en-US"/>
              </w:rPr>
              <w:t>Gap Addressed by This Framework</w:t>
            </w:r>
          </w:p>
        </w:tc>
      </w:tr>
      <w:tr w:rsidR="00FE013C" w:rsidRPr="00E2702F" w14:paraId="353811D3" w14:textId="77777777" w:rsidTr="005F08CE">
        <w:trPr>
          <w:trHeight w:val="1684"/>
        </w:trPr>
        <w:tc>
          <w:tcPr>
            <w:tcW w:w="1678" w:type="dxa"/>
            <w:hideMark/>
          </w:tcPr>
          <w:p w14:paraId="5DCFD7AE" w14:textId="77777777" w:rsidR="00FE013C" w:rsidRPr="00E2702F" w:rsidRDefault="00FE013C" w:rsidP="004C16FF">
            <w:pPr>
              <w:pStyle w:val="TableBody"/>
              <w:jc w:val="both"/>
              <w:rPr>
                <w:bCs/>
                <w:color w:val="auto"/>
                <w:sz w:val="16"/>
                <w:szCs w:val="16"/>
                <w:highlight w:val="yellow"/>
                <w:lang w:val="en-US"/>
              </w:rPr>
            </w:pPr>
            <w:r w:rsidRPr="00E2702F">
              <w:rPr>
                <w:b/>
                <w:bCs/>
                <w:color w:val="auto"/>
                <w:sz w:val="16"/>
                <w:szCs w:val="16"/>
                <w:highlight w:val="yellow"/>
                <w:lang w:val="en-US"/>
              </w:rPr>
              <w:t>Technical-Only (Grid Studies)</w:t>
            </w:r>
          </w:p>
        </w:tc>
        <w:tc>
          <w:tcPr>
            <w:tcW w:w="1695" w:type="dxa"/>
            <w:hideMark/>
          </w:tcPr>
          <w:p w14:paraId="099228A6" w14:textId="062382B8" w:rsidR="00FE013C" w:rsidRPr="00E2702F" w:rsidRDefault="00FE013C" w:rsidP="000B0F03">
            <w:pPr>
              <w:pStyle w:val="TableBody"/>
              <w:jc w:val="both"/>
              <w:rPr>
                <w:bCs/>
                <w:color w:val="auto"/>
                <w:sz w:val="16"/>
                <w:szCs w:val="16"/>
                <w:highlight w:val="yellow"/>
                <w:lang w:val="en-US"/>
              </w:rPr>
            </w:pPr>
            <w:r w:rsidRPr="00E2702F">
              <w:rPr>
                <w:bCs/>
                <w:color w:val="auto"/>
                <w:sz w:val="16"/>
                <w:szCs w:val="16"/>
                <w:highlight w:val="yellow"/>
                <w:lang w:val="en-US"/>
              </w:rPr>
              <w:t>Strong harmonic and stability analysis (IEEE 519, IEC 62351 compliance); detailed EMT simulation</w:t>
            </w:r>
            <w:r w:rsidR="000B0F03" w:rsidRPr="00E2702F">
              <w:rPr>
                <w:bCs/>
                <w:color w:val="auto"/>
                <w:sz w:val="16"/>
                <w:szCs w:val="16"/>
                <w:highlight w:val="yellow"/>
              </w:rPr>
              <w:fldChar w:fldCharType="begin"/>
            </w:r>
            <w:r w:rsidR="000B0F03" w:rsidRPr="00E2702F">
              <w:rPr>
                <w:bCs/>
                <w:color w:val="auto"/>
                <w:sz w:val="16"/>
                <w:szCs w:val="16"/>
                <w:highlight w:val="yellow"/>
                <w:lang w:val="en-US"/>
              </w:rPr>
              <w:instrText xml:space="preserve"> ADDIN ZOTERO_ITEM CSL_CITATION {"citationID":"za0v7lKo","properties":{"unsorted":false,"formattedCitation":"[51], [61], [62]","plainCitation":"[51], [61], [62]","noteIndex":0},"citationItems":[{"id":1993,"uris":["http://zotero.org/users/9870935/items/2D54TKGT"],"itemData":{"id":1993,"type":"paper-conference","container-title":"2024 21st International Conference on Harmonics and Quality of Power (ICHQP)","DOI":"10.1109/ICHQP61174.2024.10768696","event-title":"2024 21st International Conference on Harmonics and Quality of Power (ICHQP)","ISBN":"979-8-3503-8256-3","license":"https://doi.org/10.15223/policy-029","page":"415-420","publisher":"IEEE","publisher-place":"Chengdu, China","source":"DOI.org (Crossref)","title":"Review of revisions of IEEE 519 Standard on Power System Harmonics (1981 to 2022)","URL":"https://ieeexplore.ieee.org/document/10768696/","author":[{"family":"Shelar","given":"Sachin"},{"family":"Bankar","given":"Deepak"},{"family":"Bakre","given":"Shashikant"}],"accessed":{"date-parts":[["2026",5,16]]},"issued":{"date-parts":[["2024",10,15]]}}},{"id":2090,"uris":["http://zotero.org/users/9870935/items/MW6JYBRT"],"itemData":{"id":2090,"type":"article-journal","container-title":"IEEE Transactions on Power Systems","DOI":"10.1109/TPWRS.2010.2051168","ISSN":"0885-8950, 1558-0679","issue":"1","journalAbbreviation":"IEEE Trans. Power Syst.","license":"https://ieeexplore.ieee.org/Xplorehelp/downloads/license-information/IEEE.html","page":"12-19","source":"DOI.org (Crossref)","title":"MATPOWER: Steady-State Operations, Planning, and Analysis Tools for Power Systems Research and Education","title-short":"MATPOWER","volume":"26","author":[{"family":"Zimmerman","given":"Ray Daniel"},{"family":"Murillo-Sanchez","given":"Carlos Edmundo"},{"family":"Thomas","given":"Robert John"}],"issued":{"date-parts":[["2011",2]]}}},{"id":2101,"uris":["http://zotero.org/users/9870935/items/VB4B8XL6"],"itemData":{"id":2101,"type":"book","DOI":"10.1002/9781118887059","edition":"1","ISBN":"978-1-118-86162-2","language":"en","publisher":"Wiley","source":"DOI.org (Crossref)","title":"Power System Harmonics and Passive Filter Designs","URL":"https://onlinelibrary.wiley.com/doi/book/10.1002/9781118887059","author":[{"family":"Das","given":"J. C."}],"accessed":{"date-parts":[["2026",5,18]]},"issued":{"date-parts":[["2015",3,16]]}}}],"schema":"https://github.com/citation-style-language/schema/raw/master/csl-citation.json"} </w:instrText>
            </w:r>
            <w:r w:rsidR="000B0F03" w:rsidRPr="00E2702F">
              <w:rPr>
                <w:bCs/>
                <w:color w:val="auto"/>
                <w:sz w:val="16"/>
                <w:szCs w:val="16"/>
                <w:highlight w:val="yellow"/>
              </w:rPr>
              <w:fldChar w:fldCharType="separate"/>
            </w:r>
            <w:r w:rsidR="000B0F03" w:rsidRPr="00E2702F">
              <w:rPr>
                <w:sz w:val="16"/>
                <w:highlight w:val="yellow"/>
                <w:lang w:val="en-US"/>
              </w:rPr>
              <w:t>[51], [61], [62]</w:t>
            </w:r>
            <w:r w:rsidR="000B0F03" w:rsidRPr="00E2702F">
              <w:rPr>
                <w:bCs/>
                <w:color w:val="auto"/>
                <w:sz w:val="16"/>
                <w:szCs w:val="16"/>
                <w:highlight w:val="yellow"/>
              </w:rPr>
              <w:fldChar w:fldCharType="end"/>
            </w:r>
          </w:p>
        </w:tc>
        <w:tc>
          <w:tcPr>
            <w:tcW w:w="1695" w:type="dxa"/>
            <w:hideMark/>
          </w:tcPr>
          <w:p w14:paraId="472E1423" w14:textId="2FAE6EDF" w:rsidR="00FE013C" w:rsidRPr="00E2702F" w:rsidRDefault="00FE013C" w:rsidP="000B0F03">
            <w:pPr>
              <w:pStyle w:val="TableBody"/>
              <w:jc w:val="both"/>
              <w:rPr>
                <w:bCs/>
                <w:color w:val="auto"/>
                <w:sz w:val="16"/>
                <w:szCs w:val="16"/>
                <w:highlight w:val="yellow"/>
                <w:lang w:val="en-US"/>
              </w:rPr>
            </w:pPr>
            <w:r w:rsidRPr="00E2702F">
              <w:rPr>
                <w:bCs/>
                <w:color w:val="auto"/>
                <w:sz w:val="16"/>
                <w:szCs w:val="16"/>
                <w:highlight w:val="yellow"/>
                <w:lang w:val="en-US"/>
              </w:rPr>
              <w:t>No cost-benefit analysis; no integration with workload flexibility or PPA strategy</w:t>
            </w:r>
            <w:r w:rsidR="000B0F03" w:rsidRPr="00E2702F">
              <w:rPr>
                <w:bCs/>
                <w:color w:val="auto"/>
                <w:sz w:val="16"/>
                <w:szCs w:val="16"/>
                <w:highlight w:val="yellow"/>
              </w:rPr>
              <w:fldChar w:fldCharType="begin"/>
            </w:r>
            <w:r w:rsidR="000B0F03" w:rsidRPr="00E2702F">
              <w:rPr>
                <w:bCs/>
                <w:color w:val="auto"/>
                <w:sz w:val="16"/>
                <w:szCs w:val="16"/>
                <w:highlight w:val="yellow"/>
                <w:lang w:val="en-US"/>
              </w:rPr>
              <w:instrText xml:space="preserve"> ADDIN ZOTERO_ITEM CSL_CITATION {"citationID":"9NO494JV","properties":{"unsorted":false,"formattedCitation":"[63]","plainCitation":"[63]","noteIndex":0},"citationItems":[{"id":2119,"uris":["http://zotero.org/users/9870935/items/HCPVHF7M"],"itemData":{"id":2119,"type":"article-journal","container-title":"Energy Reports","DOI":"10.1016/j.egyr.2025.03.020","ISSN":"23524847","journalAbbreviation":"Energy Reports","language":"en","page":"3661-3671","source":"DOI.org (Crossref)","title":"Data centres as a source of flexibility for power systems","volume":"13","author":[{"family":"Takci","given":"Mehmet Türker"},{"family":"Qadrdan","given":"Meysam"},{"family":"Summers","given":"Jon"},{"family":"Gustafsson","given":"Jonas"}],"issued":{"date-parts":[["2025",6]]}}}],"schema":"https://github.com/citation-style-language/schema/raw/master/csl-citation.json"} </w:instrText>
            </w:r>
            <w:r w:rsidR="000B0F03" w:rsidRPr="00E2702F">
              <w:rPr>
                <w:bCs/>
                <w:color w:val="auto"/>
                <w:sz w:val="16"/>
                <w:szCs w:val="16"/>
                <w:highlight w:val="yellow"/>
              </w:rPr>
              <w:fldChar w:fldCharType="separate"/>
            </w:r>
            <w:r w:rsidR="000B0F03" w:rsidRPr="00E2702F">
              <w:rPr>
                <w:sz w:val="16"/>
                <w:highlight w:val="yellow"/>
                <w:lang w:val="en-US"/>
              </w:rPr>
              <w:t>[63]</w:t>
            </w:r>
            <w:r w:rsidR="000B0F03" w:rsidRPr="00E2702F">
              <w:rPr>
                <w:bCs/>
                <w:color w:val="auto"/>
                <w:sz w:val="16"/>
                <w:szCs w:val="16"/>
                <w:highlight w:val="yellow"/>
              </w:rPr>
              <w:fldChar w:fldCharType="end"/>
            </w:r>
          </w:p>
        </w:tc>
        <w:tc>
          <w:tcPr>
            <w:tcW w:w="1947" w:type="dxa"/>
            <w:hideMark/>
          </w:tcPr>
          <w:p w14:paraId="4DC76685" w14:textId="610EDC6F" w:rsidR="00FE013C" w:rsidRPr="00E2702F" w:rsidRDefault="00FE013C" w:rsidP="000B0F03">
            <w:pPr>
              <w:pStyle w:val="TableBody"/>
              <w:jc w:val="both"/>
              <w:rPr>
                <w:bCs/>
                <w:color w:val="auto"/>
                <w:sz w:val="16"/>
                <w:szCs w:val="16"/>
                <w:highlight w:val="yellow"/>
                <w:lang w:val="en-US"/>
              </w:rPr>
            </w:pPr>
            <w:r w:rsidRPr="00E2702F">
              <w:rPr>
                <w:bCs/>
                <w:color w:val="auto"/>
                <w:sz w:val="16"/>
                <w:szCs w:val="16"/>
                <w:highlight w:val="yellow"/>
                <w:lang w:val="en-US"/>
              </w:rPr>
              <w:t xml:space="preserve">Assumes infinite budget; ignores capital constraints and </w:t>
            </w:r>
            <w:proofErr w:type="spellStart"/>
            <w:r w:rsidRPr="00E2702F">
              <w:rPr>
                <w:bCs/>
                <w:color w:val="auto"/>
                <w:sz w:val="16"/>
                <w:szCs w:val="16"/>
                <w:highlight w:val="yellow"/>
                <w:lang w:val="en-US"/>
              </w:rPr>
              <w:t>OpEx</w:t>
            </w:r>
            <w:proofErr w:type="spellEnd"/>
            <w:r w:rsidRPr="00E2702F">
              <w:rPr>
                <w:bCs/>
                <w:color w:val="auto"/>
                <w:sz w:val="16"/>
                <w:szCs w:val="16"/>
                <w:highlight w:val="yellow"/>
                <w:lang w:val="en-US"/>
              </w:rPr>
              <w:t xml:space="preserve"> optimization</w:t>
            </w:r>
            <w:r w:rsidR="000B0F03" w:rsidRPr="00E2702F">
              <w:rPr>
                <w:bCs/>
                <w:color w:val="auto"/>
                <w:sz w:val="16"/>
                <w:szCs w:val="16"/>
                <w:highlight w:val="yellow"/>
              </w:rPr>
              <w:fldChar w:fldCharType="begin"/>
            </w:r>
            <w:r w:rsidR="000B0F03" w:rsidRPr="00E2702F">
              <w:rPr>
                <w:bCs/>
                <w:color w:val="auto"/>
                <w:sz w:val="16"/>
                <w:szCs w:val="16"/>
                <w:highlight w:val="yellow"/>
                <w:lang w:val="en-US"/>
              </w:rPr>
              <w:instrText xml:space="preserve"> ADDIN ZOTERO_ITEM CSL_CITATION {"citationID":"EikesDoX","properties":{"unsorted":false,"formattedCitation":"[63]","plainCitation":"[63]","noteIndex":0},"citationItems":[{"id":2119,"uris":["http://zotero.org/users/9870935/items/HCPVHF7M"],"itemData":{"id":2119,"type":"article-journal","container-title":"Energy Reports","DOI":"10.1016/j.egyr.2025.03.020","ISSN":"23524847","journalAbbreviation":"Energy Reports","language":"en","page":"3661-3671","source":"DOI.org (Crossref)","title":"Data centres as a source of flexibility for power systems","volume":"13","author":[{"family":"Takci","given":"Mehmet Türker"},{"family":"Qadrdan","given":"Meysam"},{"family":"Summers","given":"Jon"},{"family":"Gustafsson","given":"Jonas"}],"issued":{"date-parts":[["2025",6]]}}}],"schema":"https://github.com/citation-style-language/schema/raw/master/csl-citation.json"} </w:instrText>
            </w:r>
            <w:r w:rsidR="000B0F03" w:rsidRPr="00E2702F">
              <w:rPr>
                <w:bCs/>
                <w:color w:val="auto"/>
                <w:sz w:val="16"/>
                <w:szCs w:val="16"/>
                <w:highlight w:val="yellow"/>
              </w:rPr>
              <w:fldChar w:fldCharType="separate"/>
            </w:r>
            <w:r w:rsidR="000B0F03" w:rsidRPr="00E2702F">
              <w:rPr>
                <w:sz w:val="16"/>
                <w:highlight w:val="yellow"/>
                <w:lang w:val="en-US"/>
              </w:rPr>
              <w:t>[63]</w:t>
            </w:r>
            <w:r w:rsidR="000B0F03" w:rsidRPr="00E2702F">
              <w:rPr>
                <w:bCs/>
                <w:color w:val="auto"/>
                <w:sz w:val="16"/>
                <w:szCs w:val="16"/>
                <w:highlight w:val="yellow"/>
              </w:rPr>
              <w:fldChar w:fldCharType="end"/>
            </w:r>
          </w:p>
        </w:tc>
        <w:tc>
          <w:tcPr>
            <w:tcW w:w="1829" w:type="dxa"/>
            <w:hideMark/>
          </w:tcPr>
          <w:p w14:paraId="75B4D40E" w14:textId="77777777" w:rsidR="00FE013C" w:rsidRPr="00E2702F" w:rsidRDefault="00FE013C" w:rsidP="004C16FF">
            <w:pPr>
              <w:pStyle w:val="TableBody"/>
              <w:jc w:val="both"/>
              <w:rPr>
                <w:bCs/>
                <w:color w:val="auto"/>
                <w:sz w:val="16"/>
                <w:szCs w:val="16"/>
                <w:highlight w:val="yellow"/>
                <w:lang w:val="en-US"/>
              </w:rPr>
            </w:pPr>
            <w:r w:rsidRPr="00E2702F">
              <w:rPr>
                <w:bCs/>
                <w:color w:val="auto"/>
                <w:sz w:val="16"/>
                <w:szCs w:val="16"/>
                <w:highlight w:val="yellow"/>
                <w:lang w:val="en-US"/>
              </w:rPr>
              <w:t xml:space="preserve">Adds </w:t>
            </w:r>
            <w:r w:rsidRPr="00E2702F">
              <w:rPr>
                <w:b/>
                <w:bCs/>
                <w:color w:val="auto"/>
                <w:sz w:val="16"/>
                <w:szCs w:val="16"/>
                <w:highlight w:val="yellow"/>
                <w:lang w:val="en-US"/>
              </w:rPr>
              <w:t>Section 10</w:t>
            </w:r>
            <w:r w:rsidRPr="00E2702F">
              <w:rPr>
                <w:bCs/>
                <w:color w:val="auto"/>
                <w:sz w:val="16"/>
                <w:szCs w:val="16"/>
                <w:highlight w:val="yellow"/>
                <w:lang w:val="en-US"/>
              </w:rPr>
              <w:t xml:space="preserve"> (economic modeling with NPV, LCOE, and sensitivity analysis) and links results to workload scheduling (</w:t>
            </w:r>
            <w:r w:rsidRPr="00E2702F">
              <w:rPr>
                <w:b/>
                <w:bCs/>
                <w:color w:val="auto"/>
                <w:sz w:val="16"/>
                <w:szCs w:val="16"/>
                <w:highlight w:val="yellow"/>
                <w:lang w:val="en-US"/>
              </w:rPr>
              <w:t>Section 5</w:t>
            </w:r>
            <w:r w:rsidRPr="00E2702F">
              <w:rPr>
                <w:bCs/>
                <w:color w:val="auto"/>
                <w:sz w:val="16"/>
                <w:szCs w:val="16"/>
                <w:highlight w:val="yellow"/>
                <w:lang w:val="en-US"/>
              </w:rPr>
              <w:t>)</w:t>
            </w:r>
          </w:p>
        </w:tc>
      </w:tr>
      <w:tr w:rsidR="00FE013C" w:rsidRPr="00E2702F" w14:paraId="15381C8C" w14:textId="77777777" w:rsidTr="00103F18">
        <w:tc>
          <w:tcPr>
            <w:tcW w:w="1678" w:type="dxa"/>
            <w:hideMark/>
          </w:tcPr>
          <w:p w14:paraId="4310A57E" w14:textId="77777777" w:rsidR="00FE013C" w:rsidRPr="00E2702F" w:rsidRDefault="00FE013C" w:rsidP="004C16FF">
            <w:pPr>
              <w:pStyle w:val="TableBody"/>
              <w:jc w:val="both"/>
              <w:rPr>
                <w:bCs/>
                <w:color w:val="auto"/>
                <w:sz w:val="16"/>
                <w:szCs w:val="16"/>
                <w:highlight w:val="yellow"/>
                <w:lang w:val="en-US"/>
              </w:rPr>
            </w:pPr>
            <w:r w:rsidRPr="00E2702F">
              <w:rPr>
                <w:b/>
                <w:bCs/>
                <w:color w:val="auto"/>
                <w:sz w:val="16"/>
                <w:szCs w:val="16"/>
                <w:highlight w:val="yellow"/>
                <w:lang w:val="en-US"/>
              </w:rPr>
              <w:t>Economic-Only (Procurement)</w:t>
            </w:r>
          </w:p>
        </w:tc>
        <w:tc>
          <w:tcPr>
            <w:tcW w:w="1695" w:type="dxa"/>
            <w:hideMark/>
          </w:tcPr>
          <w:p w14:paraId="70A9A471" w14:textId="1EF4E41E" w:rsidR="00FE013C" w:rsidRPr="00E2702F" w:rsidRDefault="00FE013C" w:rsidP="000B0F03">
            <w:pPr>
              <w:pStyle w:val="TableBody"/>
              <w:jc w:val="both"/>
              <w:rPr>
                <w:bCs/>
                <w:color w:val="auto"/>
                <w:sz w:val="16"/>
                <w:szCs w:val="16"/>
                <w:highlight w:val="yellow"/>
                <w:lang w:val="en-US"/>
              </w:rPr>
            </w:pPr>
            <w:r w:rsidRPr="00E2702F">
              <w:rPr>
                <w:bCs/>
                <w:color w:val="auto"/>
                <w:sz w:val="16"/>
                <w:szCs w:val="16"/>
                <w:highlight w:val="yellow"/>
                <w:lang w:val="en-US"/>
              </w:rPr>
              <w:t>Optimizes PPA rates ($25–50/MWh wind, $30–50/MWh solar); models energy costs independently</w:t>
            </w:r>
            <w:r w:rsidR="000B0F03" w:rsidRPr="00E2702F">
              <w:rPr>
                <w:bCs/>
                <w:color w:val="auto"/>
                <w:sz w:val="16"/>
                <w:szCs w:val="16"/>
                <w:highlight w:val="yellow"/>
              </w:rPr>
              <w:fldChar w:fldCharType="begin"/>
            </w:r>
            <w:r w:rsidR="000B0F03" w:rsidRPr="00E2702F">
              <w:rPr>
                <w:bCs/>
                <w:color w:val="auto"/>
                <w:sz w:val="16"/>
                <w:szCs w:val="16"/>
                <w:highlight w:val="yellow"/>
                <w:lang w:val="en-US"/>
              </w:rPr>
              <w:instrText xml:space="preserve"> ADDIN ZOTERO_ITEM CSL_CITATION {"citationID":"gxbq6i7E","properties":{"unsorted":false,"formattedCitation":"[64], [65], [66]","plainCitation":"[64], [65], [66]","noteIndex":0},"citationItems":[{"id":2132,"uris":["http://zotero.org/users/9870935/items/786EAJKN"],"itemData":{"id":2132,"type":"document","title":"Levelized Cost of Energy","URL":"https://www.lazard.com/media/eijnqja3/lazards-lcoeplus-june-2025.pdf","author":[{"family":"Lazard","given":""}]}},{"id":2166,"uris":["http://zotero.org/users/9870935/items/7HVT828C"],"itemData":{"id":2166,"type":"article-journal","abstract":"Artificial-intelligence-driven data centers are reversing two decades of flat U.S. electricity demand and have generated questions about how this growth will impact electricity prices. We quantify this effect using an hourly, unit-level least-cost dispatch model covering wholesale electricity markets in the continental United States. We find that existing data centers have already increased wholesale prices by 2 to 6% on average nationwide, with substantially larger effects in regions hosting major data center corridors. Extending the model through 2028, we show that if proposed construction proceeds under highutilization scenarios, wholesale prices could rise dramatically (50%), while more moderate build-out yields smaller (20%) but still meaningful effects. Impacts vary due to utilization and build-out assumptions. Finally, we use the model to address several policy discussions including optimal data center siting decisions and renewable build-out uncertainty.","container-title":"Federal Reserve Bank of Dallas, Working Papers","DOI":"10.24149/wp2606","issue":"2606","journalAbbreviation":"wp","language":"en","source":"DOI.org (Crossref)","title":"Processing Power: The Effect of Data Centers on Wholesale Electricity Markets","title-short":"Processing Power","URL":"https://www.dallasfed.org/research/papers/2026/wp2606","volume":"2026","author":[{"family":"Kay","given":"Owen"},{"family":"Reaser","given":"Robert"},{"family":"Taylor","given":"Reid"}],"accessed":{"date-parts":[["2026",6,6]]},"issued":{"date-parts":[["2026",3]]}}},{"id":2718,"uris":["http://zotero.org/users/9870935/items/RW4QJL73"],"itemData":{"id":2718,"type":"post-weblog","title":"https://www.leveltenenergy.com/post/levelten-north-american-ppa-price-index-q1-2026","URL":"https://www.leveltenenergy.com/post/levelten-north-american-ppa-price-index-q1-2026","author":[{"literal":"leveltenenergy"}]}}],"schema":"https://github.com/citation-style-language/schema/raw/master/csl-citation.json"} </w:instrText>
            </w:r>
            <w:r w:rsidR="000B0F03" w:rsidRPr="00E2702F">
              <w:rPr>
                <w:bCs/>
                <w:color w:val="auto"/>
                <w:sz w:val="16"/>
                <w:szCs w:val="16"/>
                <w:highlight w:val="yellow"/>
              </w:rPr>
              <w:fldChar w:fldCharType="separate"/>
            </w:r>
            <w:r w:rsidR="000B0F03" w:rsidRPr="00E2702F">
              <w:rPr>
                <w:sz w:val="16"/>
                <w:highlight w:val="yellow"/>
                <w:lang w:val="en-US"/>
              </w:rPr>
              <w:t>[64], [65], [66]</w:t>
            </w:r>
            <w:r w:rsidR="000B0F03" w:rsidRPr="00E2702F">
              <w:rPr>
                <w:bCs/>
                <w:color w:val="auto"/>
                <w:sz w:val="16"/>
                <w:szCs w:val="16"/>
                <w:highlight w:val="yellow"/>
              </w:rPr>
              <w:fldChar w:fldCharType="end"/>
            </w:r>
          </w:p>
        </w:tc>
        <w:tc>
          <w:tcPr>
            <w:tcW w:w="1695" w:type="dxa"/>
            <w:hideMark/>
          </w:tcPr>
          <w:p w14:paraId="371682CE" w14:textId="791A4B7C" w:rsidR="00FE013C" w:rsidRPr="00E2702F" w:rsidRDefault="00FE013C" w:rsidP="000B0F03">
            <w:pPr>
              <w:pStyle w:val="TableBody"/>
              <w:jc w:val="both"/>
              <w:rPr>
                <w:bCs/>
                <w:color w:val="auto"/>
                <w:sz w:val="16"/>
                <w:szCs w:val="16"/>
                <w:highlight w:val="yellow"/>
                <w:lang w:val="en-US"/>
              </w:rPr>
            </w:pPr>
            <w:r w:rsidRPr="00E2702F">
              <w:rPr>
                <w:bCs/>
                <w:color w:val="auto"/>
                <w:sz w:val="16"/>
                <w:szCs w:val="16"/>
                <w:highlight w:val="yellow"/>
                <w:lang w:val="en-US"/>
              </w:rPr>
              <w:t>Ignores power quality, harmonic distortion, and system stability; assumes the grid can accommodate arbitrary generation profiles</w:t>
            </w:r>
            <w:r w:rsidR="000B0F03" w:rsidRPr="00E2702F">
              <w:rPr>
                <w:bCs/>
                <w:color w:val="auto"/>
                <w:sz w:val="16"/>
                <w:szCs w:val="16"/>
                <w:highlight w:val="yellow"/>
              </w:rPr>
              <w:fldChar w:fldCharType="begin"/>
            </w:r>
            <w:r w:rsidR="000B0F03" w:rsidRPr="00E2702F">
              <w:rPr>
                <w:bCs/>
                <w:color w:val="auto"/>
                <w:sz w:val="16"/>
                <w:szCs w:val="16"/>
                <w:highlight w:val="yellow"/>
                <w:lang w:val="en-US"/>
              </w:rPr>
              <w:instrText xml:space="preserve"> ADDIN ZOTERO_ITEM CSL_CITATION {"citationID":"jQc2q64j","properties":{"unsorted":false,"formattedCitation":"[50], [51]","plainCitation":"[50], [51]","noteIndex":0},"citationItems":[{"id":1990,"uris":["http://zotero.org/users/9870935/items/XCEZUJHB"],"itemData":{"id":1990,"type":"standard","DOI":"10.1109/IEEESTD.2022.9762253","ISBN":"978-1-5044-8462-6","license":"https://doi.org/10.15223/policy-029","publisher":"IEEE","source":"DOI.org (Crossref)","title":"IEEE Standard for Interconnection and Interoperability of Inverter-Based Resources (IBRs) Interconnecting with Associated Transmission Electric Power Systems","URL":"https://ieeexplore.ieee.org/document/9762253/","accessed":{"date-parts":[["2026",5,16]]}}},{"id":1993,"uris":["http://zotero.org/users/9870935/items/2D54TKGT"],"itemData":{"id":1993,"type":"paper-conference","container-title":"2024 21st International Conference on Harmonics and Quality of Power (ICHQP)","DOI":"10.1109/ICHQP61174.2024.10768696","event-title":"2024 21st International Conference on Harmonics and Quality of Power (ICHQP)","ISBN":"979-8-3503-8256-3","license":"https://doi.org/10.15223/policy-029","page":"415-420","publisher":"IEEE","publisher-place":"Chengdu, China","source":"DOI.org (Crossref)","title":"Review of revisions of IEEE 519 Standard on Power System Harmonics (1981 to 2022)","URL":"https://ieeexplore.ieee.org/document/10768696/","author":[{"family":"Shelar","given":"Sachin"},{"family":"Bankar","given":"Deepak"},{"family":"Bakre","given":"Shashikant"}],"accessed":{"date-parts":[["2026",5,16]]},"issued":{"date-parts":[["2024",10,15]]}}}],"schema":"https://github.com/citation-style-language/schema/raw/master/csl-citation.json"} </w:instrText>
            </w:r>
            <w:r w:rsidR="000B0F03" w:rsidRPr="00E2702F">
              <w:rPr>
                <w:bCs/>
                <w:color w:val="auto"/>
                <w:sz w:val="16"/>
                <w:szCs w:val="16"/>
                <w:highlight w:val="yellow"/>
              </w:rPr>
              <w:fldChar w:fldCharType="separate"/>
            </w:r>
            <w:r w:rsidR="000B0F03" w:rsidRPr="00E2702F">
              <w:rPr>
                <w:sz w:val="16"/>
                <w:highlight w:val="yellow"/>
                <w:lang w:val="en-US"/>
              </w:rPr>
              <w:t>[50], [51]</w:t>
            </w:r>
            <w:r w:rsidR="000B0F03" w:rsidRPr="00E2702F">
              <w:rPr>
                <w:bCs/>
                <w:color w:val="auto"/>
                <w:sz w:val="16"/>
                <w:szCs w:val="16"/>
                <w:highlight w:val="yellow"/>
              </w:rPr>
              <w:fldChar w:fldCharType="end"/>
            </w:r>
          </w:p>
        </w:tc>
        <w:tc>
          <w:tcPr>
            <w:tcW w:w="1947" w:type="dxa"/>
            <w:hideMark/>
          </w:tcPr>
          <w:p w14:paraId="75A4E722" w14:textId="1F2C9348" w:rsidR="00FE013C" w:rsidRPr="00E2702F" w:rsidRDefault="00FE013C" w:rsidP="000B0F03">
            <w:pPr>
              <w:pStyle w:val="TableBody"/>
              <w:jc w:val="both"/>
              <w:rPr>
                <w:bCs/>
                <w:color w:val="auto"/>
                <w:sz w:val="16"/>
                <w:szCs w:val="16"/>
                <w:highlight w:val="yellow"/>
                <w:lang w:val="en-US"/>
              </w:rPr>
            </w:pPr>
            <w:r w:rsidRPr="00E2702F">
              <w:rPr>
                <w:bCs/>
                <w:color w:val="auto"/>
                <w:sz w:val="16"/>
                <w:szCs w:val="16"/>
                <w:highlight w:val="yellow"/>
                <w:lang w:val="en-US"/>
              </w:rPr>
              <w:t>May result in renewable energy purchases that grid interconnection and protection systems cannot safely dispatch</w:t>
            </w:r>
            <w:r w:rsidR="000B0F03" w:rsidRPr="00E2702F">
              <w:rPr>
                <w:bCs/>
                <w:color w:val="auto"/>
                <w:sz w:val="16"/>
                <w:szCs w:val="16"/>
                <w:highlight w:val="yellow"/>
              </w:rPr>
              <w:fldChar w:fldCharType="begin"/>
            </w:r>
            <w:r w:rsidR="000B0F03" w:rsidRPr="00E2702F">
              <w:rPr>
                <w:bCs/>
                <w:color w:val="auto"/>
                <w:sz w:val="16"/>
                <w:szCs w:val="16"/>
                <w:highlight w:val="yellow"/>
                <w:lang w:val="en-US"/>
              </w:rPr>
              <w:instrText xml:space="preserve"> ADDIN ZOTERO_ITEM CSL_CITATION {"citationID":"wf5Pi7xb","properties":{"unsorted":false,"formattedCitation":"[67], [68], [69]","plainCitation":"[67], [68], [69]","noteIndex":0},"citationItems":[{"id":2194,"uris":["http://zotero.org/users/9870935/items/HM8VYHDA"],"itemData":{"id":2194,"type":"article-journal","container-title":"Joule","DOI":"10.1016/j.joule.2023.12.007","ISSN":"25424351","issue":"2","journalAbbreviation":"Joule","language":"en","page":"374-400","source":"DOI.org (Crossref)","title":"System-level impacts of voluntary carbon-free electricity procurement strategies","volume":"8","author":[{"family":"Xu","given":"Qingyu"},{"family":"Ricks","given":"Wilson"},{"family":"Manocha","given":"Aneesha"},{"family":"Patankar","given":"Neha"},{"family":"Jenkins","given":"Jesse D."}],"issued":{"date-parts":[["2024",2]]}}},{"id":2720,"uris":["http://zotero.org/users/9870935/items/HK3R4MRM"],"itemData":{"id":2720,"type":"document","title":"GHG Protocol Scope 2 Guidance","URL":"https://ghgprotocol.org/sites/default/files/2023-03/Scope%202%20Guidance.pdf","author":[{"literal":"Green House Gas Protocol"}]}},{"id":2721,"uris":["http://zotero.org/users/9870935/items/P43AYUI6"],"itemData":{"id":2721,"type":"post-weblog","title":"24/7 Carbon-free Energy Compact","URL":"https://www.un.org/en/energy-compacts/page/compact-247-carbon-free-energy","author":[{"literal":"UN Energy"}]}}],"schema":"https://github.com/citation-style-language/schema/raw/master/csl-citation.json"} </w:instrText>
            </w:r>
            <w:r w:rsidR="000B0F03" w:rsidRPr="00E2702F">
              <w:rPr>
                <w:bCs/>
                <w:color w:val="auto"/>
                <w:sz w:val="16"/>
                <w:szCs w:val="16"/>
                <w:highlight w:val="yellow"/>
              </w:rPr>
              <w:fldChar w:fldCharType="separate"/>
            </w:r>
            <w:r w:rsidR="000B0F03" w:rsidRPr="00E2702F">
              <w:rPr>
                <w:sz w:val="16"/>
                <w:highlight w:val="yellow"/>
                <w:lang w:val="en-US"/>
              </w:rPr>
              <w:t>[67], [68], [69]</w:t>
            </w:r>
            <w:r w:rsidR="000B0F03" w:rsidRPr="00E2702F">
              <w:rPr>
                <w:bCs/>
                <w:color w:val="auto"/>
                <w:sz w:val="16"/>
                <w:szCs w:val="16"/>
                <w:highlight w:val="yellow"/>
              </w:rPr>
              <w:fldChar w:fldCharType="end"/>
            </w:r>
          </w:p>
        </w:tc>
        <w:tc>
          <w:tcPr>
            <w:tcW w:w="1829" w:type="dxa"/>
            <w:hideMark/>
          </w:tcPr>
          <w:p w14:paraId="5243FC6F" w14:textId="77777777" w:rsidR="00FE013C" w:rsidRPr="00E2702F" w:rsidRDefault="00FE013C" w:rsidP="004C16FF">
            <w:pPr>
              <w:pStyle w:val="TableBody"/>
              <w:jc w:val="both"/>
              <w:rPr>
                <w:bCs/>
                <w:color w:val="auto"/>
                <w:sz w:val="16"/>
                <w:szCs w:val="16"/>
                <w:highlight w:val="yellow"/>
                <w:lang w:val="en-US"/>
              </w:rPr>
            </w:pPr>
            <w:r w:rsidRPr="00E2702F">
              <w:rPr>
                <w:bCs/>
                <w:color w:val="auto"/>
                <w:sz w:val="16"/>
                <w:szCs w:val="16"/>
                <w:highlight w:val="yellow"/>
                <w:lang w:val="en-US"/>
              </w:rPr>
              <w:t xml:space="preserve">Adds </w:t>
            </w:r>
            <w:r w:rsidRPr="00E2702F">
              <w:rPr>
                <w:b/>
                <w:bCs/>
                <w:color w:val="auto"/>
                <w:sz w:val="16"/>
                <w:szCs w:val="16"/>
                <w:highlight w:val="yellow"/>
                <w:lang w:val="en-US"/>
              </w:rPr>
              <w:t>Section 6</w:t>
            </w:r>
            <w:r w:rsidRPr="00E2702F">
              <w:rPr>
                <w:bCs/>
                <w:color w:val="auto"/>
                <w:sz w:val="16"/>
                <w:szCs w:val="16"/>
                <w:highlight w:val="yellow"/>
                <w:lang w:val="en-US"/>
              </w:rPr>
              <w:t xml:space="preserve"> (power flow analysis), </w:t>
            </w:r>
            <w:r w:rsidRPr="00E2702F">
              <w:rPr>
                <w:b/>
                <w:bCs/>
                <w:color w:val="auto"/>
                <w:sz w:val="16"/>
                <w:szCs w:val="16"/>
                <w:highlight w:val="yellow"/>
                <w:lang w:val="en-US"/>
              </w:rPr>
              <w:t>Section 6.3</w:t>
            </w:r>
            <w:r w:rsidRPr="00E2702F">
              <w:rPr>
                <w:bCs/>
                <w:color w:val="auto"/>
                <w:sz w:val="16"/>
                <w:szCs w:val="16"/>
                <w:highlight w:val="yellow"/>
                <w:lang w:val="en-US"/>
              </w:rPr>
              <w:t xml:space="preserve"> (harmonic mitigation sizing), and a comprehensive grid integration strategy</w:t>
            </w:r>
          </w:p>
        </w:tc>
      </w:tr>
      <w:tr w:rsidR="00FE013C" w:rsidRPr="00E2702F" w14:paraId="40CC1E5C" w14:textId="77777777" w:rsidTr="00103F18">
        <w:tc>
          <w:tcPr>
            <w:tcW w:w="1678" w:type="dxa"/>
            <w:hideMark/>
          </w:tcPr>
          <w:p w14:paraId="24ABE1C1" w14:textId="77777777" w:rsidR="00FE013C" w:rsidRPr="00E2702F" w:rsidRDefault="00FE013C" w:rsidP="004C16FF">
            <w:pPr>
              <w:pStyle w:val="TableBody"/>
              <w:jc w:val="both"/>
              <w:rPr>
                <w:bCs/>
                <w:color w:val="auto"/>
                <w:sz w:val="16"/>
                <w:szCs w:val="16"/>
                <w:highlight w:val="yellow"/>
                <w:lang w:val="en-US"/>
              </w:rPr>
            </w:pPr>
            <w:r w:rsidRPr="00E2702F">
              <w:rPr>
                <w:b/>
                <w:bCs/>
                <w:color w:val="auto"/>
                <w:sz w:val="16"/>
                <w:szCs w:val="16"/>
                <w:highlight w:val="yellow"/>
                <w:lang w:val="en-US"/>
              </w:rPr>
              <w:t>Company Case Studies (Google, Meta, Microsoft)</w:t>
            </w:r>
          </w:p>
        </w:tc>
        <w:tc>
          <w:tcPr>
            <w:tcW w:w="1695" w:type="dxa"/>
            <w:hideMark/>
          </w:tcPr>
          <w:p w14:paraId="71007A1C" w14:textId="3F956A0A" w:rsidR="00FE013C" w:rsidRPr="00E2702F" w:rsidRDefault="00FE013C" w:rsidP="000B0F03">
            <w:pPr>
              <w:pStyle w:val="TableBody"/>
              <w:jc w:val="both"/>
              <w:rPr>
                <w:bCs/>
                <w:color w:val="auto"/>
                <w:sz w:val="16"/>
                <w:szCs w:val="16"/>
                <w:highlight w:val="yellow"/>
                <w:lang w:val="en-US"/>
              </w:rPr>
            </w:pPr>
            <w:r w:rsidRPr="00E2702F">
              <w:rPr>
                <w:bCs/>
                <w:color w:val="auto"/>
                <w:sz w:val="16"/>
                <w:szCs w:val="16"/>
                <w:highlight w:val="yellow"/>
                <w:lang w:val="en-US"/>
              </w:rPr>
              <w:t>Provides real-world deployment data; demonstrates 64–99.9% CFE performance and scalability across portfolios exceeding 30 GW</w:t>
            </w:r>
            <w:r w:rsidR="000B0F03" w:rsidRPr="00E2702F">
              <w:rPr>
                <w:bCs/>
                <w:color w:val="auto"/>
                <w:sz w:val="16"/>
                <w:szCs w:val="16"/>
                <w:highlight w:val="yellow"/>
              </w:rPr>
              <w:fldChar w:fldCharType="begin"/>
            </w:r>
            <w:r w:rsidR="000B0F03" w:rsidRPr="00E2702F">
              <w:rPr>
                <w:bCs/>
                <w:color w:val="auto"/>
                <w:sz w:val="16"/>
                <w:szCs w:val="16"/>
                <w:highlight w:val="yellow"/>
                <w:lang w:val="en-US"/>
              </w:rPr>
              <w:instrText xml:space="preserve"> ADDIN ZOTERO_ITEM CSL_CITATION {"citationID":"C2SL9tNN","properties":{"unsorted":false,"formattedCitation":"[52], [54], [59], [60]","plainCitation":"[52], [54], [59], [60]","noteIndex":0},"citationItems":[{"id":1995,"uris":["http://zotero.org/users/9870935/items/ZZ4BDIPH"],"itemData":{"id":1995,"type":"post-weblog","title":"Google Environmental Report 2025","URL":"https://sustainability.google/reports/google-2025-environmental-report/","author":[{"family":"Google","given":""}]}},{"id":1998,"uris":["http://zotero.org/users/9870935/items/3PR5HCM7"],"itemData":{"id":1998,"type":"post-weblog","title":"2025 Sustainability Report","URL":"https://sustainability.atmeta.com/wp-content/uploads/2025/08/Meta_2025-Sustainability-Report.pdf","author":[{"family":"Meta","given":""}]}},{"id":2007,"uris":["http://zotero.org/users/9870935/items/KHWRQFNN"],"itemData":{"id":2007,"type":"post-weblog","title":"Sustainability Report 2025","URL":"https://delivery-p112322-e1154416.adobeaemcloud.com/adobe/assets/deliver/urn:aaid:aem:116e6fc1-6217-4132-8fcf-1dc7096396df/Equinix-Inc_2025_Sustainability-Report.pdf","author":[{"family":"Equinix","given":""}]}},{"id":2010,"uris":["http://zotero.org/users/9870935/items/36ZP5SVZ"],"itemData":{"id":2010,"type":"post-weblog","title":"Environmental Progress Report","URL":"https://www.apple.com/environment/pdf/Apple_Environmental_Progress_Report_2025.pdf","author":[{"family":"Apple","given":""}]}}],"schema":"https://github.com/citation-style-language/schema/raw/master/csl-citation.json"} </w:instrText>
            </w:r>
            <w:r w:rsidR="000B0F03" w:rsidRPr="00E2702F">
              <w:rPr>
                <w:bCs/>
                <w:color w:val="auto"/>
                <w:sz w:val="16"/>
                <w:szCs w:val="16"/>
                <w:highlight w:val="yellow"/>
              </w:rPr>
              <w:fldChar w:fldCharType="separate"/>
            </w:r>
            <w:r w:rsidR="000B0F03" w:rsidRPr="00E2702F">
              <w:rPr>
                <w:sz w:val="16"/>
                <w:highlight w:val="yellow"/>
                <w:lang w:val="en-US"/>
              </w:rPr>
              <w:t>[52], [54], [59], [60]</w:t>
            </w:r>
            <w:r w:rsidR="000B0F03" w:rsidRPr="00E2702F">
              <w:rPr>
                <w:bCs/>
                <w:color w:val="auto"/>
                <w:sz w:val="16"/>
                <w:szCs w:val="16"/>
                <w:highlight w:val="yellow"/>
              </w:rPr>
              <w:fldChar w:fldCharType="end"/>
            </w:r>
          </w:p>
        </w:tc>
        <w:tc>
          <w:tcPr>
            <w:tcW w:w="1695" w:type="dxa"/>
            <w:hideMark/>
          </w:tcPr>
          <w:p w14:paraId="3A596B93" w14:textId="1CA9FAB4" w:rsidR="00FE013C" w:rsidRPr="00E2702F" w:rsidRDefault="00FE013C" w:rsidP="004C16FF">
            <w:pPr>
              <w:pStyle w:val="TableBody"/>
              <w:jc w:val="both"/>
              <w:rPr>
                <w:bCs/>
                <w:color w:val="auto"/>
                <w:sz w:val="16"/>
                <w:szCs w:val="16"/>
                <w:highlight w:val="yellow"/>
                <w:lang w:val="en-US"/>
              </w:rPr>
            </w:pPr>
            <w:r w:rsidRPr="00E2702F">
              <w:rPr>
                <w:bCs/>
                <w:color w:val="auto"/>
                <w:sz w:val="16"/>
                <w:szCs w:val="16"/>
                <w:highlight w:val="yellow"/>
                <w:lang w:val="en-US"/>
              </w:rPr>
              <w:t>Lacks a systematic methodology; highly geography-dependent; limited applicability for non-hyperscale operators; insufficient transparency on cost drivers</w:t>
            </w:r>
            <w:r w:rsidR="000B0F03" w:rsidRPr="00E2702F">
              <w:rPr>
                <w:bCs/>
                <w:color w:val="auto"/>
                <w:sz w:val="16"/>
                <w:szCs w:val="16"/>
                <w:highlight w:val="yellow"/>
                <w:lang w:val="en-US"/>
              </w:rPr>
              <w:t xml:space="preserve"> </w:t>
            </w:r>
            <w:r w:rsidR="000B0F03" w:rsidRPr="00E2702F">
              <w:rPr>
                <w:bCs/>
                <w:color w:val="auto"/>
                <w:sz w:val="16"/>
                <w:szCs w:val="16"/>
                <w:highlight w:val="yellow"/>
              </w:rPr>
              <w:fldChar w:fldCharType="begin"/>
            </w:r>
            <w:r w:rsidR="00B73641" w:rsidRPr="00E2702F">
              <w:rPr>
                <w:bCs/>
                <w:color w:val="auto"/>
                <w:sz w:val="16"/>
                <w:szCs w:val="16"/>
                <w:highlight w:val="yellow"/>
                <w:lang w:val="en-US"/>
              </w:rPr>
              <w:instrText xml:space="preserve"> ADDIN ZOTERO_ITEM CSL_CITATION {"citationID":"5YAGAcn5","properties":{"unsorted":false,"formattedCitation":"[52], [54], [59], [60]","plainCitation":"[52], [54], [59], [60]","noteIndex":0},"citationItems":[{"id":1995,"uris":["http://zotero.org/users/9870935/items/ZZ4BDIPH"],"itemData":{"id":1995,"type":"post-weblog","title":"Google Environmental Report 2025","URL":"https://sustainability.google/reports/google-2025-environmental-report/","author":[{"family":"Google","given":""}]}},{"id":1998,"uris":["http://zotero.org/users/9870935/items/3PR5HCM7"],"itemData":{"id":1998,"type":"post-weblog","title":"2025 Sustainability Report","URL":"https://sustainability.atmeta.com/wp-content/uploads/2025/08/Meta_2025-Sustainability-Report.pdf","author":[{"family":"Meta","given":""}]}},{"id":2007,"uris":["http://zotero.org/users/9870935/items/KHWRQFNN"],"itemData":{"id":2007,"type":"post-weblog","title":"Sustainability Report 2025","URL":"https://delivery-p112322-e1154416.adobeaemcloud.com/adobe/assets/deliver/urn:aaid:aem:116e6fc1-6217-4132-8fcf-1dc7096396df/Equinix-Inc_2025_Sustainability-Report.pdf","author":[{"family":"Equinix","given":""}]}},{"id":2010,"uris":["http://zotero.org/users/9870935/items/36ZP5SVZ"],"itemData":{"id":2010,"type":"post-weblog","title":"Environmental Progress Report","URL":"https://www.apple.com/environment/pdf/Apple_Environmental_Progress_Report_2025.pdf","author":[{"family":"Apple","given":""}]}}],"schema":"https://github.com/citation-style-language/schema/raw/master/csl-citation.json"} </w:instrText>
            </w:r>
            <w:r w:rsidR="000B0F03" w:rsidRPr="00E2702F">
              <w:rPr>
                <w:bCs/>
                <w:color w:val="auto"/>
                <w:sz w:val="16"/>
                <w:szCs w:val="16"/>
                <w:highlight w:val="yellow"/>
              </w:rPr>
              <w:fldChar w:fldCharType="separate"/>
            </w:r>
            <w:r w:rsidR="000B0F03" w:rsidRPr="00E2702F">
              <w:rPr>
                <w:sz w:val="16"/>
                <w:highlight w:val="yellow"/>
                <w:lang w:val="en-US"/>
              </w:rPr>
              <w:t>[52], [54], [59], [60]</w:t>
            </w:r>
            <w:r w:rsidR="000B0F03" w:rsidRPr="00E2702F">
              <w:rPr>
                <w:bCs/>
                <w:color w:val="auto"/>
                <w:sz w:val="16"/>
                <w:szCs w:val="16"/>
                <w:highlight w:val="yellow"/>
              </w:rPr>
              <w:fldChar w:fldCharType="end"/>
            </w:r>
          </w:p>
        </w:tc>
        <w:tc>
          <w:tcPr>
            <w:tcW w:w="1947" w:type="dxa"/>
            <w:hideMark/>
          </w:tcPr>
          <w:p w14:paraId="1380B35B" w14:textId="077A6174" w:rsidR="00FE013C" w:rsidRPr="00E2702F" w:rsidRDefault="00FE013C" w:rsidP="00B73641">
            <w:pPr>
              <w:pStyle w:val="TableBody"/>
              <w:jc w:val="both"/>
              <w:rPr>
                <w:bCs/>
                <w:color w:val="auto"/>
                <w:sz w:val="16"/>
                <w:szCs w:val="16"/>
                <w:highlight w:val="yellow"/>
                <w:lang w:val="en-US"/>
              </w:rPr>
            </w:pPr>
            <w:r w:rsidRPr="00E2702F">
              <w:rPr>
                <w:bCs/>
                <w:color w:val="auto"/>
                <w:sz w:val="16"/>
                <w:szCs w:val="16"/>
                <w:highlight w:val="yellow"/>
                <w:lang w:val="en-US"/>
              </w:rPr>
              <w:t>Solutions are often hyperscale-specific (e.g., nuclear procurement, fuel-cell deployment) and not directly transferable to 10–100 MW facilities</w:t>
            </w:r>
            <w:r w:rsidR="00B73641" w:rsidRPr="00E2702F">
              <w:rPr>
                <w:bCs/>
                <w:color w:val="auto"/>
                <w:sz w:val="16"/>
                <w:szCs w:val="16"/>
                <w:highlight w:val="yellow"/>
              </w:rPr>
              <w:fldChar w:fldCharType="begin"/>
            </w:r>
            <w:r w:rsidR="00B73641" w:rsidRPr="00E2702F">
              <w:rPr>
                <w:bCs/>
                <w:color w:val="auto"/>
                <w:sz w:val="16"/>
                <w:szCs w:val="16"/>
                <w:highlight w:val="yellow"/>
                <w:lang w:val="en-US"/>
              </w:rPr>
              <w:instrText xml:space="preserve"> ADDIN ZOTERO_ITEM CSL_CITATION {"citationID":"SO8MXGxm","properties":{"unsorted":false,"formattedCitation":"[63], [70]","plainCitation":"[63], [70]","noteIndex":0},"citationItems":[{"id":2119,"uris":["http://zotero.org/users/9870935/items/HCPVHF7M"],"itemData":{"id":2119,"type":"article-journal","container-title":"Energy Reports","DOI":"10.1016/j.egyr.2025.03.020","ISSN":"23524847","journalAbbreviation":"Energy Reports","language":"en","page":"3661-3671","source":"DOI.org (Crossref)","title":"Data centres as a source of flexibility for power systems","volume":"13","author":[{"family":"Takci","given":"Mehmet Türker"},{"family":"Qadrdan","given":"Meysam"},{"family":"Summers","given":"Jon"},{"family":"Gustafsson","given":"Jonas"}],"issued":{"date-parts":[["2025",6]]}}},{"id":2124,"uris":["http://zotero.org/users/9870935/items/7MUJEUDP"],"itemData":{"id":2124,"type":"paper-conference","container-title":"Proceedings of the Nineteenth European Conference on Computer Systems","DOI":"10.1145/3627703.3650079","event-title":"EuroSys '24: Nineteenth European Conference on Computer Systems","ISBN":"979-8-4007-0437-6","language":"en","page":"924-941","publisher":"ACM","publisher-place":"Athens Greece","source":"DOI.org (Crossref)","title":"On the Limitations of Carbon-Aware Temporal and Spatial Workload Shifting in the Cloud","URL":"https://dl.acm.org/doi/10.1145/3627703.3650079","author":[{"family":"Sukprasert","given":"Thanathorn"},{"family":"Souza","given":"Abel"},{"family":"Bashir","given":"Noman"},{"family":"Irwin","given":"David"},{"family":"Shenoy","given":"Prashant"}],"accessed":{"date-parts":[["2026",5,23]]},"issued":{"date-parts":[["2024",4,22]]}}}],"schema":"https://github.com/citation-style-language/schema/raw/master/csl-citation.json"} </w:instrText>
            </w:r>
            <w:r w:rsidR="00B73641" w:rsidRPr="00E2702F">
              <w:rPr>
                <w:bCs/>
                <w:color w:val="auto"/>
                <w:sz w:val="16"/>
                <w:szCs w:val="16"/>
                <w:highlight w:val="yellow"/>
              </w:rPr>
              <w:fldChar w:fldCharType="separate"/>
            </w:r>
            <w:r w:rsidR="00B73641" w:rsidRPr="00E2702F">
              <w:rPr>
                <w:sz w:val="16"/>
                <w:highlight w:val="yellow"/>
                <w:lang w:val="en-US"/>
              </w:rPr>
              <w:t>[63], [70]</w:t>
            </w:r>
            <w:r w:rsidR="00B73641" w:rsidRPr="00E2702F">
              <w:rPr>
                <w:bCs/>
                <w:color w:val="auto"/>
                <w:sz w:val="16"/>
                <w:szCs w:val="16"/>
                <w:highlight w:val="yellow"/>
              </w:rPr>
              <w:fldChar w:fldCharType="end"/>
            </w:r>
          </w:p>
        </w:tc>
        <w:tc>
          <w:tcPr>
            <w:tcW w:w="1829" w:type="dxa"/>
            <w:hideMark/>
          </w:tcPr>
          <w:p w14:paraId="4B6D7270" w14:textId="77777777" w:rsidR="00FE013C" w:rsidRPr="00E2702F" w:rsidRDefault="00FE013C" w:rsidP="004C16FF">
            <w:pPr>
              <w:pStyle w:val="TableBody"/>
              <w:jc w:val="both"/>
              <w:rPr>
                <w:bCs/>
                <w:color w:val="auto"/>
                <w:sz w:val="16"/>
                <w:szCs w:val="16"/>
                <w:highlight w:val="yellow"/>
                <w:lang w:val="en-US"/>
              </w:rPr>
            </w:pPr>
            <w:r w:rsidRPr="00E2702F">
              <w:rPr>
                <w:bCs/>
                <w:color w:val="auto"/>
                <w:sz w:val="16"/>
                <w:szCs w:val="16"/>
                <w:highlight w:val="yellow"/>
                <w:lang w:val="en-US"/>
              </w:rPr>
              <w:t xml:space="preserve">Delivers a scalable framework for </w:t>
            </w:r>
            <w:r w:rsidRPr="00E2702F">
              <w:rPr>
                <w:b/>
                <w:bCs/>
                <w:color w:val="auto"/>
                <w:sz w:val="16"/>
                <w:szCs w:val="16"/>
                <w:highlight w:val="yellow"/>
                <w:lang w:val="en-US"/>
              </w:rPr>
              <w:t>10–1000 MW</w:t>
            </w:r>
            <w:r w:rsidRPr="00E2702F">
              <w:rPr>
                <w:bCs/>
                <w:color w:val="auto"/>
                <w:sz w:val="16"/>
                <w:szCs w:val="16"/>
                <w:highlight w:val="yellow"/>
                <w:lang w:val="en-US"/>
              </w:rPr>
              <w:t xml:space="preserve"> facilities, incorporating explicit cost–reliability trade-offs (</w:t>
            </w:r>
            <w:r w:rsidRPr="00E2702F">
              <w:rPr>
                <w:b/>
                <w:bCs/>
                <w:color w:val="auto"/>
                <w:sz w:val="16"/>
                <w:szCs w:val="16"/>
                <w:highlight w:val="yellow"/>
                <w:lang w:val="en-US"/>
              </w:rPr>
              <w:t>Section 10</w:t>
            </w:r>
            <w:r w:rsidRPr="00E2702F">
              <w:rPr>
                <w:bCs/>
                <w:color w:val="auto"/>
                <w:sz w:val="16"/>
                <w:szCs w:val="16"/>
                <w:highlight w:val="yellow"/>
                <w:lang w:val="en-US"/>
              </w:rPr>
              <w:t>) and geographic flexibility (</w:t>
            </w:r>
            <w:r w:rsidRPr="00E2702F">
              <w:rPr>
                <w:b/>
                <w:bCs/>
                <w:color w:val="auto"/>
                <w:sz w:val="16"/>
                <w:szCs w:val="16"/>
                <w:highlight w:val="yellow"/>
                <w:lang w:val="en-US"/>
              </w:rPr>
              <w:t>Sections 4 and 8</w:t>
            </w:r>
            <w:r w:rsidRPr="00E2702F">
              <w:rPr>
                <w:bCs/>
                <w:color w:val="auto"/>
                <w:sz w:val="16"/>
                <w:szCs w:val="16"/>
                <w:highlight w:val="yellow"/>
                <w:lang w:val="en-US"/>
              </w:rPr>
              <w:t>)</w:t>
            </w:r>
          </w:p>
        </w:tc>
      </w:tr>
      <w:tr w:rsidR="00FE013C" w:rsidRPr="00C57FAE" w14:paraId="50A7E664" w14:textId="77777777" w:rsidTr="00103F18">
        <w:tc>
          <w:tcPr>
            <w:tcW w:w="1678" w:type="dxa"/>
            <w:hideMark/>
          </w:tcPr>
          <w:p w14:paraId="71B589EF" w14:textId="77777777" w:rsidR="00FE013C" w:rsidRPr="00E2702F" w:rsidRDefault="00FE013C" w:rsidP="004C16FF">
            <w:pPr>
              <w:pStyle w:val="TableBody"/>
              <w:jc w:val="both"/>
              <w:rPr>
                <w:bCs/>
                <w:color w:val="auto"/>
                <w:sz w:val="16"/>
                <w:szCs w:val="16"/>
                <w:highlight w:val="yellow"/>
                <w:lang w:val="en-US"/>
              </w:rPr>
            </w:pPr>
            <w:r w:rsidRPr="00E2702F">
              <w:rPr>
                <w:b/>
                <w:bCs/>
                <w:color w:val="auto"/>
                <w:sz w:val="16"/>
                <w:szCs w:val="16"/>
                <w:highlight w:val="yellow"/>
                <w:lang w:val="en-US"/>
              </w:rPr>
              <w:t>Equipment-Centric (Battery, Inverter, Cooling Vendors)</w:t>
            </w:r>
          </w:p>
        </w:tc>
        <w:tc>
          <w:tcPr>
            <w:tcW w:w="1695" w:type="dxa"/>
            <w:hideMark/>
          </w:tcPr>
          <w:p w14:paraId="5C797FD9" w14:textId="4081E120" w:rsidR="00FE013C" w:rsidRPr="00E2702F" w:rsidRDefault="00FE013C" w:rsidP="00B73641">
            <w:pPr>
              <w:pStyle w:val="TableBody"/>
              <w:jc w:val="both"/>
              <w:rPr>
                <w:bCs/>
                <w:color w:val="auto"/>
                <w:sz w:val="16"/>
                <w:szCs w:val="16"/>
                <w:highlight w:val="yellow"/>
                <w:lang w:val="en-US"/>
              </w:rPr>
            </w:pPr>
            <w:r w:rsidRPr="00E2702F">
              <w:rPr>
                <w:bCs/>
                <w:color w:val="auto"/>
                <w:sz w:val="16"/>
                <w:szCs w:val="16"/>
                <w:highlight w:val="yellow"/>
                <w:lang w:val="en-US"/>
              </w:rPr>
              <w:t>Detailed component specifications, thermal management guidance, and efficiency performance curves</w:t>
            </w:r>
            <w:r w:rsidR="00B73641" w:rsidRPr="00E2702F">
              <w:rPr>
                <w:bCs/>
                <w:color w:val="auto"/>
                <w:sz w:val="16"/>
                <w:szCs w:val="16"/>
                <w:highlight w:val="yellow"/>
                <w:lang w:val="en-US"/>
              </w:rPr>
              <w:t xml:space="preserve"> </w:t>
            </w:r>
            <w:r w:rsidR="00B73641" w:rsidRPr="00E2702F">
              <w:rPr>
                <w:bCs/>
                <w:color w:val="auto"/>
                <w:sz w:val="16"/>
                <w:szCs w:val="16"/>
                <w:highlight w:val="yellow"/>
              </w:rPr>
              <w:fldChar w:fldCharType="begin"/>
            </w:r>
            <w:r w:rsidR="00B73641" w:rsidRPr="00E2702F">
              <w:rPr>
                <w:bCs/>
                <w:color w:val="auto"/>
                <w:sz w:val="16"/>
                <w:szCs w:val="16"/>
                <w:highlight w:val="yellow"/>
                <w:lang w:val="en-US"/>
              </w:rPr>
              <w:instrText xml:space="preserve"> ADDIN ZOTERO_ITEM CSL_CITATION {"citationID":"hRHqbbDL","properties":{"unsorted":false,"formattedCitation":"[34], [45], [47], [71]","plainCitation":"[34], [45], [47], [71]","noteIndex":0},"citationItems":[{"id":1964,"uris":["http://zotero.org/users/9870935/items/97W4FH39"],"itemData":{"id":1964,"type":"article-journal","container-title":"Applied Thermal Engineering","DOI":"10.1016/j.applthermaleng.2024.123112","ISSN":"13594311","journalAbbreviation":"Applied Thermal Engineering","language":"en","page":"123112","source":"DOI.org (Crossref)","title":"Liquid cooling of data centers: A necessity facing challenges","title-short":"Liquid cooling of data centers","volume":"247","author":[{"family":"Azarifar","given":"Mohammad"},{"family":"Arik","given":"Mehmet"},{"family":"Chang","given":"Je-Young"}],"issued":{"date-parts":[["2024",6]]}}},{"id":1982,"uris":["http://zotero.org/users/9870935/items/GEX9B6EX"],"itemData":{"id":1982,"type":"article-journal","container-title":"Future Batteries","DOI":"10.1016/j.fub.2024.100007","ISSN":"29502640","journalAbbreviation":"Future Batteries","language":"en","page":"100007","source":"DOI.org (Crossref)","title":"Navigating battery choices: A comparative study of lithium iron phosphate and nickel manganese cobalt battery technologies","title-short":"Navigating battery choices","volume":"4","author":[{"family":"Evro","given":"Solomon"},{"family":"Ajumobi","given":"Abdurahman"},{"family":"Mayon","given":"Darrell"},{"family":"Tomomewo","given":"Olusegun Stanley"}],"issued":{"date-parts":[["2024",12]]}}},{"id":1984,"uris":["http://zotero.org/users/9870935/items/M6SVEFZJ"],"itemData":{"id":1984,"type":"article-journal","container-title":"Next Research","DOI":"10.1016/j.nexres.2025.100767","ISSN":"30504759","issue":"4","journalAbbreviation":"Next Research","language":"en","page":"100767","source":"DOI.org (Crossref)","title":"A comprehensive review of vanadium redox flow batteries: Principles, benefits, and applications","title-short":"A comprehensive review of vanadium redox flow batteries","volume":"2","author":[{"family":"Barzigar","given":"Amirhossein"},{"family":"Ebadati","given":"Erfan"},{"family":"Mujumdar","given":"Arun S"},{"family":"Hosseinalipour","given":"S.M."}],"issued":{"date-parts":[["2025",12]]}}},{"id":2069,"uris":["http://zotero.org/users/9870935/items/VGJ2SVN2"],"itemData":{"id":2069,"type":"article-journal","container-title":"Applied Energy","DOI":"10.1016/j.apenergy.2025.126443","ISSN":"03062619","journalAbbreviation":"Applied Energy","language":"en","page":"126443","source":"DOI.org (Crossref)","title":"A high-fidelity online monitoring algorithm for multiple physical fields in battery pack","volume":"398","author":[{"family":"Xie","given":"Yi"},{"family":"Ma","given":"Wensai"},{"family":"Jiang","given":"Disheng"},{"family":"Li","given":"Wei"},{"family":"Yang","given":"Rui"},{"family":"Panchal","given":"Satyam"},{"family":"Fowler","given":"Michael"},{"family":"Zhang","given":"Yangjun"}],"issued":{"date-parts":[["2025",11]]}}}],"schema":"https://github.com/citation-style-language/schema/raw/master/csl-citation.json"} </w:instrText>
            </w:r>
            <w:r w:rsidR="00B73641" w:rsidRPr="00E2702F">
              <w:rPr>
                <w:bCs/>
                <w:color w:val="auto"/>
                <w:sz w:val="16"/>
                <w:szCs w:val="16"/>
                <w:highlight w:val="yellow"/>
              </w:rPr>
              <w:fldChar w:fldCharType="separate"/>
            </w:r>
            <w:r w:rsidR="00B73641" w:rsidRPr="00E2702F">
              <w:rPr>
                <w:sz w:val="16"/>
                <w:highlight w:val="yellow"/>
                <w:lang w:val="en-US"/>
              </w:rPr>
              <w:t>[34], [45], [47], [71]</w:t>
            </w:r>
            <w:r w:rsidR="00B73641" w:rsidRPr="00E2702F">
              <w:rPr>
                <w:bCs/>
                <w:color w:val="auto"/>
                <w:sz w:val="16"/>
                <w:szCs w:val="16"/>
                <w:highlight w:val="yellow"/>
              </w:rPr>
              <w:fldChar w:fldCharType="end"/>
            </w:r>
          </w:p>
        </w:tc>
        <w:tc>
          <w:tcPr>
            <w:tcW w:w="1695" w:type="dxa"/>
            <w:hideMark/>
          </w:tcPr>
          <w:p w14:paraId="3C2A8292" w14:textId="4DD22F18" w:rsidR="00FE013C" w:rsidRPr="00E2702F" w:rsidRDefault="00FE013C" w:rsidP="00B73641">
            <w:pPr>
              <w:pStyle w:val="TableBody"/>
              <w:jc w:val="both"/>
              <w:rPr>
                <w:bCs/>
                <w:color w:val="auto"/>
                <w:sz w:val="16"/>
                <w:szCs w:val="16"/>
                <w:highlight w:val="yellow"/>
                <w:lang w:val="en-US"/>
              </w:rPr>
            </w:pPr>
            <w:r w:rsidRPr="00E2702F">
              <w:rPr>
                <w:bCs/>
                <w:color w:val="auto"/>
                <w:sz w:val="16"/>
                <w:szCs w:val="16"/>
                <w:highlight w:val="yellow"/>
                <w:lang w:val="en-US"/>
              </w:rPr>
              <w:t>No pathway for system-level integration; neglects interactions among storage, load flexibility, and dispatch optimization</w:t>
            </w:r>
            <w:r w:rsidR="00B73641" w:rsidRPr="00E2702F">
              <w:rPr>
                <w:bCs/>
                <w:color w:val="auto"/>
                <w:sz w:val="16"/>
                <w:szCs w:val="16"/>
                <w:highlight w:val="yellow"/>
                <w:lang w:val="en-US"/>
              </w:rPr>
              <w:t xml:space="preserve"> </w:t>
            </w:r>
            <w:r w:rsidR="00B73641" w:rsidRPr="00E2702F">
              <w:rPr>
                <w:bCs/>
                <w:color w:val="auto"/>
                <w:sz w:val="16"/>
                <w:szCs w:val="16"/>
                <w:highlight w:val="yellow"/>
              </w:rPr>
              <w:fldChar w:fldCharType="begin"/>
            </w:r>
            <w:r w:rsidR="00B73641" w:rsidRPr="00E2702F">
              <w:rPr>
                <w:bCs/>
                <w:color w:val="auto"/>
                <w:sz w:val="16"/>
                <w:szCs w:val="16"/>
                <w:highlight w:val="yellow"/>
                <w:lang w:val="en-US"/>
              </w:rPr>
              <w:instrText xml:space="preserve"> ADDIN ZOTERO_ITEM CSL_CITATION {"citationID":"1NVFdPcj","properties":{"unsorted":false,"formattedCitation":"[71], [72], [73]","plainCitation":"[71], [72], [73]","noteIndex":0},"citationItems":[{"id":2069,"uris":["http://zotero.org/users/9870935/items/VGJ2SVN2"],"itemData":{"id":2069,"type":"article-journal","container-title":"Applied Energy","DOI":"10.1016/j.apenergy.2025.126443","ISSN":"03062619","journalAbbreviation":"Applied Energy","language":"en","page":"126443","source":"DOI.org (Crossref)","title":"A high-fidelity online monitoring algorithm for multiple physical fields in battery pack","volume":"398","author":[{"family":"Xie","given":"Yi"},{"family":"Ma","given":"Wensai"},{"family":"Jiang","given":"Disheng"},{"family":"Li","given":"Wei"},{"family":"Yang","given":"Rui"},{"family":"Panchal","given":"Satyam"},{"family":"Fowler","given":"Michael"},{"family":"Zhang","given":"Yangjun"}],"issued":{"date-parts":[["2025",11]]}}},{"id":2070,"uris":["http://zotero.org/users/9870935/items/YRGN99DK"],"itemData":{"id":2070,"type":"article-journal","container-title":"Journal of Energy Storage","DOI":"10.1016/j.est.2024.112941","ISSN":"2352152X","journalAbbreviation":"Journal of Energy Storage","language":"en","page":"112941","source":"DOI.org (Crossref)","title":"A case study of optimising energy storage dispatch: Convex optimisation approach with degradation considerations","title-short":"A case study of optimising energy storage dispatch","volume":"97","author":[{"family":"Vaičys","given":"Jonas"},{"family":"Gudžius","given":"Saulius"},{"family":"Jonaitis","given":"Audrius"},{"family":"Račkienė","given":"Roma"},{"family":"Blinov","given":"Andrei"},{"family":"Peftitsis","given":"Dimosthenis"}],"issued":{"date-parts":[["2024",9]]}}},{"id":1988,"uris":["http://zotero.org/users/9870935/items/9LH8YF5V"],"itemData":{"id":1988,"type":"article-journal","container-title":"Future Batteries","DOI":"10.1016/j.fub.2025.100106","ISSN":"29502640","journalAbbreviation":"Future Batteries","language":"en","page":"100106","source":"DOI.org (Crossref)","title":"A review of battery energy storage system for renewable energy penetration in electrical power system: Environmental impact, sizing methods, market features, and policy frameworks","title-short":"A review of battery energy storage system for renewable energy penetration in electrical power system","volume":"7","author":[{"family":"Jaradat","given":"Tha'er"},{"family":"Khatib","given":"Tamer"}],"issued":{"date-parts":[["2025",9]]}}}],"schema":"https://github.com/citation-style-language/schema/raw/master/csl-citation.json"} </w:instrText>
            </w:r>
            <w:r w:rsidR="00B73641" w:rsidRPr="00E2702F">
              <w:rPr>
                <w:bCs/>
                <w:color w:val="auto"/>
                <w:sz w:val="16"/>
                <w:szCs w:val="16"/>
                <w:highlight w:val="yellow"/>
              </w:rPr>
              <w:fldChar w:fldCharType="separate"/>
            </w:r>
            <w:r w:rsidR="00B73641" w:rsidRPr="00E2702F">
              <w:rPr>
                <w:sz w:val="16"/>
                <w:highlight w:val="yellow"/>
                <w:lang w:val="en-US"/>
              </w:rPr>
              <w:t>[71], [72], [73]</w:t>
            </w:r>
            <w:r w:rsidR="00B73641" w:rsidRPr="00E2702F">
              <w:rPr>
                <w:bCs/>
                <w:color w:val="auto"/>
                <w:sz w:val="16"/>
                <w:szCs w:val="16"/>
                <w:highlight w:val="yellow"/>
              </w:rPr>
              <w:fldChar w:fldCharType="end"/>
            </w:r>
          </w:p>
        </w:tc>
        <w:tc>
          <w:tcPr>
            <w:tcW w:w="1947" w:type="dxa"/>
            <w:hideMark/>
          </w:tcPr>
          <w:p w14:paraId="45DFF39B" w14:textId="10B82289" w:rsidR="00FE013C" w:rsidRPr="00E2702F" w:rsidRDefault="00FE013C" w:rsidP="004C16FF">
            <w:pPr>
              <w:pStyle w:val="TableBody"/>
              <w:jc w:val="both"/>
              <w:rPr>
                <w:bCs/>
                <w:color w:val="auto"/>
                <w:sz w:val="16"/>
                <w:szCs w:val="16"/>
                <w:highlight w:val="yellow"/>
                <w:lang w:val="en-US"/>
              </w:rPr>
            </w:pPr>
            <w:r w:rsidRPr="00E2702F">
              <w:rPr>
                <w:bCs/>
                <w:color w:val="auto"/>
                <w:sz w:val="16"/>
                <w:szCs w:val="16"/>
                <w:highlight w:val="yellow"/>
                <w:lang w:val="en-US"/>
              </w:rPr>
              <w:t>Risk of over-sizing (excess capital expenditure) or under-sizing (reliability failures); lacks dispatch and coordination strategy</w:t>
            </w:r>
            <w:r w:rsidR="00B73641" w:rsidRPr="00E2702F">
              <w:rPr>
                <w:bCs/>
                <w:color w:val="auto"/>
                <w:sz w:val="16"/>
                <w:szCs w:val="16"/>
                <w:highlight w:val="yellow"/>
                <w:lang w:val="en-US"/>
              </w:rPr>
              <w:t xml:space="preserve"> </w:t>
            </w:r>
            <w:r w:rsidR="00B73641" w:rsidRPr="00E2702F">
              <w:rPr>
                <w:bCs/>
                <w:color w:val="auto"/>
                <w:sz w:val="16"/>
                <w:szCs w:val="16"/>
                <w:highlight w:val="yellow"/>
              </w:rPr>
              <w:fldChar w:fldCharType="begin"/>
            </w:r>
            <w:r w:rsidR="00957B20">
              <w:rPr>
                <w:bCs/>
                <w:color w:val="auto"/>
                <w:sz w:val="16"/>
                <w:szCs w:val="16"/>
                <w:highlight w:val="yellow"/>
                <w:lang w:val="en-US"/>
              </w:rPr>
              <w:instrText xml:space="preserve"> ADDIN ZOTERO_ITEM CSL_CITATION {"citationID":"jarev5d2","properties":{"unsorted":false,"formattedCitation":"[71], [72], [73]","plainCitation":"[71], [72], [73]","noteIndex":0},"citationItems":[{"id":2069,"uris":["http://zotero.org/users/9870935/items/VGJ2SVN2"],"itemData":{"id":2069,"type":"article-journal","container-title":"Applied Energy","DOI":"10.1016/j.apenergy.2025.126443","ISSN":"03062619","journalAbbreviation":"Applied Energy","language":"en","page":"126443","source":"DOI.org (Crossref)","title":"A high-fidelity online monitoring algorithm for multiple physical fields in battery pack","volume":"398","author":[{"family":"Xie","given":"Yi"},{"family":"Ma","given":"Wensai"},{"family":"Jiang","given":"Disheng"},{"family":"Li","given":"Wei"},{"family":"Yang","given":"Rui"},{"family":"Panchal","given":"Satyam"},{"family":"Fowler","given":"Michael"},{"family":"Zhang","given":"Yangjun"}],"issued":{"date-parts":[["2025",11]]}}},{"id":2070,"uris":["http://zotero.org/users/9870935/items/YRGN99DK"],"itemData":{"id":2070,"type":"article-journal","container-title":"Journal of Energy Storage","DOI":"10.1016/j.est.2024.112941","ISSN":"2352152X","journalAbbreviation":"Journal of Energy Storage","language":"en","page":"112941","source":"DOI.org (Crossref)","title":"A case study of optimising energy storage dispatch: Convex optimisation approach with degradation considerations","title-short":"A case study of optimising energy storage dispatch","volume":"97","author":[{"family":"Vaičys","given":"Jonas"},{"family":"Gudžius","given":"Saulius"},{"family":"Jonaitis","given":"Audrius"},{"family":"Račkienė","given":"Roma"},{"family":"Blinov","given":"Andrei"},{"family":"Peftitsis","given":"Dimosthenis"}],"issued":{"date-parts":[["2024",9]]}}},{"id":1988,"uris":["http://zotero.org/users/9870935/items/9LH8YF5V"],"itemData":{"id":1988,"type":"article-journal","container-title":"Future Batteries","DOI":"10.1016/j.fub.2025.100106","ISSN":"29502640","journalAbbreviation":"Future Batteries","language":"en","page":"100106","source":"DOI.org (Crossref)","title":"A review of battery energy storage system for renewable energy penetration in electrical power system: Environmental impact, sizing methods, market features, and policy frameworks","title-short":"A review of battery energy storage system for renewable energy penetration in electrical power system","volume":"7","author":[{"family":"Jaradat","given":"Tha'er"},{"family":"Khatib","given":"Tamer"}],"issued":{"date-parts":[["2025",9]]}}}],"schema":"https://github.com/citation-style-language/schema/raw/master/csl-citation.json"} </w:instrText>
            </w:r>
            <w:r w:rsidR="00B73641" w:rsidRPr="00E2702F">
              <w:rPr>
                <w:bCs/>
                <w:color w:val="auto"/>
                <w:sz w:val="16"/>
                <w:szCs w:val="16"/>
                <w:highlight w:val="yellow"/>
              </w:rPr>
              <w:fldChar w:fldCharType="separate"/>
            </w:r>
            <w:r w:rsidR="00B73641" w:rsidRPr="00E2702F">
              <w:rPr>
                <w:sz w:val="16"/>
                <w:highlight w:val="yellow"/>
                <w:lang w:val="en-US"/>
              </w:rPr>
              <w:t>[71], [72], [73]</w:t>
            </w:r>
            <w:r w:rsidR="00B73641" w:rsidRPr="00E2702F">
              <w:rPr>
                <w:bCs/>
                <w:color w:val="auto"/>
                <w:sz w:val="16"/>
                <w:szCs w:val="16"/>
                <w:highlight w:val="yellow"/>
              </w:rPr>
              <w:fldChar w:fldCharType="end"/>
            </w:r>
          </w:p>
        </w:tc>
        <w:tc>
          <w:tcPr>
            <w:tcW w:w="1829" w:type="dxa"/>
            <w:hideMark/>
          </w:tcPr>
          <w:p w14:paraId="3B914F9C" w14:textId="77777777" w:rsidR="00FE013C" w:rsidRPr="00C57FAE" w:rsidRDefault="00FE013C" w:rsidP="004C16FF">
            <w:pPr>
              <w:pStyle w:val="TableBody"/>
              <w:jc w:val="both"/>
              <w:rPr>
                <w:bCs/>
                <w:color w:val="auto"/>
                <w:sz w:val="16"/>
                <w:szCs w:val="16"/>
                <w:lang w:val="en-US"/>
              </w:rPr>
            </w:pPr>
            <w:r w:rsidRPr="00E2702F">
              <w:rPr>
                <w:bCs/>
                <w:color w:val="auto"/>
                <w:sz w:val="16"/>
                <w:szCs w:val="16"/>
                <w:highlight w:val="yellow"/>
                <w:lang w:val="en-US"/>
              </w:rPr>
              <w:t xml:space="preserve">Adds integrated energy management through </w:t>
            </w:r>
            <w:r w:rsidRPr="00E2702F">
              <w:rPr>
                <w:b/>
                <w:bCs/>
                <w:color w:val="auto"/>
                <w:sz w:val="16"/>
                <w:szCs w:val="16"/>
                <w:highlight w:val="yellow"/>
                <w:lang w:val="en-US"/>
              </w:rPr>
              <w:t>Section 5.5 (MPC Control)</w:t>
            </w:r>
            <w:r w:rsidRPr="00E2702F">
              <w:rPr>
                <w:bCs/>
                <w:color w:val="auto"/>
                <w:sz w:val="16"/>
                <w:szCs w:val="16"/>
                <w:highlight w:val="yellow"/>
                <w:lang w:val="en-US"/>
              </w:rPr>
              <w:t xml:space="preserve"> and probabilistic sizing in </w:t>
            </w:r>
            <w:r w:rsidRPr="00E2702F">
              <w:rPr>
                <w:b/>
                <w:bCs/>
                <w:color w:val="auto"/>
                <w:sz w:val="16"/>
                <w:szCs w:val="16"/>
                <w:highlight w:val="yellow"/>
                <w:lang w:val="en-US"/>
              </w:rPr>
              <w:t>Section 5.3</w:t>
            </w:r>
            <w:r w:rsidRPr="00E2702F">
              <w:rPr>
                <w:bCs/>
                <w:color w:val="auto"/>
                <w:sz w:val="16"/>
                <w:szCs w:val="16"/>
                <w:highlight w:val="yellow"/>
                <w:lang w:val="en-US"/>
              </w:rPr>
              <w:t>, linking component selection to overall system outcomes</w:t>
            </w:r>
          </w:p>
        </w:tc>
      </w:tr>
    </w:tbl>
    <w:p w14:paraId="543E788C" w14:textId="77777777" w:rsidR="00FE013C" w:rsidRDefault="00FE013C" w:rsidP="004C16FF">
      <w:pPr>
        <w:pStyle w:val="Heading20"/>
        <w:jc w:val="both"/>
        <w:rPr>
          <w:color w:val="auto"/>
        </w:rPr>
      </w:pPr>
      <w:r>
        <w:rPr>
          <w:color w:val="auto"/>
        </w:rPr>
        <w:t xml:space="preserve">2.6.1 </w:t>
      </w:r>
      <w:r w:rsidRPr="005F1307">
        <w:rPr>
          <w:color w:val="auto"/>
        </w:rPr>
        <w:t>Key Gaps Identified in Prior Work</w:t>
      </w:r>
    </w:p>
    <w:p w14:paraId="7BA3741D" w14:textId="77777777" w:rsidR="00FE013C" w:rsidRDefault="00FE013C" w:rsidP="004C16FF">
      <w:pPr>
        <w:pStyle w:val="Heading20"/>
        <w:jc w:val="both"/>
        <w:rPr>
          <w:color w:val="auto"/>
        </w:rPr>
      </w:pPr>
      <w:r>
        <w:rPr>
          <w:color w:val="auto"/>
        </w:rPr>
        <w:t xml:space="preserve">2.6.1.1 </w:t>
      </w:r>
      <w:r w:rsidRPr="004F362B">
        <w:rPr>
          <w:color w:val="auto"/>
        </w:rPr>
        <w:t>Integration Failure</w:t>
      </w:r>
    </w:p>
    <w:p w14:paraId="48AA73E5" w14:textId="77777777" w:rsidR="00FE013C" w:rsidRPr="004F362B" w:rsidRDefault="00FE013C" w:rsidP="009F7E9F">
      <w:pPr>
        <w:pStyle w:val="Heading10"/>
        <w:numPr>
          <w:ilvl w:val="0"/>
          <w:numId w:val="10"/>
        </w:numPr>
        <w:spacing w:before="0" w:after="0"/>
        <w:ind w:left="714" w:hanging="357"/>
        <w:jc w:val="both"/>
        <w:rPr>
          <w:b w:val="0"/>
          <w:color w:val="auto"/>
          <w:lang w:val="en-CA" w:eastAsia="zh-CN"/>
        </w:rPr>
      </w:pPr>
      <w:r w:rsidRPr="007B470D">
        <w:rPr>
          <w:bCs/>
          <w:color w:val="auto"/>
          <w:lang w:val="en-CA" w:eastAsia="zh-CN"/>
        </w:rPr>
        <w:t>Problem:</w:t>
      </w:r>
      <w:r w:rsidRPr="004F362B">
        <w:rPr>
          <w:color w:val="auto"/>
          <w:lang w:val="en-CA" w:eastAsia="zh-CN"/>
        </w:rPr>
        <w:t xml:space="preserve"> Technical (Sections 6.1–6.3) and economic literature (LCOE, PPA pricing) are siloed.</w:t>
      </w:r>
      <w:r w:rsidRPr="004F362B">
        <w:rPr>
          <w:b w:val="0"/>
          <w:color w:val="auto"/>
          <w:lang w:val="en-CA" w:eastAsia="zh-CN"/>
        </w:rPr>
        <w:t xml:space="preserve"> </w:t>
      </w:r>
    </w:p>
    <w:p w14:paraId="4E2CFFAB" w14:textId="77777777" w:rsidR="00FE013C" w:rsidRPr="004F362B" w:rsidRDefault="00FE013C" w:rsidP="009F7E9F">
      <w:pPr>
        <w:pStyle w:val="Heading10"/>
        <w:numPr>
          <w:ilvl w:val="0"/>
          <w:numId w:val="10"/>
        </w:numPr>
        <w:spacing w:before="0" w:after="0"/>
        <w:ind w:left="714" w:hanging="357"/>
        <w:jc w:val="both"/>
        <w:rPr>
          <w:b w:val="0"/>
          <w:color w:val="auto"/>
          <w:lang w:val="en-CA" w:eastAsia="zh-CN"/>
        </w:rPr>
      </w:pPr>
      <w:r w:rsidRPr="007B470D">
        <w:rPr>
          <w:bCs/>
          <w:color w:val="auto"/>
          <w:lang w:val="en-CA" w:eastAsia="zh-CN"/>
        </w:rPr>
        <w:t>Consequence:</w:t>
      </w:r>
      <w:r w:rsidRPr="004F362B">
        <w:rPr>
          <w:b w:val="0"/>
          <w:color w:val="auto"/>
          <w:lang w:val="en-CA" w:eastAsia="zh-CN"/>
        </w:rPr>
        <w:t xml:space="preserve"> A $50/MWh wind PPA is economically attractive until grid interconnection costs ($10M+) and harmonic mitigation (active filter costs: $500k–$2M) are added—total cost can exceed $75/MWh. </w:t>
      </w:r>
    </w:p>
    <w:p w14:paraId="2F59170B" w14:textId="6E4A7ECF" w:rsidR="00FE013C" w:rsidRDefault="00FE013C" w:rsidP="009F7E9F">
      <w:pPr>
        <w:pStyle w:val="Heading10"/>
        <w:numPr>
          <w:ilvl w:val="0"/>
          <w:numId w:val="10"/>
        </w:numPr>
        <w:spacing w:before="0" w:after="0"/>
        <w:ind w:left="714" w:hanging="357"/>
        <w:jc w:val="both"/>
        <w:rPr>
          <w:b w:val="0"/>
          <w:color w:val="auto"/>
          <w:lang w:val="en-CA" w:eastAsia="zh-CN"/>
        </w:rPr>
      </w:pPr>
      <w:r w:rsidRPr="007B470D">
        <w:rPr>
          <w:bCs/>
          <w:color w:val="auto"/>
          <w:lang w:val="en-CA" w:eastAsia="zh-CN"/>
        </w:rPr>
        <w:t>Solution of this framework:</w:t>
      </w:r>
      <w:r w:rsidRPr="004F362B">
        <w:rPr>
          <w:color w:val="auto"/>
          <w:lang w:val="en-CA" w:eastAsia="zh-CN"/>
        </w:rPr>
        <w:t xml:space="preserve"> </w:t>
      </w:r>
      <w:r w:rsidR="00240FF9">
        <w:rPr>
          <w:color w:val="auto"/>
          <w:lang w:val="en-CA" w:eastAsia="zh-CN"/>
        </w:rPr>
        <w:t>This system models</w:t>
      </w:r>
      <w:r w:rsidRPr="004F362B">
        <w:rPr>
          <w:color w:val="auto"/>
          <w:lang w:val="en-CA" w:eastAsia="zh-CN"/>
        </w:rPr>
        <w:t xml:space="preserve"> full system cost, including grid interconnection delay premiums, protection upgrades, and harmonic mitigation, into the NPV analysis.</w:t>
      </w:r>
    </w:p>
    <w:p w14:paraId="07D5C542" w14:textId="77777777" w:rsidR="00FE013C" w:rsidRDefault="00FE013C" w:rsidP="004C16FF">
      <w:pPr>
        <w:pStyle w:val="Heading20"/>
        <w:jc w:val="both"/>
        <w:rPr>
          <w:color w:val="auto"/>
        </w:rPr>
      </w:pPr>
      <w:r>
        <w:rPr>
          <w:color w:val="auto"/>
        </w:rPr>
        <w:t xml:space="preserve">2.6.1.2 </w:t>
      </w:r>
      <w:r w:rsidRPr="00FF620A">
        <w:rPr>
          <w:color w:val="auto"/>
        </w:rPr>
        <w:t>Geographic Non-Transferability</w:t>
      </w:r>
    </w:p>
    <w:p w14:paraId="2EFD3AA9" w14:textId="77777777" w:rsidR="00FE013C" w:rsidRPr="00367469" w:rsidRDefault="00FE013C" w:rsidP="004C16FF">
      <w:pPr>
        <w:pStyle w:val="Heading10"/>
        <w:numPr>
          <w:ilvl w:val="0"/>
          <w:numId w:val="10"/>
        </w:numPr>
        <w:spacing w:before="0" w:after="0"/>
        <w:jc w:val="both"/>
        <w:rPr>
          <w:b w:val="0"/>
          <w:color w:val="auto"/>
          <w:lang w:val="en-CA" w:eastAsia="zh-CN"/>
        </w:rPr>
      </w:pPr>
      <w:r w:rsidRPr="008344F0">
        <w:rPr>
          <w:bCs/>
          <w:color w:val="auto"/>
          <w:lang w:val="en-CA" w:eastAsia="zh-CN"/>
        </w:rPr>
        <w:lastRenderedPageBreak/>
        <w:t>Problem:</w:t>
      </w:r>
      <w:r w:rsidRPr="00367469">
        <w:rPr>
          <w:color w:val="auto"/>
          <w:lang w:val="en-CA" w:eastAsia="zh-CN"/>
        </w:rPr>
        <w:t xml:space="preserve"> Google's Iowa wind + Southwest solar strategy works because:</w:t>
      </w:r>
    </w:p>
    <w:p w14:paraId="43C03C63" w14:textId="77777777" w:rsidR="00FE013C" w:rsidRPr="00367469" w:rsidRDefault="00FE013C" w:rsidP="004C16FF">
      <w:pPr>
        <w:pStyle w:val="Heading10"/>
        <w:numPr>
          <w:ilvl w:val="1"/>
          <w:numId w:val="10"/>
        </w:numPr>
        <w:spacing w:before="0" w:after="0"/>
        <w:jc w:val="both"/>
        <w:rPr>
          <w:b w:val="0"/>
          <w:color w:val="auto"/>
          <w:lang w:val="en-CA" w:eastAsia="zh-CN"/>
        </w:rPr>
      </w:pPr>
      <w:r w:rsidRPr="00367469">
        <w:rPr>
          <w:b w:val="0"/>
          <w:color w:val="auto"/>
          <w:lang w:val="en-CA" w:eastAsia="zh-CN"/>
        </w:rPr>
        <w:t>Access to &gt;30 GW contracting portfolio (cost leverage)</w:t>
      </w:r>
    </w:p>
    <w:p w14:paraId="40D97762" w14:textId="77777777" w:rsidR="00FE013C" w:rsidRPr="00367469" w:rsidRDefault="00FE013C" w:rsidP="004C16FF">
      <w:pPr>
        <w:pStyle w:val="Heading10"/>
        <w:numPr>
          <w:ilvl w:val="1"/>
          <w:numId w:val="10"/>
        </w:numPr>
        <w:spacing w:before="0" w:after="0"/>
        <w:jc w:val="both"/>
        <w:rPr>
          <w:b w:val="0"/>
          <w:color w:val="auto"/>
          <w:lang w:val="en-CA" w:eastAsia="zh-CN"/>
        </w:rPr>
      </w:pPr>
      <w:r w:rsidRPr="00367469">
        <w:rPr>
          <w:b w:val="0"/>
          <w:color w:val="auto"/>
          <w:lang w:val="en-CA" w:eastAsia="zh-CN"/>
        </w:rPr>
        <w:t>Multi-regional load balancing (capital intensive)</w:t>
      </w:r>
    </w:p>
    <w:p w14:paraId="71C5C723" w14:textId="77777777" w:rsidR="00FE013C" w:rsidRPr="00367469" w:rsidRDefault="00FE013C" w:rsidP="004C16FF">
      <w:pPr>
        <w:pStyle w:val="Heading10"/>
        <w:numPr>
          <w:ilvl w:val="1"/>
          <w:numId w:val="10"/>
        </w:numPr>
        <w:spacing w:before="0" w:after="0"/>
        <w:jc w:val="both"/>
        <w:rPr>
          <w:b w:val="0"/>
          <w:color w:val="auto"/>
          <w:lang w:val="en-CA" w:eastAsia="zh-CN"/>
        </w:rPr>
      </w:pPr>
      <w:r w:rsidRPr="00367469">
        <w:rPr>
          <w:b w:val="0"/>
          <w:color w:val="auto"/>
          <w:lang w:val="en-CA" w:eastAsia="zh-CN"/>
        </w:rPr>
        <w:t>24/7 CFE target (different from reliability-first optimization)</w:t>
      </w:r>
    </w:p>
    <w:p w14:paraId="4B757011" w14:textId="77777777" w:rsidR="00FE013C" w:rsidRDefault="00FE013C" w:rsidP="004C16FF">
      <w:pPr>
        <w:pStyle w:val="Heading10"/>
        <w:numPr>
          <w:ilvl w:val="0"/>
          <w:numId w:val="10"/>
        </w:numPr>
        <w:spacing w:before="0" w:after="0"/>
        <w:jc w:val="both"/>
        <w:rPr>
          <w:b w:val="0"/>
          <w:color w:val="auto"/>
          <w:lang w:val="en-CA" w:eastAsia="zh-CN"/>
        </w:rPr>
      </w:pPr>
      <w:r w:rsidRPr="00EE168C">
        <w:rPr>
          <w:bCs/>
          <w:color w:val="auto"/>
          <w:lang w:val="en-CA" w:eastAsia="zh-CN"/>
        </w:rPr>
        <w:t>Consequence:</w:t>
      </w:r>
      <w:r w:rsidRPr="00367469">
        <w:rPr>
          <w:color w:val="auto"/>
          <w:lang w:val="en-CA" w:eastAsia="zh-CN"/>
        </w:rPr>
        <w:t xml:space="preserve"> </w:t>
      </w:r>
      <w:r w:rsidRPr="007B7F82">
        <w:rPr>
          <w:b w:val="0"/>
          <w:bCs/>
          <w:color w:val="auto"/>
          <w:lang w:val="en-CA" w:eastAsia="zh-CN"/>
        </w:rPr>
        <w:t>Smaller operators cannot replicate this, and there is no guidance on site-specific optimisation.</w:t>
      </w:r>
      <w:r w:rsidRPr="00367469">
        <w:rPr>
          <w:b w:val="0"/>
          <w:color w:val="auto"/>
          <w:lang w:val="en-CA" w:eastAsia="zh-CN"/>
        </w:rPr>
        <w:t xml:space="preserve"> </w:t>
      </w:r>
    </w:p>
    <w:p w14:paraId="73591ACF" w14:textId="77777777" w:rsidR="00FE013C" w:rsidRPr="009E0D53" w:rsidRDefault="00FE013C" w:rsidP="004C16FF">
      <w:pPr>
        <w:pStyle w:val="Heading10"/>
        <w:numPr>
          <w:ilvl w:val="0"/>
          <w:numId w:val="10"/>
        </w:numPr>
        <w:spacing w:before="0" w:after="0"/>
        <w:jc w:val="both"/>
        <w:rPr>
          <w:b w:val="0"/>
          <w:color w:val="auto"/>
          <w:lang w:val="en-CA" w:eastAsia="zh-CN"/>
        </w:rPr>
      </w:pPr>
      <w:r w:rsidRPr="00EE168C">
        <w:rPr>
          <w:bCs/>
          <w:color w:val="auto"/>
          <w:lang w:val="en-CA" w:eastAsia="zh-CN"/>
        </w:rPr>
        <w:t>This Framework's Solution:</w:t>
      </w:r>
      <w:r w:rsidRPr="007B7F82">
        <w:rPr>
          <w:b w:val="0"/>
          <w:bCs/>
          <w:color w:val="auto"/>
          <w:lang w:val="en-CA" w:eastAsia="zh-CN"/>
        </w:rPr>
        <w:t xml:space="preserve"> Section 4 provides the site assessment methodology (GIS, resource variability, and seasonal complementarity), and Section 8 presents case studies across diverse geographies (temperate, arid, and seasonal).</w:t>
      </w:r>
    </w:p>
    <w:p w14:paraId="3C6660D9" w14:textId="77777777" w:rsidR="00FE013C" w:rsidRDefault="00FE013C" w:rsidP="004C16FF">
      <w:pPr>
        <w:pStyle w:val="Heading20"/>
        <w:jc w:val="both"/>
        <w:rPr>
          <w:color w:val="auto"/>
        </w:rPr>
      </w:pPr>
      <w:r>
        <w:rPr>
          <w:color w:val="auto"/>
        </w:rPr>
        <w:t xml:space="preserve">2.6.1.3 </w:t>
      </w:r>
      <w:r w:rsidRPr="000C26DB">
        <w:rPr>
          <w:color w:val="auto"/>
        </w:rPr>
        <w:t>Workload Rigidity Assumption</w:t>
      </w:r>
    </w:p>
    <w:p w14:paraId="3E9E432B" w14:textId="77777777" w:rsidR="00FE013C" w:rsidRDefault="00FE013C" w:rsidP="004C16FF">
      <w:pPr>
        <w:pStyle w:val="Heading10"/>
        <w:numPr>
          <w:ilvl w:val="0"/>
          <w:numId w:val="10"/>
        </w:numPr>
        <w:spacing w:before="0" w:after="0"/>
        <w:jc w:val="both"/>
        <w:rPr>
          <w:b w:val="0"/>
          <w:color w:val="auto"/>
          <w:lang w:val="en-CA" w:eastAsia="zh-CN"/>
        </w:rPr>
      </w:pPr>
      <w:r w:rsidRPr="00C3424F">
        <w:rPr>
          <w:bCs/>
          <w:color w:val="auto"/>
          <w:lang w:val="en-CA" w:eastAsia="zh-CN"/>
        </w:rPr>
        <w:t>Problem:</w:t>
      </w:r>
      <w:r w:rsidRPr="000C26DB">
        <w:rPr>
          <w:color w:val="auto"/>
          <w:lang w:val="en-CA" w:eastAsia="zh-CN"/>
        </w:rPr>
        <w:t xml:space="preserve"> </w:t>
      </w:r>
      <w:r w:rsidRPr="00073208">
        <w:rPr>
          <w:b w:val="0"/>
          <w:bCs/>
          <w:color w:val="auto"/>
          <w:lang w:val="en-CA" w:eastAsia="zh-CN"/>
        </w:rPr>
        <w:t>Prior power system studies assume a fixed load.</w:t>
      </w:r>
      <w:r w:rsidRPr="000C26DB">
        <w:rPr>
          <w:b w:val="0"/>
          <w:color w:val="auto"/>
          <w:lang w:val="en-CA" w:eastAsia="zh-CN"/>
        </w:rPr>
        <w:t xml:space="preserve"> AI workload scheduling (training vs. inference, batch deferral, model complexity) is highly flexible but not integrated into control strategies. </w:t>
      </w:r>
    </w:p>
    <w:p w14:paraId="58839665" w14:textId="77777777" w:rsidR="00FE013C" w:rsidRDefault="00FE013C" w:rsidP="004C16FF">
      <w:pPr>
        <w:pStyle w:val="Heading10"/>
        <w:numPr>
          <w:ilvl w:val="0"/>
          <w:numId w:val="10"/>
        </w:numPr>
        <w:spacing w:before="0" w:after="0"/>
        <w:jc w:val="both"/>
        <w:rPr>
          <w:b w:val="0"/>
          <w:color w:val="auto"/>
          <w:lang w:val="en-CA" w:eastAsia="zh-CN"/>
        </w:rPr>
      </w:pPr>
      <w:r w:rsidRPr="00C3424F">
        <w:rPr>
          <w:bCs/>
          <w:color w:val="auto"/>
          <w:lang w:val="en-CA" w:eastAsia="zh-CN"/>
        </w:rPr>
        <w:t xml:space="preserve">Consequence: </w:t>
      </w:r>
      <w:r w:rsidRPr="000C26DB">
        <w:rPr>
          <w:b w:val="0"/>
          <w:color w:val="auto"/>
          <w:lang w:val="en-CA" w:eastAsia="zh-CN"/>
        </w:rPr>
        <w:t xml:space="preserve">Over-sizing storage and generating capacity (40–60% more than necessary with flexibility). </w:t>
      </w:r>
    </w:p>
    <w:p w14:paraId="4B2D8F5C" w14:textId="77777777" w:rsidR="00FE013C" w:rsidRPr="00C3424F" w:rsidRDefault="00FE013C" w:rsidP="004C16FF">
      <w:pPr>
        <w:pStyle w:val="Heading10"/>
        <w:numPr>
          <w:ilvl w:val="0"/>
          <w:numId w:val="10"/>
        </w:numPr>
        <w:spacing w:before="0" w:after="0"/>
        <w:jc w:val="both"/>
        <w:rPr>
          <w:b w:val="0"/>
          <w:color w:val="auto"/>
          <w:lang w:val="en-CA" w:eastAsia="zh-CN"/>
        </w:rPr>
      </w:pPr>
      <w:r w:rsidRPr="00C3424F">
        <w:rPr>
          <w:bCs/>
          <w:color w:val="auto"/>
          <w:lang w:val="en-CA" w:eastAsia="zh-CN"/>
        </w:rPr>
        <w:t>This Framework's Solution:</w:t>
      </w:r>
      <w:r w:rsidRPr="000C26DB">
        <w:rPr>
          <w:b w:val="0"/>
          <w:color w:val="auto"/>
          <w:lang w:val="en-CA" w:eastAsia="zh-CN"/>
        </w:rPr>
        <w:t xml:space="preserve"> Section 5 integrates demand-side workload flexibility into storage sizing (Section 5.3) and MPC dispatch (Section 5.5).</w:t>
      </w:r>
    </w:p>
    <w:p w14:paraId="2DE1A120" w14:textId="77777777" w:rsidR="00FE013C" w:rsidRDefault="00FE013C" w:rsidP="004C16FF">
      <w:pPr>
        <w:pStyle w:val="Heading20"/>
        <w:jc w:val="both"/>
        <w:rPr>
          <w:color w:val="auto"/>
        </w:rPr>
      </w:pPr>
      <w:r>
        <w:rPr>
          <w:color w:val="auto"/>
        </w:rPr>
        <w:t xml:space="preserve">2.6.1.4 </w:t>
      </w:r>
      <w:r w:rsidRPr="00B55492">
        <w:rPr>
          <w:color w:val="auto"/>
        </w:rPr>
        <w:t>Lack of Reproducible Economics</w:t>
      </w:r>
    </w:p>
    <w:p w14:paraId="43EF2742" w14:textId="77777777" w:rsidR="00FE013C" w:rsidRPr="00B55492" w:rsidRDefault="00FE013C" w:rsidP="004C16FF">
      <w:pPr>
        <w:pStyle w:val="Heading10"/>
        <w:numPr>
          <w:ilvl w:val="0"/>
          <w:numId w:val="10"/>
        </w:numPr>
        <w:spacing w:before="0" w:after="0"/>
        <w:jc w:val="both"/>
        <w:rPr>
          <w:b w:val="0"/>
          <w:color w:val="auto"/>
          <w:lang w:val="en-CA" w:eastAsia="zh-CN"/>
        </w:rPr>
      </w:pPr>
      <w:r w:rsidRPr="00B55492">
        <w:rPr>
          <w:bCs/>
          <w:color w:val="auto"/>
          <w:lang w:val="en-CA" w:eastAsia="zh-CN"/>
        </w:rPr>
        <w:t>Problem:</w:t>
      </w:r>
      <w:r w:rsidRPr="00B55492">
        <w:rPr>
          <w:b w:val="0"/>
          <w:color w:val="auto"/>
          <w:lang w:val="en-CA" w:eastAsia="zh-CN"/>
        </w:rPr>
        <w:t xml:space="preserve"> Industry case studies report metrics (% CFE, $35–100/MWh) but not cost breakdowns or sensitivity to parameters (interest rate, tech costs, grid delays). </w:t>
      </w:r>
    </w:p>
    <w:p w14:paraId="48C1F8A0" w14:textId="77777777" w:rsidR="00FE013C" w:rsidRPr="00B55492" w:rsidRDefault="00FE013C" w:rsidP="004C16FF">
      <w:pPr>
        <w:pStyle w:val="Heading10"/>
        <w:numPr>
          <w:ilvl w:val="0"/>
          <w:numId w:val="10"/>
        </w:numPr>
        <w:spacing w:before="0" w:after="0"/>
        <w:jc w:val="both"/>
        <w:rPr>
          <w:b w:val="0"/>
          <w:color w:val="auto"/>
          <w:lang w:val="en-CA" w:eastAsia="zh-CN"/>
        </w:rPr>
      </w:pPr>
      <w:r w:rsidRPr="00B55492">
        <w:rPr>
          <w:bCs/>
          <w:color w:val="auto"/>
          <w:lang w:val="en-CA" w:eastAsia="zh-CN"/>
        </w:rPr>
        <w:t>Consequence:</w:t>
      </w:r>
      <w:r w:rsidRPr="00B55492">
        <w:rPr>
          <w:color w:val="auto"/>
          <w:lang w:val="en-CA" w:eastAsia="zh-CN"/>
        </w:rPr>
        <w:t xml:space="preserve"> </w:t>
      </w:r>
      <w:r w:rsidRPr="00EB2057">
        <w:rPr>
          <w:b w:val="0"/>
          <w:bCs/>
          <w:color w:val="auto"/>
          <w:lang w:val="en-CA" w:eastAsia="zh-CN"/>
        </w:rPr>
        <w:t>Operators cannot assess feasibility in their context.</w:t>
      </w:r>
      <w:r w:rsidRPr="00B55492">
        <w:rPr>
          <w:b w:val="0"/>
          <w:color w:val="auto"/>
          <w:lang w:val="en-CA" w:eastAsia="zh-CN"/>
        </w:rPr>
        <w:t xml:space="preserve"> </w:t>
      </w:r>
    </w:p>
    <w:p w14:paraId="546BF04F" w14:textId="77777777" w:rsidR="00FE013C" w:rsidRPr="00EB2057" w:rsidRDefault="00FE013C" w:rsidP="004C16FF">
      <w:pPr>
        <w:pStyle w:val="Heading10"/>
        <w:numPr>
          <w:ilvl w:val="0"/>
          <w:numId w:val="10"/>
        </w:numPr>
        <w:spacing w:before="0" w:after="0"/>
        <w:jc w:val="both"/>
        <w:rPr>
          <w:b w:val="0"/>
          <w:bCs/>
          <w:color w:val="auto"/>
          <w:lang w:val="en-CA" w:eastAsia="zh-CN"/>
        </w:rPr>
      </w:pPr>
      <w:r w:rsidRPr="00B55492">
        <w:rPr>
          <w:bCs/>
          <w:color w:val="auto"/>
          <w:lang w:val="en-CA" w:eastAsia="zh-CN"/>
        </w:rPr>
        <w:t>This Framework's Solution:</w:t>
      </w:r>
      <w:r w:rsidRPr="00B55492">
        <w:rPr>
          <w:color w:val="auto"/>
          <w:lang w:val="en-CA" w:eastAsia="zh-CN"/>
        </w:rPr>
        <w:t xml:space="preserve"> </w:t>
      </w:r>
      <w:r w:rsidRPr="00EB2057">
        <w:rPr>
          <w:b w:val="0"/>
          <w:bCs/>
          <w:color w:val="auto"/>
          <w:lang w:val="en-CA" w:eastAsia="zh-CN"/>
        </w:rPr>
        <w:t xml:space="preserve">Section 10 provides transparent LCOE, NPV, and sensitivity analysis with published data (NREL, IRENA, and </w:t>
      </w:r>
      <w:proofErr w:type="spellStart"/>
      <w:r w:rsidRPr="00EB2057">
        <w:rPr>
          <w:b w:val="0"/>
          <w:bCs/>
          <w:color w:val="auto"/>
          <w:lang w:val="en-CA" w:eastAsia="zh-CN"/>
        </w:rPr>
        <w:t>BloombergNEF</w:t>
      </w:r>
      <w:proofErr w:type="spellEnd"/>
      <w:r w:rsidRPr="00EB2057">
        <w:rPr>
          <w:b w:val="0"/>
          <w:bCs/>
          <w:color w:val="auto"/>
          <w:lang w:val="en-CA" w:eastAsia="zh-CN"/>
        </w:rPr>
        <w:t>) and Python-ready formulas.</w:t>
      </w:r>
    </w:p>
    <w:p w14:paraId="4BEEECE7" w14:textId="77777777" w:rsidR="00FE013C" w:rsidRDefault="00FE013C" w:rsidP="004C16FF">
      <w:pPr>
        <w:pStyle w:val="Heading20"/>
        <w:jc w:val="both"/>
        <w:rPr>
          <w:color w:val="auto"/>
        </w:rPr>
      </w:pPr>
      <w:r>
        <w:rPr>
          <w:color w:val="auto"/>
        </w:rPr>
        <w:t xml:space="preserve">2.6.2 </w:t>
      </w:r>
      <w:r w:rsidRPr="00915220">
        <w:rPr>
          <w:color w:val="auto"/>
        </w:rPr>
        <w:t>Critical Observations</w:t>
      </w:r>
    </w:p>
    <w:p w14:paraId="28032A78" w14:textId="58F85064" w:rsidR="00FE013C" w:rsidRPr="00F722BB" w:rsidRDefault="00FE013C" w:rsidP="004C16FF">
      <w:pPr>
        <w:spacing w:after="120"/>
        <w:ind w:firstLine="480"/>
        <w:rPr>
          <w:szCs w:val="24"/>
        </w:rPr>
      </w:pPr>
      <w:r w:rsidRPr="00F722BB">
        <w:rPr>
          <w:szCs w:val="24"/>
        </w:rPr>
        <w:t xml:space="preserve">Existing research on integrating RE sources into data </w:t>
      </w:r>
      <w:r w:rsidR="009F7E9F" w:rsidRPr="00F722BB">
        <w:rPr>
          <w:szCs w:val="24"/>
        </w:rPr>
        <w:t>centers</w:t>
      </w:r>
      <w:r w:rsidRPr="00F722BB">
        <w:rPr>
          <w:szCs w:val="24"/>
        </w:rPr>
        <w:t xml:space="preserve"> is typically </w:t>
      </w:r>
      <w:r w:rsidR="009F7E9F" w:rsidRPr="00F722BB">
        <w:rPr>
          <w:szCs w:val="24"/>
        </w:rPr>
        <w:t>categorized</w:t>
      </w:r>
      <w:r w:rsidRPr="00F722BB">
        <w:rPr>
          <w:szCs w:val="24"/>
        </w:rPr>
        <w:t xml:space="preserve"> into four distinct portfolios: </w:t>
      </w:r>
      <w:r w:rsidRPr="001C3837">
        <w:rPr>
          <w:szCs w:val="24"/>
        </w:rPr>
        <w:t>simulation-only</w:t>
      </w:r>
      <w:r>
        <w:rPr>
          <w:szCs w:val="24"/>
        </w:rPr>
        <w:t xml:space="preserve"> </w:t>
      </w:r>
      <w:r w:rsidRPr="00F722BB">
        <w:rPr>
          <w:szCs w:val="24"/>
        </w:rPr>
        <w:t>studies, economic-only procurement/optimization, large-scale and hyperscale company case studies, and vendor demos. Each of these methods has drawbacks, including the absence of cost-benefit analysis in technical analyses, omitting power quality and grid stability from economic assessments, and ignoring the fact that power advantages and the geographic spread of demand are difficult to replicate across projects of different sizes. This breaks apart methodologies and presents substantial implementation challenges, including excessive interconnection delays on the grid, underestimated harm mitigation pricing, and project failure due to over-or undersized storage and workload immutability.</w:t>
      </w:r>
    </w:p>
    <w:p w14:paraId="1C80FB30" w14:textId="2D4C91BE" w:rsidR="00FE013C" w:rsidRPr="00F722BB" w:rsidRDefault="00FE013C" w:rsidP="004C16FF">
      <w:pPr>
        <w:spacing w:after="120"/>
        <w:ind w:firstLine="480"/>
        <w:rPr>
          <w:szCs w:val="24"/>
        </w:rPr>
      </w:pPr>
      <w:r w:rsidRPr="002C43F2">
        <w:rPr>
          <w:szCs w:val="24"/>
        </w:rPr>
        <w:t xml:space="preserve">This paper addresses these gaps by </w:t>
      </w:r>
      <w:r w:rsidR="009F7E9F" w:rsidRPr="002C43F2">
        <w:rPr>
          <w:szCs w:val="24"/>
        </w:rPr>
        <w:t>operationalizing</w:t>
      </w:r>
      <w:r w:rsidRPr="002C43F2">
        <w:rPr>
          <w:szCs w:val="24"/>
        </w:rPr>
        <w:t xml:space="preserve"> a unified, modular framework designed for data </w:t>
      </w:r>
      <w:r w:rsidR="009F7E9F" w:rsidRPr="002C43F2">
        <w:rPr>
          <w:szCs w:val="24"/>
        </w:rPr>
        <w:t>centers</w:t>
      </w:r>
      <w:r w:rsidRPr="002C43F2">
        <w:rPr>
          <w:szCs w:val="24"/>
        </w:rPr>
        <w:t xml:space="preserve"> ranging from 10 MW (mid-scale) to 1,000 MW (hyperscale), providing applicability across </w:t>
      </w:r>
      <w:proofErr w:type="gramStart"/>
      <w:r w:rsidRPr="002C43F2">
        <w:rPr>
          <w:szCs w:val="24"/>
        </w:rPr>
        <w:t>the majority of</w:t>
      </w:r>
      <w:proofErr w:type="gramEnd"/>
      <w:r w:rsidRPr="002C43F2">
        <w:rPr>
          <w:szCs w:val="24"/>
        </w:rPr>
        <w:t xml:space="preserve"> commercial deployment contexts.</w:t>
      </w:r>
      <w:r>
        <w:rPr>
          <w:szCs w:val="24"/>
        </w:rPr>
        <w:t xml:space="preserve"> </w:t>
      </w:r>
      <w:r w:rsidRPr="00F722BB">
        <w:rPr>
          <w:szCs w:val="24"/>
        </w:rPr>
        <w:t>This framework combines the direct engineering aspects of power flow and harmonic stability (Section 6) directly with demand-side workload flexibility (Section 5) and probabilistic storage size (Section 6.3), thereby closing the gap between engineering constraints and economic viability. Moreover, it integrates transparent, sensitivity-based economic modelling, such as NPV and LCOE analysis, giving operators a definitive idea of project feasibility to help manage capital expenditure, grid interconnection queues, regulatory compliance, and other economic risks.</w:t>
      </w:r>
    </w:p>
    <w:p w14:paraId="1B311FC1" w14:textId="6D57A29C" w:rsidR="00FE013C" w:rsidRPr="00F722BB" w:rsidRDefault="00FE013C" w:rsidP="004C16FF">
      <w:pPr>
        <w:spacing w:after="120"/>
        <w:ind w:firstLine="480"/>
        <w:rPr>
          <w:szCs w:val="24"/>
        </w:rPr>
      </w:pPr>
      <w:r w:rsidRPr="008D577B">
        <w:rPr>
          <w:szCs w:val="24"/>
        </w:rPr>
        <w:lastRenderedPageBreak/>
        <w:t>When implemented as designed, this methodology provides a replicable approach that transcends the geographic and capital advantages available only to hyperscale operators</w:t>
      </w:r>
      <w:r w:rsidRPr="00F722BB">
        <w:rPr>
          <w:szCs w:val="24"/>
        </w:rPr>
        <w:t xml:space="preserve">. The methodology combines site-specific resource assessment (Section 4), advanced MPC-based dispatch control (Section 5.5), and a modular approach to regional grid codes and cybersecurity standards (Sections 6 and 12), providing a scalable solution across a wide range of geographic and climatic environments. </w:t>
      </w:r>
      <w:r w:rsidRPr="00F14637">
        <w:rPr>
          <w:szCs w:val="24"/>
        </w:rPr>
        <w:t xml:space="preserve">This paper equips mid-scale data </w:t>
      </w:r>
      <w:r w:rsidR="009F7E9F" w:rsidRPr="00F14637">
        <w:rPr>
          <w:szCs w:val="24"/>
        </w:rPr>
        <w:t>center</w:t>
      </w:r>
      <w:r w:rsidRPr="00F14637">
        <w:rPr>
          <w:szCs w:val="24"/>
        </w:rPr>
        <w:t xml:space="preserve"> operators with tools to navigate these gaps and</w:t>
      </w:r>
      <w:r w:rsidRPr="00F722BB">
        <w:rPr>
          <w:szCs w:val="24"/>
        </w:rPr>
        <w:t xml:space="preserve"> make increasingly complex energy cost/benefit/risk decisions.</w:t>
      </w:r>
    </w:p>
    <w:p w14:paraId="469BF53F" w14:textId="77777777" w:rsidR="00FE013C" w:rsidRDefault="00FE013C" w:rsidP="004C16FF">
      <w:pPr>
        <w:pStyle w:val="Heading10"/>
        <w:jc w:val="both"/>
        <w:rPr>
          <w:color w:val="auto"/>
        </w:rPr>
      </w:pPr>
      <w:r>
        <w:rPr>
          <w:color w:val="auto"/>
          <w:lang w:eastAsia="zh-CN"/>
        </w:rPr>
        <w:t xml:space="preserve">3. </w:t>
      </w:r>
      <w:r>
        <w:rPr>
          <w:color w:val="auto"/>
        </w:rPr>
        <w:t>Electrical Fundamentals of Data Center Systems</w:t>
      </w:r>
    </w:p>
    <w:p w14:paraId="681C4C53" w14:textId="77777777" w:rsidR="00FE013C" w:rsidRDefault="00FE013C" w:rsidP="004C16FF">
      <w:pPr>
        <w:pStyle w:val="Heading20"/>
        <w:jc w:val="both"/>
        <w:rPr>
          <w:color w:val="auto"/>
        </w:rPr>
      </w:pPr>
      <w:r>
        <w:rPr>
          <w:color w:val="auto"/>
        </w:rPr>
        <w:t>3.1. Electrical Distribution Architecture</w:t>
      </w:r>
    </w:p>
    <w:p w14:paraId="20A8EF36" w14:textId="0F60E781" w:rsidR="00FE013C" w:rsidRPr="00040480" w:rsidRDefault="00FE013C" w:rsidP="00B73641">
      <w:pPr>
        <w:spacing w:after="120"/>
        <w:ind w:firstLine="480"/>
      </w:pPr>
      <w:r w:rsidRPr="00040480">
        <w:t xml:space="preserve">The electrical distribution system in a data </w:t>
      </w:r>
      <w:r w:rsidR="009F7E9F" w:rsidRPr="00040480">
        <w:t>center</w:t>
      </w:r>
      <w:r w:rsidRPr="00040480">
        <w:t xml:space="preserve"> is hierarchical, stepping down the voltage from the utility interconnection levels to the low voltage levels needed by the computing systems. Primary interconnection usually occurs at medium-voltage (MV) levels of 13.8 kV or 25 kV, and step-down transformers step down the voltage to levels required for facility distribution at 4.16 to 6.9 kV</w:t>
      </w:r>
      <w:r>
        <w:fldChar w:fldCharType="begin"/>
      </w:r>
      <w:r w:rsidR="00B73641">
        <w:instrText xml:space="preserve"> ADDIN ZOTERO_ITEM CSL_CITATION {"citationID":"PfKI6RIJ","properties":{"unsorted":false,"formattedCitation":"[74]","plainCitation":"[74]","noteIndex":0},"citationItems":[{"id":2011,"uris":["http://zotero.org/users/9870935/items/3TIRQDVC"],"itemData":{"id":2011,"type":"standard","DOI":"10.1109/IEEESTD.1998.89291","ISBN":"978-0-7381-1148-3","publisher":"IEEE","source":"DOI.org (Crossref)","title":"IEEE Recommended Practice for the Design of Reliable Industrial and Commercial Power Systems (Gold Book)","URL":"http://ieeexplore.ieee.org/document/757619/","accessed":{"date-parts":[["2026",5,16]]}}}],"schema":"https://github.com/citation-style-language/schema/raw/master/csl-citation.json"} </w:instrText>
      </w:r>
      <w:r>
        <w:fldChar w:fldCharType="separate"/>
      </w:r>
      <w:r w:rsidR="00B73641" w:rsidRPr="00B73641">
        <w:t>[74]</w:t>
      </w:r>
      <w:r>
        <w:fldChar w:fldCharType="end"/>
      </w:r>
      <w:r w:rsidRPr="00040480">
        <w:t>. Power distribution units (PDUs) deliver 480 V three-phase power to the last mile for individual equipment racks.</w:t>
      </w:r>
    </w:p>
    <w:p w14:paraId="0BEDA30B" w14:textId="1B6C4D8F" w:rsidR="00FE013C" w:rsidRPr="00040480" w:rsidRDefault="00FE013C" w:rsidP="00B73641">
      <w:pPr>
        <w:spacing w:after="120"/>
        <w:ind w:firstLine="480"/>
      </w:pPr>
      <w:r w:rsidRPr="00E34A9C">
        <w:t xml:space="preserve">Redundancy level is the primary reliability design parameter, classified by the Uptime Institute Tier Standard as N </w:t>
      </w:r>
      <w:r w:rsidRPr="00040480">
        <w:t>(no redundancy), N+1 (one spare component), N+2 (two spare components), 2N (fully redundant, dual path), or 2(N+1)</w:t>
      </w:r>
      <w:r>
        <w:fldChar w:fldCharType="begin"/>
      </w:r>
      <w:r w:rsidR="00B73641">
        <w:instrText xml:space="preserve"> ADDIN ZOTERO_ITEM CSL_CITATION {"citationID":"s2FyWRFx","properties":{"unsorted":false,"formattedCitation":"[75]","plainCitation":"[75]","noteIndex":0},"citationItems":[{"id":2012,"uris":["http://zotero.org/users/9870935/items/BVU5PGIM"],"itemData":{"id":2012,"type":"article-journal","container-title":"Energy Conversion and Management","DOI":"10.1016/j.enconman.2023.117254","ISSN":"01968904","journalAbbreviation":"Energy Conversion and Management","language":"en","page":"117254","source":"DOI.org (Crossref)","title":"Reliability, availability, and life-cycle cost (LCC) analysis of combined cooling, heating and power (CCHP) integration to data centers considering electricity and cooling supplies","volume":"291","author":[{"family":"Keskin","given":"Ilhan"},{"family":"Soykan","given":"Gurkan"}],"issued":{"date-parts":[["2023",9]]}}}],"schema":"https://github.com/citation-style-language/schema/raw/master/csl-citation.json"} </w:instrText>
      </w:r>
      <w:r>
        <w:fldChar w:fldCharType="separate"/>
      </w:r>
      <w:r w:rsidR="00B73641" w:rsidRPr="00B73641">
        <w:t>[75]</w:t>
      </w:r>
      <w:r>
        <w:fldChar w:fldCharType="end"/>
      </w:r>
      <w:r w:rsidRPr="00040480">
        <w:t xml:space="preserve">. The typical configuration for most AI data </w:t>
      </w:r>
      <w:r w:rsidR="00580BAE">
        <w:t>center</w:t>
      </w:r>
      <w:r w:rsidRPr="00040480">
        <w:t>s is 2N, which means that each critical load is connected to two separate power paths, and the power paths are configured to switch automatically when one fails. The redundancy model also affects capital costs: For 2N designs, electrical infrastructure costs are generally 80–100</w:t>
      </w:r>
      <w:r>
        <w:t xml:space="preserve">% </w:t>
      </w:r>
      <w:r w:rsidRPr="00040480">
        <w:t>higher than those for N+1 designs; in the case of single-component failures, 2N designs offer essentially zero downtime</w:t>
      </w:r>
      <w:r>
        <w:fldChar w:fldCharType="begin"/>
      </w:r>
      <w:r w:rsidR="00B73641">
        <w:instrText xml:space="preserve"> ADDIN ZOTERO_ITEM CSL_CITATION {"citationID":"uyzrmxWp","properties":{"unsorted":false,"formattedCitation":"[76]","plainCitation":"[76]","noteIndex":0},"citationItems":[{"id":2013,"uris":["http://zotero.org/users/9870935/items/K8UPFZKD"],"itemData":{"id":2013,"type":"article-journal","DOI":"10.13140/RG.2.2.27710.75845","language":"en","publisher":"Unpublished","source":"DOI.org (Datacite)","title":"Data center energy assessment process and energy efficiency metrics","URL":"https://www.researchgate.net/doi/10.13140/RG.2.2.27710.75845","author":[{"literal":"Nguyen Anh Huy"},{"family":"Nguyen","given":"Xuan Truong"}],"accessed":{"date-parts":[["2026",5,16]]},"issued":{"date-parts":[["2025"]]}}}],"schema":"https://github.com/citation-style-language/schema/raw/master/csl-citation.json"} </w:instrText>
      </w:r>
      <w:r>
        <w:fldChar w:fldCharType="separate"/>
      </w:r>
      <w:r w:rsidR="00B73641" w:rsidRPr="00B73641">
        <w:t>[76]</w:t>
      </w:r>
      <w:r>
        <w:fldChar w:fldCharType="end"/>
      </w:r>
      <w:r w:rsidRPr="00040480">
        <w:t>.</w:t>
      </w:r>
    </w:p>
    <w:p w14:paraId="369487DB" w14:textId="0C418951" w:rsidR="00FE013C" w:rsidRPr="00040480" w:rsidRDefault="00FE013C" w:rsidP="00B73641">
      <w:pPr>
        <w:spacing w:after="120"/>
        <w:ind w:firstLine="480"/>
      </w:pPr>
      <w:r w:rsidRPr="00040480">
        <w:t>Power is distributed from the utility interconnection point through the main switchgear, which provides protection coordination and metering, to the automatic transfer switches (ATS) that control the transfer of power from the utility to the backup power source during a power outage. In high-reliability applications, the transfer time is less than 1 cycle (16.7ms) for static transfer switches (STS) and 10–30 s for electromechanical switches (EMS) in the ATS</w:t>
      </w:r>
      <w:r>
        <w:fldChar w:fldCharType="begin"/>
      </w:r>
      <w:r w:rsidR="00B73641">
        <w:instrText xml:space="preserve"> ADDIN ZOTERO_ITEM CSL_CITATION {"citationID":"EnoLyCgw","properties":{"unsorted":false,"formattedCitation":"[77]","plainCitation":"[77]","noteIndex":0},"citationItems":[{"id":2014,"uris":["http://zotero.org/users/9870935/items/YRI3RIYJ"],"itemData":{"id":2014,"type":"article-journal","abstract":"PLN's electricity supply is not always continuous in the process of distributing power, because under certain conditions there will be blackouts caused by interruptions or maintenance in the distribution system. An alternative to overcome PLN disturbances is to use renewable sources such as solar power plants and generators with an ATS automatic control system controlled using PLC. This study conducted a literature study to collect relevant theories and references about this research. PLC diagram leaders are designed for the process of transferring PLN, PLTS and Generator to load electrical power. Solar power plants operate during disruptions to PLN resources during operational hours (10 a.m. – 3 p.m.) and generators operate when solar power resources cannot supply to the load and at night outside solar power plant operating hours. The ATS system is able to switch the process of switching PLN and PLTS power sources very quickly without any time lag so that the load is directly supplied by PLN and PLTS power sources. The process of switching the generator source takes approximately 2 seconds for the starting process. The process of transferring battery power resources to critical loads without any time lag during the  generator starting process  and when generator starting failure occurs.","container-title":"International Journal of Science, Technology &amp; Management","DOI":"10.46729/ijstm.v6i3.1316","ISSN":"2722-4015","issue":"3","journalAbbreviation":"International Journal of Science, Technology &amp; Management","license":"https://creativecommons.org/licenses/by-sa/4.0/","page":"520-527","source":"DOI.org (Crossref)","title":"Design And Construction Of Automatic Transfer Switch (ATS) System With Backup Control System In Hybrid Power Plant (PLN - PLTS - GENSET)","volume":"6","author":[{"family":"Gavrila Mailuhu","given":"Jevon"},{"family":"A.F. Haurissa","given":"Marceau"},{"family":"Jamlaay","given":"Marselin"}],"issued":{"date-parts":[["2025",6,1]]}}}],"schema":"https://github.com/citation-style-language/schema/raw/master/csl-citation.json"} </w:instrText>
      </w:r>
      <w:r>
        <w:fldChar w:fldCharType="separate"/>
      </w:r>
      <w:r w:rsidR="00B73641" w:rsidRPr="00B73641">
        <w:t>[77]</w:t>
      </w:r>
      <w:r>
        <w:fldChar w:fldCharType="end"/>
      </w:r>
      <w:r w:rsidRPr="00040480">
        <w:t>. AI training workloads are typically specified with STS or flywheel-based uninterrupted power supply (UPS) systems, as a brief power interruption can disrupt the workload.</w:t>
      </w:r>
    </w:p>
    <w:p w14:paraId="7B2CB280" w14:textId="77777777" w:rsidR="00FE013C" w:rsidRDefault="00FE013C" w:rsidP="004C16FF">
      <w:pPr>
        <w:pStyle w:val="Heading20"/>
        <w:jc w:val="both"/>
        <w:rPr>
          <w:color w:val="auto"/>
        </w:rPr>
      </w:pPr>
      <w:r>
        <w:rPr>
          <w:color w:val="auto"/>
        </w:rPr>
        <w:t>3.2. AI Workload Electrical Charactersitics</w:t>
      </w:r>
    </w:p>
    <w:p w14:paraId="7CC8BF73" w14:textId="565CB4FF" w:rsidR="00FE013C" w:rsidRPr="00F166F8" w:rsidRDefault="00FE013C" w:rsidP="004C16FF">
      <w:pPr>
        <w:spacing w:after="120"/>
        <w:ind w:firstLine="480"/>
      </w:pPr>
      <w:r w:rsidRPr="00F166F8">
        <w:t xml:space="preserve">Modern AI accelerators exhibit distinctive electrical characteristics that differentiate them from conventional server loads. The NVIDIA H100 SXM GPU is rated up to 700 W, while the previous generation A100 has a maximum TDP of 250 to 400 W. Each HGX H100 server is equipped with eight GPUs, yielding a peak server power consumption of more than 10 kW when all eight GPUs are in operation, which includes memory, networking, and cooling system components. These systems generate </w:t>
      </w:r>
      <w:r w:rsidR="009F7E9F" w:rsidRPr="00F166F8">
        <w:t>localized</w:t>
      </w:r>
      <w:r w:rsidRPr="00F166F8">
        <w:t xml:space="preserve"> load pockets that consume 30 to 50 kW per rack as compared to enterprise computing, which consumes 5 to 10 kW per rack</w:t>
      </w:r>
      <w:r>
        <w:fldChar w:fldCharType="begin"/>
      </w:r>
      <w:r>
        <w:instrText xml:space="preserve"> ADDIN ZOTERO_ITEM CSL_CITATION {"citationID":"TtnTMX89","properties":{"unsorted":false,"formattedCitation":"[10]","plainCitation":"[10]","noteIndex":0},"citationItems":[{"id":1914,"uris":["http://zotero.org/users/9870935/items/MRD83LE5"],"itemData":{"id":1914,"type":"article-journal","language":"en","source":"Zotero","title":"NVIDIA Hopper Architecture In-Depth","URL":"https://developer.nvidia.com/blog/nvidia-hopper-architecture-in-depth/","author":[{"family":"Andersch","given":"Michael"},{"family":"Palmer","given":"Greg"},{"family":"Krashinsky","given":"Ronny"},{"family":"Stam","given":"Nick"},{"family":"Mehta","given":"Vishal"},{"family":"Brito","given":"Gonzalo"},{"family":"Ramaswamy","given":"Sridhar"}]}}],"schema":"https://github.com/citation-style-language/schema/raw/master/csl-citation.json"} </w:instrText>
      </w:r>
      <w:r>
        <w:fldChar w:fldCharType="separate"/>
      </w:r>
      <w:r w:rsidRPr="007D08DE">
        <w:t>[10]</w:t>
      </w:r>
      <w:r>
        <w:fldChar w:fldCharType="end"/>
      </w:r>
      <w:r w:rsidRPr="00F166F8">
        <w:t>.</w:t>
      </w:r>
    </w:p>
    <w:p w14:paraId="3C658ECC" w14:textId="642F6EA0" w:rsidR="00FE013C" w:rsidRPr="00F166F8" w:rsidRDefault="00FE013C" w:rsidP="00B73641">
      <w:pPr>
        <w:spacing w:after="120"/>
        <w:ind w:firstLine="480"/>
      </w:pPr>
      <w:r w:rsidRPr="00F166F8">
        <w:t xml:space="preserve">GPU power states are heavily dependent on the workload. During the model training phase, GPUs can draw power close to their TDP under full computational load, depending on the computational </w:t>
      </w:r>
      <w:r w:rsidRPr="00F166F8">
        <w:lastRenderedPageBreak/>
        <w:t>operations (e.g., matrix multiplication, memory access, communication)</w:t>
      </w:r>
      <w:r>
        <w:fldChar w:fldCharType="begin"/>
      </w:r>
      <w:r w:rsidR="00B73641">
        <w:instrText xml:space="preserve"> ADDIN ZOTERO_ITEM CSL_CITATION {"citationID":"CscueCyo","properties":{"unsorted":false,"formattedCitation":"[78]","plainCitation":"[78]","noteIndex":0},"citationItems":[{"id":2016,"uris":["http://zotero.org/users/9870935/items/IGX3D6LZ"],"itemData":{"id":2016,"type":"article","abstract":"This paper presents datacenter power profiles, a new NVIDIA software feature released with Blackwell B200, aimed at improving energy efficiency and/or performance. The initial feature provides coarse-grain user control for HPC and AI workloads leveraging hardware and software innovations for intelligent power management and domain knowledge of HPC and AI workloads. The resulting workload-aware optimization recipes maximize computational throughput while operating within strict facility power constraints. The phase-1 Blackwell implementation achieves up to 15% energy savings while maintaining performance levels above 97% for critical applications, enabling an overall throughput increase of up to 13% in a power-constrained facility.\n KEYWORDS GPU power management, energy efficiency, power profile, HPC optimization, Max-Q, Blackwell architecture","DOI":"10.48550/ARXIV.2510.03872","license":"Creative Commons Attribution Non Commercial No Derivatives 4.0 International","note":"version: 2","publisher":"arXiv","source":"DOI.org (Datacite)","title":"Datacenter Energy Optimized Power Profiles","URL":"https://arxiv.org/abs/2510.03872","author":[{"family":"Narayanaswamy","given":"Sreedhar"},{"family":"Patel","given":"Pratikkumar Dilipkumar"},{"family":"Karlin","given":"Ian"},{"family":"Gupta","given":"Apoorv"},{"family":"Saripalli","given":"Sudhir"},{"family":"Guo","given":"Janey"}],"accessed":{"date-parts":[["2026",5,16]]},"issued":{"date-parts":[["2025"]]}}}],"schema":"https://github.com/citation-style-language/schema/raw/master/csl-citation.json"} </w:instrText>
      </w:r>
      <w:r>
        <w:fldChar w:fldCharType="separate"/>
      </w:r>
      <w:r w:rsidR="00B73641" w:rsidRPr="00B73641">
        <w:t>[78]</w:t>
      </w:r>
      <w:r>
        <w:fldChar w:fldCharType="end"/>
      </w:r>
      <w:r w:rsidRPr="00F166F8">
        <w:t>. Idle power consumption is usually in the range of 50-150 W per GPU, or about 15-20</w:t>
      </w:r>
      <w:r>
        <w:t xml:space="preserve">% </w:t>
      </w:r>
      <w:r w:rsidRPr="00F166F8">
        <w:t>of peak power, because memory contents must be kept alive and provide a low-latency response for inference operations</w:t>
      </w:r>
      <w:r>
        <w:fldChar w:fldCharType="begin"/>
      </w:r>
      <w:r w:rsidR="00B73641">
        <w:instrText xml:space="preserve"> ADDIN ZOTERO_ITEM CSL_CITATION {"citationID":"APKvRgnH","properties":{"unsorted":false,"formattedCitation":"[79]","plainCitation":"[79]","noteIndex":0},"citationItems":[{"id":2018,"uris":["http://zotero.org/users/9870935/items/XN4NHKM7"],"itemData":{"id":2018,"type":"article","abstract":"Ubiquity of AI coupled with its steep power demands make optimizing GPU power a priority as large GPUbased clusters are often employed to train and serve AI models. An important first step in optimizing GPU power consumption is high-fidelity and fine-grain power measurement of key AI computations on GPUs. To this end, we observe that as GPUs get more powerful, the resulting sub-millisecond to millisecond executions make fine-grain power analysis challenging. In this work, we first carefully identify the challenges in obtaining finegrain GPU power profiles. To address these challenges, we devise FinGraV methodology where we employ execution time binning, careful CPU-GPU time synchronization, and power profile differentiation to collect fine-grain GPU power profiles across prominent AI computations and across spectrum of scenarios. Using FinGraV power profiles, we make several observations pertaining to GPU power variation over executions and over time, GPU sub-component power consumptions across different scenarios, and power behavior over interleaved executions of multiple computations. Equipped with these observations, we conclude with several recommendations to optimize the power for these ubiquitous accelerators.","DOI":"10.48550/arXiv.2412.12426","language":"en","note":"arXiv:2412.12426 [cs.AR]","number":"arXiv:2412.12426","publisher":"arXiv","source":"arXiv.org","title":"FinGraV: Methodology for Fine-Grain GPU Power Visibility and Insights","title-short":"FinGraV","URL":"http://arxiv.org/abs/2412.12426","author":[{"family":"Singhania","given":"Varsha"},{"family":"Aga","given":"Shaizeen"},{"family":"Ibrahim","given":"Mohamed Assem"}],"accessed":{"date-parts":[["2026",5,16]]},"issued":{"date-parts":[["2025",3,28]]}}}],"schema":"https://github.com/citation-style-language/schema/raw/master/csl-citation.json"} </w:instrText>
      </w:r>
      <w:r>
        <w:fldChar w:fldCharType="separate"/>
      </w:r>
      <w:r w:rsidR="00B73641" w:rsidRPr="00B73641">
        <w:t>[79]</w:t>
      </w:r>
      <w:r>
        <w:fldChar w:fldCharType="end"/>
      </w:r>
      <w:r w:rsidRPr="00F166F8">
        <w:t>. Power capping (e.g., using the NVML power limit API) allows operators to cap the maximum power draw for lower computational throughput, offering a power management solution for the demand side.</w:t>
      </w:r>
    </w:p>
    <w:p w14:paraId="1F23F0DE" w14:textId="20814BF9" w:rsidR="00FE013C" w:rsidRDefault="00FE013C" w:rsidP="00B73641">
      <w:pPr>
        <w:spacing w:after="120"/>
        <w:ind w:firstLine="480"/>
      </w:pPr>
      <w:r w:rsidRPr="00F166F8">
        <w:t>Thermal design point considerations shall include steady-state and transient thermal loads. GPU temperatures during training can reach 80-85 degrees °C when the GPUs are sustained under load, and cooling systems must be able to dissipate 3.5–5 kW of cooling power per GPU</w:t>
      </w:r>
      <w:r>
        <w:fldChar w:fldCharType="begin"/>
      </w:r>
      <w:r w:rsidR="00B73641">
        <w:instrText xml:space="preserve"> ADDIN ZOTERO_ITEM CSL_CITATION {"citationID":"wo1i8Mfh","properties":{"unsorted":false,"formattedCitation":"[80]","plainCitation":"[80]","noteIndex":0},"citationItems":[{"id":2020,"uris":["http://zotero.org/users/9870935/items/EUX8ZVSI"],"itemData":{"id":2020,"type":"article-journal","abstract":"The rapid surge in global data traffic, driven by artificial intelligence and hyperscale data centers, has established copackaged optics (CPO) as a pivotal technology for next-generation high-bandwidth and low-power interconnects. By integrating optical engines directly with application-specific integrated circuits (ASICs) on a single substrate, CPO significantly reduces electrical link lengths and power consumption. However, the extreme power density of ASICs, together with the temperature sensitivity of photonic components, makes thermal management a critical bottleneck for CPO performance and reliability. We provide a comprehensive review of thermal management in CPO, encompassing various aspects from device assembly to system operation. We systematically discuss the packaging strategies and thermal reliability of lasers and fiber arrays, address thermal design considerations at both chip and package levels, and evaluate advanced thermal interface materials alongside module-level cooling technologies. Finally, we provide perspectives on future optoelectronic co-design and the thermal challenges of next-generation optical interconnects.","container-title":"Advanced Photonics Nexus","DOI":"10.1117/1.APN.5.3.034001","ISSN":"2791-1519","issue":"03","journalAbbreviation":"Adv. Photon. Nexus","language":"en","source":"DOI.org (Crossref)","title":"Thermal management in copackaged optics: from device assembly to system operation","title-short":"Thermal management in copackaged optics","URL":"https://www.spiedigitallibrary.org/journals/advanced-photonics-nexus/volume-5/issue-03/034001/Thermal-management-in-copackaged-optics--from-device-assembly-to/10.1117/1.APN.5.3.034001.full","volume":"5","author":[{"family":"Yang","given":"Zhonghua"},{"family":"He","given":"Guopeng"},{"family":"Li","given":"Yufeng"},{"family":"Sun","given":"Yu"},{"family":"Luo","given":"Wenbo"},{"family":"Zhang","given":"Wanli"}],"accessed":{"date-parts":[["2026",5,16]]},"issued":{"date-parts":[["2026",3,19]]}}}],"schema":"https://github.com/citation-style-language/schema/raw/master/csl-citation.json"} </w:instrText>
      </w:r>
      <w:r>
        <w:fldChar w:fldCharType="separate"/>
      </w:r>
      <w:r w:rsidR="00B73641" w:rsidRPr="00B73641">
        <w:t>[80]</w:t>
      </w:r>
      <w:r>
        <w:fldChar w:fldCharType="end"/>
      </w:r>
      <w:r w:rsidRPr="00F166F8">
        <w:t xml:space="preserve">. The electrical energy that is input </w:t>
      </w:r>
      <w:r w:rsidR="009F7E9F" w:rsidRPr="00F166F8">
        <w:t>into</w:t>
      </w:r>
      <w:r w:rsidRPr="00F166F8">
        <w:t xml:space="preserve"> the computing equipment is almost entirely converted to heat, which is why there is a very close relationship between electrical energy consumption and heat generation. This integration of electrical and thermal systems opens the opportunity to integrate energy management, </w:t>
      </w:r>
      <w:r w:rsidR="009F7E9F" w:rsidRPr="00F166F8">
        <w:t>optimize</w:t>
      </w:r>
      <w:r w:rsidRPr="00F166F8">
        <w:t xml:space="preserve"> the operation of the cooling system with the availability of renewable energy, and </w:t>
      </w:r>
      <w:r w:rsidR="009F7E9F" w:rsidRPr="00F166F8">
        <w:t>optimize</w:t>
      </w:r>
      <w:r w:rsidRPr="00F166F8">
        <w:t xml:space="preserve"> the workload.</w:t>
      </w:r>
      <w:r>
        <w:t xml:space="preserve"> </w:t>
      </w:r>
      <w:r w:rsidRPr="00F51CFF">
        <w:t xml:space="preserve">Fig. 2 illustrates a representative daily power profile for an AI data </w:t>
      </w:r>
      <w:r w:rsidR="009F7E9F" w:rsidRPr="00F51CFF">
        <w:t>center</w:t>
      </w:r>
      <w:r w:rsidRPr="00F51CFF">
        <w:t>, decomposing total facility load into training, real-time inference, batch processing, and cooling components, and overlaying typical solar and wind generation windows to identify natural demand flexibility opportunities.</w:t>
      </w:r>
    </w:p>
    <w:p w14:paraId="40DC3670" w14:textId="77777777" w:rsidR="00FE013C" w:rsidRDefault="00FE013C" w:rsidP="00240FF9">
      <w:pPr>
        <w:keepNext/>
        <w:spacing w:after="120"/>
        <w:jc w:val="center"/>
      </w:pPr>
      <w:r>
        <w:rPr>
          <w:noProof/>
        </w:rPr>
        <w:drawing>
          <wp:inline distT="114300" distB="114300" distL="114300" distR="114300" wp14:anchorId="3AE6179E" wp14:editId="2824EE61">
            <wp:extent cx="5002126" cy="2672649"/>
            <wp:effectExtent l="0" t="0" r="8255" b="0"/>
            <wp:docPr id="76778108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rotWithShape="1">
                    <a:blip r:embed="rId13"/>
                    <a:srcRect t="1315" b="-1"/>
                    <a:stretch>
                      <a:fillRect/>
                    </a:stretch>
                  </pic:blipFill>
                  <pic:spPr bwMode="auto">
                    <a:xfrm>
                      <a:off x="0" y="0"/>
                      <a:ext cx="5033650" cy="2689492"/>
                    </a:xfrm>
                    <a:prstGeom prst="rect">
                      <a:avLst/>
                    </a:prstGeom>
                    <a:ln>
                      <a:noFill/>
                    </a:ln>
                    <a:extLst>
                      <a:ext uri="{53640926-AAD7-44D8-BBD7-CCE9431645EC}">
                        <a14:shadowObscured xmlns:a14="http://schemas.microsoft.com/office/drawing/2010/main"/>
                      </a:ext>
                    </a:extLst>
                  </pic:spPr>
                </pic:pic>
              </a:graphicData>
            </a:graphic>
          </wp:inline>
        </w:drawing>
      </w:r>
    </w:p>
    <w:p w14:paraId="5B212C98" w14:textId="260C63B1" w:rsidR="00FE013C" w:rsidRPr="00F166F8" w:rsidRDefault="00FE013C" w:rsidP="00240FF9">
      <w:pPr>
        <w:pStyle w:val="Caption"/>
        <w:jc w:val="center"/>
      </w:pPr>
      <w:r>
        <w:t xml:space="preserve">Figure </w:t>
      </w:r>
      <w:r>
        <w:fldChar w:fldCharType="begin"/>
      </w:r>
      <w:r>
        <w:instrText xml:space="preserve"> SEQ Figure \* ARABIC </w:instrText>
      </w:r>
      <w:r>
        <w:fldChar w:fldCharType="separate"/>
      </w:r>
      <w:r w:rsidR="00807110">
        <w:rPr>
          <w:noProof/>
        </w:rPr>
        <w:t>3</w:t>
      </w:r>
      <w:r>
        <w:rPr>
          <w:noProof/>
        </w:rPr>
        <w:fldChar w:fldCharType="end"/>
      </w:r>
      <w:r>
        <w:t xml:space="preserve"> T</w:t>
      </w:r>
      <w:r w:rsidRPr="0031233A">
        <w:t xml:space="preserve">ypical </w:t>
      </w:r>
      <w:r>
        <w:t>AI</w:t>
      </w:r>
      <w:r w:rsidRPr="0031233A">
        <w:t xml:space="preserve"> data center daily power consumption profile</w:t>
      </w:r>
    </w:p>
    <w:p w14:paraId="22B8AF1E" w14:textId="77777777" w:rsidR="00FE013C" w:rsidRDefault="00FE013C" w:rsidP="004C16FF">
      <w:pPr>
        <w:pStyle w:val="Heading20"/>
        <w:jc w:val="both"/>
        <w:rPr>
          <w:color w:val="auto"/>
        </w:rPr>
      </w:pPr>
      <w:r>
        <w:rPr>
          <w:color w:val="auto"/>
        </w:rPr>
        <w:t>3.3. Backup Power and UPS Systems</w:t>
      </w:r>
    </w:p>
    <w:p w14:paraId="2222DAF5" w14:textId="59074BBD" w:rsidR="00FE013C" w:rsidRPr="00C24F3F" w:rsidRDefault="00FE013C" w:rsidP="00B73641">
      <w:pPr>
        <w:spacing w:after="120"/>
        <w:ind w:firstLine="480"/>
        <w:rPr>
          <w:szCs w:val="24"/>
        </w:rPr>
      </w:pPr>
      <w:r>
        <w:rPr>
          <w:szCs w:val="24"/>
        </w:rPr>
        <w:t>The UPS</w:t>
      </w:r>
      <w:r w:rsidRPr="00C24F3F">
        <w:rPr>
          <w:szCs w:val="24"/>
        </w:rPr>
        <w:t xml:space="preserve"> system is the first line of defense against power quality disturbances and short outages. There are three major UPS technologies used in data </w:t>
      </w:r>
      <w:r w:rsidR="009F7E9F" w:rsidRPr="00C24F3F">
        <w:rPr>
          <w:szCs w:val="24"/>
        </w:rPr>
        <w:t>centers</w:t>
      </w:r>
      <w:r w:rsidRPr="00C24F3F">
        <w:rPr>
          <w:szCs w:val="24"/>
        </w:rPr>
        <w:t>: flywheel systems, which can deliver 10-30 s of ride-through time with kinetic energy storage; battery-based UPS, which can supply minutes to hours of backup time depending on the battery capacity; and hybrid UPS, which includes flywheels to provide immediate response and batteries to provide extended backup time</w:t>
      </w:r>
      <w:r>
        <w:rPr>
          <w:szCs w:val="24"/>
        </w:rPr>
        <w:fldChar w:fldCharType="begin"/>
      </w:r>
      <w:r w:rsidR="00B73641">
        <w:rPr>
          <w:szCs w:val="24"/>
        </w:rPr>
        <w:instrText xml:space="preserve"> ADDIN ZOTERO_ITEM CSL_CITATION {"citationID":"6s5dz7U7","properties":{"unsorted":false,"formattedCitation":"[81]","plainCitation":"[81]","noteIndex":0},"citationItems":[{"id":2021,"uris":["http://zotero.org/users/9870935/items/AHEUC4DF"],"itemData":{"id":2021,"type":"article","abstract":"Artificial intelligence (AI) is driving unprecedented growth in data center (DC) scale and power demand. AI workloads impose highly dynamic, difficult-to-forecast power profiles on the utility grid, creating reliability and stability challenges that conventional DC architectures are not designed to address. This paper provides a critical review of energy storage systems (ESSs) as the key enabling technology for reliable grid integration of AI DCs. We organize the review around a four-layer hierarchical taxonomy, namely chip-level buffering, rack/server-level ESSs, facility-level uninterruptible power supply (UPS) systems, and grid-scale battery energy storage systems (BESSs), supplemented by non-battery technologies including fuel cells (FCs) and thermal energy storage (TES). Each layer is analyzed with respect to response timescale, power and energy ratings, operational role, integration challenges, and coordination requirements. Key findings include: (i) AI DC load profiles differ fundamentally from traditional loads in their sub-second variability, making conventional ESS dispatch strategies insufficient; (ii) hierarchical, coordinated ESS deployment across all layers is necessary for effective load smoothing and grid support; and (iii) significant gaps remain in simulation tools, degradation modeling, load forecasting, and optimal multi-layer sizing. This review identifies open research challenges and future directions at the intersection of AI computing infrastructure and power system integration.","DOI":"10.48550/arXiv.2603.00415","note":"arXiv:2603.00415 [eess.SY]","number":"arXiv:2603.00415","publisher":"arXiv","source":"arXiv.org","title":"Grid Integration of AI Data Centers: A Critical Review of Energy Storage Solutions","title-short":"Grid Integration of AI Data Centers","URL":"http://arxiv.org/abs/2603.00415","author":[{"family":"Mohammadi","given":"Sina"},{"family":"Wang","given":"Wayne"},{"family":"Wada","given":"Marcus Chen I."},{"family":"Haghighi","given":"Rouzbeh"},{"family":"Hassan","given":"Ali"},{"family":"Liu","given":"Hualong"},{"family":"Bhatnagar","given":"Archit"},{"family":"Chen","given":"Ang"},{"family":"Su","given":"Wencong"}],"accessed":{"date-parts":[["2026",5,16]]},"issued":{"date-parts":[["2026",5,5]]}}}],"schema":"https://github.com/citation-style-language/schema/raw/master/csl-citation.json"} </w:instrText>
      </w:r>
      <w:r>
        <w:rPr>
          <w:szCs w:val="24"/>
        </w:rPr>
        <w:fldChar w:fldCharType="separate"/>
      </w:r>
      <w:r w:rsidR="00B73641" w:rsidRPr="00B73641">
        <w:t>[81]</w:t>
      </w:r>
      <w:r>
        <w:rPr>
          <w:szCs w:val="24"/>
        </w:rPr>
        <w:fldChar w:fldCharType="end"/>
      </w:r>
      <w:r>
        <w:rPr>
          <w:szCs w:val="24"/>
        </w:rPr>
        <w:t>.</w:t>
      </w:r>
      <w:r w:rsidRPr="00C24F3F">
        <w:rPr>
          <w:szCs w:val="24"/>
        </w:rPr>
        <w:t xml:space="preserve"> AI data </w:t>
      </w:r>
      <w:r w:rsidR="009F7E9F" w:rsidRPr="00C24F3F">
        <w:rPr>
          <w:szCs w:val="24"/>
        </w:rPr>
        <w:t>centers</w:t>
      </w:r>
      <w:r w:rsidRPr="00C24F3F">
        <w:rPr>
          <w:szCs w:val="24"/>
        </w:rPr>
        <w:t xml:space="preserve">, where training state can be lost during even brief interruptions, require UPS systems to have sufficient runtime to start-up and </w:t>
      </w:r>
      <w:r w:rsidR="009F7E9F" w:rsidRPr="00C24F3F">
        <w:rPr>
          <w:szCs w:val="24"/>
        </w:rPr>
        <w:t>synchronize</w:t>
      </w:r>
      <w:r w:rsidRPr="00C24F3F">
        <w:rPr>
          <w:szCs w:val="24"/>
        </w:rPr>
        <w:t xml:space="preserve"> the backup generator, usually 30–60 seconds</w:t>
      </w:r>
      <w:r>
        <w:rPr>
          <w:szCs w:val="24"/>
        </w:rPr>
        <w:fldChar w:fldCharType="begin"/>
      </w:r>
      <w:r w:rsidR="00B73641">
        <w:rPr>
          <w:szCs w:val="24"/>
        </w:rPr>
        <w:instrText xml:space="preserve"> ADDIN ZOTERO_ITEM CSL_CITATION {"citationID":"uVqeSVVe","properties":{"unsorted":false,"formattedCitation":"[82]","plainCitation":"[82]","noteIndex":0},"citationItems":[{"id":2025,"uris":["http://zotero.org/users/9870935/items/URLYJFL9"],"itemData":{"id":2025,"type":"article-journal","abstract":"Our research aims to improve energy efficiency in data centres by combining cloud computing infrastructure with machine learning techniques. We propose that dynamic resource assignment, combined with intelligent optimisation of cooling systems, can reduce power waste and operational costs. Real-time sensor data from various data centre components such as servers, cooling systems, and power distribution units is collected and fed into machine learning models for analysis. In this way, we can create power arrangements that are tailored to the resources and needs of various applications. The experimental results show that energy consumption has been reduced by an average of 30% compared to traditional methods. Furthermore, our machine learning models are quite accurate in predicting cooling system performance. For example, an Artificial Neural Network (ANN) has an accuracy rate of 98.78%. This result demonstrates the efficacy of our approach in promoting energy efficiency and operational performance in data centres: it not only provides a scalable, cost-effective solution to industry energy efficiency challenges, but it also improves day-to-day data centre operations by reducing electrical consumption. Our approach, which is based on dynamic allocation of computational resources and real-time data analysis for optimising cooling systems, not only saves energy but also improves operational efficiency. With energy in mind, we must all work towards a more sustainable and green approach to data centre management. Future research can look into other potential optimisations, as well as issues with scalability and application in real-world data centre environments.","container-title":"Journal of Electrical Systems","DOI":"10.52783/jes.1287","ISSN":"1112-5209","issue":"3s","journalAbbreviation":"jes","license":"https://creativecommons.org/licenses/by-nd/4.0","page":"286-293","source":"DOI.org (Crossref)","title":"Optimizing Data Centre Energy Efficiency with Dynamic Resource Allocation and Intelligent Cooling Management through Machine Learning","volume":"20","author":[{"literal":"Niranchana Radhakrishnan"}],"issued":{"date-parts":[["2024",4,4]]}}}],"schema":"https://github.com/citation-style-language/schema/raw/master/csl-citation.json"} </w:instrText>
      </w:r>
      <w:r>
        <w:rPr>
          <w:szCs w:val="24"/>
        </w:rPr>
        <w:fldChar w:fldCharType="separate"/>
      </w:r>
      <w:r w:rsidR="00B73641" w:rsidRPr="00B73641">
        <w:t>[82]</w:t>
      </w:r>
      <w:r>
        <w:rPr>
          <w:szCs w:val="24"/>
        </w:rPr>
        <w:fldChar w:fldCharType="end"/>
      </w:r>
      <w:r w:rsidRPr="00C24F3F">
        <w:rPr>
          <w:szCs w:val="24"/>
        </w:rPr>
        <w:t>.</w:t>
      </w:r>
    </w:p>
    <w:p w14:paraId="2E36A04D" w14:textId="6515E935" w:rsidR="00FE013C" w:rsidRDefault="00FE013C" w:rsidP="00B73641">
      <w:pPr>
        <w:spacing w:after="120"/>
        <w:ind w:firstLine="480"/>
        <w:rPr>
          <w:szCs w:val="24"/>
        </w:rPr>
      </w:pPr>
      <w:r w:rsidRPr="00C24F3F">
        <w:rPr>
          <w:szCs w:val="24"/>
        </w:rPr>
        <w:t xml:space="preserve">The UPS capacity required for a 100 MW data </w:t>
      </w:r>
      <w:r w:rsidR="009F7E9F" w:rsidRPr="00C24F3F">
        <w:rPr>
          <w:szCs w:val="24"/>
        </w:rPr>
        <w:t>center</w:t>
      </w:r>
      <w:r w:rsidRPr="00C24F3F">
        <w:rPr>
          <w:szCs w:val="24"/>
        </w:rPr>
        <w:t xml:space="preserve"> with N+1 redundancy and 20</w:t>
      </w:r>
      <w:r>
        <w:rPr>
          <w:szCs w:val="24"/>
        </w:rPr>
        <w:t xml:space="preserve">% </w:t>
      </w:r>
      <w:r w:rsidRPr="00C24F3F">
        <w:rPr>
          <w:szCs w:val="24"/>
        </w:rPr>
        <w:t>safety margin would be approximately 144 MVA with a power factor of 0.9</w:t>
      </w:r>
      <w:r>
        <w:rPr>
          <w:szCs w:val="24"/>
        </w:rPr>
        <w:fldChar w:fldCharType="begin"/>
      </w:r>
      <w:r w:rsidR="00B73641">
        <w:rPr>
          <w:szCs w:val="24"/>
        </w:rPr>
        <w:instrText xml:space="preserve"> ADDIN ZOTERO_ITEM CSL_CITATION {"citationID":"qzNEaqIS","properties":{"unsorted":false,"formattedCitation":"[83]","plainCitation":"[83]","noteIndex":0},"citationItems":[{"id":2027,"uris":["http://zotero.org/users/9870935/items/84JHTAVB"],"itemData":{"id":2027,"type":"article-journal","abstract":"The rapid growth of digital services has intensified the energy demands of data centers, significantly impacting operational costs and global carbon footprints. This study leverages Machine Learning (ML) and Big Data to optimize energy management in data centers, addressing limitations in prior approaches that overlooked real-time variability. A predictive model utilizing the Random Forest algorithm was developed to reduce energy consumption based on dynamic factors, such as workload and environmental conditions like temperature. The research used a six-month dataset consisting of approximately 3 million data points from an operational data center. After preprocessing the data, the model achieved a high predictive accuracy, reflected by an R-squared value of 0.87. The findings demonstrate that the model reduces energy consumption by an average of 11.17% daily, with peak savings of up to 15.56% during off-peak hours. Key metrics, including a Mean Squared Error (MSE) of 0.034 and a Root Mean Squared Error (RMSE) of 0.184, validated the model's effectiveness and reliability. Statistical tests further confirmed its precision within a 95% confidence interval. This study contributes to the academic field by integrating real-time environmental data into predictive modeling, offering a scalable solution for energy-efficient data center operations. The outcomes support sustainability initiatives by mitigating carbon emissions and reducing operational costs. The findings also provide a framework for applying ML in broader industrial contexts requiring efficient energy management. Future research may explore incorporating additional variables, such as user behavior, to further refine predictive capabilities.","container-title":"Journal of Technology Informatics and Engineering","DOI":"10.51903/jtie.v3i3.202","ISSN":"2961-8215, 2961-9068","issue":"3","journalAbbreviation":"JTIE","license":"https://creativecommons.org/licenses/by-sa/4.0","page":"324-336","source":"DOI.org (Crossref)","title":"The Use of Machine Learning for Efficient Energy Management in Big Data-Based Computing Systems","volume":"3","author":[{"family":"Putra","given":"Toni Wijanarko Adi"},{"family":"Setiawan","given":"Nuris Dwi"},{"family":"Rusito","given":"Rusito"}],"issued":{"date-parts":[["2024",12,24]]}}}],"schema":"https://github.com/citation-style-language/schema/raw/master/csl-citation.json"} </w:instrText>
      </w:r>
      <w:r>
        <w:rPr>
          <w:szCs w:val="24"/>
        </w:rPr>
        <w:fldChar w:fldCharType="separate"/>
      </w:r>
      <w:r w:rsidR="00B73641" w:rsidRPr="00B73641">
        <w:t>[83]</w:t>
      </w:r>
      <w:r>
        <w:rPr>
          <w:szCs w:val="24"/>
        </w:rPr>
        <w:fldChar w:fldCharType="end"/>
      </w:r>
      <w:r w:rsidRPr="00C24F3F">
        <w:rPr>
          <w:szCs w:val="24"/>
        </w:rPr>
        <w:t xml:space="preserve">. The choice of the double-conversion (online), line-interactive, and standby (offline) UPS topologies depends on the criticality </w:t>
      </w:r>
      <w:r w:rsidRPr="00C24F3F">
        <w:rPr>
          <w:szCs w:val="24"/>
        </w:rPr>
        <w:lastRenderedPageBreak/>
        <w:t xml:space="preserve">of the load. Data </w:t>
      </w:r>
      <w:r w:rsidR="009F7E9F" w:rsidRPr="00C24F3F">
        <w:rPr>
          <w:szCs w:val="24"/>
        </w:rPr>
        <w:t>center</w:t>
      </w:r>
      <w:r w:rsidRPr="00C24F3F">
        <w:rPr>
          <w:szCs w:val="24"/>
        </w:rPr>
        <w:t xml:space="preserve"> AI training and inference workloads are typically designed with a double-conversion topology to ensure full protection from input power disturbances</w:t>
      </w:r>
      <w:r>
        <w:rPr>
          <w:szCs w:val="24"/>
        </w:rPr>
        <w:fldChar w:fldCharType="begin"/>
      </w:r>
      <w:r w:rsidR="00B73641">
        <w:rPr>
          <w:szCs w:val="24"/>
        </w:rPr>
        <w:instrText xml:space="preserve"> ADDIN ZOTERO_ITEM CSL_CITATION {"citationID":"WYKaySkz","properties":{"unsorted":false,"formattedCitation":"[84]","plainCitation":"[84]","noteIndex":0},"citationItems":[{"id":2030,"uris":["http://zotero.org/users/9870935/items/UI369LDD"],"itemData":{"id":2030,"type":"post-weblog","title":"Electrical Energy Storage","URL":"https://iec.ch/system/files/2019-09/content/media/files/iec_wp-electrical_energy_storage-en.pdf","author":[{"family":"IEC","given":""}]}}],"schema":"https://github.com/citation-style-language/schema/raw/master/csl-citation.json"} </w:instrText>
      </w:r>
      <w:r>
        <w:rPr>
          <w:szCs w:val="24"/>
        </w:rPr>
        <w:fldChar w:fldCharType="separate"/>
      </w:r>
      <w:r w:rsidR="00B73641" w:rsidRPr="00B73641">
        <w:t>[84]</w:t>
      </w:r>
      <w:r>
        <w:rPr>
          <w:szCs w:val="24"/>
        </w:rPr>
        <w:fldChar w:fldCharType="end"/>
      </w:r>
      <w:r w:rsidRPr="00C24F3F">
        <w:rPr>
          <w:szCs w:val="24"/>
        </w:rPr>
        <w:t>.</w:t>
      </w:r>
    </w:p>
    <w:p w14:paraId="00B085C4" w14:textId="47626265" w:rsidR="00FE013C" w:rsidRPr="00C24F3F" w:rsidRDefault="00FE013C" w:rsidP="00B73641">
      <w:pPr>
        <w:spacing w:after="120"/>
        <w:ind w:firstLine="480"/>
        <w:rPr>
          <w:szCs w:val="24"/>
        </w:rPr>
      </w:pPr>
      <w:r w:rsidRPr="00B92CC3">
        <w:rPr>
          <w:szCs w:val="24"/>
        </w:rPr>
        <w:t xml:space="preserve">The most widely used backup power system for data </w:t>
      </w:r>
      <w:r w:rsidR="009F7E9F" w:rsidRPr="00B92CC3">
        <w:rPr>
          <w:szCs w:val="24"/>
        </w:rPr>
        <w:t>centers</w:t>
      </w:r>
      <w:r w:rsidRPr="00B92CC3">
        <w:rPr>
          <w:szCs w:val="24"/>
        </w:rPr>
        <w:t xml:space="preserve"> is a diesel generator, which is sized based on the peak facility load with an updated safety capacity </w:t>
      </w:r>
      <w:r w:rsidR="009F7E9F" w:rsidRPr="00B92CC3">
        <w:rPr>
          <w:szCs w:val="24"/>
        </w:rPr>
        <w:t>utilization</w:t>
      </w:r>
      <w:r w:rsidRPr="00B92CC3">
        <w:rPr>
          <w:szCs w:val="24"/>
        </w:rPr>
        <w:t xml:space="preserve"> buffer of 15–25% to effectively suppress severe </w:t>
      </w:r>
      <w:r w:rsidR="009F7E9F" w:rsidRPr="00B92CC3">
        <w:rPr>
          <w:szCs w:val="24"/>
        </w:rPr>
        <w:t>localized</w:t>
      </w:r>
      <w:r w:rsidRPr="00B92CC3">
        <w:rPr>
          <w:szCs w:val="24"/>
        </w:rPr>
        <w:t xml:space="preserve"> voltage fluctuations</w:t>
      </w:r>
      <w:r>
        <w:rPr>
          <w:szCs w:val="24"/>
        </w:rPr>
        <w:t xml:space="preserve"> </w:t>
      </w:r>
      <w:r w:rsidRPr="00B92CC3">
        <w:rPr>
          <w:szCs w:val="24"/>
        </w:rPr>
        <w:t>caused by sudden load increases from AI inference workloads and power-electronic harmonic distortion</w:t>
      </w:r>
      <w:r>
        <w:rPr>
          <w:szCs w:val="24"/>
        </w:rPr>
        <w:t xml:space="preserve">. </w:t>
      </w:r>
      <w:r w:rsidRPr="00B92CC3">
        <w:rPr>
          <w:szCs w:val="24"/>
        </w:rPr>
        <w:t>For a 100 MW hyperscale generator size configuration, the size of each generator is typically between 20 and 30 MW, and they are arranged in parallel across multiple isolated dual-bus distribution paths to ensure redundant N+1 or 2N topology benchmarks</w:t>
      </w:r>
      <w:r>
        <w:rPr>
          <w:szCs w:val="24"/>
        </w:rPr>
        <w:fldChar w:fldCharType="begin"/>
      </w:r>
      <w:r w:rsidR="00B73641">
        <w:rPr>
          <w:szCs w:val="24"/>
        </w:rPr>
        <w:instrText xml:space="preserve"> ADDIN ZOTERO_ITEM CSL_CITATION {"citationID":"VffnOBvN","properties":{"unsorted":false,"formattedCitation":"[85]","plainCitation":"[85]","noteIndex":0},"citationItems":[{"id":2031,"uris":["http://zotero.org/users/9870935/items/AC53WR7L"],"itemData":{"id":2031,"type":"article-journal","abstract":"The demand for computing power has increased at a rate never seen before due to the quick development of artificial intelligence (AI) technologies and applications. Consequently, AI data centers, referring to computing facilities specifically designed for large-scale artificial intelligence workloads, have become one of the fastest-growing electricity consumers globally. Therefore, it is essential to understand the load characteristics of AI data centers and their impact on the grid. This paper provides a comprehensive review of the evolving energy landscape of AI data centers. Specifically, this paper (i) presents the energy consumption structure in AI data centers and analyzes the key workload features and patterns in four stages, emphasizing how high power density, temporal variability, and cooling requirements shape total energy use, (ii) examines the impacts of AI data centers for power systems, including impacts on grid stability, reliability and power quality, electricity markets and pricing, economic dispatch and reserve scheduling, and infrastructure planning and coordination, (iii) presents key technological, operational and sustainability challenges for AI data centers, including renewable energy integration, waste heat utilization, carbon-neutral operation, and water–energy nexus constraints, (iv) evaluates emerging solutions and opportunities, spanning grid-side measures, data-center-side strategies, and user-side demand-flexibility mechanisms, (v) identifies future research priorities and policy directions to enable the sustainable co-evolution of AI infrastructure and electric power systems. The review aims to support utilities, system operators, and researchers in maintaining reliable, resilient, and sustainable grid operation in the context of the rapid development of AI data centers.","container-title":"Energies","DOI":"10.3390/en19030722","ISSN":"1996-1073","issue":"3","journalAbbreviation":"Energies","language":"en","page":"722","source":"DOI.org (Crossref)","title":"Power for AI Data Centers: Energy Demand, Grid Impacts, Challenges and Perspectives","title-short":"Power for AI Data Centers","volume":"19","author":[{"family":"Sheng","given":"Yu"},{"family":"Zhang","given":"Chenxuan"},{"family":"Zhu","given":"Zixuan"},{"family":"Xu","given":"Hongyi"},{"family":"Wen","given":"Junqi"},{"family":"Wang","given":"Ruoheng"},{"family":"Yang","given":"Jianjun"},{"family":"Wang","given":"Qin"},{"family":"Bu","given":"Siqi"}],"issued":{"date-parts":[["2026",1,29]]}}}],"schema":"https://github.com/citation-style-language/schema/raw/master/csl-citation.json"} </w:instrText>
      </w:r>
      <w:r>
        <w:rPr>
          <w:szCs w:val="24"/>
        </w:rPr>
        <w:fldChar w:fldCharType="separate"/>
      </w:r>
      <w:r w:rsidR="00B73641" w:rsidRPr="00B73641">
        <w:t>[85]</w:t>
      </w:r>
      <w:r>
        <w:rPr>
          <w:szCs w:val="24"/>
        </w:rPr>
        <w:fldChar w:fldCharType="end"/>
      </w:r>
      <w:r w:rsidRPr="00B92CC3">
        <w:rPr>
          <w:szCs w:val="24"/>
        </w:rPr>
        <w:t xml:space="preserve">. Despite the proven efficiency of diesel generators, they generate very high levels of nitrogen oxides (NOx) during routine testing, up to 12 metric tons per year per hyperscale facility, which has a direct impact on urban air quality margins and increases the pace of reaching </w:t>
      </w:r>
      <w:r w:rsidR="009F7E9F" w:rsidRPr="00B92CC3">
        <w:rPr>
          <w:szCs w:val="24"/>
        </w:rPr>
        <w:t>localized</w:t>
      </w:r>
      <w:r w:rsidRPr="00B92CC3">
        <w:rPr>
          <w:szCs w:val="24"/>
        </w:rPr>
        <w:t xml:space="preserve"> greenhouse gas thresholds</w:t>
      </w:r>
      <w:r>
        <w:rPr>
          <w:szCs w:val="24"/>
        </w:rPr>
        <w:fldChar w:fldCharType="begin"/>
      </w:r>
      <w:r w:rsidR="00B73641">
        <w:rPr>
          <w:szCs w:val="24"/>
        </w:rPr>
        <w:instrText xml:space="preserve"> ADDIN ZOTERO_ITEM CSL_CITATION {"citationID":"MhrzpTJ3","properties":{"unsorted":false,"formattedCitation":"[86]","plainCitation":"[86]","noteIndex":0},"citationItems":[{"id":2032,"uris":["http://zotero.org/users/9870935/items/3SYSZCVP"],"itemData":{"id":2032,"type":"article","abstract":"This study assesses air quality (AQ) and greenhouse gas (GHG) emissions from the rapid expansion of data centers in Texas, a major hub due to infrastructure, electricity markets, and business conditions. AQ impacts were separated from GHG emissions to clarify sources, regulations, and mitigation strategies. Electricity consumption and cooling systems dominate GHG emissions, with a 10 megawatt data center generating about 37,668 metric tons CO2 annually, while construction materials and IT equipment add substantial embodied emissions. Local AQ impacts, often overlooked, arise from diesel backup generators, construction equipment, and commuting. Generator testing alone can emit about 12 metric tons of NOx annually per facility, worsening ozone issues in regions such as Houston and Dallas-Fort Worth. Mitigation strategies include advanced cooling, renewable energy procurement, cleaner backup power (fuel cells, batteries), sustainable construction, and standardized reporting. ERCOT forecasts project 39 to 78 gigawatts of new data center load by 2030, potentially leading to 170 to 205 million metric tons of annual CO2 emissions. Aggressive adoption of renewables and advanced technologies could cut emissions by 50 to 80 percent, avoiding 85 to 165 million metric tons of CO2. The study identifies research and policy gaps, including the need for cumulative air dispersion modeling, AQ-specific regulations, and mandatory efficiency standards. Findings underscore the importance of aligning Texas digital infrastructure growth with environmental and community health protections.","DOI":"10.48550/ARXIV.2509.21312","license":"arXiv.org perpetual, non-exclusive license","note":"version: 1","publisher":"arXiv","source":"DOI.org (Datacite)","title":"Air Quality and Greenhouse Gas Emissions Assessment of Data Centers in Texas: Quantifying Impacts and Environmental Tradeoffs","title-short":"Air Quality and Greenhouse Gas Emissions Assessment of Data Centers in Texas","URL":"https://arxiv.org/abs/2509.21312","author":[{"family":"Eslami","given":"Ebrahim"}],"accessed":{"date-parts":[["2026",5,16]]},"issued":{"date-parts":[["2025"]]}}}],"schema":"https://github.com/citation-style-language/schema/raw/master/csl-citation.json"} </w:instrText>
      </w:r>
      <w:r>
        <w:rPr>
          <w:szCs w:val="24"/>
        </w:rPr>
        <w:fldChar w:fldCharType="separate"/>
      </w:r>
      <w:r w:rsidR="00B73641" w:rsidRPr="00B73641">
        <w:t>[86]</w:t>
      </w:r>
      <w:r>
        <w:rPr>
          <w:szCs w:val="24"/>
        </w:rPr>
        <w:fldChar w:fldCharType="end"/>
      </w:r>
      <w:r w:rsidRPr="00B92CC3">
        <w:rPr>
          <w:szCs w:val="24"/>
        </w:rPr>
        <w:t>. As a result, the industry is moving into new directions of cleaner fuels, growing interest in natural gas generators at utility scale, and grid integration of hydrogen fuel cell systems that not only provide onsite mission-critical backup power but also deliver fast-frequency ancillary services back to the main grid</w:t>
      </w:r>
      <w:r>
        <w:rPr>
          <w:szCs w:val="24"/>
        </w:rPr>
        <w:t>.</w:t>
      </w:r>
    </w:p>
    <w:p w14:paraId="0F0850E0" w14:textId="77777777" w:rsidR="00FE013C" w:rsidRDefault="00FE013C" w:rsidP="004C16FF">
      <w:pPr>
        <w:pStyle w:val="Heading20"/>
        <w:jc w:val="both"/>
        <w:rPr>
          <w:color w:val="auto"/>
        </w:rPr>
      </w:pPr>
      <w:r>
        <w:rPr>
          <w:color w:val="auto"/>
        </w:rPr>
        <w:t>3.4. Colling System Integration</w:t>
      </w:r>
    </w:p>
    <w:p w14:paraId="4D135C58" w14:textId="3A33368A" w:rsidR="00FE013C" w:rsidRPr="007D6A70" w:rsidRDefault="00FE013C" w:rsidP="00B73641">
      <w:pPr>
        <w:spacing w:after="120"/>
        <w:ind w:firstLine="480"/>
        <w:rPr>
          <w:szCs w:val="24"/>
        </w:rPr>
      </w:pPr>
      <w:r w:rsidRPr="007D6A70">
        <w:rPr>
          <w:szCs w:val="24"/>
        </w:rPr>
        <w:t xml:space="preserve">Cooling systems are crucial connection points between electrical and thermal management in AI data </w:t>
      </w:r>
      <w:r w:rsidR="009F7E9F" w:rsidRPr="007D6A70">
        <w:rPr>
          <w:szCs w:val="24"/>
        </w:rPr>
        <w:t>centers</w:t>
      </w:r>
      <w:r w:rsidRPr="007D6A70">
        <w:rPr>
          <w:szCs w:val="24"/>
        </w:rPr>
        <w:t>. The cooling load and electrical energy consumption are roughly proportional, with the coefficient of performance (COP) of the cooling system dictating the number of watts of cooling for every watt of electricity consumed (typically around 2.5 to 4)</w:t>
      </w:r>
      <w:r>
        <w:rPr>
          <w:szCs w:val="24"/>
        </w:rPr>
        <w:fldChar w:fldCharType="begin"/>
      </w:r>
      <w:r w:rsidR="00B73641">
        <w:rPr>
          <w:szCs w:val="24"/>
        </w:rPr>
        <w:instrText xml:space="preserve"> ADDIN ZOTERO_ITEM CSL_CITATION {"citationID":"JmbelhlJ","properties":{"unsorted":false,"formattedCitation":"[87]","plainCitation":"[87]","noteIndex":0},"citationItems":[{"id":2035,"uris":["http://zotero.org/users/9870935/items/QTGJSYMV"],"itemData":{"id":2035,"type":"article-journal","container-title":"Building and Environment","DOI":"10.1016/j.buildenv.2021.108741","ISSN":"03601323","journalAbbreviation":"Building and Environment","language":"en","page":"108741","source":"DOI.org (Crossref)","title":"Experimental and numerical study on the thermal environment of a data center","volume":"212","author":[{"family":"Tang","given":"Yu"},{"family":"Bai","given":"Xuelian"},{"family":"Jin","given":"Chaoqiang"},{"family":"Fu","given":"Yusen"},{"family":"Mao","given":"Wangxin"},{"family":"Xu","given":"Xin"}],"issued":{"date-parts":[["2022",3]]}}}],"schema":"https://github.com/citation-style-language/schema/raw/master/csl-citation.json"} </w:instrText>
      </w:r>
      <w:r>
        <w:rPr>
          <w:szCs w:val="24"/>
        </w:rPr>
        <w:fldChar w:fldCharType="separate"/>
      </w:r>
      <w:r w:rsidR="00B73641" w:rsidRPr="00B73641">
        <w:t>[87]</w:t>
      </w:r>
      <w:r>
        <w:rPr>
          <w:szCs w:val="24"/>
        </w:rPr>
        <w:fldChar w:fldCharType="end"/>
      </w:r>
      <w:r w:rsidRPr="007D6A70">
        <w:rPr>
          <w:szCs w:val="24"/>
        </w:rPr>
        <w:t>. Cooling consumption can be as high as 30–40</w:t>
      </w:r>
      <w:r>
        <w:rPr>
          <w:szCs w:val="24"/>
        </w:rPr>
        <w:t xml:space="preserve">% </w:t>
      </w:r>
      <w:r w:rsidRPr="007D6A70">
        <w:rPr>
          <w:szCs w:val="24"/>
        </w:rPr>
        <w:t xml:space="preserve">of the total facility energy cost for traditional air-cooled data </w:t>
      </w:r>
      <w:r w:rsidR="009F7E9F" w:rsidRPr="007D6A70">
        <w:rPr>
          <w:szCs w:val="24"/>
        </w:rPr>
        <w:t>centers</w:t>
      </w:r>
      <w:r w:rsidRPr="007D6A70">
        <w:rPr>
          <w:szCs w:val="24"/>
        </w:rPr>
        <w:t>, which can have PUE values of greater than 1.3</w:t>
      </w:r>
      <w:r>
        <w:rPr>
          <w:szCs w:val="24"/>
        </w:rPr>
        <w:fldChar w:fldCharType="begin"/>
      </w:r>
      <w:r>
        <w:rPr>
          <w:szCs w:val="24"/>
        </w:rPr>
        <w:instrText xml:space="preserve"> ADDIN ZOTERO_ITEM CSL_CITATION {"citationID":"5AIbgttz","properties":{"unsorted":false,"formattedCitation":"[32]","plainCitation":"[32]","noteIndex":0},"citationItems":[{"id":1962,"uris":["http://zotero.org/users/9870935/items/CJR355SS"],"itemData":{"id":1962,"type":"article-journal","container-title":"Sustainable Energy Technologies and Assessments","DOI":"10.1016/j.seta.2025.104511","ISSN":"22131388","journalAbbreviation":"Sustainable Energy Technologies and Assessments","language":"en","page":"104511","source":"DOI.org (Crossref)","title":"AI-driven cooling technologies for high-performance data centres: state-of-the-art review and future directions","title-short":"AI-driven cooling technologies for high-performance data centres","volume":"82","author":[{"family":"Al Kez","given":"Dlzar"},{"family":"Foley","given":"Aoife M"},{"family":"Hasan Wong","given":"Fadhli Wong B.M."},{"family":"Dolfi","given":"Andrea"},{"family":"Srinivasan","given":"Geetha"}],"issued":{"date-parts":[["2025",10]]}}}],"schema":"https://github.com/citation-style-language/schema/raw/master/csl-citation.json"} </w:instrText>
      </w:r>
      <w:r>
        <w:rPr>
          <w:szCs w:val="24"/>
        </w:rPr>
        <w:fldChar w:fldCharType="separate"/>
      </w:r>
      <w:r w:rsidRPr="00F36463">
        <w:t>[32]</w:t>
      </w:r>
      <w:r>
        <w:rPr>
          <w:szCs w:val="24"/>
        </w:rPr>
        <w:fldChar w:fldCharType="end"/>
      </w:r>
      <w:r w:rsidRPr="007D6A70">
        <w:rPr>
          <w:szCs w:val="24"/>
        </w:rPr>
        <w:t>. Immersion cooling provides 30–50</w:t>
      </w:r>
      <w:r>
        <w:rPr>
          <w:szCs w:val="24"/>
        </w:rPr>
        <w:t xml:space="preserve">% </w:t>
      </w:r>
      <w:r w:rsidRPr="007D6A70">
        <w:rPr>
          <w:szCs w:val="24"/>
        </w:rPr>
        <w:t>reduction in cooling energy by taking advantage of the superior heat transfer properties of liquids over air and can be implemented in a variety of ways, such as direct-to-chip cold plates, rack-level cooling loops, and full immersion cooling</w:t>
      </w:r>
      <w:r>
        <w:rPr>
          <w:szCs w:val="24"/>
        </w:rPr>
        <w:fldChar w:fldCharType="begin"/>
      </w:r>
      <w:r>
        <w:rPr>
          <w:szCs w:val="24"/>
        </w:rPr>
        <w:instrText xml:space="preserve"> ADDIN ZOTERO_ITEM CSL_CITATION {"citationID":"MLSQB9UF","properties":{"unsorted":false,"formattedCitation":"[34]","plainCitation":"[34]","noteIndex":0},"citationItems":[{"id":1964,"uris":["http://zotero.org/users/9870935/items/97W4FH39"],"itemData":{"id":1964,"type":"article-journal","container-title":"Applied Thermal Engineering","DOI":"10.1016/j.applthermaleng.2024.123112","ISSN":"13594311","journalAbbreviation":"Applied Thermal Engineering","language":"en","page":"123112","source":"DOI.org (Crossref)","title":"Liquid cooling of data centers: A necessity facing challenges","title-short":"Liquid cooling of data centers","volume":"247","author":[{"family":"Azarifar","given":"Mohammad"},{"family":"Arik","given":"Mehmet"},{"family":"Chang","given":"Je-Young"}],"issued":{"date-parts":[["2024",6]]}}}],"schema":"https://github.com/citation-style-language/schema/raw/master/csl-citation.json"} </w:instrText>
      </w:r>
      <w:r>
        <w:rPr>
          <w:szCs w:val="24"/>
        </w:rPr>
        <w:fldChar w:fldCharType="separate"/>
      </w:r>
      <w:r w:rsidRPr="00BA2BA6">
        <w:t>[34]</w:t>
      </w:r>
      <w:r>
        <w:rPr>
          <w:szCs w:val="24"/>
        </w:rPr>
        <w:fldChar w:fldCharType="end"/>
      </w:r>
      <w:r w:rsidRPr="007D6A70">
        <w:rPr>
          <w:szCs w:val="24"/>
        </w:rPr>
        <w:t>.</w:t>
      </w:r>
    </w:p>
    <w:p w14:paraId="7ACA7F6F" w14:textId="2D8C6931" w:rsidR="00FE013C" w:rsidRDefault="00FE013C" w:rsidP="00B73641">
      <w:pPr>
        <w:spacing w:after="120"/>
        <w:ind w:firstLine="480"/>
        <w:rPr>
          <w:szCs w:val="24"/>
        </w:rPr>
      </w:pPr>
      <w:r w:rsidRPr="007D6A70">
        <w:rPr>
          <w:szCs w:val="24"/>
        </w:rPr>
        <w:t xml:space="preserve">In suitable climates, significant energy savings can be </w:t>
      </w:r>
      <w:r w:rsidR="009F7E9F" w:rsidRPr="007D6A70">
        <w:rPr>
          <w:szCs w:val="24"/>
        </w:rPr>
        <w:t>realized</w:t>
      </w:r>
      <w:r w:rsidRPr="007D6A70">
        <w:rPr>
          <w:szCs w:val="24"/>
        </w:rPr>
        <w:t xml:space="preserve"> using a free cooling system, which </w:t>
      </w:r>
      <w:r w:rsidR="009F7E9F" w:rsidRPr="007D6A70">
        <w:rPr>
          <w:szCs w:val="24"/>
        </w:rPr>
        <w:t>utilizes</w:t>
      </w:r>
      <w:r w:rsidRPr="007D6A70">
        <w:rPr>
          <w:szCs w:val="24"/>
        </w:rPr>
        <w:t xml:space="preserve"> the ambient atmospheric temperature to supply cooling without mechanical refrigeration. In temperate climates, </w:t>
      </w:r>
      <w:r w:rsidR="009F7E9F" w:rsidRPr="007D6A70">
        <w:rPr>
          <w:szCs w:val="24"/>
        </w:rPr>
        <w:t>economizer</w:t>
      </w:r>
      <w:r w:rsidRPr="007D6A70">
        <w:rPr>
          <w:szCs w:val="24"/>
        </w:rPr>
        <w:t xml:space="preserve"> systems can deliver free cooling for 3000 to 6000 hours per year, cutting energy consumption for chillers by 40–70</w:t>
      </w:r>
      <w:r>
        <w:rPr>
          <w:szCs w:val="24"/>
        </w:rPr>
        <w:t xml:space="preserve">% </w:t>
      </w:r>
      <w:r w:rsidRPr="007D6A70">
        <w:rPr>
          <w:szCs w:val="24"/>
        </w:rPr>
        <w:t>during those hours</w:t>
      </w:r>
      <w:r>
        <w:rPr>
          <w:szCs w:val="24"/>
        </w:rPr>
        <w:fldChar w:fldCharType="begin"/>
      </w:r>
      <w:r w:rsidR="00B73641">
        <w:rPr>
          <w:szCs w:val="24"/>
        </w:rPr>
        <w:instrText xml:space="preserve"> ADDIN ZOTERO_ITEM CSL_CITATION {"citationID":"3wFuVfzc","properties":{"unsorted":false,"formattedCitation":"[88]","plainCitation":"[88]","noteIndex":0},"citationItems":[{"id":2036,"uris":["http://zotero.org/users/9870935/items/2KMJ9H69"],"itemData":{"id":2036,"type":"paper-conference","container-title":"2011 IEEE Third International Conference on Cloud Computing Technology and Science","DOI":"10.1109/CloudCom.2011.100","event-title":"2011 IEEE 3rd International Conference on Cloud Computing Technology and Science (CloudCom)","ISBN":"978-1-4673-0090-2","page":"646-651","publisher":"IEEE","publisher-place":"Athens, Greece","source":"DOI.org (Crossref)","title":"Energy Efficient Free Cooling System for Data Centers","URL":"http://ieeexplore.ieee.org/document/6133209/","author":[{"family":"D.","given":"Christy Sujatha"},{"family":"Abimannan","given":"Satheesh"}],"accessed":{"date-parts":[["2026",5,16]]},"issued":{"date-parts":[["2011",11]]}}}],"schema":"https://github.com/citation-style-language/schema/raw/master/csl-citation.json"} </w:instrText>
      </w:r>
      <w:r>
        <w:rPr>
          <w:szCs w:val="24"/>
        </w:rPr>
        <w:fldChar w:fldCharType="separate"/>
      </w:r>
      <w:r w:rsidR="00B73641" w:rsidRPr="00B73641">
        <w:t>[88]</w:t>
      </w:r>
      <w:r>
        <w:rPr>
          <w:szCs w:val="24"/>
        </w:rPr>
        <w:fldChar w:fldCharType="end"/>
      </w:r>
      <w:r w:rsidRPr="007D6A70">
        <w:rPr>
          <w:szCs w:val="24"/>
        </w:rPr>
        <w:t>. Thermal energy storage (TES) systems, specifically ice storage, can be used to shift cooling loads when electricity demand is high, and/or when renewables are abundant, by freezing water when electricity prices are low and melting when electricity prices are high and cooling loads are high</w:t>
      </w:r>
      <w:r>
        <w:rPr>
          <w:szCs w:val="24"/>
        </w:rPr>
        <w:fldChar w:fldCharType="begin"/>
      </w:r>
      <w:r w:rsidR="00B73641">
        <w:rPr>
          <w:szCs w:val="24"/>
        </w:rPr>
        <w:instrText xml:space="preserve"> ADDIN ZOTERO_ITEM CSL_CITATION {"citationID":"z2ZjfPrB","properties":{"unsorted":false,"formattedCitation":"[89]","plainCitation":"[89]","noteIndex":0},"citationItems":[{"id":2039,"uris":["http://zotero.org/users/9870935/items/LBRIR3DS"],"itemData":{"id":2039,"type":"article-journal","container-title":"Applied Thermal Engineering","DOI":"10.1016/j.applthermaleng.2024.122439","ISSN":"13594311","journalAbbreviation":"Applied Thermal Engineering","language":"en","page":"122439","source":"DOI.org (Crossref)","title":"Coupling of flexible phase change materials and servers for improving the security of data centers in emergency situations","volume":"242","author":[{"family":"Yuan","given":"Jianjuan"},{"family":"Yan","given":"Yuyao"},{"family":"Zhang","given":"Xuemei"},{"family":"Kong","given":"Xiangfei"},{"family":"Zhang","given":"Tao"}],"issued":{"date-parts":[["2024",4]]}}}],"schema":"https://github.com/citation-style-language/schema/raw/master/csl-citation.json"} </w:instrText>
      </w:r>
      <w:r>
        <w:rPr>
          <w:szCs w:val="24"/>
        </w:rPr>
        <w:fldChar w:fldCharType="separate"/>
      </w:r>
      <w:r w:rsidR="00B73641" w:rsidRPr="00B73641">
        <w:t>[89]</w:t>
      </w:r>
      <w:r>
        <w:rPr>
          <w:szCs w:val="24"/>
        </w:rPr>
        <w:fldChar w:fldCharType="end"/>
      </w:r>
      <w:r w:rsidRPr="007D6A70">
        <w:rPr>
          <w:szCs w:val="24"/>
        </w:rPr>
        <w:t>.</w:t>
      </w:r>
    </w:p>
    <w:p w14:paraId="4587B737" w14:textId="77777777" w:rsidR="00FE013C" w:rsidRDefault="00FE013C" w:rsidP="004C16FF">
      <w:pPr>
        <w:pStyle w:val="Heading20"/>
        <w:jc w:val="both"/>
        <w:rPr>
          <w:color w:val="auto"/>
        </w:rPr>
      </w:pPr>
      <w:r>
        <w:rPr>
          <w:color w:val="auto"/>
        </w:rPr>
        <w:t>3.5. Power Quality and Harmonic Analysis</w:t>
      </w:r>
    </w:p>
    <w:p w14:paraId="028C966C" w14:textId="0EB85C05" w:rsidR="00FE013C" w:rsidRDefault="00FE013C" w:rsidP="00B73641">
      <w:pPr>
        <w:spacing w:after="120"/>
        <w:ind w:firstLine="480"/>
        <w:rPr>
          <w:szCs w:val="24"/>
        </w:rPr>
      </w:pPr>
      <w:r w:rsidRPr="00145C6F">
        <w:rPr>
          <w:szCs w:val="24"/>
        </w:rPr>
        <w:t xml:space="preserve">Harmonic currents create voltage waveforms that are distorted from their ideal sinusoidal nature in non-linear loads within a data </w:t>
      </w:r>
      <w:r w:rsidR="009F7E9F" w:rsidRPr="00145C6F">
        <w:rPr>
          <w:szCs w:val="24"/>
        </w:rPr>
        <w:t>center</w:t>
      </w:r>
      <w:r w:rsidRPr="00145C6F">
        <w:rPr>
          <w:szCs w:val="24"/>
        </w:rPr>
        <w:t>, resulting in equipment malfunction, loss of efficiency, and early failure. The main sources of harmonics are switched-mode power supplies (SMPS) in servers and networking devices, variable frequency drives (VFDs) in cooling systems, and LED lighting drivers</w:t>
      </w:r>
      <w:r>
        <w:rPr>
          <w:szCs w:val="24"/>
        </w:rPr>
        <w:fldChar w:fldCharType="begin"/>
      </w:r>
      <w:r w:rsidR="00B73641">
        <w:rPr>
          <w:szCs w:val="24"/>
        </w:rPr>
        <w:instrText xml:space="preserve"> ADDIN ZOTERO_ITEM CSL_CITATION {"citationID":"NUYFmlEf","properties":{"unsorted":false,"formattedCitation":"[90]","plainCitation":"[90]","noteIndex":0},"citationItems":[{"id":2038,"uris":["http://zotero.org/users/9870935/items/D5TG8H74"],"itemData":{"id":2038,"type":"standard","DOI":"10.1109/IEEESTD.1999.90559","ISBN":"978-0-7381-1661-7","publisher":"IEEE","source":"DOI.org (Crossref)","title":"IEEE Recommended Practice for Powering and Grounding Electronic Equipment","URL":"http://ieeexplore.ieee.org/document/798784/","accessed":{"date-parts":[["2026",5,17]]}}}],"schema":"https://github.com/citation-style-language/schema/raw/master/csl-citation.json"} </w:instrText>
      </w:r>
      <w:r>
        <w:rPr>
          <w:szCs w:val="24"/>
        </w:rPr>
        <w:fldChar w:fldCharType="separate"/>
      </w:r>
      <w:r w:rsidR="00B73641" w:rsidRPr="00B73641">
        <w:t>[90]</w:t>
      </w:r>
      <w:r>
        <w:rPr>
          <w:szCs w:val="24"/>
        </w:rPr>
        <w:fldChar w:fldCharType="end"/>
      </w:r>
      <w:r w:rsidRPr="00145C6F">
        <w:rPr>
          <w:szCs w:val="24"/>
        </w:rPr>
        <w:t>. According to IEEE 519-2022, the maximum allowed total harmonic distortion (THD) at the point of common coupling (PCC) is 5</w:t>
      </w:r>
      <w:r>
        <w:rPr>
          <w:szCs w:val="24"/>
        </w:rPr>
        <w:t>%</w:t>
      </w:r>
      <w:r w:rsidRPr="00145C6F">
        <w:rPr>
          <w:szCs w:val="24"/>
        </w:rPr>
        <w:t>, while the limits for the individual harmonics range from 3</w:t>
      </w:r>
      <w:r>
        <w:rPr>
          <w:szCs w:val="24"/>
        </w:rPr>
        <w:t xml:space="preserve">% </w:t>
      </w:r>
      <w:r w:rsidRPr="00145C6F">
        <w:rPr>
          <w:szCs w:val="24"/>
        </w:rPr>
        <w:t>for lower-order harmonics to lower limits for higher-order harmonics</w:t>
      </w:r>
      <w:r>
        <w:rPr>
          <w:szCs w:val="24"/>
        </w:rPr>
        <w:fldChar w:fldCharType="begin"/>
      </w:r>
      <w:r>
        <w:rPr>
          <w:szCs w:val="24"/>
        </w:rPr>
        <w:instrText xml:space="preserve"> ADDIN ZOTERO_ITEM CSL_CITATION {"citationID":"JXeXKsrb","properties":{"unsorted":false,"formattedCitation":"[22]","plainCitation":"[22]","noteIndex":0},"citationItems":[{"id":1944,"uris":["http://zotero.org/users/9870935/items/XZS2JQRQ"],"itemData":{"id":1944,"type":"standard","DOI":"10.1109/IEEESTD.2022.9848440","ISBN":"978-1-5044-8727-6","license":"https://doi.org/10.15223/policy-029","publisher":"IEEE","source":"DOI.org (Crossref)","title":"IEEE Standard for Harmonic Control in Electric Power Systems","URL":"https://ieeexplore.ieee.org/document/9848440/","accessed":{"date-parts":[["2026",5,10]]}}}],"schema":"https://github.com/citation-style-language/schema/raw/master/csl-citation.json"} </w:instrText>
      </w:r>
      <w:r>
        <w:rPr>
          <w:szCs w:val="24"/>
        </w:rPr>
        <w:fldChar w:fldCharType="separate"/>
      </w:r>
      <w:r w:rsidRPr="005A4C37">
        <w:t>[22]</w:t>
      </w:r>
      <w:r>
        <w:rPr>
          <w:szCs w:val="24"/>
        </w:rPr>
        <w:fldChar w:fldCharType="end"/>
      </w:r>
      <w:r w:rsidRPr="00145C6F">
        <w:rPr>
          <w:szCs w:val="24"/>
        </w:rPr>
        <w:t xml:space="preserve">. Passive filters (tuned </w:t>
      </w:r>
      <w:r w:rsidRPr="00145C6F">
        <w:rPr>
          <w:szCs w:val="24"/>
        </w:rPr>
        <w:lastRenderedPageBreak/>
        <w:t>LC circuits targeting specific harmonic orders), active power filters (APFs) that inject compensating currents to cancel harmonic distortion, and system-level solutions, such as 12-pulse or 18-pulse rectifier configurations that naturally cancel lower-order harmonics</w:t>
      </w:r>
      <w:r>
        <w:rPr>
          <w:szCs w:val="24"/>
        </w:rPr>
        <w:fldChar w:fldCharType="begin"/>
      </w:r>
      <w:r w:rsidR="00B73641">
        <w:rPr>
          <w:szCs w:val="24"/>
        </w:rPr>
        <w:instrText xml:space="preserve"> ADDIN ZOTERO_ITEM CSL_CITATION {"citationID":"Mv0Kakcm","properties":{"unsorted":false,"formattedCitation":"[91]","plainCitation":"[91]","noteIndex":0},"citationItems":[{"id":2041,"uris":["http://zotero.org/users/9870935/items/QAAMKLCE"],"itemData":{"id":2041,"type":"article-journal","language":"en","source":"Zotero","title":"Active Power Filters for Harmonic Mitigation in Power Systems","author":[{"family":"Siddique","given":"Riashad"}]}}],"schema":"https://github.com/citation-style-language/schema/raw/master/csl-citation.json"} </w:instrText>
      </w:r>
      <w:r>
        <w:rPr>
          <w:szCs w:val="24"/>
        </w:rPr>
        <w:fldChar w:fldCharType="separate"/>
      </w:r>
      <w:r w:rsidR="00B73641" w:rsidRPr="00B73641">
        <w:t>[91]</w:t>
      </w:r>
      <w:r>
        <w:rPr>
          <w:szCs w:val="24"/>
        </w:rPr>
        <w:fldChar w:fldCharType="end"/>
      </w:r>
      <w:r w:rsidRPr="00145C6F">
        <w:rPr>
          <w:szCs w:val="24"/>
        </w:rPr>
        <w:t xml:space="preserve">, are all available as options for mitigation. The use of power factor correction (PFC) circuits in modern server power supplies has </w:t>
      </w:r>
      <w:r w:rsidR="00580BAE" w:rsidRPr="00145C6F">
        <w:rPr>
          <w:szCs w:val="24"/>
        </w:rPr>
        <w:t>minimized</w:t>
      </w:r>
      <w:r w:rsidRPr="00145C6F">
        <w:rPr>
          <w:szCs w:val="24"/>
        </w:rPr>
        <w:t xml:space="preserve"> the harmonic contribution from IT equipment, and most modern servers have a power factor &gt; 0.95 and THD &lt; 10</w:t>
      </w:r>
      <w:r>
        <w:rPr>
          <w:szCs w:val="24"/>
        </w:rPr>
        <w:t xml:space="preserve">% </w:t>
      </w:r>
      <w:r w:rsidRPr="00145C6F">
        <w:rPr>
          <w:szCs w:val="24"/>
        </w:rPr>
        <w:t>at the input terminals</w:t>
      </w:r>
      <w:r>
        <w:rPr>
          <w:szCs w:val="24"/>
        </w:rPr>
        <w:fldChar w:fldCharType="begin"/>
      </w:r>
      <w:r w:rsidR="00B73641">
        <w:rPr>
          <w:szCs w:val="24"/>
        </w:rPr>
        <w:instrText xml:space="preserve"> ADDIN ZOTERO_ITEM CSL_CITATION {"citationID":"pxV0xqgq","properties":{"unsorted":false,"formattedCitation":"[92]","plainCitation":"[92]","noteIndex":0},"citationItems":[{"id":2042,"uris":["http://zotero.org/users/9870935/items/PXUHJN77"],"itemData":{"id":2042,"type":"article-journal","abstract":"Advances in power electronics and their use in Miscellaneous Electric Loads (MELs) in buildings have resulted in increased interest in using low-voltage direct current (DC) power distribution as a replacement for the standard alternating current (AC) power distribution in buildings. Both systems require an endpoint converter to convert the distribution system voltage to the MELs voltage requirements. This study focused on the efficiency of these endpoint converters by testing pairs of AC/DC and DC/DC power converters powering the same load profile. In contrast to prior studies, which estimated losses based on data sheet efficiency and rated loads, in this study, we used part load data derived from real-world time-series load measurements of MELs and experimentally characterized efficiency curves for all converters. The measurements performed for this study showed no systematic efficiency advantage for commercially available DC/DC endpoint converters relative to comparable, commercially available AC/DC endpoint converters. For the eight appliances analyzed with the pair of converters tested, in 50%, the weighted energy efficiency of the DC/DC converter was higher, while, for the other 50%, the AC/DC converter was. Additionally, the measurements indicated that the common assumption of using either data sheet efficiency values or efficiency at full load may result in substantial mis-estimates of the system efficiency.","container-title":"Energies","DOI":"10.3390/en14185863","ISSN":"1996-1073","issue":"18","journalAbbreviation":"Energies","language":"en","page":"5863","source":"DOI.org (Crossref)","title":"Endpoint Use Efficiency Comparison for AC and DC Power Distribution in Commercial Buildings","volume":"14","author":[{"family":"Santos","given":"Arthur"},{"family":"Duggan","given":"Gerald"},{"family":"Frank","given":"Stephen"},{"family":"Gerber","given":"Daniel"},{"family":"Zimmerle","given":"Daniel"}],"issued":{"date-parts":[["2021",9,16]]}}}],"schema":"https://github.com/citation-style-language/schema/raw/master/csl-citation.json"} </w:instrText>
      </w:r>
      <w:r>
        <w:rPr>
          <w:szCs w:val="24"/>
        </w:rPr>
        <w:fldChar w:fldCharType="separate"/>
      </w:r>
      <w:r w:rsidR="00B73641" w:rsidRPr="00B73641">
        <w:t>[92]</w:t>
      </w:r>
      <w:r>
        <w:rPr>
          <w:szCs w:val="24"/>
        </w:rPr>
        <w:fldChar w:fldCharType="end"/>
      </w:r>
      <w:r w:rsidRPr="00145C6F">
        <w:rPr>
          <w:szCs w:val="24"/>
        </w:rPr>
        <w:t>. However, the overall impact of thousands of nonlinear loads is best addressed through facility-level harmonic analysis and mitigation.</w:t>
      </w:r>
    </w:p>
    <w:p w14:paraId="66734DC0" w14:textId="77777777" w:rsidR="00FE013C" w:rsidRDefault="00FE013C" w:rsidP="004C16FF">
      <w:pPr>
        <w:pStyle w:val="Heading20"/>
        <w:jc w:val="both"/>
        <w:rPr>
          <w:color w:val="auto"/>
        </w:rPr>
      </w:pPr>
      <w:r>
        <w:rPr>
          <w:color w:val="auto"/>
        </w:rPr>
        <w:t>3.6. Metering and Monitoring Systems</w:t>
      </w:r>
    </w:p>
    <w:p w14:paraId="707AB882" w14:textId="25FD99CA" w:rsidR="00FE013C" w:rsidRPr="00B83856" w:rsidRDefault="00FE013C" w:rsidP="00B73641">
      <w:pPr>
        <w:spacing w:after="120"/>
        <w:ind w:firstLine="480"/>
        <w:rPr>
          <w:szCs w:val="24"/>
        </w:rPr>
      </w:pPr>
      <w:r w:rsidRPr="00B83856">
        <w:rPr>
          <w:szCs w:val="24"/>
        </w:rPr>
        <w:t xml:space="preserve">Energy management and </w:t>
      </w:r>
      <w:r w:rsidR="00580BAE" w:rsidRPr="00B83856">
        <w:rPr>
          <w:szCs w:val="24"/>
        </w:rPr>
        <w:t>optimization</w:t>
      </w:r>
      <w:r w:rsidRPr="00B83856">
        <w:rPr>
          <w:szCs w:val="24"/>
        </w:rPr>
        <w:t xml:space="preserve"> are built on comprehensive metering and monitoring infrastructure, which ensures real-time data foundation. Revenue-grade power meters are usually ANSI C12.20 Class 0.2 accurate and are used at key distribution points, such as utility interconnections, generator outputs, UPS inputs and outputs, and PDU feed circuits</w:t>
      </w:r>
      <w:r>
        <w:rPr>
          <w:szCs w:val="24"/>
        </w:rPr>
        <w:fldChar w:fldCharType="begin"/>
      </w:r>
      <w:r w:rsidR="00B73641">
        <w:rPr>
          <w:szCs w:val="24"/>
        </w:rPr>
        <w:instrText xml:space="preserve"> ADDIN ZOTERO_ITEM CSL_CITATION {"citationID":"auJULgbp","properties":{"unsorted":false,"formattedCitation":"[93]","plainCitation":"[93]","noteIndex":0},"citationItems":[{"id":2043,"uris":["http://zotero.org/users/9870935/items/S5A8TX2F"],"itemData":{"id":2043,"type":"paper-conference","container-title":"2007 Power Systems Conference: Advanced Metering, Protection, Control, Communication, and Distributed Resources","DOI":"10.1109/PSAMP.2007.4740906","event-title":"2007 Power Systems Conference: Advanced Metering, Protection, Control, Communication, and Distributed Resources","ISBN":"978-1-4244-0854-2","page":"117-122","publisher":"IEEE","publisher-place":"Clemson, SC, USA","source":"DOI.org (Crossref)","title":"The ANSI C12 protocol suite - updated and now with network capabilities","URL":"http://ieeexplore.ieee.org/document/4740906/","author":[{"family":"Snyder","given":"A. F."},{"family":"Stuber","given":"M. T. Garrison"}],"accessed":{"date-parts":[["2026",5,17]]},"issued":{"date-parts":[["2007",3]]}}}],"schema":"https://github.com/citation-style-language/schema/raw/master/csl-citation.json"} </w:instrText>
      </w:r>
      <w:r>
        <w:rPr>
          <w:szCs w:val="24"/>
        </w:rPr>
        <w:fldChar w:fldCharType="separate"/>
      </w:r>
      <w:r w:rsidR="00B73641" w:rsidRPr="00B73641">
        <w:t>[93]</w:t>
      </w:r>
      <w:r>
        <w:rPr>
          <w:szCs w:val="24"/>
        </w:rPr>
        <w:fldChar w:fldCharType="end"/>
      </w:r>
      <w:r w:rsidRPr="00B83856">
        <w:rPr>
          <w:szCs w:val="24"/>
        </w:rPr>
        <w:t xml:space="preserve">. Today's energy management systems (EMS) are designed to collect data from hundreds or thousands of metering points, provide a dashboard, trending, alarm management, and automate reporting. The system can be integrated with building management systems (BMS), which allows for the correlation of electrical consumption with environmental conditions and cooling system performance. Modern EMS platforms provide data logging and analytics features that allow for more advanced efficiency </w:t>
      </w:r>
      <w:r w:rsidR="00580BAE" w:rsidRPr="00B83856">
        <w:rPr>
          <w:szCs w:val="24"/>
        </w:rPr>
        <w:t>optimization</w:t>
      </w:r>
      <w:r w:rsidRPr="00B83856">
        <w:rPr>
          <w:szCs w:val="24"/>
        </w:rPr>
        <w:t>, such as identifying lost energy in equipment not being used, tracking unusual energy use patterns, which can signify equipment deterioration, and comparing actual energy use to predicted energy use based on weather, occupancy, and workload parameters</w:t>
      </w:r>
      <w:r>
        <w:rPr>
          <w:szCs w:val="24"/>
        </w:rPr>
        <w:fldChar w:fldCharType="begin"/>
      </w:r>
      <w:r w:rsidR="00B73641">
        <w:rPr>
          <w:szCs w:val="24"/>
        </w:rPr>
        <w:instrText xml:space="preserve"> ADDIN ZOTERO_ITEM CSL_CITATION {"citationID":"ZVmq8j39","properties":{"unsorted":false,"formattedCitation":"[94]","plainCitation":"[94]","noteIndex":0},"citationItems":[{"id":2044,"uris":["http://zotero.org/users/9870935/items/6R3YK6PU"],"itemData":{"id":2044,"type":"article","abstract":"The rapid proliferation of distributed energy resources (DERs), including photovoltaics, wind power, battery energy storage, and electric vehicles, has transformed traditional power systems into highly decentralized and data-rich environments. Virtual Power Plants (VPPs) have emerged as a key mechanism for aggregating these heterogeneous assets and enabling coordinated control, market participation, and grid-support functions. Recent advances in artificial intelligence (AI) have further elevated the scalability, autonomy, and responsiveness of VPP operations.\nThis paper presents a comprehensive review of AI for VPPs, organized around a taxonomy of machine learning, deep learning, reinforcement learning, and hybrid approaches, and examines how these methods map to core VPP functions such as forecasting, scheduling, market bidding, aggregation, and ancillary services. In parallel, we analyze enabling architectural frameworks—including centralized cloud, distributed edge, hybrid cloud–edge collaboration, and emerging 5G/LEO satellite communication infrastructures—that support real-time data exchange and scalable deployment of intelligent control. By integrating methodological, functional, and architectural perspectives, this review highlights the evolution of VPPs from rule-based coordination to intelligent, autonomous energy ecosystems. Key research challenges are identified in data quality, model interpretability, multi-agent scalability, cyber-physical resilience, and the integration of AI with digital twins and edge-native computation. These findings outline promising directions for next-generation intelligent VPPs capable of delivering secure, flexible, and self-optimizing DER aggregation at scale.","DOI":"10.20944/preprints202601.1691.v1","license":"http://creativecommons.org/licenses/by/4.0","publisher":"Engineering","source":"DOI.org (Crossref)","title":"AI Driven Virtual Power Plants: A Comprehensive Review","title-short":"AI Driven Virtual Power Plants","URL":"https://www.preprints.org/manuscript/202601.1691/v1","author":[{"family":"Li","given":"Jian"},{"family":"Wang","given":"Chenxi"},{"family":"Liu","given":"Yonghe"}],"accessed":{"date-parts":[["2026",5,17]]},"issued":{"date-parts":[["2026",1,22]]}}}],"schema":"https://github.com/citation-style-language/schema/raw/master/csl-citation.json"} </w:instrText>
      </w:r>
      <w:r>
        <w:rPr>
          <w:szCs w:val="24"/>
        </w:rPr>
        <w:fldChar w:fldCharType="separate"/>
      </w:r>
      <w:r w:rsidR="00B73641" w:rsidRPr="00B73641">
        <w:t>[94]</w:t>
      </w:r>
      <w:r>
        <w:rPr>
          <w:szCs w:val="24"/>
        </w:rPr>
        <w:fldChar w:fldCharType="end"/>
      </w:r>
      <w:r w:rsidRPr="00B83856">
        <w:rPr>
          <w:szCs w:val="24"/>
        </w:rPr>
        <w:t>. Machine learning algorithms have been shown to lower cooling energy use by 15–30</w:t>
      </w:r>
      <w:r>
        <w:rPr>
          <w:szCs w:val="24"/>
        </w:rPr>
        <w:t xml:space="preserve">% </w:t>
      </w:r>
      <w:r w:rsidRPr="00B83856">
        <w:rPr>
          <w:szCs w:val="24"/>
        </w:rPr>
        <w:t xml:space="preserve">by </w:t>
      </w:r>
      <w:r w:rsidR="00580BAE" w:rsidRPr="00B83856">
        <w:rPr>
          <w:szCs w:val="24"/>
        </w:rPr>
        <w:t>optimizing</w:t>
      </w:r>
      <w:r w:rsidRPr="00B83856">
        <w:rPr>
          <w:szCs w:val="24"/>
        </w:rPr>
        <w:t xml:space="preserve"> setpoints and scheduling equipment in EMS</w:t>
      </w:r>
      <w:r>
        <w:rPr>
          <w:szCs w:val="24"/>
        </w:rPr>
        <w:fldChar w:fldCharType="begin"/>
      </w:r>
      <w:r w:rsidR="00B73641">
        <w:rPr>
          <w:szCs w:val="24"/>
        </w:rPr>
        <w:instrText xml:space="preserve"> ADDIN ZOTERO_ITEM CSL_CITATION {"citationID":"yq9cwOWS","properties":{"unsorted":false,"formattedCitation":"[95]","plainCitation":"[95]","noteIndex":0},"citationItems":[{"id":2046,"uris":["http://zotero.org/users/9870935/items/P4BXZMCV"],"itemData":{"id":2046,"type":"article","abstract":"Data center cooling systems consume significant auxiliary energy, yet optimization studies rarely quantify the gap between theoretically optimal and operationally deployable control strategies. This paper develops a digital twin of the liquid cooling infrastructure at the Frontier exascale supercomputer, in which a hot-temperature water system comprises three parallel subloops, each serving dedicated coolant distribution unit clusters through plate heat exchangers and variable-speed pumps. The surrogate model is built based on Modelica and validated through one full calendar year of 10-minute operational data following ASHRAE Guideline 14. The model achieves a subloop coefficient of variation of the root mean square error below 2.7% and a normalized mean bias error within 2.5%. Using this validated surrogate model, a layered optimization framework evaluates three progressively constrained strategies: an analytical flow-only optimization achieves 20.4% total energy saving, unconstrained joint optimization of flow rate and supply temperature demonstrates 30.1% total energy saving, and ramp-constrained optimization of flow rate and supply temperature, enforcing actuator rate limits, can reach total energy saving of 27.8%. The analysis reveals that the baseline system operates at 2.9 times the minimum thermally safe flow rate, and the co-optimizing supply temperature with flow rate nearly doubles the savings achievable by flow reduction alone.","DOI":"10.48550/ARXIV.2603.01198","license":"Creative Commons Attribution 4.0 International","note":"version: 3","publisher":"arXiv","source":"DOI.org (Datacite)","title":"Digital Twin-Based Cooling System Optimization for Data Center","URL":"https://arxiv.org/abs/2603.01198","author":[{"family":"Jadhav","given":"Shrenik"},{"family":"Liu","given":"Zheng"}],"accessed":{"date-parts":[["2026",5,17]]},"issued":{"date-parts":[["2026"]]}}}],"schema":"https://github.com/citation-style-language/schema/raw/master/csl-citation.json"} </w:instrText>
      </w:r>
      <w:r>
        <w:rPr>
          <w:szCs w:val="24"/>
        </w:rPr>
        <w:fldChar w:fldCharType="separate"/>
      </w:r>
      <w:r w:rsidR="00B73641" w:rsidRPr="00B73641">
        <w:t>[95]</w:t>
      </w:r>
      <w:r>
        <w:rPr>
          <w:szCs w:val="24"/>
        </w:rPr>
        <w:fldChar w:fldCharType="end"/>
      </w:r>
      <w:r w:rsidRPr="00B83856">
        <w:rPr>
          <w:szCs w:val="24"/>
        </w:rPr>
        <w:t>.</w:t>
      </w:r>
    </w:p>
    <w:p w14:paraId="2F054A70" w14:textId="77777777" w:rsidR="00FE013C" w:rsidRDefault="00FE013C" w:rsidP="004C16FF">
      <w:pPr>
        <w:pStyle w:val="Heading10"/>
        <w:jc w:val="both"/>
        <w:rPr>
          <w:color w:val="auto"/>
        </w:rPr>
      </w:pPr>
      <w:r>
        <w:rPr>
          <w:color w:val="auto"/>
          <w:lang w:eastAsia="zh-CN"/>
        </w:rPr>
        <w:t xml:space="preserve">4. </w:t>
      </w:r>
      <w:r>
        <w:rPr>
          <w:color w:val="auto"/>
        </w:rPr>
        <w:t>Renewable Energy Resources and Assessment</w:t>
      </w:r>
    </w:p>
    <w:p w14:paraId="79058439" w14:textId="72E9945E" w:rsidR="00FE013C" w:rsidRDefault="00FE013C" w:rsidP="004C16FF">
      <w:pPr>
        <w:spacing w:after="120"/>
        <w:ind w:firstLine="480"/>
      </w:pPr>
      <w:r>
        <w:t xml:space="preserve">This section characterizes the solar, wind, and hydroelectric resources available for data </w:t>
      </w:r>
      <w:r w:rsidR="00580BAE">
        <w:t>center</w:t>
      </w:r>
      <w:r>
        <w:t xml:space="preserve"> integration, along with the methodologies used to assess these resources and quantify their variability. Understanding the resource characteristics is fundamental to optimal technology selection, system sizing, and operational strategy development for renewable-powered data </w:t>
      </w:r>
      <w:r w:rsidR="00580BAE">
        <w:t>center</w:t>
      </w:r>
      <w:r>
        <w:t>s.</w:t>
      </w:r>
    </w:p>
    <w:p w14:paraId="63AE813B" w14:textId="77777777" w:rsidR="00FE013C" w:rsidRDefault="00FE013C" w:rsidP="004C16FF">
      <w:pPr>
        <w:pStyle w:val="Heading20"/>
        <w:jc w:val="both"/>
        <w:rPr>
          <w:color w:val="auto"/>
        </w:rPr>
      </w:pPr>
      <w:r>
        <w:rPr>
          <w:color w:val="auto"/>
        </w:rPr>
        <w:t>4.1. Solar Photovoltaic Systems</w:t>
      </w:r>
    </w:p>
    <w:p w14:paraId="38A09E75" w14:textId="0F1574EF" w:rsidR="00FE013C" w:rsidRPr="00C071A1" w:rsidRDefault="00FE013C" w:rsidP="004C16FF">
      <w:pPr>
        <w:spacing w:after="120"/>
        <w:ind w:firstLine="480"/>
      </w:pPr>
      <w:r w:rsidRPr="00C071A1">
        <w:t xml:space="preserve">PV is now the least expensive renewable energy option in most locations for data </w:t>
      </w:r>
      <w:r w:rsidR="00580BAE">
        <w:t>center</w:t>
      </w:r>
      <w:r w:rsidRPr="00C071A1">
        <w:t>s where the sun shines. Currently available monocrystalline modules in the commercial market have efficiencies of 20–23%, whereas high-efficiency modules with heterojunction (HJT) or tunnel oxide passivated contact (</w:t>
      </w:r>
      <w:proofErr w:type="spellStart"/>
      <w:r w:rsidRPr="00C071A1">
        <w:t>TOPCon</w:t>
      </w:r>
      <w:proofErr w:type="spellEnd"/>
      <w:r w:rsidRPr="00C071A1">
        <w:t>) cell architectures have achieved efficiencies of 23–25% under standard test conditions [13]. According to the latest global market indicators, the weighted average cost of utility-scale ground-mounted solar PV systems has continued its historic decline, sitting between $0.70 and $1.30/W ($700 to $1,300/kW) in the current market, marking an approximate 87% to 90% drop from the 2010 benchmarks [14]. This downward cost trajectory is sustained by industry capacity, with IRENA’s latest 24/7 power analytics projecting an additional 30% reduction in firm solar-plus-storage configuration costs by 2030, eventually dipping beyond 40% by 2035</w:t>
      </w:r>
      <w:r>
        <w:fldChar w:fldCharType="begin"/>
      </w:r>
      <w:r>
        <w:instrText xml:space="preserve"> ADDIN ZOTERO_ITEM CSL_CITATION {"citationID":"Cv3TnBxB","properties":{"unsorted":false,"formattedCitation":"[36]","plainCitation":"[36]","noteIndex":0},"citationItems":[{"id":1967,"uris":["http://zotero.org/users/9870935/items/AQSZGCZJ"],"itemData":{"id":1967,"type":"article-journal","abstract":"Perovskite–TOPCon\n              2\n              tandem solar cells reaching 31.3% efficiency on front-textured devices, enabled by an optimized AlO\n              \n                x\n              \n              -based hydrogenation process that provides high passivation quality.\n            \n          , \n            \n              We demonstrate high-efficiency perovskite–silicon tandem solar cells using double-sided tunnel oxide passivated contacts (TOPCon\n              2\n              ) bottom cells, achieving 30.2% efficiency on both-sides flat and 31.3% on front-textured devices. The former is enabled by high passivation quality on flat surfaces and the latter by enhanced optical performance. These results highlight that TOPCon\n              2\n              is a promising platform for scalable tandem integration beyond silicon heterojunction-based bottom cells.","container-title":"EES Solar","DOI":"10.1039/D5EL00105F","ISSN":"3033-4063","issue":"5","journalAbbreviation":"EES Sol.","language":"en","page":"732-735","source":"DOI.org (Crossref)","title":"Over 31%-efficient perovskite–TOPCon solar cells enabled by AlO&lt;sub&gt; &lt;i&gt;x&lt;/i&gt; &lt;/sub&gt; -based hydrogenation and front sub-micron texturing","volume":"1","author":[{"family":"Hurni","given":"Julien"},{"family":"Artuk","given":"Kerem"},{"family":"Schaller","given":"Thibault"},{"family":"Austin","given":"Jonathan S."},{"family":"Sakakibara","given":"Reyu"},{"family":"Paviet-Salomon","given":"Bertrand"},{"family":"Morisset","given":"Audrey"},{"family":"Fu","given":"Fan"},{"family":"Ballif","given":"Christophe"},{"family":"Wolff","given":"Christian M."},{"family":"Haug","given":"Franz-Josef"}],"issued":{"date-parts":[["2025"]]}}}],"schema":"https://github.com/citation-style-language/schema/raw/master/csl-citation.json"} </w:instrText>
      </w:r>
      <w:r>
        <w:fldChar w:fldCharType="separate"/>
      </w:r>
      <w:r w:rsidRPr="00BB1439">
        <w:t>[36]</w:t>
      </w:r>
      <w:r>
        <w:fldChar w:fldCharType="end"/>
      </w:r>
      <w:r w:rsidRPr="00C071A1">
        <w:t>.</w:t>
      </w:r>
    </w:p>
    <w:p w14:paraId="04EBC92C" w14:textId="2D28DB65" w:rsidR="00FE013C" w:rsidRDefault="00FE013C" w:rsidP="00B73641">
      <w:pPr>
        <w:spacing w:after="120"/>
        <w:ind w:firstLine="480"/>
      </w:pPr>
      <w:r w:rsidRPr="00C071A1">
        <w:lastRenderedPageBreak/>
        <w:t>The geographic variability of solar capacity factors is high, with values ranging from 13% to 17</w:t>
      </w:r>
      <w:r>
        <w:t xml:space="preserve">% </w:t>
      </w:r>
      <w:r w:rsidRPr="00C071A1">
        <w:t>in the northern part of Europe and the Pacific Northwest and from 25% to 30</w:t>
      </w:r>
      <w:r>
        <w:t xml:space="preserve">% </w:t>
      </w:r>
      <w:r w:rsidRPr="00C071A1">
        <w:t>in the desert Southwest of the U.S. and the arid areas of the Middle East and North Africa</w:t>
      </w:r>
      <w:r>
        <w:fldChar w:fldCharType="begin"/>
      </w:r>
      <w:r w:rsidR="00B73641">
        <w:instrText xml:space="preserve"> ADDIN ZOTERO_ITEM CSL_CITATION {"citationID":"JNDExKFF","properties":{"unsorted":false,"formattedCitation":"[96]","plainCitation":"[96]","noteIndex":0},"citationItems":[{"id":2049,"uris":["http://zotero.org/users/9870935/items/HTQQE34D"],"itemData":{"id":2049,"type":"post-weblog","title":"National Renewable Energy Laboratory (NREL)","URL":"https://atb.nrel.gov/","author":[{"family":"NREL","given":""}]}}],"schema":"https://github.com/citation-style-language/schema/raw/master/csl-citation.json"} </w:instrText>
      </w:r>
      <w:r>
        <w:fldChar w:fldCharType="separate"/>
      </w:r>
      <w:r w:rsidR="00B73641" w:rsidRPr="00B73641">
        <w:t>[96]</w:t>
      </w:r>
      <w:r>
        <w:fldChar w:fldCharType="end"/>
      </w:r>
      <w:r w:rsidRPr="00C071A1">
        <w:t>. NREL's Annual Technology Baseline reports net capacity factors spanning 21% to 34</w:t>
      </w:r>
      <w:r>
        <w:t xml:space="preserve">% </w:t>
      </w:r>
      <w:r w:rsidRPr="00C071A1">
        <w:t>for utility-scale PV across solar resource classes</w:t>
      </w:r>
      <w:r>
        <w:fldChar w:fldCharType="begin"/>
      </w:r>
      <w:r w:rsidR="00B73641">
        <w:instrText xml:space="preserve"> ADDIN ZOTERO_ITEM CSL_CITATION {"citationID":"h6U7qzDb","properties":{"unsorted":false,"formattedCitation":"[96]","plainCitation":"[96]","noteIndex":0},"citationItems":[{"id":2049,"uris":["http://zotero.org/users/9870935/items/HTQQE34D"],"itemData":{"id":2049,"type":"post-weblog","title":"National Renewable Energy Laboratory (NREL)","URL":"https://atb.nrel.gov/","author":[{"family":"NREL","given":""}]}}],"schema":"https://github.com/citation-style-language/schema/raw/master/csl-citation.json"} </w:instrText>
      </w:r>
      <w:r>
        <w:fldChar w:fldCharType="separate"/>
      </w:r>
      <w:r w:rsidR="00B73641" w:rsidRPr="00B73641">
        <w:t>[96]</w:t>
      </w:r>
      <w:r>
        <w:fldChar w:fldCharType="end"/>
      </w:r>
      <w:r w:rsidRPr="00C071A1">
        <w:t>. The performance of the inverter is a key factor; modern string and central inverters provide weighted average efficiencies of 95% to 98.5</w:t>
      </w:r>
      <w:r>
        <w:t>%</w:t>
      </w:r>
      <w:r w:rsidRPr="00C071A1">
        <w:t xml:space="preserve"> under varying irradiance and temperature conditions. Going beyond basic energy conversion, advanced inverter functions such as reactive power control, voltage ride-through, and dynamic frequency response are becoming mandatory under modern grid interconnection standards, adding crucial resilience and value to the host network</w:t>
      </w:r>
      <w:r>
        <w:fldChar w:fldCharType="begin"/>
      </w:r>
      <w:r w:rsidR="00B73641">
        <w:instrText xml:space="preserve"> ADDIN ZOTERO_ITEM CSL_CITATION {"citationID":"XP0P73le","properties":{"unsorted":false,"formattedCitation":"[97]","plainCitation":"[97]","noteIndex":0},"citationItems":[{"id":2050,"uris":["http://zotero.org/users/9870935/items/XRT6BU8P"],"itemData":{"id":2050,"type":"article-journal","DOI":"10.5445/IR/1000191363","language":"en","license":"Open Access, Creative Commons Namensnennung 4.0 International","publisher":"Elsevier","source":"DOI.org (Datacite)","title":"Photovoltaic system reduces grid voltage waveform distortions in the frequency range from 700 Hz to 1250 Hz","URL":"https://publikationen.bibliothek.kit.edu/1000191363","author":[{"family":"Förstner","given":"Ellen"},{"family":"Dughmosh","given":"Mohamad"},{"family":"Mikut","given":"Ralf"},{"family":"Haefele","given":"Karl-Heinz"},{"family":"Jakel","given":"Denis"},{"family":"Bao","given":"Kaibin"},{"family":"Maaß","given":"Heiko"},{"family":"Jumar","given":"Richard"},{"family":"Fotler","given":"Andreas"},{"family":"Kühnapfel","given":"Uwe"},{"family":"Hagenmeyer","given":"Veit"}],"accessed":{"date-parts":[["2026",5,17]]},"issued":{"date-parts":[["2026"]]}}}],"schema":"https://github.com/citation-style-language/schema/raw/master/csl-citation.json"} </w:instrText>
      </w:r>
      <w:r>
        <w:fldChar w:fldCharType="separate"/>
      </w:r>
      <w:r w:rsidR="00B73641" w:rsidRPr="00B73641">
        <w:t>[97]</w:t>
      </w:r>
      <w:r>
        <w:fldChar w:fldCharType="end"/>
      </w:r>
      <w:r w:rsidRPr="00C071A1">
        <w:t>.</w:t>
      </w:r>
      <w:r>
        <w:t xml:space="preserve"> </w:t>
      </w:r>
      <w:r w:rsidRPr="008447E1">
        <w:t>Table 2 compiles annual capacity factors and installed cost benchmarks across six U.S. regions, providing the site-specific input parameters needed to apply the framework's site assessment component (Component 1, Section 7.2).</w:t>
      </w:r>
    </w:p>
    <w:p w14:paraId="64914837" w14:textId="78191E74" w:rsidR="00FE013C" w:rsidRDefault="00FE013C" w:rsidP="004C16FF">
      <w:pPr>
        <w:pStyle w:val="Caption"/>
        <w:keepNext/>
      </w:pPr>
      <w:r>
        <w:t xml:space="preserve">Table </w:t>
      </w:r>
      <w:r>
        <w:fldChar w:fldCharType="begin"/>
      </w:r>
      <w:r>
        <w:instrText xml:space="preserve"> SEQ Table \* ARABIC </w:instrText>
      </w:r>
      <w:r>
        <w:fldChar w:fldCharType="separate"/>
      </w:r>
      <w:r w:rsidR="003A3C82">
        <w:rPr>
          <w:noProof/>
        </w:rPr>
        <w:t>2</w:t>
      </w:r>
      <w:r>
        <w:rPr>
          <w:noProof/>
        </w:rPr>
        <w:fldChar w:fldCharType="end"/>
      </w:r>
      <w:r>
        <w:t xml:space="preserve"> Solar PV capacity factors by U.S. region</w:t>
      </w:r>
    </w:p>
    <w:tbl>
      <w:tblPr>
        <w:tblStyle w:val="Mdeck5tablebodythreelines"/>
        <w:tblW w:w="0" w:type="auto"/>
        <w:tblLook w:val="04A0" w:firstRow="1" w:lastRow="0" w:firstColumn="1" w:lastColumn="0" w:noHBand="0" w:noVBand="1"/>
      </w:tblPr>
      <w:tblGrid>
        <w:gridCol w:w="2905"/>
        <w:gridCol w:w="1683"/>
        <w:gridCol w:w="1371"/>
        <w:gridCol w:w="1323"/>
        <w:gridCol w:w="2111"/>
      </w:tblGrid>
      <w:tr w:rsidR="00FE013C" w:rsidRPr="00877478" w14:paraId="01C732C8" w14:textId="77777777" w:rsidTr="00CC7EAF">
        <w:trPr>
          <w:cnfStyle w:val="100000000000" w:firstRow="1" w:lastRow="0" w:firstColumn="0" w:lastColumn="0" w:oddVBand="0" w:evenVBand="0" w:oddHBand="0" w:evenHBand="0" w:firstRowFirstColumn="0" w:firstRowLastColumn="0" w:lastRowFirstColumn="0" w:lastRowLastColumn="0"/>
        </w:trPr>
        <w:tc>
          <w:tcPr>
            <w:tcW w:w="0" w:type="auto"/>
            <w:hideMark/>
          </w:tcPr>
          <w:p w14:paraId="348C5EC4" w14:textId="77777777" w:rsidR="00FE013C" w:rsidRPr="00CC7EAF" w:rsidRDefault="00FE013C" w:rsidP="004C16FF">
            <w:pPr>
              <w:pStyle w:val="TableBody"/>
              <w:jc w:val="both"/>
              <w:rPr>
                <w:b/>
                <w:bCs/>
                <w:color w:val="auto"/>
                <w:lang w:val="en-US"/>
              </w:rPr>
            </w:pPr>
            <w:r w:rsidRPr="00CC7EAF">
              <w:rPr>
                <w:b/>
                <w:bCs/>
                <w:color w:val="auto"/>
                <w:lang w:val="en-US"/>
              </w:rPr>
              <w:t>Region</w:t>
            </w:r>
          </w:p>
        </w:tc>
        <w:tc>
          <w:tcPr>
            <w:tcW w:w="0" w:type="auto"/>
            <w:hideMark/>
          </w:tcPr>
          <w:p w14:paraId="081C578E" w14:textId="77777777" w:rsidR="00FE013C" w:rsidRPr="00CC7EAF" w:rsidRDefault="00FE013C" w:rsidP="004C16FF">
            <w:pPr>
              <w:pStyle w:val="TableBody"/>
              <w:jc w:val="both"/>
              <w:rPr>
                <w:b/>
                <w:bCs/>
                <w:color w:val="auto"/>
                <w:lang w:val="en-US"/>
              </w:rPr>
            </w:pPr>
            <w:r w:rsidRPr="00CC7EAF">
              <w:rPr>
                <w:b/>
                <w:bCs/>
                <w:color w:val="auto"/>
                <w:lang w:val="en-US"/>
              </w:rPr>
              <w:t>Annual CF (%)</w:t>
            </w:r>
          </w:p>
        </w:tc>
        <w:tc>
          <w:tcPr>
            <w:tcW w:w="0" w:type="auto"/>
            <w:hideMark/>
          </w:tcPr>
          <w:p w14:paraId="4257879A" w14:textId="77777777" w:rsidR="00FE013C" w:rsidRPr="00CC7EAF" w:rsidRDefault="00FE013C" w:rsidP="004C16FF">
            <w:pPr>
              <w:pStyle w:val="TableBody"/>
              <w:jc w:val="both"/>
              <w:rPr>
                <w:b/>
                <w:bCs/>
                <w:color w:val="auto"/>
                <w:lang w:val="en-US"/>
              </w:rPr>
            </w:pPr>
            <w:r w:rsidRPr="00CC7EAF">
              <w:rPr>
                <w:b/>
                <w:bCs/>
                <w:color w:val="auto"/>
                <w:lang w:val="en-US"/>
              </w:rPr>
              <w:t>Peak Month</w:t>
            </w:r>
          </w:p>
        </w:tc>
        <w:tc>
          <w:tcPr>
            <w:tcW w:w="0" w:type="auto"/>
            <w:hideMark/>
          </w:tcPr>
          <w:p w14:paraId="32F9EE72" w14:textId="77777777" w:rsidR="00FE013C" w:rsidRPr="00CC7EAF" w:rsidRDefault="00FE013C" w:rsidP="004C16FF">
            <w:pPr>
              <w:pStyle w:val="TableBody"/>
              <w:jc w:val="both"/>
              <w:rPr>
                <w:b/>
                <w:bCs/>
                <w:color w:val="auto"/>
                <w:lang w:val="en-US"/>
              </w:rPr>
            </w:pPr>
            <w:r w:rsidRPr="00CC7EAF">
              <w:rPr>
                <w:b/>
                <w:bCs/>
                <w:color w:val="auto"/>
                <w:lang w:val="en-US"/>
              </w:rPr>
              <w:t>Low Month</w:t>
            </w:r>
          </w:p>
        </w:tc>
        <w:tc>
          <w:tcPr>
            <w:tcW w:w="0" w:type="auto"/>
            <w:hideMark/>
          </w:tcPr>
          <w:p w14:paraId="393D5A8A" w14:textId="77777777" w:rsidR="00FE013C" w:rsidRPr="00CC7EAF" w:rsidRDefault="00FE013C" w:rsidP="004C16FF">
            <w:pPr>
              <w:pStyle w:val="TableBody"/>
              <w:jc w:val="both"/>
              <w:rPr>
                <w:b/>
                <w:bCs/>
                <w:color w:val="auto"/>
                <w:lang w:val="en-US"/>
              </w:rPr>
            </w:pPr>
            <w:r w:rsidRPr="00CC7EAF">
              <w:rPr>
                <w:b/>
                <w:bCs/>
                <w:color w:val="auto"/>
                <w:lang w:val="en-US"/>
              </w:rPr>
              <w:t>Installed Cost ($/W)</w:t>
            </w:r>
          </w:p>
        </w:tc>
      </w:tr>
      <w:tr w:rsidR="00FE013C" w:rsidRPr="00877478" w14:paraId="0E7B20FD" w14:textId="77777777" w:rsidTr="00CC7EAF">
        <w:tc>
          <w:tcPr>
            <w:tcW w:w="0" w:type="auto"/>
            <w:hideMark/>
          </w:tcPr>
          <w:p w14:paraId="51F3E38B" w14:textId="77777777" w:rsidR="00FE013C" w:rsidRPr="00CC7EAF" w:rsidRDefault="00FE013C" w:rsidP="004C16FF">
            <w:pPr>
              <w:pStyle w:val="TableBody"/>
              <w:jc w:val="both"/>
              <w:rPr>
                <w:b/>
                <w:bCs/>
                <w:color w:val="auto"/>
                <w:lang w:val="en-US"/>
              </w:rPr>
            </w:pPr>
            <w:r w:rsidRPr="00CC7EAF">
              <w:rPr>
                <w:b/>
                <w:bCs/>
                <w:color w:val="auto"/>
                <w:lang w:val="en-US"/>
              </w:rPr>
              <w:t>Southwest (AZ, NM, NV)</w:t>
            </w:r>
          </w:p>
        </w:tc>
        <w:tc>
          <w:tcPr>
            <w:tcW w:w="0" w:type="auto"/>
            <w:hideMark/>
          </w:tcPr>
          <w:p w14:paraId="146D30E1" w14:textId="77777777" w:rsidR="00FE013C" w:rsidRPr="00CC7EAF" w:rsidRDefault="00FE013C" w:rsidP="004C16FF">
            <w:pPr>
              <w:pStyle w:val="TableBody"/>
              <w:jc w:val="both"/>
              <w:rPr>
                <w:b/>
                <w:bCs/>
                <w:color w:val="auto"/>
                <w:lang w:val="en-US"/>
              </w:rPr>
            </w:pPr>
            <w:r w:rsidRPr="00CC7EAF">
              <w:rPr>
                <w:b/>
                <w:bCs/>
                <w:color w:val="auto"/>
                <w:lang w:val="en-US"/>
              </w:rPr>
              <w:t>25–30%</w:t>
            </w:r>
          </w:p>
        </w:tc>
        <w:tc>
          <w:tcPr>
            <w:tcW w:w="0" w:type="auto"/>
            <w:hideMark/>
          </w:tcPr>
          <w:p w14:paraId="3BF8E900" w14:textId="77777777" w:rsidR="00FE013C" w:rsidRPr="00CC7EAF" w:rsidRDefault="00FE013C" w:rsidP="004C16FF">
            <w:pPr>
              <w:pStyle w:val="TableBody"/>
              <w:jc w:val="both"/>
              <w:rPr>
                <w:b/>
                <w:bCs/>
                <w:color w:val="auto"/>
                <w:lang w:val="en-US"/>
              </w:rPr>
            </w:pPr>
            <w:r w:rsidRPr="00CC7EAF">
              <w:rPr>
                <w:b/>
                <w:bCs/>
                <w:color w:val="auto"/>
                <w:lang w:val="en-US"/>
              </w:rPr>
              <w:t>June</w:t>
            </w:r>
          </w:p>
        </w:tc>
        <w:tc>
          <w:tcPr>
            <w:tcW w:w="0" w:type="auto"/>
            <w:hideMark/>
          </w:tcPr>
          <w:p w14:paraId="570F86DB" w14:textId="77777777" w:rsidR="00FE013C" w:rsidRPr="00CC7EAF" w:rsidRDefault="00FE013C" w:rsidP="004C16FF">
            <w:pPr>
              <w:pStyle w:val="TableBody"/>
              <w:jc w:val="both"/>
              <w:rPr>
                <w:b/>
                <w:bCs/>
                <w:color w:val="auto"/>
                <w:lang w:val="en-US"/>
              </w:rPr>
            </w:pPr>
            <w:r w:rsidRPr="00CC7EAF">
              <w:rPr>
                <w:b/>
                <w:bCs/>
                <w:color w:val="auto"/>
                <w:lang w:val="en-US"/>
              </w:rPr>
              <w:t>December</w:t>
            </w:r>
          </w:p>
        </w:tc>
        <w:tc>
          <w:tcPr>
            <w:tcW w:w="0" w:type="auto"/>
            <w:hideMark/>
          </w:tcPr>
          <w:p w14:paraId="09B561F1" w14:textId="77777777" w:rsidR="00FE013C" w:rsidRPr="00CC7EAF" w:rsidRDefault="00FE013C" w:rsidP="004C16FF">
            <w:pPr>
              <w:pStyle w:val="TableBody"/>
              <w:jc w:val="both"/>
              <w:rPr>
                <w:b/>
                <w:bCs/>
                <w:color w:val="auto"/>
                <w:lang w:val="en-US"/>
              </w:rPr>
            </w:pPr>
            <w:r w:rsidRPr="00CC7EAF">
              <w:rPr>
                <w:b/>
                <w:bCs/>
                <w:color w:val="auto"/>
                <w:lang w:val="en-US"/>
              </w:rPr>
              <w:t>$0.70–$0.90</w:t>
            </w:r>
          </w:p>
        </w:tc>
      </w:tr>
      <w:tr w:rsidR="00FE013C" w:rsidRPr="00877478" w14:paraId="1261FE16" w14:textId="77777777" w:rsidTr="00CC7EAF">
        <w:tc>
          <w:tcPr>
            <w:tcW w:w="0" w:type="auto"/>
            <w:hideMark/>
          </w:tcPr>
          <w:p w14:paraId="24AD337F" w14:textId="77777777" w:rsidR="00FE013C" w:rsidRPr="00CC7EAF" w:rsidRDefault="00FE013C" w:rsidP="004C16FF">
            <w:pPr>
              <w:pStyle w:val="TableBody"/>
              <w:jc w:val="both"/>
              <w:rPr>
                <w:b/>
                <w:bCs/>
                <w:color w:val="auto"/>
                <w:lang w:val="en-US"/>
              </w:rPr>
            </w:pPr>
            <w:r w:rsidRPr="00CC7EAF">
              <w:rPr>
                <w:b/>
                <w:bCs/>
                <w:color w:val="auto"/>
                <w:lang w:val="en-US"/>
              </w:rPr>
              <w:t>Southeast (FL, TX, GA)</w:t>
            </w:r>
          </w:p>
        </w:tc>
        <w:tc>
          <w:tcPr>
            <w:tcW w:w="0" w:type="auto"/>
            <w:hideMark/>
          </w:tcPr>
          <w:p w14:paraId="239D61B6" w14:textId="77777777" w:rsidR="00FE013C" w:rsidRPr="00CC7EAF" w:rsidRDefault="00FE013C" w:rsidP="004C16FF">
            <w:pPr>
              <w:pStyle w:val="TableBody"/>
              <w:jc w:val="both"/>
              <w:rPr>
                <w:b/>
                <w:bCs/>
                <w:color w:val="auto"/>
                <w:lang w:val="en-US"/>
              </w:rPr>
            </w:pPr>
            <w:r w:rsidRPr="00CC7EAF">
              <w:rPr>
                <w:b/>
                <w:bCs/>
                <w:color w:val="auto"/>
                <w:lang w:val="en-US"/>
              </w:rPr>
              <w:t>18–22%</w:t>
            </w:r>
          </w:p>
        </w:tc>
        <w:tc>
          <w:tcPr>
            <w:tcW w:w="0" w:type="auto"/>
            <w:hideMark/>
          </w:tcPr>
          <w:p w14:paraId="67BA3D09" w14:textId="77777777" w:rsidR="00FE013C" w:rsidRPr="00CC7EAF" w:rsidRDefault="00FE013C" w:rsidP="004C16FF">
            <w:pPr>
              <w:pStyle w:val="TableBody"/>
              <w:jc w:val="both"/>
              <w:rPr>
                <w:b/>
                <w:bCs/>
                <w:color w:val="auto"/>
                <w:lang w:val="en-US"/>
              </w:rPr>
            </w:pPr>
            <w:r w:rsidRPr="00CC7EAF">
              <w:rPr>
                <w:b/>
                <w:bCs/>
                <w:color w:val="auto"/>
                <w:lang w:val="en-US"/>
              </w:rPr>
              <w:t>May</w:t>
            </w:r>
          </w:p>
        </w:tc>
        <w:tc>
          <w:tcPr>
            <w:tcW w:w="0" w:type="auto"/>
            <w:hideMark/>
          </w:tcPr>
          <w:p w14:paraId="6EC46BC4" w14:textId="77777777" w:rsidR="00FE013C" w:rsidRPr="00CC7EAF" w:rsidRDefault="00FE013C" w:rsidP="004C16FF">
            <w:pPr>
              <w:pStyle w:val="TableBody"/>
              <w:jc w:val="both"/>
              <w:rPr>
                <w:b/>
                <w:bCs/>
                <w:color w:val="auto"/>
                <w:lang w:val="en-US"/>
              </w:rPr>
            </w:pPr>
            <w:r w:rsidRPr="00CC7EAF">
              <w:rPr>
                <w:b/>
                <w:bCs/>
                <w:color w:val="auto"/>
                <w:lang w:val="en-US"/>
              </w:rPr>
              <w:t>December</w:t>
            </w:r>
          </w:p>
        </w:tc>
        <w:tc>
          <w:tcPr>
            <w:tcW w:w="0" w:type="auto"/>
            <w:hideMark/>
          </w:tcPr>
          <w:p w14:paraId="006734D2" w14:textId="77777777" w:rsidR="00FE013C" w:rsidRPr="00CC7EAF" w:rsidRDefault="00FE013C" w:rsidP="004C16FF">
            <w:pPr>
              <w:pStyle w:val="TableBody"/>
              <w:jc w:val="both"/>
              <w:rPr>
                <w:b/>
                <w:bCs/>
                <w:color w:val="auto"/>
                <w:lang w:val="en-US"/>
              </w:rPr>
            </w:pPr>
            <w:r w:rsidRPr="00CC7EAF">
              <w:rPr>
                <w:b/>
                <w:bCs/>
                <w:color w:val="auto"/>
                <w:lang w:val="en-US"/>
              </w:rPr>
              <w:t>$0.80–$1.05</w:t>
            </w:r>
          </w:p>
        </w:tc>
      </w:tr>
      <w:tr w:rsidR="00FE013C" w:rsidRPr="00877478" w14:paraId="65B512FD" w14:textId="77777777" w:rsidTr="00CC7EAF">
        <w:tc>
          <w:tcPr>
            <w:tcW w:w="0" w:type="auto"/>
            <w:hideMark/>
          </w:tcPr>
          <w:p w14:paraId="545D4265" w14:textId="77777777" w:rsidR="00FE013C" w:rsidRPr="00CC7EAF" w:rsidRDefault="00FE013C" w:rsidP="004C16FF">
            <w:pPr>
              <w:pStyle w:val="TableBody"/>
              <w:jc w:val="both"/>
              <w:rPr>
                <w:b/>
                <w:bCs/>
                <w:color w:val="auto"/>
                <w:lang w:val="en-US"/>
              </w:rPr>
            </w:pPr>
            <w:r w:rsidRPr="00CC7EAF">
              <w:rPr>
                <w:b/>
                <w:bCs/>
                <w:color w:val="auto"/>
                <w:lang w:val="en-US"/>
              </w:rPr>
              <w:t>Midwest (IL, MN)</w:t>
            </w:r>
          </w:p>
        </w:tc>
        <w:tc>
          <w:tcPr>
            <w:tcW w:w="0" w:type="auto"/>
            <w:hideMark/>
          </w:tcPr>
          <w:p w14:paraId="18C911F0" w14:textId="77777777" w:rsidR="00FE013C" w:rsidRPr="00CC7EAF" w:rsidRDefault="00FE013C" w:rsidP="004C16FF">
            <w:pPr>
              <w:pStyle w:val="TableBody"/>
              <w:jc w:val="both"/>
              <w:rPr>
                <w:b/>
                <w:bCs/>
                <w:color w:val="auto"/>
                <w:lang w:val="en-US"/>
              </w:rPr>
            </w:pPr>
            <w:r w:rsidRPr="00CC7EAF">
              <w:rPr>
                <w:b/>
                <w:bCs/>
                <w:color w:val="auto"/>
                <w:lang w:val="en-US"/>
              </w:rPr>
              <w:t>15–19%</w:t>
            </w:r>
          </w:p>
        </w:tc>
        <w:tc>
          <w:tcPr>
            <w:tcW w:w="0" w:type="auto"/>
            <w:hideMark/>
          </w:tcPr>
          <w:p w14:paraId="74C1E9CB" w14:textId="77777777" w:rsidR="00FE013C" w:rsidRPr="00CC7EAF" w:rsidRDefault="00FE013C" w:rsidP="004C16FF">
            <w:pPr>
              <w:pStyle w:val="TableBody"/>
              <w:jc w:val="both"/>
              <w:rPr>
                <w:b/>
                <w:bCs/>
                <w:color w:val="auto"/>
                <w:lang w:val="en-US"/>
              </w:rPr>
            </w:pPr>
            <w:r w:rsidRPr="00CC7EAF">
              <w:rPr>
                <w:b/>
                <w:bCs/>
                <w:color w:val="auto"/>
                <w:lang w:val="en-US"/>
              </w:rPr>
              <w:t>June</w:t>
            </w:r>
          </w:p>
        </w:tc>
        <w:tc>
          <w:tcPr>
            <w:tcW w:w="0" w:type="auto"/>
            <w:hideMark/>
          </w:tcPr>
          <w:p w14:paraId="4E330722" w14:textId="77777777" w:rsidR="00FE013C" w:rsidRPr="00CC7EAF" w:rsidRDefault="00FE013C" w:rsidP="004C16FF">
            <w:pPr>
              <w:pStyle w:val="TableBody"/>
              <w:jc w:val="both"/>
              <w:rPr>
                <w:b/>
                <w:bCs/>
                <w:color w:val="auto"/>
                <w:lang w:val="en-US"/>
              </w:rPr>
            </w:pPr>
            <w:r w:rsidRPr="00CC7EAF">
              <w:rPr>
                <w:b/>
                <w:bCs/>
                <w:color w:val="auto"/>
                <w:lang w:val="en-US"/>
              </w:rPr>
              <w:t>December</w:t>
            </w:r>
          </w:p>
        </w:tc>
        <w:tc>
          <w:tcPr>
            <w:tcW w:w="0" w:type="auto"/>
            <w:hideMark/>
          </w:tcPr>
          <w:p w14:paraId="16A57CE5" w14:textId="77777777" w:rsidR="00FE013C" w:rsidRPr="00CC7EAF" w:rsidRDefault="00FE013C" w:rsidP="004C16FF">
            <w:pPr>
              <w:pStyle w:val="TableBody"/>
              <w:jc w:val="both"/>
              <w:rPr>
                <w:b/>
                <w:bCs/>
                <w:color w:val="auto"/>
                <w:lang w:val="en-US"/>
              </w:rPr>
            </w:pPr>
            <w:r w:rsidRPr="00CC7EAF">
              <w:rPr>
                <w:b/>
                <w:bCs/>
                <w:color w:val="auto"/>
                <w:lang w:val="en-US"/>
              </w:rPr>
              <w:t>$0.80–$1.05</w:t>
            </w:r>
          </w:p>
        </w:tc>
      </w:tr>
      <w:tr w:rsidR="00FE013C" w:rsidRPr="00877478" w14:paraId="7AB0277E" w14:textId="77777777" w:rsidTr="00CC7EAF">
        <w:tc>
          <w:tcPr>
            <w:tcW w:w="0" w:type="auto"/>
            <w:hideMark/>
          </w:tcPr>
          <w:p w14:paraId="6EA65DC8" w14:textId="77777777" w:rsidR="00FE013C" w:rsidRPr="00CC7EAF" w:rsidRDefault="00FE013C" w:rsidP="004C16FF">
            <w:pPr>
              <w:pStyle w:val="TableBody"/>
              <w:jc w:val="both"/>
              <w:rPr>
                <w:b/>
                <w:bCs/>
                <w:color w:val="auto"/>
                <w:lang w:val="en-US"/>
              </w:rPr>
            </w:pPr>
            <w:r w:rsidRPr="00CC7EAF">
              <w:rPr>
                <w:b/>
                <w:bCs/>
                <w:color w:val="auto"/>
                <w:lang w:val="en-US"/>
              </w:rPr>
              <w:t>Mid-Atlantic (NC, VA)</w:t>
            </w:r>
          </w:p>
        </w:tc>
        <w:tc>
          <w:tcPr>
            <w:tcW w:w="0" w:type="auto"/>
            <w:hideMark/>
          </w:tcPr>
          <w:p w14:paraId="7F68B4BE" w14:textId="77777777" w:rsidR="00FE013C" w:rsidRPr="00CC7EAF" w:rsidRDefault="00FE013C" w:rsidP="004C16FF">
            <w:pPr>
              <w:pStyle w:val="TableBody"/>
              <w:jc w:val="both"/>
              <w:rPr>
                <w:b/>
                <w:bCs/>
                <w:color w:val="auto"/>
                <w:lang w:val="en-US"/>
              </w:rPr>
            </w:pPr>
            <w:r w:rsidRPr="00CC7EAF">
              <w:rPr>
                <w:b/>
                <w:bCs/>
                <w:color w:val="auto"/>
                <w:lang w:val="en-US"/>
              </w:rPr>
              <w:t>17–20%</w:t>
            </w:r>
          </w:p>
        </w:tc>
        <w:tc>
          <w:tcPr>
            <w:tcW w:w="0" w:type="auto"/>
            <w:hideMark/>
          </w:tcPr>
          <w:p w14:paraId="6EEADD39" w14:textId="77777777" w:rsidR="00FE013C" w:rsidRPr="00CC7EAF" w:rsidRDefault="00FE013C" w:rsidP="004C16FF">
            <w:pPr>
              <w:pStyle w:val="TableBody"/>
              <w:jc w:val="both"/>
              <w:rPr>
                <w:b/>
                <w:bCs/>
                <w:color w:val="auto"/>
                <w:lang w:val="en-US"/>
              </w:rPr>
            </w:pPr>
            <w:r w:rsidRPr="00CC7EAF">
              <w:rPr>
                <w:b/>
                <w:bCs/>
                <w:color w:val="auto"/>
                <w:lang w:val="en-US"/>
              </w:rPr>
              <w:t>July</w:t>
            </w:r>
          </w:p>
        </w:tc>
        <w:tc>
          <w:tcPr>
            <w:tcW w:w="0" w:type="auto"/>
            <w:hideMark/>
          </w:tcPr>
          <w:p w14:paraId="4335CBD1" w14:textId="77777777" w:rsidR="00FE013C" w:rsidRPr="00CC7EAF" w:rsidRDefault="00FE013C" w:rsidP="004C16FF">
            <w:pPr>
              <w:pStyle w:val="TableBody"/>
              <w:jc w:val="both"/>
              <w:rPr>
                <w:b/>
                <w:bCs/>
                <w:color w:val="auto"/>
                <w:lang w:val="en-US"/>
              </w:rPr>
            </w:pPr>
            <w:r w:rsidRPr="00CC7EAF">
              <w:rPr>
                <w:b/>
                <w:bCs/>
                <w:color w:val="auto"/>
                <w:lang w:val="en-US"/>
              </w:rPr>
              <w:t>December</w:t>
            </w:r>
          </w:p>
        </w:tc>
        <w:tc>
          <w:tcPr>
            <w:tcW w:w="0" w:type="auto"/>
            <w:hideMark/>
          </w:tcPr>
          <w:p w14:paraId="01D8F15D" w14:textId="77777777" w:rsidR="00FE013C" w:rsidRPr="00CC7EAF" w:rsidRDefault="00FE013C" w:rsidP="004C16FF">
            <w:pPr>
              <w:pStyle w:val="TableBody"/>
              <w:jc w:val="both"/>
              <w:rPr>
                <w:b/>
                <w:bCs/>
                <w:color w:val="auto"/>
                <w:lang w:val="en-US"/>
              </w:rPr>
            </w:pPr>
            <w:r w:rsidRPr="00CC7EAF">
              <w:rPr>
                <w:b/>
                <w:bCs/>
                <w:color w:val="auto"/>
                <w:lang w:val="en-US"/>
              </w:rPr>
              <w:t>$0.85–$1.10</w:t>
            </w:r>
          </w:p>
        </w:tc>
      </w:tr>
      <w:tr w:rsidR="00FE013C" w:rsidRPr="00877478" w14:paraId="7773A2FF" w14:textId="77777777" w:rsidTr="00CC7EAF">
        <w:tc>
          <w:tcPr>
            <w:tcW w:w="0" w:type="auto"/>
            <w:hideMark/>
          </w:tcPr>
          <w:p w14:paraId="52E7FB25" w14:textId="77777777" w:rsidR="00FE013C" w:rsidRPr="00CC7EAF" w:rsidRDefault="00FE013C" w:rsidP="004C16FF">
            <w:pPr>
              <w:pStyle w:val="TableBody"/>
              <w:jc w:val="both"/>
              <w:rPr>
                <w:b/>
                <w:bCs/>
                <w:color w:val="auto"/>
                <w:lang w:val="en-US"/>
              </w:rPr>
            </w:pPr>
            <w:r w:rsidRPr="00CC7EAF">
              <w:rPr>
                <w:b/>
                <w:bCs/>
                <w:color w:val="auto"/>
                <w:lang w:val="en-US"/>
              </w:rPr>
              <w:t>Pacific Northwest (WA, OR)</w:t>
            </w:r>
          </w:p>
        </w:tc>
        <w:tc>
          <w:tcPr>
            <w:tcW w:w="0" w:type="auto"/>
            <w:hideMark/>
          </w:tcPr>
          <w:p w14:paraId="289A9A47" w14:textId="77777777" w:rsidR="00FE013C" w:rsidRPr="00CC7EAF" w:rsidRDefault="00FE013C" w:rsidP="004C16FF">
            <w:pPr>
              <w:pStyle w:val="TableBody"/>
              <w:jc w:val="both"/>
              <w:rPr>
                <w:b/>
                <w:bCs/>
                <w:color w:val="auto"/>
                <w:lang w:val="en-US"/>
              </w:rPr>
            </w:pPr>
            <w:r w:rsidRPr="00CC7EAF">
              <w:rPr>
                <w:b/>
                <w:bCs/>
                <w:color w:val="auto"/>
                <w:lang w:val="en-US"/>
              </w:rPr>
              <w:t>13–16%</w:t>
            </w:r>
          </w:p>
        </w:tc>
        <w:tc>
          <w:tcPr>
            <w:tcW w:w="0" w:type="auto"/>
            <w:hideMark/>
          </w:tcPr>
          <w:p w14:paraId="4E1D557B" w14:textId="77777777" w:rsidR="00FE013C" w:rsidRPr="00CC7EAF" w:rsidRDefault="00FE013C" w:rsidP="004C16FF">
            <w:pPr>
              <w:pStyle w:val="TableBody"/>
              <w:jc w:val="both"/>
              <w:rPr>
                <w:b/>
                <w:bCs/>
                <w:color w:val="auto"/>
                <w:lang w:val="en-US"/>
              </w:rPr>
            </w:pPr>
            <w:r w:rsidRPr="00CC7EAF">
              <w:rPr>
                <w:b/>
                <w:bCs/>
                <w:color w:val="auto"/>
                <w:lang w:val="en-US"/>
              </w:rPr>
              <w:t>July</w:t>
            </w:r>
          </w:p>
        </w:tc>
        <w:tc>
          <w:tcPr>
            <w:tcW w:w="0" w:type="auto"/>
            <w:hideMark/>
          </w:tcPr>
          <w:p w14:paraId="566538A8" w14:textId="77777777" w:rsidR="00FE013C" w:rsidRPr="00CC7EAF" w:rsidRDefault="00FE013C" w:rsidP="004C16FF">
            <w:pPr>
              <w:pStyle w:val="TableBody"/>
              <w:jc w:val="both"/>
              <w:rPr>
                <w:b/>
                <w:bCs/>
                <w:color w:val="auto"/>
                <w:lang w:val="en-US"/>
              </w:rPr>
            </w:pPr>
            <w:r w:rsidRPr="00CC7EAF">
              <w:rPr>
                <w:b/>
                <w:bCs/>
                <w:color w:val="auto"/>
                <w:lang w:val="en-US"/>
              </w:rPr>
              <w:t>December</w:t>
            </w:r>
          </w:p>
        </w:tc>
        <w:tc>
          <w:tcPr>
            <w:tcW w:w="0" w:type="auto"/>
            <w:hideMark/>
          </w:tcPr>
          <w:p w14:paraId="043B713B" w14:textId="77777777" w:rsidR="00FE013C" w:rsidRPr="00CC7EAF" w:rsidRDefault="00FE013C" w:rsidP="004C16FF">
            <w:pPr>
              <w:pStyle w:val="TableBody"/>
              <w:jc w:val="both"/>
              <w:rPr>
                <w:b/>
                <w:bCs/>
                <w:color w:val="auto"/>
                <w:lang w:val="en-US"/>
              </w:rPr>
            </w:pPr>
            <w:r w:rsidRPr="00CC7EAF">
              <w:rPr>
                <w:b/>
                <w:bCs/>
                <w:color w:val="auto"/>
                <w:lang w:val="en-US"/>
              </w:rPr>
              <w:t>$0.95–$1.20</w:t>
            </w:r>
          </w:p>
        </w:tc>
      </w:tr>
      <w:tr w:rsidR="00FE013C" w:rsidRPr="00877478" w14:paraId="0ED80A9A" w14:textId="77777777" w:rsidTr="00CC7EAF">
        <w:tc>
          <w:tcPr>
            <w:tcW w:w="0" w:type="auto"/>
            <w:hideMark/>
          </w:tcPr>
          <w:p w14:paraId="2A41042E" w14:textId="77777777" w:rsidR="00FE013C" w:rsidRPr="00CC7EAF" w:rsidRDefault="00FE013C" w:rsidP="004C16FF">
            <w:pPr>
              <w:pStyle w:val="TableBody"/>
              <w:jc w:val="both"/>
              <w:rPr>
                <w:b/>
                <w:bCs/>
                <w:color w:val="auto"/>
                <w:lang w:val="en-US"/>
              </w:rPr>
            </w:pPr>
            <w:r w:rsidRPr="00CC7EAF">
              <w:rPr>
                <w:b/>
                <w:bCs/>
                <w:color w:val="auto"/>
                <w:lang w:val="en-US"/>
              </w:rPr>
              <w:t>Northeast (NY, MA)</w:t>
            </w:r>
          </w:p>
        </w:tc>
        <w:tc>
          <w:tcPr>
            <w:tcW w:w="0" w:type="auto"/>
            <w:hideMark/>
          </w:tcPr>
          <w:p w14:paraId="1B4A0FC9" w14:textId="77777777" w:rsidR="00FE013C" w:rsidRPr="00CC7EAF" w:rsidRDefault="00FE013C" w:rsidP="004C16FF">
            <w:pPr>
              <w:pStyle w:val="TableBody"/>
              <w:jc w:val="both"/>
              <w:rPr>
                <w:b/>
                <w:bCs/>
                <w:color w:val="auto"/>
                <w:lang w:val="en-US"/>
              </w:rPr>
            </w:pPr>
            <w:r w:rsidRPr="00CC7EAF">
              <w:rPr>
                <w:b/>
                <w:bCs/>
                <w:color w:val="auto"/>
                <w:lang w:val="en-US"/>
              </w:rPr>
              <w:t>14–17%</w:t>
            </w:r>
          </w:p>
        </w:tc>
        <w:tc>
          <w:tcPr>
            <w:tcW w:w="0" w:type="auto"/>
            <w:hideMark/>
          </w:tcPr>
          <w:p w14:paraId="034C58E8" w14:textId="77777777" w:rsidR="00FE013C" w:rsidRPr="00CC7EAF" w:rsidRDefault="00FE013C" w:rsidP="004C16FF">
            <w:pPr>
              <w:pStyle w:val="TableBody"/>
              <w:jc w:val="both"/>
              <w:rPr>
                <w:b/>
                <w:bCs/>
                <w:color w:val="auto"/>
                <w:lang w:val="en-US"/>
              </w:rPr>
            </w:pPr>
            <w:r w:rsidRPr="00CC7EAF">
              <w:rPr>
                <w:b/>
                <w:bCs/>
                <w:color w:val="auto"/>
                <w:lang w:val="en-US"/>
              </w:rPr>
              <w:t>June</w:t>
            </w:r>
          </w:p>
        </w:tc>
        <w:tc>
          <w:tcPr>
            <w:tcW w:w="0" w:type="auto"/>
            <w:hideMark/>
          </w:tcPr>
          <w:p w14:paraId="22FB6951" w14:textId="77777777" w:rsidR="00FE013C" w:rsidRPr="00CC7EAF" w:rsidRDefault="00FE013C" w:rsidP="004C16FF">
            <w:pPr>
              <w:pStyle w:val="TableBody"/>
              <w:jc w:val="both"/>
              <w:rPr>
                <w:b/>
                <w:bCs/>
                <w:color w:val="auto"/>
                <w:lang w:val="en-US"/>
              </w:rPr>
            </w:pPr>
            <w:r w:rsidRPr="00CC7EAF">
              <w:rPr>
                <w:b/>
                <w:bCs/>
                <w:color w:val="auto"/>
                <w:lang w:val="en-US"/>
              </w:rPr>
              <w:t>December</w:t>
            </w:r>
          </w:p>
        </w:tc>
        <w:tc>
          <w:tcPr>
            <w:tcW w:w="0" w:type="auto"/>
            <w:hideMark/>
          </w:tcPr>
          <w:p w14:paraId="22040246" w14:textId="77777777" w:rsidR="00FE013C" w:rsidRPr="00CC7EAF" w:rsidRDefault="00FE013C" w:rsidP="004C16FF">
            <w:pPr>
              <w:pStyle w:val="TableBody"/>
              <w:jc w:val="both"/>
              <w:rPr>
                <w:b/>
                <w:bCs/>
                <w:color w:val="auto"/>
                <w:lang w:val="en-US"/>
              </w:rPr>
            </w:pPr>
            <w:r w:rsidRPr="00CC7EAF">
              <w:rPr>
                <w:b/>
                <w:bCs/>
                <w:color w:val="auto"/>
                <w:lang w:val="en-US"/>
              </w:rPr>
              <w:t>$0.95–$1.25</w:t>
            </w:r>
          </w:p>
        </w:tc>
      </w:tr>
    </w:tbl>
    <w:p w14:paraId="111B8140" w14:textId="77777777" w:rsidR="00FE013C" w:rsidRDefault="00FE013C" w:rsidP="004C16FF">
      <w:pPr>
        <w:spacing w:after="120"/>
        <w:ind w:firstLine="480"/>
      </w:pPr>
      <w:r w:rsidRPr="00BE68C7">
        <w:t>Fig. 3 traces the historical decline in solar PV installed costs from 2010 to 2026, demonstrating the 87–90% reduction in system costs that has made utility-scale solar the least-cost electricity generation source in most global markets.</w:t>
      </w:r>
    </w:p>
    <w:p w14:paraId="673A3CC7" w14:textId="77777777" w:rsidR="00FE013C" w:rsidRDefault="00FE013C" w:rsidP="00484A3A">
      <w:pPr>
        <w:keepNext/>
        <w:jc w:val="center"/>
      </w:pPr>
      <w:r w:rsidRPr="00D65F06">
        <w:rPr>
          <w:noProof/>
          <w:lang w:val="en-CA"/>
        </w:rPr>
        <w:drawing>
          <wp:inline distT="0" distB="0" distL="0" distR="0" wp14:anchorId="2BD9BAE2" wp14:editId="5AE33A0E">
            <wp:extent cx="5615940" cy="1714500"/>
            <wp:effectExtent l="0" t="0" r="3810" b="0"/>
            <wp:docPr id="2085134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rotWithShape="1">
                    <a:blip r:embed="rId14">
                      <a:extLst>
                        <a:ext uri="{28A0092B-C50C-407E-A947-70E740481C1C}">
                          <a14:useLocalDpi xmlns:a14="http://schemas.microsoft.com/office/drawing/2010/main" val="0"/>
                        </a:ext>
                      </a:extLst>
                    </a:blip>
                    <a:srcRect t="9638"/>
                    <a:stretch>
                      <a:fillRect/>
                    </a:stretch>
                  </pic:blipFill>
                  <pic:spPr bwMode="auto">
                    <a:xfrm>
                      <a:off x="0" y="0"/>
                      <a:ext cx="5615940" cy="1714500"/>
                    </a:xfrm>
                    <a:prstGeom prst="rect">
                      <a:avLst/>
                    </a:prstGeom>
                    <a:noFill/>
                    <a:ln>
                      <a:noFill/>
                    </a:ln>
                    <a:extLst>
                      <a:ext uri="{53640926-AAD7-44D8-BBD7-CCE9431645EC}">
                        <a14:shadowObscured xmlns:a14="http://schemas.microsoft.com/office/drawing/2010/main"/>
                      </a:ext>
                    </a:extLst>
                  </pic:spPr>
                </pic:pic>
              </a:graphicData>
            </a:graphic>
          </wp:inline>
        </w:drawing>
      </w:r>
    </w:p>
    <w:p w14:paraId="403A97E7" w14:textId="0C9548CD" w:rsidR="00FE013C" w:rsidRDefault="00FE013C" w:rsidP="00484A3A">
      <w:pPr>
        <w:pStyle w:val="Caption"/>
        <w:jc w:val="center"/>
      </w:pPr>
      <w:r>
        <w:t xml:space="preserve">Figure </w:t>
      </w:r>
      <w:r>
        <w:fldChar w:fldCharType="begin"/>
      </w:r>
      <w:r>
        <w:instrText xml:space="preserve"> SEQ Figure \* ARABIC </w:instrText>
      </w:r>
      <w:r>
        <w:fldChar w:fldCharType="separate"/>
      </w:r>
      <w:r w:rsidR="00807110">
        <w:rPr>
          <w:noProof/>
        </w:rPr>
        <w:t>4</w:t>
      </w:r>
      <w:r>
        <w:rPr>
          <w:noProof/>
        </w:rPr>
        <w:fldChar w:fldCharType="end"/>
      </w:r>
      <w:r>
        <w:t xml:space="preserve"> </w:t>
      </w:r>
      <w:r w:rsidRPr="00B765D6">
        <w:t>Solar PV installed system cost decline (2010–2026), showing the 87–90% reduction from 2010 benchmarks</w:t>
      </w:r>
    </w:p>
    <w:p w14:paraId="22E24B31" w14:textId="77777777" w:rsidR="00FE013C" w:rsidRDefault="00FE013C" w:rsidP="004C16FF">
      <w:pPr>
        <w:pStyle w:val="Heading20"/>
        <w:jc w:val="both"/>
        <w:rPr>
          <w:color w:val="auto"/>
        </w:rPr>
      </w:pPr>
      <w:r>
        <w:rPr>
          <w:color w:val="auto"/>
        </w:rPr>
        <w:t xml:space="preserve">4.2. </w:t>
      </w:r>
      <w:r w:rsidRPr="002068F4">
        <w:rPr>
          <w:color w:val="auto"/>
        </w:rPr>
        <w:t>Wind Energy Systems</w:t>
      </w:r>
    </w:p>
    <w:p w14:paraId="5E6B5B35" w14:textId="7C06539E" w:rsidR="00FE013C" w:rsidRDefault="00FE013C" w:rsidP="00B73641">
      <w:pPr>
        <w:spacing w:after="120"/>
        <w:ind w:firstLine="480"/>
      </w:pPr>
      <w:r>
        <w:t xml:space="preserve">Wind energy contributes to a complementary generation profile to solar PV, </w:t>
      </w:r>
      <w:r w:rsidRPr="00ED54A3">
        <w:t>as it is more productive during night-time hours and winter months when solar PV output is lowest</w:t>
      </w:r>
      <w:r>
        <w:t xml:space="preserve">. In high resource areas, onshore wind turbines generally have capacity factors of 30-45%, and these are highest in areas like the U.S. Great Plains and in coastal areas which are influenced by offshore wind. The technology for generating power from offshore wind has come a long way and has reached a stage of maturity, where the capacity factor for fixed bottom installations is typically 40-55%, and for floating offshore wind, this is still in line with fixed bottom installations, with deployment to deeper waters underway. </w:t>
      </w:r>
      <w:r>
        <w:lastRenderedPageBreak/>
        <w:t>Onshore wind's levelized cost has also reduced significantly, now around $26-$50/MWh in recent analyses, making it one of the lowest cost generation sources in the world</w:t>
      </w:r>
      <w:r>
        <w:fldChar w:fldCharType="begin"/>
      </w:r>
      <w:r w:rsidR="00B73641">
        <w:instrText xml:space="preserve"> ADDIN ZOTERO_ITEM CSL_CITATION {"citationID":"h6bmKIqm","properties":{"unsorted":false,"formattedCitation":"[98]","plainCitation":"[98]","noteIndex":0},"citationItems":[{"id":2051,"uris":["http://zotero.org/users/9870935/items/4VD6QWRZ"],"itemData":{"id":2051,"type":"article-journal","abstract":"Renewable energy sources (RESs), as clean, abundant, and inexhaustible source of energy, have developed quickly in recent years and played more and more important roles around the world. However, RESs also have some disadvantages, such as the weakness of stability, and by the the estimated increase of utilizing RESs in the near future, researchers began to give more attention to these issues. This paper presents a novel output power fluctuate compensation scheme in the small-scale power system, verifying the effect of output power control using storage battery, demand response and RESs. Four scenarios are considered in the proposed approach: real-time pricing demand response employment, RESs output control use and both of demand response and RESs output control implementation. The performance of the proposed control technique is investigated using the real 10-bus power system model of Okinawa island, Japan. Moreover, the system stability is checked using the pole-zero maps for all of the control loops associated with the proposed scheme. The robustness and effectiveness of the proposed method was verified by simulation using Matlab®/Simulink®.","container-title":"Energies","DOI":"10.3390/en11123412","ISSN":"1996-1073","issue":"12","journalAbbreviation":"Energies","language":"en","page":"3412","source":"DOI.org (Crossref)","title":"Load Frequency Control Using Demand Response and Storage Battery by Considering Renewable Energy Sources","volume":"11","author":[{"family":"Liu","given":"Lei"},{"family":"Matayoshi","given":"Hidehito"},{"family":"Lotfy","given":"Mohammed Elsayed"},{"family":"Datta","given":"Manoj"},{"family":"Senjyu","given":"Tomonobu"}],"issued":{"date-parts":[["2018",12,5]]}}}],"schema":"https://github.com/citation-style-language/schema/raw/master/csl-citation.json"} </w:instrText>
      </w:r>
      <w:r>
        <w:fldChar w:fldCharType="separate"/>
      </w:r>
      <w:r w:rsidR="00B73641" w:rsidRPr="00B73641">
        <w:t>[98]</w:t>
      </w:r>
      <w:r>
        <w:fldChar w:fldCharType="end"/>
      </w:r>
      <w:r>
        <w:t>.</w:t>
      </w:r>
    </w:p>
    <w:p w14:paraId="5796FA3C" w14:textId="78B04CEC" w:rsidR="00FE013C" w:rsidRDefault="00FE013C" w:rsidP="00B73641">
      <w:pPr>
        <w:spacing w:after="120"/>
        <w:ind w:firstLine="480"/>
      </w:pPr>
      <w:r>
        <w:t xml:space="preserve">There have been improvements in wind resource assessment through the development of tools for measuring wind resources and atmospheric modelling. While ground-based anemometry is the standard for project-level assessment, the use of LiDAR systems is becoming common for remote wind profiling and wake </w:t>
      </w:r>
      <w:r w:rsidR="00580BAE">
        <w:t>characterization</w:t>
      </w:r>
      <w:r>
        <w:t xml:space="preserve">, providing flexible and cost-effective measurement capabilities. The use of numerical weather prediction (NWP) models and computational fluid dynamics (CFD) can now provide detailed flow </w:t>
      </w:r>
      <w:r w:rsidR="00580BAE">
        <w:t>characterization</w:t>
      </w:r>
      <w:r>
        <w:t xml:space="preserve"> of wind over complex terrain. These models account for the loss of downstream turbine energy production owing to turbine wake, which can reach 10–30% depending on spacing and atmospheric circumstances. The NREL Offshore Wind Market Report: 2024 Edition reports that the U.S. offshore wind project pipeline is nearly 80,000 MW (about 79.5 GW) in size, reflecting the scale of offshore wind installation in the country</w:t>
      </w:r>
      <w:r>
        <w:fldChar w:fldCharType="begin"/>
      </w:r>
      <w:r w:rsidR="00B73641">
        <w:instrText xml:space="preserve"> ADDIN ZOTERO_ITEM CSL_CITATION {"citationID":"vGg2z3bh","properties":{"unsorted":false,"formattedCitation":"[99]","plainCitation":"[99]","noteIndex":0},"citationItems":[{"id":2054,"uris":["http://zotero.org/users/9870935/items/9TII72A6"],"itemData":{"id":2054,"type":"article","abstract":"Recent work by Lanzilao and Meyers (2024) has shown that wind-farm blockage introduces an unfavourable pressure gradient in front of the farm and a favourable pressure gradient in the farm, which are strongly correlated with the nonlocal efﬁciency and wake efﬁciency, respectively. In particular, the favourable pressure gradient in the farm increases the farm wake efﬁciency, deﬁned as the average farm power normalized by the average front-row power. Here, we investigate the impact of blockage on wake development and the power of wind turbines using an idealized large-eddy simulation setup in which blockage conditions are artiﬁcially introduced using a rigid lid, in addition to using neutral stratiﬁcation and no wind veer. We simulate both inﬁnite and ﬁnite single turbine rows, as well as a setup with two staggered rows. Blockage strength is adjusted by varying the boundary layer height (H ) and turbine spacing (S). We ﬁnd that blockage strongly affects near-wake behaviour, altering Froude momentum theory, by introducing a favourable pressure difference (1pNW) across the turbine row. The same setup also leads to an unfavourable pressure difference (1pFW) in the far wake, which simply follows from the rigid-lid conditions and the change in momentum ﬂux due to wake recovery. A strong positive correlation of −1pNW with both the power coefﬁcient (CP) and thrust coefﬁcient (CT) is observed. Speciﬁcally, as S and H decrease, −1pNW, CP, and CT increase. At the same time, a lower induction is observed at the rotor disc, and a lower wake deﬁcit, in the near wake. The reduction of near-wake velocity deﬁcit as a result of blockage also translates into lower deﬁcits and wake widths in the far wake. When scaling the far-wake development with the initial far-wake deﬁcit and width, we do not see a direct effect of the adverse pressure gradient on the wake recovery. However, we do see a profound effect of H on the wake spreading, with higher boundary layers leading to faster spreading. This relates to the fact that the wake can more freely expand vertically in high-boundary layer cases into a larger region of high-speed ﬂow than for shallow boundary layers. Finally, we introduce a simpliﬁed Froude momentum balance to parameterize the relation between blockage, pressure drop, and near-wake properties and compare it to the large-eddy simulation results.","DOI":"10.5194/wes-2025-6","language":"en","license":"https://creativecommons.org/licenses/by/4.0/","publisher":"Fluid mechanics/Wakes and wind farm aerodynamics","source":"DOI.org (Crossref)","title":"Effect of blockage on wind turbine power and wake development","URL":"https://wes.copernicus.org/articles/10/2079/2025/wes-10-2079-2025-discussion.html","author":[{"family":"Ndindayino","given":"Olivier"},{"family":"Puel","given":"Augustin"},{"family":"Meyers","given":"Johan"}],"accessed":{"date-parts":[["2026",5,17]]},"issued":{"date-parts":[["2025",2,12]]}}}],"schema":"https://github.com/citation-style-language/schema/raw/master/csl-citation.json"} </w:instrText>
      </w:r>
      <w:r>
        <w:fldChar w:fldCharType="separate"/>
      </w:r>
      <w:r w:rsidR="00B73641" w:rsidRPr="00B73641">
        <w:t>[99]</w:t>
      </w:r>
      <w:r>
        <w:fldChar w:fldCharType="end"/>
      </w:r>
      <w:r>
        <w:t>.</w:t>
      </w:r>
    </w:p>
    <w:p w14:paraId="560AC4E9" w14:textId="77777777" w:rsidR="00FE013C" w:rsidRDefault="00FE013C" w:rsidP="004C16FF">
      <w:pPr>
        <w:pStyle w:val="Heading20"/>
        <w:jc w:val="both"/>
        <w:rPr>
          <w:color w:val="auto"/>
        </w:rPr>
      </w:pPr>
      <w:r>
        <w:rPr>
          <w:color w:val="auto"/>
        </w:rPr>
        <w:t>4.3. Hydroelectric Power</w:t>
      </w:r>
    </w:p>
    <w:p w14:paraId="7630F4CF" w14:textId="6A30FF1E" w:rsidR="00FE013C" w:rsidRDefault="00FE013C" w:rsidP="004C16FF">
      <w:pPr>
        <w:spacing w:after="120"/>
        <w:ind w:firstLine="480"/>
      </w:pPr>
      <w:r>
        <w:t xml:space="preserve">The dispatchability and ability to use hydro assets as generation and storage resources give them special attributes for data </w:t>
      </w:r>
      <w:r w:rsidR="00580BAE">
        <w:t>center</w:t>
      </w:r>
      <w:r>
        <w:t xml:space="preserve"> integration. Run-of-river (ROR) hydroelectric projects provide relatively stable baseload production, dependent on the flow variability for a particular season, and capacity factors are generally between 40% and 60%</w:t>
      </w:r>
      <w:r>
        <w:fldChar w:fldCharType="begin"/>
      </w:r>
      <w:r>
        <w:instrText xml:space="preserve"> ADDIN ZOTERO_ITEM CSL_CITATION {"citationID":"HWrKIYzN","properties":{"unsorted":false,"formattedCitation":"[43]","plainCitation":"[43]","noteIndex":0},"citationItems":[{"id":1977,"uris":["http://zotero.org/users/9870935/items/F2FF39J5"],"itemData":{"id":1977,"type":"article-journal","abstract":"Energy storage technologies are becoming increasingly important when it comes to maintaining the balance between electricity generation and consumption, especially with the increasing share of variable renewable energy sources (VRES). Pumped storage hydropower plants (PSHs) are currently the largest form of energy storage at the grid level. The aim of this study is to investigate the importance and prospects of using PSHs as part of the energy transition to decarbonize energy sources. A comparison was made between PSHs and battery energy storage systems (BESSs) in terms of technical, economic, and ecological aspects. To identify the key factors influencing the wider adoption of PSHs, a combined approach using SWOT analysis (which assesses strengths, weaknesses, opportunities, and threats) and the Analytical Hierarchy Process (AHP) as a decision support tool was applied. Regulatory and market uncertainties (13.54%) and financial inequality (12.77%) rank first and belong to the “Threats” group, with energy storage capacity (10.11%) as the most important factor from the “Strengths” group and increased demand for energy storage (9.01%) as the most important factor from the “Opportunities” group. Forecasts up to 2050 show that the capacity of PSHs must be doubled to enable the integration of 80% of VRES into the grids. The study concludes that PSHs play a key role in the energy transition, especially for long-term energy storage and grid stabilization, while BESSs offer complementary benefits for short-term storage and fast frequency regulation. Recommendations to policymakers include the development of clear, accelerated project approval procedures, financial incentives, and support for hybrid PSH systems to accelerate the energy transition and meet decarbonization targets.","container-title":"Technologies","DOI":"10.3390/technologies13070305","ISSN":"2227-7080","issue":"7","journalAbbreviation":"Technologies","language":"en","page":"305","source":"DOI.org (Crossref)","title":"SWOT-AHP Analysis of the Importance and Adoption of Pumped-Storage Hydropower","volume":"13","author":[{"family":"Bošnjaković","given":"Mladen"},{"family":"Veljić","given":"Nataša"},{"family":"Božič","given":"Jelena Topić"},{"family":"Muhič","given":"Simon"}],"issued":{"date-parts":[["2025",7,16]]}}}],"schema":"https://github.com/citation-style-language/schema/raw/master/csl-citation.json"} </w:instrText>
      </w:r>
      <w:r>
        <w:fldChar w:fldCharType="separate"/>
      </w:r>
      <w:r w:rsidRPr="00095712">
        <w:t>[43]</w:t>
      </w:r>
      <w:r>
        <w:fldChar w:fldCharType="end"/>
      </w:r>
      <w:r>
        <w:t xml:space="preserve">. Reservoir-based systems provide storage capacity from </w:t>
      </w:r>
      <w:proofErr w:type="gramStart"/>
      <w:r>
        <w:t>days</w:t>
      </w:r>
      <w:proofErr w:type="gramEnd"/>
      <w:r>
        <w:t xml:space="preserve"> to </w:t>
      </w:r>
      <w:proofErr w:type="gramStart"/>
      <w:r>
        <w:t>months</w:t>
      </w:r>
      <w:proofErr w:type="gramEnd"/>
      <w:r>
        <w:t xml:space="preserve"> and thus can provide firming capacity for variable renewables. The largest technology for grid-scale energy storage is pumped storage hydropower (PSH), which now makes up approximately 95% of the installed storage worldwide and has a round-trip efficiency between 70% and 85%</w:t>
      </w:r>
      <w:r>
        <w:fldChar w:fldCharType="begin"/>
      </w:r>
      <w:r>
        <w:instrText xml:space="preserve"> ADDIN ZOTERO_ITEM CSL_CITATION {"citationID":"iKGaFVBd","properties":{"unsorted":false,"formattedCitation":"[44]","plainCitation":"[44]","noteIndex":0},"citationItems":[{"id":1980,"uris":["http://zotero.org/users/9870935/items/LG6W4RRX"],"itemData":{"id":1980,"type":"article-journal","container-title":"Renewable Energy","DOI":"10.1016/j.renene.2024.121411","ISSN":"09601481","journalAbbreviation":"Renewable Energy","language":"en","page":"121411","source":"DOI.org (Crossref)","title":"The role of hydropower in decarbonisation scenarios","volume":"236","author":[{"family":"Catania","given":"M."},{"family":"Parolin","given":"F."},{"family":"Fattori","given":"F."},{"family":"Colbertaldo","given":"P."}],"issued":{"date-parts":[["2024",12]]}}}],"schema":"https://github.com/citation-style-language/schema/raw/master/csl-citation.json"} </w:instrText>
      </w:r>
      <w:r>
        <w:fldChar w:fldCharType="separate"/>
      </w:r>
      <w:r w:rsidRPr="001623F2">
        <w:t>[44]</w:t>
      </w:r>
      <w:r>
        <w:fldChar w:fldCharType="end"/>
      </w:r>
      <w:r>
        <w:t>.</w:t>
      </w:r>
    </w:p>
    <w:p w14:paraId="4F2CA50E" w14:textId="4B8B96EF" w:rsidR="00FE013C" w:rsidRDefault="00FE013C" w:rsidP="00B73641">
      <w:pPr>
        <w:spacing w:after="120"/>
        <w:ind w:firstLine="480"/>
      </w:pPr>
      <w:r>
        <w:t xml:space="preserve">Hydro is not scalable for data </w:t>
      </w:r>
      <w:r w:rsidR="00580BAE">
        <w:t>center</w:t>
      </w:r>
      <w:r>
        <w:t xml:space="preserve"> applications, primarily due to geographic constraints. The geomorphic conditions required for developing new PSH include a large vertical difference in elevation between the upper and lower reservoirs, the presence of a data </w:t>
      </w:r>
      <w:r w:rsidR="00580BAE">
        <w:t>center</w:t>
      </w:r>
      <w:r>
        <w:t xml:space="preserve"> load </w:t>
      </w:r>
      <w:r w:rsidR="00580BAE">
        <w:t>center</w:t>
      </w:r>
      <w:r>
        <w:t>, and availability of water. New hydroelectric developments can take 5 to 10 years to obtain environmental permits, and the requirements are complex, covering impacts to aquatic ecosystems, recreational use, and recreational values</w:t>
      </w:r>
      <w:r>
        <w:fldChar w:fldCharType="begin"/>
      </w:r>
      <w:r w:rsidR="00B73641">
        <w:instrText xml:space="preserve"> ADDIN ZOTERO_ITEM CSL_CITATION {"citationID":"dA9ckfvX","properties":{"unsorted":false,"formattedCitation":"[100]","plainCitation":"[100]","noteIndex":0},"citationItems":[{"id":2055,"uris":["http://zotero.org/users/9870935/items/L7F3BAIB"],"itemData":{"id":2055,"type":"article-journal","container-title":"Journal of Energy Storage","DOI":"10.1016/j.est.2023.109306","ISSN":"2352152X","journalAbbreviation":"Journal of Energy Storage","language":"en","page":"109306","source":"DOI.org (Crossref)","title":"Optimization of pumped hydro energy storage systems under uncertainty: A review","title-short":"Optimization of pumped hydro energy storage systems under uncertainty","volume":"73","author":[{"family":"Toufani","given":"Parinaz"},{"family":"Karakoyun","given":"Ece Cigdem"},{"family":"Nadar","given":"Emre"},{"family":"Fosso","given":"Olav B."},{"family":"Kocaman","given":"Ayse Selin"}],"issued":{"date-parts":[["2023",12]]}}}],"schema":"https://github.com/citation-style-language/schema/raw/master/csl-citation.json"} </w:instrText>
      </w:r>
      <w:r>
        <w:fldChar w:fldCharType="separate"/>
      </w:r>
      <w:r w:rsidR="00B73641" w:rsidRPr="00B73641">
        <w:t>[100]</w:t>
      </w:r>
      <w:r>
        <w:fldChar w:fldCharType="end"/>
      </w:r>
      <w:r>
        <w:t xml:space="preserve">. However, current PSH facilities are an </w:t>
      </w:r>
      <w:r w:rsidR="00580BAE">
        <w:t>underutilized</w:t>
      </w:r>
      <w:r>
        <w:t xml:space="preserve"> asset in data </w:t>
      </w:r>
      <w:r w:rsidR="00580BAE">
        <w:t>center</w:t>
      </w:r>
      <w:r>
        <w:t xml:space="preserve"> integration, especially in areas with substantial capacity, such as the Appalachian Mountains (U.S.), the Alps (Europe), and the Scandinavian Peninsula.</w:t>
      </w:r>
    </w:p>
    <w:p w14:paraId="7EC4EDAA" w14:textId="77777777" w:rsidR="00FE013C" w:rsidRDefault="00FE013C" w:rsidP="004C16FF">
      <w:pPr>
        <w:pStyle w:val="Heading20"/>
        <w:jc w:val="both"/>
        <w:rPr>
          <w:color w:val="auto"/>
        </w:rPr>
      </w:pPr>
      <w:r>
        <w:rPr>
          <w:color w:val="auto"/>
        </w:rPr>
        <w:t xml:space="preserve">4.4. Resource Assessment </w:t>
      </w:r>
      <w:r w:rsidRPr="00180833">
        <w:rPr>
          <w:color w:val="auto"/>
        </w:rPr>
        <w:t>Methodologies</w:t>
      </w:r>
    </w:p>
    <w:p w14:paraId="63DE7BF5" w14:textId="091F38DD" w:rsidR="00FE013C" w:rsidRPr="00F432AD" w:rsidRDefault="00FE013C" w:rsidP="00B73641">
      <w:pPr>
        <w:spacing w:after="120"/>
        <w:ind w:firstLine="480"/>
      </w:pPr>
      <w:r w:rsidRPr="00F432AD">
        <w:t xml:space="preserve">Proper resource assessment is the backbone of economic success for renewable-powered data </w:t>
      </w:r>
      <w:r w:rsidR="00580BAE">
        <w:t>center</w:t>
      </w:r>
      <w:r w:rsidRPr="00F432AD">
        <w:t xml:space="preserve">s. Solar irradiance data have been drawn from databases derived from satellite observations, including the Global Solar Atlas generated by the World Bank (WB), PVGIS [94] generated by the European Commission Joint Research </w:t>
      </w:r>
      <w:r w:rsidR="00580BAE">
        <w:t>Center</w:t>
      </w:r>
      <w:r w:rsidRPr="00F432AD">
        <w:t xml:space="preserve"> (JRC), and ground-station measurements from networks such as the National Solar Radiation Database (NSRDB) by NREL</w:t>
      </w:r>
      <w:r>
        <w:fldChar w:fldCharType="begin"/>
      </w:r>
      <w:r w:rsidR="00B73641">
        <w:instrText xml:space="preserve"> ADDIN ZOTERO_ITEM CSL_CITATION {"citationID":"IvpZO7M8","properties":{"unsorted":false,"formattedCitation":"[101]","plainCitation":"[101]","noteIndex":0},"citationItems":[{"id":2056,"uris":["http://zotero.org/users/9870935/items/4AKN5FB8"],"itemData":{"id":2056,"type":"paper-conference","container-title":"2025 Brazilian Power Electronics Conference (COBEP)","DOI":"10.1109/COBEP66423.2025.11231587","event-title":"2025 Brazilian Power Electronics Conference (COBEP)","ISBN":"979-8-3315-5327-2","license":"https://doi.org/10.15223/policy-029","page":"1-6","publisher":"IEEE","publisher-place":"Vitoria, Brazil","source":"DOI.org (Crossref)","title":"A Two-Stage Methodology for Accurate PV Energy Yield Estimation Using Satellite Weather Data and PV Modeling Python Library","URL":"https://ieeexplore.ieee.org/document/11231587/","author":[{"family":"De Paula","given":"João Frederico Souza"},{"family":"De Souza Silva","given":"João Lucas"},{"family":"De Paula","given":"Marcelo Vinícius"},{"family":"Fraidenraich","given":"Gustavo"},{"family":"Dos Santos Barros","given":"Tárcio André"}],"accessed":{"date-parts":[["2026",5,17]]},"issued":{"date-parts":[["2025",10,5]]}}}],"schema":"https://github.com/citation-style-language/schema/raw/master/csl-citation.json"} </w:instrText>
      </w:r>
      <w:r>
        <w:fldChar w:fldCharType="separate"/>
      </w:r>
      <w:r w:rsidR="00B73641" w:rsidRPr="00B73641">
        <w:t>[101]</w:t>
      </w:r>
      <w:r>
        <w:fldChar w:fldCharType="end"/>
      </w:r>
      <w:r w:rsidRPr="00F432AD">
        <w:t>. The standard input for energy yield simulations are datasets of typical meteorological year (TMY) data that are developed from multi-year historical records that are representative in a statistical sense. Typical uncertainty in energy yield predictions is 5% to 10% for well-characterized sites and 15% to 20% for sites with limited measurement data</w:t>
      </w:r>
      <w:r>
        <w:fldChar w:fldCharType="begin"/>
      </w:r>
      <w:r w:rsidR="00B73641">
        <w:instrText xml:space="preserve"> ADDIN ZOTERO_ITEM CSL_CITATION {"citationID":"kk3W6zUf","properties":{"unsorted":false,"formattedCitation":"[102]","plainCitation":"[102]","noteIndex":0},"citationItems":[{"id":2057,"uris":["http://zotero.org/users/9870935/items/MBI2S75Z"],"itemData":{"id":2057,"type":"article-journal","container-title":"Solar Energy","DOI":"10.1016/j.solener.2019.07.069","ISSN":"0038092X","journalAbbreviation":"Solar Energy","language":"en","page":"299-306","source":"DOI.org (Crossref)","title":"Methodology for generating high time resolution typical meteorological year data for accurate photovoltaic energy yield modelling","volume":"189","author":[{"family":"Ernst","given":"Marco"},{"family":"Gooday","given":"Jack"}],"issued":{"date-parts":[["2019",9]]}}}],"schema":"https://github.com/citation-style-language/schema/raw/master/csl-citation.json"} </w:instrText>
      </w:r>
      <w:r>
        <w:fldChar w:fldCharType="separate"/>
      </w:r>
      <w:r w:rsidR="00B73641" w:rsidRPr="00B73641">
        <w:t>[102]</w:t>
      </w:r>
      <w:r>
        <w:fldChar w:fldCharType="end"/>
      </w:r>
      <w:r w:rsidRPr="00F432AD">
        <w:t>.</w:t>
      </w:r>
    </w:p>
    <w:p w14:paraId="694640BD" w14:textId="60508736" w:rsidR="00FE013C" w:rsidRPr="00F432AD" w:rsidRDefault="00FE013C" w:rsidP="00B73641">
      <w:pPr>
        <w:spacing w:after="120"/>
        <w:ind w:firstLine="480"/>
      </w:pPr>
      <w:r w:rsidRPr="00F432AD">
        <w:lastRenderedPageBreak/>
        <w:t>Geographic Information System (GIS) analysis is a powerful tool for site suitability assessment and can be used to evaluate a site based on a number of criteria, including resource availability, proximity to the grid, land cost and availability, water availability for cooling, environmental constraints, and construction accessibility</w:t>
      </w:r>
      <w:r>
        <w:fldChar w:fldCharType="begin"/>
      </w:r>
      <w:r w:rsidR="00B73641">
        <w:instrText xml:space="preserve"> ADDIN ZOTERO_ITEM CSL_CITATION {"citationID":"NqfWsidk","properties":{"unsorted":false,"formattedCitation":"[103]","plainCitation":"[103]","noteIndex":0},"citationItems":[{"id":2058,"uris":["http://zotero.org/users/9870935/items/W5T4VP3N"],"itemData":{"id":2058,"type":"article-journal","container-title":"Unconventional Resources","DOI":"10.1016/j.uncres.2025.100192","ISSN":"26665190","journalAbbreviation":"Unconventional Resources","language":"en","page":"100192","source":"DOI.org (Crossref)","title":"Multi-criteria GIS-based approach for optimal site selection of solar and wind energy","volume":"7","author":[{"family":"Nassar","given":"Ahmed K."},{"family":"Al-Dulaimi","given":"Omer"},{"family":"Fakhruldeen","given":"Hassan Falah"},{"family":"Sapaev","given":"I.B."},{"family":"Jabbar","given":"Feryal Ibrahim"},{"family":"Dawood","given":"Imad Ibrahim"},{"family":"Khalaf","given":"Doaa H."},{"family":"Algburi","given":"Sameer"}],"issued":{"date-parts":[["2025",7]]}}}],"schema":"https://github.com/citation-style-language/schema/raw/master/csl-citation.json"} </w:instrText>
      </w:r>
      <w:r>
        <w:fldChar w:fldCharType="separate"/>
      </w:r>
      <w:r w:rsidR="00B73641" w:rsidRPr="00B73641">
        <w:t>[103]</w:t>
      </w:r>
      <w:r>
        <w:fldChar w:fldCharType="end"/>
      </w:r>
      <w:r w:rsidRPr="00F432AD">
        <w:t>. These machine learning techniques have improved the GIS-based assessment by allowing for automated selection of the best sites from large geospatial datasets, potentially saving time and money in preliminary feasibility studies</w:t>
      </w:r>
      <w:r>
        <w:fldChar w:fldCharType="begin"/>
      </w:r>
      <w:r w:rsidR="00B73641">
        <w:instrText xml:space="preserve"> ADDIN ZOTERO_ITEM CSL_CITATION {"citationID":"XsHnBnNn","properties":{"unsorted":false,"formattedCitation":"[104]","plainCitation":"[104]","noteIndex":0},"citationItems":[{"id":2059,"uris":["http://zotero.org/users/9870935/items/JGZPYJ4A"],"itemData":{"id":2059,"type":"article-journal","abstract":"ABSTRACT\n            Many of the Pacific's small island‐nations have traditionally used diesel generators in the operation of their electricity grids. That said, more recently there has been a move towards greater use of renewable energy sources for electricity, in particular solar energy. A challenge to this, however, is ensuring that there is appropriate typical meteorological year data to facilitate an understanding of the output from these systems (especially at utility scale). Although there are numerous typical meteorological year datasets for the Pacific island‐nations many of these are based on satellite inferred data. In this study, a typical meteorological year was developed for the island of Rarotonga, Cook Islands, using ground‐based measurements. When compared to an existing typical meteorological year derived from satellite data, it was found that the satellite significantly overpredicted global horizontal irradiation for much of the year. This over‐prediction was found to be due, at least in part, to the satellite data not resolving the effect of water in the atmosphere, (clouds and rainfall) on the solar irradiation correctly. On this basis, it demonstrates that although typical meteorological year derived from satellite data are a useful starting point for energy simulations in the Pacific island‐nations, there is a need to improve these datasets to support their transition to renewable electricity generation.","container-title":"Journal of the Royal Society of New Zealand","DOI":"10.1080/03036758.2021.2013262","ISSN":"0303-6758, 1175-8899","issue":"5","journalAbbreviation":"Journal of the Royal Society of New Zealand","language":"en","license":"http://onlinelibrary.wiley.com/termsAndConditions#vor","page":"606-613","source":"DOI.org (Crossref)","title":"An improved typical meteorological year for solar energy simulations in Rarotonga, Cook Islands","volume":"52","author":[{"family":"Anderson","given":"Timothy"}],"issued":{"date-parts":[["2022",10]]}}}],"schema":"https://github.com/citation-style-language/schema/raw/master/csl-citation.json"} </w:instrText>
      </w:r>
      <w:r>
        <w:fldChar w:fldCharType="separate"/>
      </w:r>
      <w:r w:rsidR="00B73641" w:rsidRPr="00B73641">
        <w:t>[104]</w:t>
      </w:r>
      <w:r>
        <w:fldChar w:fldCharType="end"/>
      </w:r>
      <w:r w:rsidRPr="00F432AD">
        <w:t>.</w:t>
      </w:r>
    </w:p>
    <w:p w14:paraId="472E9197" w14:textId="77777777" w:rsidR="00FE013C" w:rsidRDefault="00FE013C" w:rsidP="004C16FF">
      <w:pPr>
        <w:pStyle w:val="Heading20"/>
        <w:jc w:val="both"/>
        <w:rPr>
          <w:color w:val="auto"/>
        </w:rPr>
      </w:pPr>
      <w:r>
        <w:rPr>
          <w:color w:val="auto"/>
        </w:rPr>
        <w:t>4.5. Geographic Variability and Seasonal Patterns</w:t>
      </w:r>
    </w:p>
    <w:p w14:paraId="50579766" w14:textId="2D52B480" w:rsidR="001B74A6" w:rsidRPr="001B74A6" w:rsidRDefault="00FE013C" w:rsidP="007D29E8">
      <w:pPr>
        <w:spacing w:after="120"/>
        <w:ind w:firstLine="480"/>
        <w:rPr>
          <w:highlight w:val="yellow"/>
          <w:lang w:val="en-CA"/>
        </w:rPr>
      </w:pPr>
      <w:r w:rsidRPr="00F07E08">
        <w:t>It is important to appreciate the temporal variation of renewable resources when designing systems to satisfy reliability requirements. Solar generation fluctuates regularly on a diurnal and seasonal basis, typically peaking during the day (roughly between 6am and 6pm) and summer in temperate climates. Stochastic variability occurs on timescales of minutes to hours due to cloud cover, and the forecast errors on these timescales are generally between 5</w:t>
      </w:r>
      <w:r>
        <w:t>-</w:t>
      </w:r>
      <w:r w:rsidRPr="00F07E08">
        <w:t>10</w:t>
      </w:r>
      <w:r>
        <w:t xml:space="preserve">% </w:t>
      </w:r>
      <w:r w:rsidRPr="00F07E08">
        <w:t>mean absolute percentage error (MAPE)</w:t>
      </w:r>
      <w:r>
        <w:fldChar w:fldCharType="begin"/>
      </w:r>
      <w:r w:rsidR="00B73641">
        <w:instrText xml:space="preserve"> ADDIN ZOTERO_ITEM CSL_CITATION {"citationID":"OfkCYwiH","properties":{"unsorted":false,"formattedCitation":"[105]","plainCitation":"[105]","noteIndex":0},"citationItems":[{"id":2061,"uris":["http://zotero.org/users/9870935/items/9Q8RHM8Q"],"itemData":{"id":2061,"type":"article-journal","container-title":"Energy Conversion and Management","DOI":"10.1016/j.enconman.2022.116160","ISSN":"01968904","journalAbbreviation":"Energy Conversion and Management","language":"en","page":"116160","source":"DOI.org (Crossref)","title":"Projections of energy yield- and complementarity-driven wind energy expansion scenarios in the European Union","volume":"269","author":[{"family":"Jung","given":"Christopher"},{"family":"Schindler","given":"Dirk"}],"issued":{"date-parts":[["2022",10]]}}}],"schema":"https://github.com/citation-style-language/schema/raw/master/csl-citation.json"} </w:instrText>
      </w:r>
      <w:r>
        <w:fldChar w:fldCharType="separate"/>
      </w:r>
      <w:r w:rsidR="00B73641" w:rsidRPr="00B73641">
        <w:t>[105]</w:t>
      </w:r>
      <w:r>
        <w:fldChar w:fldCharType="end"/>
      </w:r>
      <w:r w:rsidRPr="00F07E08">
        <w:t xml:space="preserve">. Wind generation has also been observed to have varying temporal characteristics, in most mid-latitude regions, wind energy tends to be higher at night and through the winter season, </w:t>
      </w:r>
      <w:proofErr w:type="gramStart"/>
      <w:r w:rsidRPr="00F07E08">
        <w:t>so as to</w:t>
      </w:r>
      <w:proofErr w:type="gramEnd"/>
      <w:r w:rsidRPr="00F07E08">
        <w:t xml:space="preserve"> complement solar energy.</w:t>
      </w:r>
      <w:r>
        <w:t xml:space="preserve"> </w:t>
      </w:r>
      <w:r w:rsidR="001B74A6" w:rsidRPr="001B74A6">
        <w:rPr>
          <w:highlight w:val="yellow"/>
          <w:lang w:val="en-CA"/>
        </w:rPr>
        <w:t xml:space="preserve">Figure 5 illustrates the seasonal complementarity that may exist between wind and solar generation. In many regions, wind generation tends to be higher during periods when solar generation is reduced, particularly during winter months and nighttime hours. This complementary behavior can reduce aggregate renewable-generation variability; however, the magnitude of the benefit depends on location, climate conditions, temporal resolution, resource quality, and geographic diversity </w:t>
      </w:r>
      <w:r w:rsidR="001B74A6">
        <w:rPr>
          <w:highlight w:val="yellow"/>
          <w:lang w:val="en-CA"/>
        </w:rPr>
        <w:fldChar w:fldCharType="begin"/>
      </w:r>
      <w:r w:rsidR="007D29E8">
        <w:rPr>
          <w:highlight w:val="yellow"/>
          <w:lang w:val="en-CA"/>
        </w:rPr>
        <w:instrText xml:space="preserve"> ADDIN ZOTERO_ITEM CSL_CITATION {"citationID":"PkWcZCmf","properties":{"unsorted":false,"formattedCitation":"[20], [106], [107]","plainCitation":"[20], [106], [107]","noteIndex":0},"citationItems":[{"id":1929,"uris":["http://zotero.org/users/9870935/items/E595FMYI"],"itemData":{"id":1929,"type":"article-journal","container-title":"Renewable Energy","DOI":"10.1016/j.renene.2022.10.060","ISSN":"09601481","journalAbbreviation":"Renewable Energy","language":"en","page":"111-123","source":"DOI.org (Crossref)","title":"Temporal complementarity and value of wind-PV hybrid systems across the United States","volume":"201","author":[{"family":"Harrison-Atlas","given":"Dylan"},{"family":"Murphy","given":"Caitlin"},{"family":"Schleifer","given":"Anna"},{"family":"Grue","given":"Nicholas"}],"issued":{"date-parts":[["2022",12]]}}},{"id":2063,"uris":["http://zotero.org/users/9870935/items/47PEXHYC"],"itemData":{"id":2063,"type":"article-journal","container-title":"Communications Earth &amp; Environment","DOI":"10.1038/s43247-024-01850-5","ISSN":"2662-4435","issue":"1","journalAbbreviation":"Commun Earth Environ","language":"en","page":"661","source":"DOI.org (Crossref)","title":"Renewable energy quality trilemma and coincident wind and solar droughts","volume":"5","author":[{"family":"Li","given":"Mingquan"},{"family":"Ma","given":"Qingyuan"},{"family":"Shan","given":"Rui"},{"family":"Abdulla","given":"Ahmed"},{"family":"Virguez","given":"Edgar"},{"family":"Gao","given":"Shuo"},{"family":"Patiño-Echeverri","given":"Dalia"}],"issued":{"date-parts":[["2024",11,6]]}}},{"id":2064,"uris":["http://zotero.org/users/9870935/items/R5YJIQU4"],"itemData":{"id":2064,"type":"article-journal","container-title":"Renewable Energy","DOI":"10.1016/j.renene.2019.02.060","ISSN":"09601481","journalAbbreviation":"Renewable Energy","language":"en","page":"251-260","source":"DOI.org (Crossref)","title":"Future changes, or lack thereof, in the temporal variability of the combined wind-plus-solar power production in Europe","volume":"139","author":[{"family":"Jerez","given":"S."},{"family":"Tobin","given":"I."},{"family":"Turco","given":"M."},{"family":"Jiménez-Guerrero","given":"P."},{"family":"Vautard","given":"R."},{"family":"Montávez","given":"J.P."}],"issued":{"date-parts":[["2019",8]]}}}],"schema":"https://github.com/citation-style-language/schema/raw/master/csl-citation.json"} </w:instrText>
      </w:r>
      <w:r w:rsidR="001B74A6">
        <w:rPr>
          <w:highlight w:val="yellow"/>
          <w:lang w:val="en-CA"/>
        </w:rPr>
        <w:fldChar w:fldCharType="separate"/>
      </w:r>
      <w:r w:rsidR="007D29E8" w:rsidRPr="007D29E8">
        <w:rPr>
          <w:highlight w:val="yellow"/>
          <w:lang w:val="en-CA"/>
        </w:rPr>
        <w:t>[20], [106], [107]</w:t>
      </w:r>
      <w:r w:rsidR="001B74A6">
        <w:rPr>
          <w:highlight w:val="yellow"/>
          <w:lang w:val="en-CA"/>
        </w:rPr>
        <w:fldChar w:fldCharType="end"/>
      </w:r>
      <w:r w:rsidR="001B74A6">
        <w:rPr>
          <w:lang w:val="en-CA"/>
        </w:rPr>
        <w:t>.</w:t>
      </w:r>
    </w:p>
    <w:p w14:paraId="2D08FD41" w14:textId="439042B2" w:rsidR="00FE013C" w:rsidRPr="006A4FAE" w:rsidRDefault="006A4FAE" w:rsidP="006A4FAE">
      <w:pPr>
        <w:spacing w:after="120"/>
        <w:ind w:firstLine="480"/>
        <w:rPr>
          <w:lang w:val="en-CA"/>
        </w:rPr>
      </w:pPr>
      <w:r w:rsidRPr="006A4FAE">
        <w:rPr>
          <w:lang w:val="en-CA"/>
        </w:rPr>
        <w:drawing>
          <wp:inline distT="0" distB="0" distL="0" distR="0" wp14:anchorId="7BC8964F" wp14:editId="2B77D325">
            <wp:extent cx="6192520" cy="2647950"/>
            <wp:effectExtent l="0" t="0" r="0" b="0"/>
            <wp:docPr id="7438052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2613" b="23242"/>
                    <a:stretch>
                      <a:fillRect/>
                    </a:stretch>
                  </pic:blipFill>
                  <pic:spPr bwMode="auto">
                    <a:xfrm>
                      <a:off x="0" y="0"/>
                      <a:ext cx="6192520" cy="2647950"/>
                    </a:xfrm>
                    <a:prstGeom prst="rect">
                      <a:avLst/>
                    </a:prstGeom>
                    <a:noFill/>
                    <a:ln>
                      <a:noFill/>
                    </a:ln>
                    <a:extLst>
                      <a:ext uri="{53640926-AAD7-44D8-BBD7-CCE9431645EC}">
                        <a14:shadowObscured xmlns:a14="http://schemas.microsoft.com/office/drawing/2010/main"/>
                      </a:ext>
                    </a:extLst>
                  </pic:spPr>
                </pic:pic>
              </a:graphicData>
            </a:graphic>
          </wp:inline>
        </w:drawing>
      </w:r>
    </w:p>
    <w:p w14:paraId="4CE86E78" w14:textId="6A7F29EA" w:rsidR="00FE013C" w:rsidRDefault="00FE013C" w:rsidP="00E17344">
      <w:pPr>
        <w:pStyle w:val="Caption"/>
        <w:jc w:val="center"/>
      </w:pPr>
      <w:r>
        <w:t xml:space="preserve">Figure </w:t>
      </w:r>
      <w:r>
        <w:fldChar w:fldCharType="begin"/>
      </w:r>
      <w:r>
        <w:instrText xml:space="preserve"> SEQ Figure \* ARABIC </w:instrText>
      </w:r>
      <w:r>
        <w:fldChar w:fldCharType="separate"/>
      </w:r>
      <w:r w:rsidR="00807110">
        <w:rPr>
          <w:noProof/>
        </w:rPr>
        <w:t>5</w:t>
      </w:r>
      <w:r>
        <w:rPr>
          <w:noProof/>
        </w:rPr>
        <w:fldChar w:fldCharType="end"/>
      </w:r>
      <w:r>
        <w:t xml:space="preserve"> </w:t>
      </w:r>
      <w:r w:rsidR="006A4FAE">
        <w:t>Seasonal complementarity between wind and solar generation</w:t>
      </w:r>
    </w:p>
    <w:p w14:paraId="62D4BD41" w14:textId="54DDA314" w:rsidR="001B74A6" w:rsidRPr="001B74A6" w:rsidRDefault="00FE013C" w:rsidP="007D29E8">
      <w:pPr>
        <w:spacing w:after="120"/>
        <w:ind w:firstLine="480"/>
        <w:rPr>
          <w:lang w:val="en-CA"/>
        </w:rPr>
      </w:pPr>
      <w:r w:rsidRPr="00F07E08">
        <w:t>The most common method for quantifying wind-solar complementarity is correlation analysis using the Spearman or Pearson correlation coefficient over various time scales (hourly, daily, or monthly). In various regions of Europe, the combined deployment of wind and solar power can benefit from cross-country coordination, which can improve the capacity factor of the combined plant by approximately 22</w:t>
      </w:r>
      <w:r>
        <w:t xml:space="preserve">% </w:t>
      </w:r>
      <w:r w:rsidRPr="00F07E08">
        <w:t>compared to a single plant deployment</w:t>
      </w:r>
      <w:r>
        <w:fldChar w:fldCharType="begin"/>
      </w:r>
      <w:r w:rsidR="007D29E8">
        <w:instrText xml:space="preserve"> ADDIN ZOTERO_ITEM CSL_CITATION {"citationID":"anSnTjMg","properties":{"unsorted":false,"formattedCitation":"[106]","plainCitation":"[106]","noteIndex":0},"citationItems":[{"id":2063,"uris":["http://zotero.org/users/9870935/items/47PEXHYC"],"itemData":{"id":2063,"type":"article-journal","container-title":"Communications Earth &amp; Environment","DOI":"10.1038/s43247-024-01850-5","ISSN":"2662-4435","issue":"1","journalAbbreviation":"Commun Earth Environ","language":"en","page":"661","source":"DOI.org (Crossref)","title":"Renewable energy quality trilemma and coincident wind and solar droughts","volume":"5","author":[{"family":"Li","given":"Mingquan"},{"family":"Ma","given":"Qingyuan"},{"family":"Shan","given":"Rui"},{"family":"Abdulla","given":"Ahmed"},{"family":"Virguez","given":"Edgar"},{"family":"Gao","given":"Shuo"},{"family":"Patiño-Echeverri","given":"Dalia"}],"issued":{"date-parts":[["2024",11,6]]}}}],"schema":"https://github.com/citation-style-language/schema/raw/master/csl-citation.json"} </w:instrText>
      </w:r>
      <w:r>
        <w:fldChar w:fldCharType="separate"/>
      </w:r>
      <w:r w:rsidR="007D29E8" w:rsidRPr="007D29E8">
        <w:t>[106]</w:t>
      </w:r>
      <w:r>
        <w:fldChar w:fldCharType="end"/>
      </w:r>
      <w:r w:rsidRPr="00F07E08">
        <w:t xml:space="preserve">. In data </w:t>
      </w:r>
      <w:r w:rsidR="00580BAE">
        <w:t>center</w:t>
      </w:r>
      <w:r w:rsidRPr="00F07E08">
        <w:t xml:space="preserve"> applications, this redundancy provides direct benefits in terms of reduced storage space and system costs. </w:t>
      </w:r>
      <w:r w:rsidR="001B74A6" w:rsidRPr="001B74A6">
        <w:rPr>
          <w:highlight w:val="yellow"/>
          <w:lang w:val="en-CA"/>
        </w:rPr>
        <w:t xml:space="preserve">For data-center applications, wind-solar complementarity may reduce renewable-generation variability and </w:t>
      </w:r>
      <w:r w:rsidR="001B74A6" w:rsidRPr="001B74A6">
        <w:rPr>
          <w:highlight w:val="yellow"/>
          <w:lang w:val="en-CA"/>
        </w:rPr>
        <w:lastRenderedPageBreak/>
        <w:t>improve renewable-energy utilization. However, any reduction in storage requirements must be quantified using chronological, site-specific renewable-resource and load data rather than assumed from a universal percentage</w:t>
      </w:r>
      <w:r w:rsidR="001B74A6">
        <w:rPr>
          <w:highlight w:val="yellow"/>
          <w:lang w:val="en-CA"/>
        </w:rPr>
        <w:fldChar w:fldCharType="begin"/>
      </w:r>
      <w:r w:rsidR="007D29E8">
        <w:rPr>
          <w:highlight w:val="yellow"/>
          <w:lang w:val="en-CA"/>
        </w:rPr>
        <w:instrText xml:space="preserve"> ADDIN ZOTERO_ITEM CSL_CITATION {"citationID":"jn0yMYkC","properties":{"unsorted":false,"formattedCitation":"[20], [106], [107]","plainCitation":"[20], [106], [107]","noteIndex":0},"citationItems":[{"id":1929,"uris":["http://zotero.org/users/9870935/items/E595FMYI"],"itemData":{"id":1929,"type":"article-journal","container-title":"Renewable Energy","DOI":"10.1016/j.renene.2022.10.060","ISSN":"09601481","journalAbbreviation":"Renewable Energy","language":"en","page":"111-123","source":"DOI.org (Crossref)","title":"Temporal complementarity and value of wind-PV hybrid systems across the United States","volume":"201","author":[{"family":"Harrison-Atlas","given":"Dylan"},{"family":"Murphy","given":"Caitlin"},{"family":"Schleifer","given":"Anna"},{"family":"Grue","given":"Nicholas"}],"issued":{"date-parts":[["2022",12]]}}},{"id":2063,"uris":["http://zotero.org/users/9870935/items/47PEXHYC"],"itemData":{"id":2063,"type":"article-journal","container-title":"Communications Earth &amp; Environment","DOI":"10.1038/s43247-024-01850-5","ISSN":"2662-4435","issue":"1","journalAbbreviation":"Commun Earth Environ","language":"en","page":"661","source":"DOI.org (Crossref)","title":"Renewable energy quality trilemma and coincident wind and solar droughts","volume":"5","author":[{"family":"Li","given":"Mingquan"},{"family":"Ma","given":"Qingyuan"},{"family":"Shan","given":"Rui"},{"family":"Abdulla","given":"Ahmed"},{"family":"Virguez","given":"Edgar"},{"family":"Gao","given":"Shuo"},{"family":"Patiño-Echeverri","given":"Dalia"}],"issued":{"date-parts":[["2024",11,6]]}}},{"id":2064,"uris":["http://zotero.org/users/9870935/items/R5YJIQU4"],"itemData":{"id":2064,"type":"article-journal","container-title":"Renewable Energy","DOI":"10.1016/j.renene.2019.02.060","ISSN":"09601481","journalAbbreviation":"Renewable Energy","language":"en","page":"251-260","source":"DOI.org (Crossref)","title":"Future changes, or lack thereof, in the temporal variability of the combined wind-plus-solar power production in Europe","volume":"139","author":[{"family":"Jerez","given":"S."},{"family":"Tobin","given":"I."},{"family":"Turco","given":"M."},{"family":"Jiménez-Guerrero","given":"P."},{"family":"Vautard","given":"R."},{"family":"Montávez","given":"J.P."}],"issued":{"date-parts":[["2019",8]]}}}],"schema":"https://github.com/citation-style-language/schema/raw/master/csl-citation.json"} </w:instrText>
      </w:r>
      <w:r w:rsidR="001B74A6">
        <w:rPr>
          <w:highlight w:val="yellow"/>
          <w:lang w:val="en-CA"/>
        </w:rPr>
        <w:fldChar w:fldCharType="separate"/>
      </w:r>
      <w:r w:rsidR="007D29E8" w:rsidRPr="007D29E8">
        <w:rPr>
          <w:highlight w:val="yellow"/>
          <w:lang w:val="en-CA"/>
        </w:rPr>
        <w:t>[20], [106], [107]</w:t>
      </w:r>
      <w:r w:rsidR="001B74A6">
        <w:rPr>
          <w:highlight w:val="yellow"/>
          <w:lang w:val="en-CA"/>
        </w:rPr>
        <w:fldChar w:fldCharType="end"/>
      </w:r>
      <w:r w:rsidR="001B74A6">
        <w:rPr>
          <w:lang w:val="en-CA"/>
        </w:rPr>
        <w:t>.</w:t>
      </w:r>
    </w:p>
    <w:p w14:paraId="17BFC632" w14:textId="166D506A" w:rsidR="00FE013C" w:rsidRDefault="00FE013C" w:rsidP="001B74A6">
      <w:pPr>
        <w:spacing w:after="120"/>
        <w:ind w:firstLine="480"/>
        <w:rPr>
          <w:color w:val="auto"/>
        </w:rPr>
      </w:pPr>
      <w:r>
        <w:rPr>
          <w:color w:val="auto"/>
          <w:lang w:eastAsia="zh-CN"/>
        </w:rPr>
        <w:t xml:space="preserve">5. </w:t>
      </w:r>
      <w:r>
        <w:rPr>
          <w:color w:val="auto"/>
        </w:rPr>
        <w:t>Energy Storage and Backup Systems</w:t>
      </w:r>
    </w:p>
    <w:p w14:paraId="33232D34" w14:textId="38084EE3" w:rsidR="00FE013C" w:rsidRDefault="00FE013C" w:rsidP="004C16FF">
      <w:pPr>
        <w:spacing w:after="120"/>
        <w:ind w:firstLine="480"/>
      </w:pPr>
      <w:r>
        <w:t xml:space="preserve">Energy storage systems serve as critical enabling technology for renewable-powered AI data </w:t>
      </w:r>
      <w:r w:rsidR="00580BAE">
        <w:t>center</w:t>
      </w:r>
      <w:r>
        <w:t>s, bridging the temporal gaps between variable renewable generation and constant computing loads. This section examines the sizing, selection, and integration of storage technologies, including lithium-ion batteries, long-duration storage alternatives, and conventional backup power systems.</w:t>
      </w:r>
    </w:p>
    <w:p w14:paraId="6789F0D7" w14:textId="77777777" w:rsidR="00FE013C" w:rsidRDefault="00FE013C" w:rsidP="004C16FF">
      <w:pPr>
        <w:pStyle w:val="Heading20"/>
        <w:jc w:val="both"/>
        <w:rPr>
          <w:color w:val="auto"/>
        </w:rPr>
      </w:pPr>
      <w:r>
        <w:rPr>
          <w:color w:val="auto"/>
        </w:rPr>
        <w:t>5.1. Lithium-Ion Battery Systems</w:t>
      </w:r>
    </w:p>
    <w:p w14:paraId="31E956DA" w14:textId="2BEF2D69" w:rsidR="00FE013C" w:rsidRDefault="00FE013C" w:rsidP="007D29E8">
      <w:pPr>
        <w:spacing w:after="120"/>
        <w:ind w:firstLine="480"/>
      </w:pPr>
      <w:r w:rsidRPr="00ED11B4">
        <w:t xml:space="preserve">The cost of lithium-ion battery technology has dropped dramatically, changing the economics of integrating renewable energy. </w:t>
      </w:r>
      <w:proofErr w:type="spellStart"/>
      <w:r w:rsidRPr="00D75763">
        <w:t>BloombergNEF</w:t>
      </w:r>
      <w:proofErr w:type="spellEnd"/>
      <w:r w:rsidRPr="00D75763">
        <w:t xml:space="preserve"> has reported that utility-scale lithium-ion battery pack prices have declined sharply, from approximately $300/kWh in 2020 to $108/kWh in 2025 at the pack level, with </w:t>
      </w:r>
      <w:r w:rsidR="00963C91" w:rsidRPr="00963C91">
        <w:rPr>
          <w:lang w:val="en-CA"/>
        </w:rPr>
        <w:t>Chinese cell-level prices falling below USD 65/kWh at the cell-manufacturing level, compared with a global volume-weighted average battery-pack price of approximately USD 108/kWh in 2025</w:t>
      </w:r>
      <w:r w:rsidR="00963C91">
        <w:rPr>
          <w:lang w:val="en-CA"/>
        </w:rPr>
        <w:t xml:space="preserve"> </w:t>
      </w:r>
      <w:r>
        <w:fldChar w:fldCharType="begin"/>
      </w:r>
      <w:r>
        <w:instrText xml:space="preserve"> ADDIN ZOTERO_ITEM CSL_CITATION {"citationID":"prBbKpCD","properties":{"unsorted":false,"formattedCitation":"[17]","plainCitation":"[17]","noteIndex":0},"citationItems":[{"id":1923,"uris":["http://zotero.org/users/9870935/items/K5N743Z5"],"itemData":{"id":1923,"type":"post-weblog","title":"BNEF: Lithium-ion battery pack prices fall to $108/kWh, stationary storage becomes lowest price segment","URL":"https://www.ess-news.com/2025/12/09/bnef-lithium-ion-battery-pack-prices-fall-to-108-kwh-stationary-storage-becomes-lowest-price-segment/","author":[{"family":"BNEF","given":""}],"accessed":{"date-parts":[["2025",12,9]]}}}],"schema":"https://github.com/citation-style-language/schema/raw/master/csl-citation.json"} </w:instrText>
      </w:r>
      <w:r>
        <w:fldChar w:fldCharType="separate"/>
      </w:r>
      <w:r w:rsidRPr="00A44D61">
        <w:t>[17]</w:t>
      </w:r>
      <w:r>
        <w:fldChar w:fldCharType="end"/>
      </w:r>
      <w:r w:rsidRPr="00ED11B4">
        <w:t>. This trend is expected to persist, with the most recent cost estimates from NREL predicting $147 per kWh (low case), $243 per kWh (mid case), and $339 per kWh (high case) for 4-hour utility-scale systems by 2035</w:t>
      </w:r>
      <w:r>
        <w:fldChar w:fldCharType="begin"/>
      </w:r>
      <w:r w:rsidR="007D29E8">
        <w:instrText xml:space="preserve"> ADDIN ZOTERO_ITEM CSL_CITATION {"citationID":"RqYr9QXe","properties":{"unsorted":false,"formattedCitation":"[108]","plainCitation":"[108]","noteIndex":0},"citationItems":[{"id":2067,"uris":["http://zotero.org/users/9870935/items/E8HGHAUR"],"itemData":{"id":2067,"type":"article-journal","container-title":"Renewable Energy","language":"en","source":"Zotero","title":"Cost Projections for Utility-Scale Battery Storage: 2025 Update","URL":"https://docs.nrel.gov/docs/fy25osti/93281.pdf","author":[{"family":"Cole","given":"Wesley"},{"family":"Ramasamy","given":"Vignesh"},{"family":"Turan","given":"Merve"}],"issued":{"date-parts":[["2025"]]}}}],"schema":"https://github.com/citation-style-language/schema/raw/master/csl-citation.json"} </w:instrText>
      </w:r>
      <w:r>
        <w:fldChar w:fldCharType="separate"/>
      </w:r>
      <w:r w:rsidR="007D29E8" w:rsidRPr="007D29E8">
        <w:t>[108]</w:t>
      </w:r>
      <w:r>
        <w:fldChar w:fldCharType="end"/>
      </w:r>
      <w:r w:rsidRPr="00ED11B4">
        <w:t>. A learning rate of approximately 19% for every doubling of cumulative production has been estimated for lithium-ion batteries, indicating further cost reductions with increased production</w:t>
      </w:r>
      <w:r>
        <w:fldChar w:fldCharType="begin"/>
      </w:r>
      <w:r w:rsidR="007D29E8">
        <w:instrText xml:space="preserve"> ADDIN ZOTERO_ITEM CSL_CITATION {"citationID":"KdpfBvot","properties":{"unsorted":false,"formattedCitation":"[109]","plainCitation":"[109]","noteIndex":0},"citationItems":[{"id":2068,"uris":["http://zotero.org/users/9870935/items/M4LNHX4F"],"itemData":{"id":2068,"type":"post-weblog","title":"Battery costs have declined by 99% in the last three decades, making electrified transport a reality","URL":"https://ourworldindata.org/battery-price-decline","author":[{"family":"Our World in Data","given":""}]}}],"schema":"https://github.com/citation-style-language/schema/raw/master/csl-citation.json"} </w:instrText>
      </w:r>
      <w:r>
        <w:fldChar w:fldCharType="separate"/>
      </w:r>
      <w:r w:rsidR="007D29E8" w:rsidRPr="007D29E8">
        <w:t>[109]</w:t>
      </w:r>
      <w:r>
        <w:fldChar w:fldCharType="end"/>
      </w:r>
      <w:r w:rsidRPr="00ED11B4">
        <w:t>.</w:t>
      </w:r>
    </w:p>
    <w:p w14:paraId="5FB5AE81" w14:textId="77777777" w:rsidR="00FE013C" w:rsidRPr="00ED11B4" w:rsidRDefault="00FE013C" w:rsidP="004C16FF">
      <w:pPr>
        <w:spacing w:after="120"/>
        <w:ind w:firstLine="480"/>
      </w:pPr>
      <w:r w:rsidRPr="00ED11B4">
        <w:t>The key factors for battery chemistry selection are cost, energy density, cycle life, safety, and thermal management requirements. Owing to its excellent safety (no thermal runaway risk), long cycle life of over 4,000 cycles at 80% depth of discharge, and lower cost because it eliminates the use of cobalt and nickel, LFP (lithium iron phosphate) has become the predominant chemistry for stationary storage applications</w:t>
      </w:r>
      <w:r>
        <w:fldChar w:fldCharType="begin"/>
      </w:r>
      <w:r>
        <w:instrText xml:space="preserve"> ADDIN ZOTERO_ITEM CSL_CITATION {"citationID":"sMHhiSGv","properties":{"unsorted":false,"formattedCitation":"[45]","plainCitation":"[45]","noteIndex":0},"citationItems":[{"id":1982,"uris":["http://zotero.org/users/9870935/items/GEX9B6EX"],"itemData":{"id":1982,"type":"article-journal","container-title":"Future Batteries","DOI":"10.1016/j.fub.2024.100007","ISSN":"29502640","journalAbbreviation":"Future Batteries","language":"en","page":"100007","source":"DOI.org (Crossref)","title":"Navigating battery choices: A comparative study of lithium iron phosphate and nickel manganese cobalt battery technologies","title-short":"Navigating battery choices","volume":"4","author":[{"family":"Evro","given":"Solomon"},{"family":"Ajumobi","given":"Abdurahman"},{"family":"Mayon","given":"Darrell"},{"family":"Tomomewo","given":"Olusegun Stanley"}],"issued":{"date-parts":[["2024",12]]}}}],"schema":"https://github.com/citation-style-language/schema/raw/master/csl-citation.json"} </w:instrText>
      </w:r>
      <w:r>
        <w:fldChar w:fldCharType="separate"/>
      </w:r>
      <w:r w:rsidRPr="00F9103B">
        <w:t>[45]</w:t>
      </w:r>
      <w:r>
        <w:fldChar w:fldCharType="end"/>
      </w:r>
      <w:r w:rsidRPr="00ED11B4">
        <w:t>. NMC chemistries provide higher energy density, lower cycle life, and higher safety concerns. Analysis shows that LFP is about 30% cheaper on a per-kWh basis compared to NMC for stationary use</w:t>
      </w:r>
      <w:r>
        <w:fldChar w:fldCharType="begin"/>
      </w:r>
      <w:r>
        <w:instrText xml:space="preserve"> ADDIN ZOTERO_ITEM CSL_CITATION {"citationID":"PsY2P1Jo","properties":{"unsorted":false,"formattedCitation":"[46]","plainCitation":"[46]","noteIndex":0},"citationItems":[{"id":1983,"uris":["http://zotero.org/users/9870935/items/I5Q4VHW6"],"itemData":{"id":1983,"type":"article-journal","abstract":"Abstract\n            A significant turning point in the search for environmentally friendly energy storage options is the switch from lithium‐ion to sodium‐ion batteries. This review highlights the potential of sodium‐ion battery (NIB) technology to address the environmental and financial issues related to lithium‐ion systems by thoroughly examining recent developments in NIB technology. It is noted that sodium is more abundant and less expensive than lithium, NIBs have several benefits that could drastically lower the total cost of energy storage systems. In addition, this study examines new findings in important fields including electrolyte compositions, electrode materials, and battery performances of lithium‐ion batteries (LIBs) and NIBs. The article highlights advancements in anode and cathode materials, with a focus on improving energy density, cycle stability, and rate capability of both LIBs and NIBs. The review also covers the advances made in comprehending the electrochemical mechanisms and special difficulties associated with NIBs, such as material degradation and sodium ion diffusion. Future research directions are discussed, with an emphasis on enhancing the scalability and commercial viability of sodium‐ion technology over lithium on Electric Grid. Considering sustainability objectives and the integration of renewable energy sources, the review's assessment of sodium‐ion batteries’ possible effects on the future state of energy storage is included in its conclusion.","container-title":"The Chemical Record","DOI":"10.1002/tcr.202400176","ISSN":"1527-8999, 1528-0691","issue":"12","journalAbbreviation":"The Chemical Record","language":"en","page":"e202400176","source":"DOI.org (Crossref)","title":"From Lithium‐Ion to Sodium‐Ion Batteries for Sustainable Energy Storage: A Comprehensive Review on Recent Research Advancements and Perspectives","title-short":"From Lithium‐Ion to Sodium‐Ion Batteries for Sustainable Energy Storage","volume":"24","author":[{"family":"Chandra Bhowmik","given":"Konok"},{"family":"Rahman","given":"Md. Arafat"},{"family":"Billah","given":"Md. Muktadir"},{"family":"Paul","given":"Aoyon"}],"issued":{"date-parts":[["2024",12]]}}}],"schema":"https://github.com/citation-style-language/schema/raw/master/csl-citation.json"} </w:instrText>
      </w:r>
      <w:r>
        <w:fldChar w:fldCharType="separate"/>
      </w:r>
      <w:r w:rsidRPr="00B138D4">
        <w:t>[46]</w:t>
      </w:r>
      <w:r>
        <w:fldChar w:fldCharType="end"/>
      </w:r>
      <w:r w:rsidRPr="00ED11B4">
        <w:t>.</w:t>
      </w:r>
    </w:p>
    <w:p w14:paraId="57F46560" w14:textId="6AA85B29" w:rsidR="00FE013C" w:rsidRPr="00ED11B4" w:rsidRDefault="00FE013C" w:rsidP="00B73641">
      <w:pPr>
        <w:spacing w:after="120"/>
        <w:ind w:firstLine="480"/>
      </w:pPr>
      <w:r w:rsidRPr="00ED11B4">
        <w:t>The round-trip efficiency of lithium-ion batteries varies from 85% to 95</w:t>
      </w:r>
      <w:r>
        <w:t>%,</w:t>
      </w:r>
      <w:r w:rsidRPr="00ED11B4">
        <w:t xml:space="preserve"> depending on the chemistry, cell design, and power conversion system. Thermal management is essential to ensure optimal cell temperature (usually 20</w:t>
      </w:r>
      <w:r>
        <w:t>-</w:t>
      </w:r>
      <w:r w:rsidRPr="00ED11B4">
        <w:t>35 degrees °C) and to avoid accelerated degradation. Battery aging happens in two ways: calendar aging, which runs whether or not the battery is used, and cycle aging, which depends on how much charge or discharge the battery has experienced and at what rate</w:t>
      </w:r>
      <w:r>
        <w:fldChar w:fldCharType="begin"/>
      </w:r>
      <w:r w:rsidR="00B73641">
        <w:instrText xml:space="preserve"> ADDIN ZOTERO_ITEM CSL_CITATION {"citationID":"kxRlR2kx","properties":{"unsorted":false,"formattedCitation":"[71]","plainCitation":"[71]","noteIndex":0},"citationItems":[{"id":2069,"uris":["http://zotero.org/users/9870935/items/VGJ2SVN2"],"itemData":{"id":2069,"type":"article-journal","container-title":"Applied Energy","DOI":"10.1016/j.apenergy.2025.126443","ISSN":"03062619","journalAbbreviation":"Applied Energy","language":"en","page":"126443","source":"DOI.org (Crossref)","title":"A high-fidelity online monitoring algorithm for multiple physical fields in battery pack","volume":"398","author":[{"family":"Xie","given":"Yi"},{"family":"Ma","given":"Wensai"},{"family":"Jiang","given":"Disheng"},{"family":"Li","given":"Wei"},{"family":"Yang","given":"Rui"},{"family":"Panchal","given":"Satyam"},{"family":"Fowler","given":"Michael"},{"family":"Zhang","given":"Yangjun"}],"issued":{"date-parts":[["2025",11]]}}}],"schema":"https://github.com/citation-style-language/schema/raw/master/csl-citation.json"} </w:instrText>
      </w:r>
      <w:r>
        <w:fldChar w:fldCharType="separate"/>
      </w:r>
      <w:r w:rsidR="00B73641" w:rsidRPr="00B73641">
        <w:t>[71]</w:t>
      </w:r>
      <w:r>
        <w:fldChar w:fldCharType="end"/>
      </w:r>
      <w:r w:rsidRPr="00ED11B4">
        <w:t>. Limiting the depth of discharge to 50</w:t>
      </w:r>
      <w:r>
        <w:t xml:space="preserve">% </w:t>
      </w:r>
      <w:r w:rsidRPr="00ED11B4">
        <w:t>has been shown to approximately double the cycle life; therefore, the use of larger systems than the nominal capacity requirements can enhance the overall battery system economics of their operation over time, despite the higher up-front capital costs</w:t>
      </w:r>
      <w:r>
        <w:fldChar w:fldCharType="begin"/>
      </w:r>
      <w:r w:rsidR="00B73641">
        <w:instrText xml:space="preserve"> ADDIN ZOTERO_ITEM CSL_CITATION {"citationID":"Amui7OjS","properties":{"unsorted":false,"formattedCitation":"[72]","plainCitation":"[72]","noteIndex":0},"citationItems":[{"id":2070,"uris":["http://zotero.org/users/9870935/items/YRGN99DK"],"itemData":{"id":2070,"type":"article-journal","container-title":"Journal of Energy Storage","DOI":"10.1016/j.est.2024.112941","ISSN":"2352152X","journalAbbreviation":"Journal of Energy Storage","language":"en","page":"112941","source":"DOI.org (Crossref)","title":"A case study of optimising energy storage dispatch: Convex optimisation approach with degradation considerations","title-short":"A case study of optimising energy storage dispatch","volume":"97","author":[{"family":"Vaičys","given":"Jonas"},{"family":"Gudžius","given":"Saulius"},{"family":"Jonaitis","given":"Audrius"},{"family":"Račkienė","given":"Roma"},{"family":"Blinov","given":"Andrei"},{"family":"Peftitsis","given":"Dimosthenis"}],"issued":{"date-parts":[["2024",9]]}}}],"schema":"https://github.com/citation-style-language/schema/raw/master/csl-citation.json"} </w:instrText>
      </w:r>
      <w:r>
        <w:fldChar w:fldCharType="separate"/>
      </w:r>
      <w:r w:rsidR="00B73641" w:rsidRPr="00B73641">
        <w:t>[72]</w:t>
      </w:r>
      <w:r>
        <w:fldChar w:fldCharType="end"/>
      </w:r>
      <w:r w:rsidRPr="00ED11B4">
        <w:t>.</w:t>
      </w:r>
    </w:p>
    <w:p w14:paraId="55E1FDE6" w14:textId="77777777" w:rsidR="00FE013C" w:rsidRDefault="00FE013C" w:rsidP="004C16FF">
      <w:pPr>
        <w:pStyle w:val="Heading20"/>
        <w:jc w:val="both"/>
        <w:rPr>
          <w:color w:val="auto"/>
        </w:rPr>
      </w:pPr>
      <w:r>
        <w:rPr>
          <w:color w:val="auto"/>
        </w:rPr>
        <w:t>5.2. Advanced Storage Technologies</w:t>
      </w:r>
    </w:p>
    <w:p w14:paraId="59D63B37" w14:textId="77777777" w:rsidR="00FE013C" w:rsidRPr="002C0C00" w:rsidRDefault="00FE013C" w:rsidP="004C16FF">
      <w:pPr>
        <w:spacing w:after="120"/>
        <w:ind w:firstLine="480"/>
      </w:pPr>
      <w:r w:rsidRPr="002C0C00">
        <w:t>One of the primary challenges associated with lithium-ion batteries is that they become cost-prohibitive for extended periods of storage, where long-duration energy storage (LDES) technologies come into play. Vanadium redox flow batteries (VRFBs) have been developed with independent power and energy scaling, with a cycle life of 20,000 cycles and very little degradation over time</w:t>
      </w:r>
      <w:r>
        <w:fldChar w:fldCharType="begin"/>
      </w:r>
      <w:r>
        <w:instrText xml:space="preserve"> ADDIN ZOTERO_ITEM CSL_CITATION {"citationID":"QWzMyYBC","properties":{"unsorted":false,"formattedCitation":"[47]","plainCitation":"[47]","noteIndex":0},"citationItems":[{"id":1984,"uris":["http://zotero.org/users/9870935/items/M6SVEFZJ"],"itemData":{"id":1984,"type":"article-journal","container-title":"Next Research","DOI":"10.1016/j.nexres.2025.100767","ISSN":"30504759","issue":"4","journalAbbreviation":"Next Research","language":"en","page":"100767","source":"DOI.org (Crossref)","title":"A comprehensive review of vanadium redox flow batteries: Principles, benefits, and applications","title-short":"A comprehensive review of vanadium redox flow batteries","volume":"2","author":[{"family":"Barzigar","given":"Amirhossein"},{"family":"Ebadati","given":"Erfan"},{"family":"Mujumdar","given":"Arun S"},{"family":"Hosseinalipour","given":"S.M."}],"issued":{"date-parts":[["2025",12]]}}}],"schema":"https://github.com/citation-style-language/schema/raw/master/csl-citation.json"} </w:instrText>
      </w:r>
      <w:r>
        <w:fldChar w:fldCharType="separate"/>
      </w:r>
      <w:r w:rsidRPr="00E20CA4">
        <w:t>[47]</w:t>
      </w:r>
      <w:r>
        <w:fldChar w:fldCharType="end"/>
      </w:r>
      <w:r w:rsidRPr="002C0C00">
        <w:t xml:space="preserve">. VRFB </w:t>
      </w:r>
      <w:r w:rsidRPr="002C0C00">
        <w:lastRenderedPageBreak/>
        <w:t>systems have already been commercially used at scales larger than 10 MWh, and the main drawback is the relatively high initial cost, although costs are decreasing as the scale of manufacturing increases.</w:t>
      </w:r>
    </w:p>
    <w:p w14:paraId="0AAAA4F2" w14:textId="7638D84A" w:rsidR="00FE013C" w:rsidRPr="002C0C00" w:rsidRDefault="00FE013C" w:rsidP="007D29E8">
      <w:pPr>
        <w:spacing w:after="120"/>
        <w:ind w:firstLine="480"/>
      </w:pPr>
      <w:r w:rsidRPr="002C0C00">
        <w:t xml:space="preserve">Form Energy's iron-air battery is one of the technologies that could </w:t>
      </w:r>
      <w:proofErr w:type="spellStart"/>
      <w:r w:rsidRPr="002C0C00">
        <w:t>revolutionise</w:t>
      </w:r>
      <w:proofErr w:type="spellEnd"/>
      <w:r w:rsidRPr="002C0C00">
        <w:t xml:space="preserve"> ultra-long-duration storage. The technology employs a large amount of cheap materials (iron, water, air) to meet storage costs of $20 per kWh, whereas lithium-ion costing is targeted at $100 to $150 per kWh</w:t>
      </w:r>
      <w:r>
        <w:fldChar w:fldCharType="begin"/>
      </w:r>
      <w:r w:rsidR="007D29E8">
        <w:instrText xml:space="preserve"> ADDIN ZOTERO_ITEM CSL_CITATION {"citationID":"IwjNu9hX","properties":{"unsorted":false,"formattedCitation":"[110]","plainCitation":"[110]","noteIndex":0},"citationItems":[{"id":1985,"uris":["http://zotero.org/users/9870935/items/58URKSK2"],"itemData":{"id":1985,"type":"book","abstract":"This report on batteries addresses technology development, EU research and innovation activities, global and EU markets and market players and assesses the competitiveness of the EU battery sector and its positioning in the global battery market. Special attention is given to provide a broad overview of battery technologies. This report also contains an assessment of market developments, production, trade, patenting, and sustainability of Li-ion batteries. The report shows that the EU does not have a competitive advantage over its main competitors. To change the current situation and improve the competitiveness of battery production in the EU, the following key actions should be taken to address the key drivers of competitiveness: increase the currently limited internal supply of raw and processed materials, significantly reduce the cost of energy, labour, and investment, urgently develop skilled and experienced work force, simplify legislation reduce times to set up new production and secure demand for EU-produced batteries. The EU is also not leading anymore in battery research. Despite this, the EU makes an effort to build its battery sector and increase its ability to cover at least part of battery demand from internal sources. This applies mainly to the high-performance batteries for premium-class Electric Vehicles (EVs), while batteries for lower-classes EVs and stationary energy storage are falling short. This report is an output of the Clean Energy Technologies Observatory (CETO) and provides an evidence-based analysis of the overall battery landscape to support the EU policy making process. It is part of the series of reports on clean energy technologies needed for the delivery of the European Green Deal, and it is a continuation and extension of earlier editions of the CETO report on batteries.","collection-title":"EUR","DOI":"10.2760/2686206","ISBN":"978-92-68-38735-1","ISSN":"1831-9424","language":"eng","publisher":"Publications Office of the European Union","publisher-place":"LU","source":"DOI.org (CSL JSON)","title":"Clean Energy Technology Observatory","URL":"https://data.europa.eu/doi/10.2760/2686206","author":[{"literal":"European Commission. Joint Research Centre"},{"family":"Bielewski","given":"Marek"},{"family":"Pfrang","given":"Andreas"},{"family":"Quintero Pulido","given":"Diego Fernando"},{"family":"Peters","given":"Jens"},{"family":"Bobba","given":"Silvia"},{"family":"Leccisi","given":"Enrica"},{"family":"Mancini","given":"Lucia"},{"family":"Schade","given":"Burkhard"},{"family":"Georgakaki","given":"Aliki"},{"family":"Letout","given":"Simon"},{"family":"Mountraki","given":"Aikaterini"},{"family":"Ince","given":"Ela"}],"accessed":{"date-parts":[["2026",5,16]]},"issued":{"date-parts":[["2026"]]}}}],"schema":"https://github.com/citation-style-language/schema/raw/master/csl-citation.json"} </w:instrText>
      </w:r>
      <w:r>
        <w:fldChar w:fldCharType="separate"/>
      </w:r>
      <w:r w:rsidR="007D29E8" w:rsidRPr="007D29E8">
        <w:t>[110]</w:t>
      </w:r>
      <w:r>
        <w:fldChar w:fldCharType="end"/>
      </w:r>
      <w:r w:rsidRPr="002C0C00">
        <w:t xml:space="preserve">. The data </w:t>
      </w:r>
      <w:r w:rsidR="00580BAE">
        <w:t>center</w:t>
      </w:r>
      <w:r w:rsidRPr="002C0C00">
        <w:t xml:space="preserve"> sector is interested in long-duration storage, and a company has inked 12 GWh worth of multi-day iron-air batteries to new U.S. AI data </w:t>
      </w:r>
      <w:r w:rsidR="00580BAE">
        <w:t>center</w:t>
      </w:r>
      <w:r w:rsidRPr="002C0C00">
        <w:t>s</w:t>
      </w:r>
      <w:r>
        <w:t xml:space="preserve"> </w:t>
      </w:r>
      <w:r>
        <w:fldChar w:fldCharType="begin"/>
      </w:r>
      <w:r w:rsidR="007D29E8">
        <w:instrText xml:space="preserve"> ADDIN ZOTERO_ITEM CSL_CITATION {"citationID":"7kVGcOlZ","properties":{"unsorted":false,"formattedCitation":"[111]","plainCitation":"[111]","noteIndex":0},"citationItems":[{"id":2072,"uris":["http://zotero.org/users/9870935/items/EET8N7XP"],"itemData":{"id":2072,"type":"article","abstract":"Deep decarbonization of the power grid is only possible with mass-scale energy storage to overcome the spatiotemporal mismatch between supply from renewables and demand. Aqueous flow batteries fully decouple power and energy elements and can thus easily be scaled, a prerequisite for cheap long-duration energy storage, but low energy density is generally considered a key limitation of the technology. To date, the role of this metric for grid-scale installations has not been quantified, a crucial step for guiding further development of this potential trillion-dollar market. Here, we analyze the footprint of forty-four MWh-scale battery energy storage systems via satellite imagery and calculate their energy capacity per land area in kWh m−2, demonstrating that energy density is not critical for such installations and that the importance of this metric for grid-scale batteries is heavily overstated in academia. We suggest that a unique advantage of aqueous flow batteries, due to their intrinsic safety and vertical scalability, is their ability to provide reliable power in space-restricted sites, and we show that even with current chemistries and modest assumptions about storage tank sizes and footprints, areal energy densities five times as high as with the average lithium-ion based system can be achieved.","DOI":"10.26434/chemrxiv-2022-5ddhs","language":"en","license":"https://creativecommons.org/licenses/by-nc-nd/4.0/","source":"DOI.org (Crossref)","title":"The role of energy density for grid-scale batteries","URL":"https://chemrxiv.org/doi/full/10.26434/chemrxiv-2022-5ddhs","author":[{"family":"Reber","given":"David"},{"family":"Jarvis","given":"Sam"},{"family":"Marshak","given":"Michael"}],"accessed":{"date-parts":[["2026",5,17]]},"issued":{"date-parts":[["2022",11,17]]}}}],"schema":"https://github.com/citation-style-language/schema/raw/master/csl-citation.json"} </w:instrText>
      </w:r>
      <w:r>
        <w:fldChar w:fldCharType="separate"/>
      </w:r>
      <w:r w:rsidR="007D29E8" w:rsidRPr="007D29E8">
        <w:t>[111]</w:t>
      </w:r>
      <w:r>
        <w:fldChar w:fldCharType="end"/>
      </w:r>
      <w:r w:rsidRPr="002C0C00">
        <w:t xml:space="preserve">. </w:t>
      </w:r>
      <w:r w:rsidRPr="00530F71">
        <w:t>Iron-air batteries achieve a round-trip efficiency of approximately 40%, which is lower than lithium-ion (85–95%) but acceptable given their dramatically lower cost and the availability of curtailed renewable energy for low-efficiency charging cycles</w:t>
      </w:r>
      <w:r w:rsidRPr="002C0C00">
        <w:t>.</w:t>
      </w:r>
    </w:p>
    <w:p w14:paraId="4F8683F9" w14:textId="2FFBCB78" w:rsidR="00FE013C" w:rsidRPr="002C0C00" w:rsidRDefault="00FE013C" w:rsidP="007D29E8">
      <w:pPr>
        <w:spacing w:after="120"/>
        <w:ind w:firstLine="480"/>
      </w:pPr>
      <w:r w:rsidRPr="002C0C00">
        <w:t xml:space="preserve">Hydrogen fuel cells and green hydrogen storage provide the widest range of storage durations, from weeks to months, enabling seasonal energy shifting that is not feasible with battery technologies. A hydrogen fuel cell backup power system with a capacity of 3 MW was demonstrated by Microsoft at its data </w:t>
      </w:r>
      <w:r w:rsidR="00580BAE">
        <w:t>center</w:t>
      </w:r>
      <w:r w:rsidRPr="002C0C00">
        <w:t>, running for 48+ hours using hydrogen fuel</w:t>
      </w:r>
      <w:r>
        <w:fldChar w:fldCharType="begin"/>
      </w:r>
      <w:r w:rsidR="007D29E8">
        <w:instrText xml:space="preserve"> ADDIN ZOTERO_ITEM CSL_CITATION {"citationID":"Lqa6b4Sx","properties":{"unsorted":false,"formattedCitation":"[112]","plainCitation":"[112]","noteIndex":0},"citationItems":[{"id":2074,"uris":["http://zotero.org/users/9870935/items/55X6H6ID"],"itemData":{"id":2074,"type":"article-journal","abstract":"The fastest growth in electricity demand in the industrialized world will likely come from the broad adoption of artificial intelligence (AI)—accelerated by the rise of generative AI models such as OpenAI’s ChatGPT. The global “data center arms race” is driving up power demand and grid stress, which creates local and regional challenges because people in the area understand that the additional data center-related electricity demand is coming from faraway places, and they will have to support the additional infrastructure while not directly benefiting from it. So, there is an incentive for the data center operators to manage the fast and unpredictable power surges internally so that their loads appear like a constant baseload to the electricity grid. Such high-intensity and short-duration loads can be served by hybrid energy storage systems (HESSs) that combine multiple storage technologies operating across different timescales. This review presents an overview of energy storage technologies, their classifications, and recent performance data, with a focus on their applicability to AI-driven computing. Technical requirements of storage systems, such as fast response, long cycle life, low degradation under frequent micro-cycling, and high ramping capability—which are critical for sustainable and reliable data center operations—are discussed. Based on these requirements, this review identifies lithium titanate oxide (LTO) and lithium iron phosphate (LFP) batteries paired with supercapacitors, flywheels, or superconducting magnetic energy storage (SMES) as the most suitable HESS configurations for AI data centers. This review also proposes AI-specific evaluation criteria, defines key performance metrics, and provides semi-quantitative guidance on power–energy partitioning for HESSs in AI data centers. This review concludes by identifying key challenges, AI-specific research gaps, and future directions for integrating HESSs with on-site generation to optimally manage the high variability in the data center load and build sustainable, low-carbon, and intelligent AI data centers.","container-title":"Energies","DOI":"10.3390/en19030634","ISSN":"1996-1073","issue":"3","journalAbbreviation":"Energies","language":"en","page":"634","source":"DOI.org (Crossref)","title":"Energy Storage Systems for AI Data Centers: A Review of Technologies, Characteristics, and Applicability","title-short":"Energy Storage Systems for AI Data Centers","volume":"19","author":[{"family":"Rahman","given":"Saifur"},{"family":"Khan","given":"Tafsir Ahmed"}],"issued":{"date-parts":[["2026",1,26]]}}}],"schema":"https://github.com/citation-style-language/schema/raw/master/csl-citation.json"} </w:instrText>
      </w:r>
      <w:r>
        <w:fldChar w:fldCharType="separate"/>
      </w:r>
      <w:r w:rsidR="007D29E8" w:rsidRPr="007D29E8">
        <w:t>[112]</w:t>
      </w:r>
      <w:r>
        <w:fldChar w:fldCharType="end"/>
      </w:r>
      <w:r w:rsidRPr="002C0C00">
        <w:t>. However, the round-trip efficiency of the hydrogen pathway is approximately 30–40%, as opposed to 85–95</w:t>
      </w:r>
      <w:r>
        <w:t xml:space="preserve">% </w:t>
      </w:r>
      <w:r w:rsidRPr="002C0C00">
        <w:t>for lithium-ion batteries</w:t>
      </w:r>
      <w:r>
        <w:fldChar w:fldCharType="begin"/>
      </w:r>
      <w:r w:rsidR="007D29E8">
        <w:instrText xml:space="preserve"> ADDIN ZOTERO_ITEM CSL_CITATION {"citationID":"wSvLouuX","properties":{"unsorted":false,"formattedCitation":"[113]","plainCitation":"[113]","noteIndex":0},"citationItems":[{"id":1987,"uris":["http://zotero.org/users/9870935/items/2TYM8STM"],"itemData":{"id":1987,"type":"article-journal","abstract":"The Global Hydrogen Review is an annual publication by the International Energy Agency that tracks hydrogen production and demand worldwide, shedding light on the latest developments on policy, infrastructure, trade, investments and innovation.","language":"en","source":"Zotero","title":"Global Hydrogen Review 2025","URL":"https://iea.blob.core.windows.net/assets/12d92ecc-e960-40f3-aff5-b2de6690ab6b/GlobalHydrogenReview2025.pdf","author":[{"family":"Remme","given":"Uwe"}],"issued":{"date-parts":[["2025"]]}}}],"schema":"https://github.com/citation-style-language/schema/raw/master/csl-citation.json"} </w:instrText>
      </w:r>
      <w:r>
        <w:fldChar w:fldCharType="separate"/>
      </w:r>
      <w:r w:rsidR="007D29E8" w:rsidRPr="007D29E8">
        <w:t>[113]</w:t>
      </w:r>
      <w:r>
        <w:fldChar w:fldCharType="end"/>
      </w:r>
      <w:r w:rsidRPr="002C0C00">
        <w:t>. The economic viability of hydrogen relies on the ability to produce green hydrogen for $2/kg, versus the current production costs of $4 to $6/kg</w:t>
      </w:r>
      <w:r>
        <w:fldChar w:fldCharType="begin"/>
      </w:r>
      <w:r w:rsidR="007D29E8">
        <w:instrText xml:space="preserve"> ADDIN ZOTERO_ITEM CSL_CITATION {"citationID":"EV0Ut2pY","properties":{"unsorted":false,"formattedCitation":"[114]","plainCitation":"[114]","noteIndex":0},"citationItems":[{"id":2076,"uris":["http://zotero.org/users/9870935/items/WSZ9BQJG"],"itemData":{"id":2076,"type":"article-journal","abstract":"Abstract\n            The Chinese government has set long-term carbon neutrality and variable renewable energy development goals for the power sector. The clean energy transition requires a co-evolution of innovation, investment, and deployment strategies for emerging energy storage technologies. Hydrogen could play a pivotal role as a long-duration energy storage in future low-carbon electricity systems, balancing inflexible or intermittent supply with demand. Cost projections are important for understanding this role, but data are scarce and uncertain. Here, we provide a techno-economic evaluation and uncertainty analysis of hydrogen as a long-duration energy storage, using a learning rate approach to estimate the long-term cost. We find that the levelized cost of hydrogen energy storage based on a modeled 25 MW system with proton exchange membranes technology is 3.981 yuan/kWh in 2025. Capital expenditure and equipment replacement costs are the top two contributors, accounting for 32.7% and 33.6%, respectively. Technological advancements and deployment scaling of electrolyzers and fuel cells are projected to drive the levelized cost of hydrogen energy storage down to 1.848 yuan/kWh by 2050 under an 18% learning rate trajectory. Although projections indicate that hydrogen energy storage remains less cost-competitive compared to mature technologies through 2050, like electrochemical storage and pumped hydro storage, its unique value proposition for long-duration storage and grid resilience sustains development potential in high variable renewable energy penetration scenarios.","container-title":"Clean Energy","DOI":"10.1093/ce/zkaf075","ISSN":"2515-4230, 2515-396X","issue":"2","language":"en","license":"https://creativecommons.org/licenses/by-nc/4.0/","page":"146-155","source":"DOI.org (Crossref)","title":"Estimating future costs of hydrogen as long-duration energy storage based on a learning rate approach","volume":"10","author":[{"family":"Yang","given":"Fuyuan"},{"family":"Wang","given":"Zhidong"},{"family":"Tian","given":"Xueqin"}],"issued":{"date-parts":[["2026",3,25]]}}}],"schema":"https://github.com/citation-style-language/schema/raw/master/csl-citation.json"} </w:instrText>
      </w:r>
      <w:r>
        <w:fldChar w:fldCharType="separate"/>
      </w:r>
      <w:r w:rsidR="007D29E8" w:rsidRPr="007D29E8">
        <w:t>[114]</w:t>
      </w:r>
      <w:r>
        <w:fldChar w:fldCharType="end"/>
      </w:r>
      <w:r w:rsidRPr="002C0C00">
        <w:t>.</w:t>
      </w:r>
    </w:p>
    <w:p w14:paraId="7681B9CD" w14:textId="5BB4869C" w:rsidR="00FE013C" w:rsidRDefault="00FE013C" w:rsidP="004C16FF">
      <w:pPr>
        <w:pStyle w:val="Heading20"/>
        <w:jc w:val="both"/>
        <w:rPr>
          <w:color w:val="auto"/>
        </w:rPr>
      </w:pPr>
      <w:r>
        <w:rPr>
          <w:color w:val="auto"/>
        </w:rPr>
        <w:t xml:space="preserve">5.3. Energy Storage Sizing </w:t>
      </w:r>
      <w:r w:rsidR="007D29E8">
        <w:rPr>
          <w:color w:val="auto"/>
        </w:rPr>
        <w:t>Frameworks</w:t>
      </w:r>
    </w:p>
    <w:p w14:paraId="54B585AD" w14:textId="47B50C55" w:rsidR="00D143A6" w:rsidRPr="00D143A6" w:rsidRDefault="00D143A6" w:rsidP="00D143A6">
      <w:pPr>
        <w:spacing w:after="120"/>
        <w:ind w:firstLine="480"/>
        <w:rPr>
          <w:highlight w:val="yellow"/>
        </w:rPr>
      </w:pPr>
      <w:r w:rsidRPr="00D143A6">
        <w:rPr>
          <w:highlight w:val="yellow"/>
        </w:rPr>
        <w:t>The first challenge is energy storage sizing for renewables powered data centers that must address three competing criteria: reliability, operational efficiency and the use of renewable energy sources. Reliability is about having enough storage to ensure services during low renewable generation conditions, whereas economic performance is about keeping capital and operating costs at a minimum. Meanwhile storage must be dimensioned to make the best use of renewable energy usage and minimize the reliance on grid imports or backup from fossil-fuel generation.</w:t>
      </w:r>
    </w:p>
    <w:p w14:paraId="7CFDEE16" w14:textId="7A7E1458" w:rsidR="00D143A6" w:rsidRPr="00D143A6" w:rsidRDefault="00D143A6" w:rsidP="00B73641">
      <w:pPr>
        <w:spacing w:after="120"/>
        <w:ind w:firstLine="480"/>
        <w:rPr>
          <w:highlight w:val="yellow"/>
        </w:rPr>
      </w:pPr>
      <w:r w:rsidRPr="00D143A6">
        <w:rPr>
          <w:highlight w:val="yellow"/>
        </w:rPr>
        <w:t xml:space="preserve">The three main methods of sizing storage are deterministic, probabilistic, and optimization based. Whereas deterministic sizing assesses how much storage is needed under assumptions of worst cases, including periods of low renewable generation. A solar plant in the U.S. Southwest that relies heavily on solar power, for instance, might see low winter irradiation for a few days from clouds during extended periods. While this approach allows for a safety factor, it often leads to over-designed and costly storage solutions </w:t>
      </w:r>
      <w:r>
        <w:fldChar w:fldCharType="begin"/>
      </w:r>
      <w:r w:rsidR="00B73641">
        <w:instrText xml:space="preserve"> ADDIN ZOTERO_ITEM CSL_CITATION {"citationID":"DHpplHe9","properties":{"unsorted":false,"formattedCitation":"[73]","plainCitation":"[73]","noteIndex":0},"citationItems":[{"id":1988,"uris":["http://zotero.org/users/9870935/items/9LH8YF5V"],"itemData":{"id":1988,"type":"article-journal","container-title":"Future Batteries","DOI":"10.1016/j.fub.2025.100106","ISSN":"29502640","journalAbbreviation":"Future Batteries","language":"en","page":"100106","source":"DOI.org (Crossref)","title":"A review of battery energy storage system for renewable energy penetration in electrical power system: Environmental impact, sizing methods, market features, and policy frameworks","title-short":"A review of battery energy storage system for renewable energy penetration in electrical power system","volume":"7","author":[{"family":"Jaradat","given":"Tha'er"},{"family":"Khatib","given":"Tamer"}],"issued":{"date-parts":[["2025",9]]}}}],"schema":"https://github.com/citation-style-language/schema/raw/master/csl-citation.json"} </w:instrText>
      </w:r>
      <w:r>
        <w:fldChar w:fldCharType="separate"/>
      </w:r>
      <w:r w:rsidR="00B73641" w:rsidRPr="00B73641">
        <w:t>[73]</w:t>
      </w:r>
      <w:r>
        <w:fldChar w:fldCharType="end"/>
      </w:r>
      <w:r w:rsidRPr="00D143A6">
        <w:rPr>
          <w:highlight w:val="yellow"/>
        </w:rPr>
        <w:t>.</w:t>
      </w:r>
    </w:p>
    <w:p w14:paraId="074721F8" w14:textId="331CE6F4" w:rsidR="00D143A6" w:rsidRDefault="00D143A6" w:rsidP="007D29E8">
      <w:pPr>
        <w:spacing w:after="120"/>
        <w:ind w:firstLine="480"/>
      </w:pPr>
      <w:r w:rsidRPr="00D143A6">
        <w:rPr>
          <w:highlight w:val="yellow"/>
        </w:rPr>
        <w:t xml:space="preserve">Probabilistic sizing assesses reliability based on the picture of availability, which is expressed by the adequacy metrics Loss of Load Expectation (LOLE). When selecting the reliability goal, a 99.99% annual mean availability is used, giving a LOLE of 0.876 h/year (52.6 min/year) based on a simplified annual-duration relationship </w:t>
      </w:r>
      <w:r w:rsidR="00820347">
        <w:fldChar w:fldCharType="begin"/>
      </w:r>
      <w:r w:rsidR="007D29E8">
        <w:instrText xml:space="preserve"> ADDIN ZOTERO_ITEM CSL_CITATION {"citationID":"j8SEt2Uy","properties":{"unsorted":false,"formattedCitation":"[115]","plainCitation":"[115]","noteIndex":0},"citationItems":[{"id":2078,"uris":["http://zotero.org/users/9870935/items/UAQIETIN"],"itemData":{"id":2078,"type":"article-journal","abstract":"Large-scale integration of photovoltaics (PV) introduces complex source-load temporal volatility and grid-connection/off-grid transitions. Traditional static reliability assessments fail to capture these dynamics, resulting in “considerable deviations” in system indices. This paper proposes a reliability evaluation framework that couples temporal source-load trajectories with a multi-stage fault recovery process. Unlike traditional methods that rely on a single static snapshot, the proposed model evaluates the system state across a continuous 5-h restoration window. The novelty lies in the unique integration of a Dynamic Time Warping (DTW)–Kmedoids method to preserve temporal phase-shifts and a multi-stage Mixed-Integer Linear Programming (MILP) model to simulate PV grid-connection transitions throughout this window. By capturing the intra-outage evolution of sources and loads, the framework fundamentally corrects the “considerable deviations” of static assessments. Case studies demonstrate high precision with an error of less than 0.71% and a 20-fold speedup. Crucially, the framework corrects the 22.31% risk underestimation bias inherent in static models by tracking real-time source-load evolution. This confirms that temporal coordination performance is the primary determinant of the reliability ceiling in active distribution networks. The findings reveal that the precise alignment of intermittent generation and fluctuating demand defines the actual operational safety margin, providing a superior quantitative foundation for grid resilience enhancement.","container-title":"Processes","DOI":"10.3390/pr14081296","ISSN":"2227-9717","issue":"8","journalAbbreviation":"Processes","language":"en","page":"1296","source":"DOI.org (Crossref)","title":"Research on Reliability Evaluation Method of Distribution Network Considering the Temporal Characteristics of Distributed Power Sources","volume":"14","author":[{"family":"Dong","given":"Xiaofeng"},{"family":"Yang","given":"Zhichao"},{"family":"Zhu","given":"Qiong"},{"family":"Li","given":"Junting"},{"family":"Zhou","given":"Binqian"},{"family":"Zhu","given":"Junpeng"}],"issued":{"date-parts":[["2026",4,18]]}}}],"schema":"https://github.com/citation-style-language/schema/raw/master/csl-citation.json"} </w:instrText>
      </w:r>
      <w:r w:rsidR="00820347">
        <w:fldChar w:fldCharType="separate"/>
      </w:r>
      <w:r w:rsidR="007D29E8" w:rsidRPr="007D29E8">
        <w:t>[115]</w:t>
      </w:r>
      <w:r w:rsidR="00820347">
        <w:fldChar w:fldCharType="end"/>
      </w:r>
      <w:r w:rsidRPr="00D143A6">
        <w:rPr>
          <w:highlight w:val="yellow"/>
        </w:rPr>
        <w:t>. Probabilistic methods offer a more realistic approximation of system performance than deterministic because they explicitly account for the incidence and duration of resource shortages. They do need chronological time series of loads, renewable generation, storage operation, and grid availability, though.</w:t>
      </w:r>
    </w:p>
    <w:p w14:paraId="1D93CD8D" w14:textId="6CB33768" w:rsidR="00FE013C" w:rsidRPr="00482AE3" w:rsidRDefault="00822298" w:rsidP="00482AE3">
      <w:pPr>
        <w:spacing w:after="120"/>
        <w:ind w:firstLine="480"/>
        <w:rPr>
          <w:highlight w:val="yellow"/>
          <w:lang w:val="en-CA"/>
        </w:rPr>
      </w:pPr>
      <w:r w:rsidRPr="00482AE3">
        <w:rPr>
          <w:highlight w:val="yellow"/>
          <w:lang w:val="en-CA"/>
        </w:rPr>
        <w:t xml:space="preserve">A deterministic approach looks at </w:t>
      </w:r>
      <w:proofErr w:type="gramStart"/>
      <w:r w:rsidRPr="00482AE3">
        <w:rPr>
          <w:highlight w:val="yellow"/>
          <w:lang w:val="en-CA"/>
        </w:rPr>
        <w:t>all of</w:t>
      </w:r>
      <w:proofErr w:type="gramEnd"/>
      <w:r w:rsidRPr="00482AE3">
        <w:rPr>
          <w:highlight w:val="yellow"/>
          <w:lang w:val="en-CA"/>
        </w:rPr>
        <w:t xml:space="preserve"> the energy shortfall events analysed for a specific period of renewable generation and sizes the energy storage system based on the worst energy shortfall event. Shortfall event starts at the point where available renewable necessary to meet the critical load, plus </w:t>
      </w:r>
      <w:r w:rsidRPr="00482AE3">
        <w:rPr>
          <w:highlight w:val="yellow"/>
          <w:lang w:val="en-CA"/>
        </w:rPr>
        <w:lastRenderedPageBreak/>
        <w:t>permitted, is unavailable, and terminates when sufficient is restored. Using this method, the minimum usable battery energy capacity required is given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505"/>
      </w:tblGrid>
      <w:tr w:rsidR="00FE013C" w14:paraId="2DE87625" w14:textId="77777777" w:rsidTr="009213EE">
        <w:tc>
          <w:tcPr>
            <w:tcW w:w="421" w:type="dxa"/>
          </w:tcPr>
          <w:p w14:paraId="4A4164A0" w14:textId="77777777" w:rsidR="00FE013C" w:rsidRDefault="00FE013C" w:rsidP="004C16FF">
            <w:pPr>
              <w:rPr>
                <w:color w:val="auto"/>
                <w:szCs w:val="24"/>
                <w:lang w:val="en-CA" w:eastAsia="en-CA"/>
              </w:rPr>
            </w:pPr>
          </w:p>
        </w:tc>
        <w:tc>
          <w:tcPr>
            <w:tcW w:w="7908" w:type="dxa"/>
          </w:tcPr>
          <w:p w14:paraId="49BE3620" w14:textId="5E53F877" w:rsidR="00FE013C" w:rsidRDefault="00BA3D74" w:rsidP="004C16FF">
            <w:pPr>
              <w:rPr>
                <w:color w:val="auto"/>
                <w:szCs w:val="24"/>
                <w:lang w:val="en-CA" w:eastAsia="en-CA"/>
              </w:rPr>
            </w:pPr>
            <m:oMathPara>
              <m:oMath>
                <m:sSub>
                  <m:sSubPr>
                    <m:ctrlPr>
                      <w:rPr>
                        <w:rFonts w:ascii="Cambria Math" w:hAnsi="Cambria Math"/>
                        <w:color w:val="auto"/>
                        <w:szCs w:val="24"/>
                      </w:rPr>
                    </m:ctrlPr>
                  </m:sSubPr>
                  <m:e>
                    <m:r>
                      <w:rPr>
                        <w:rFonts w:ascii="Cambria Math" w:hAnsi="Cambria Math"/>
                        <w:color w:val="auto"/>
                        <w:szCs w:val="24"/>
                      </w:rPr>
                      <m:t>E</m:t>
                    </m:r>
                  </m:e>
                  <m:sub>
                    <m:r>
                      <w:rPr>
                        <w:rFonts w:ascii="Cambria Math" w:hAnsi="Cambria Math"/>
                        <w:color w:val="auto"/>
                        <w:szCs w:val="24"/>
                      </w:rPr>
                      <m:t>B,</m:t>
                    </m:r>
                    <m:r>
                      <m:rPr>
                        <m:nor/>
                      </m:rPr>
                      <w:rPr>
                        <w:rFonts w:ascii="Cambria Math" w:hAnsi="Cambria Math"/>
                        <w:color w:val="auto"/>
                        <w:szCs w:val="24"/>
                      </w:rPr>
                      <m:t>det</m:t>
                    </m:r>
                  </m:sub>
                </m:sSub>
                <m:r>
                  <w:rPr>
                    <w:rFonts w:ascii="Cambria Math" w:hAnsi="Cambria Math"/>
                    <w:color w:val="auto"/>
                    <w:szCs w:val="24"/>
                  </w:rPr>
                  <m:t>=</m:t>
                </m:r>
                <m:func>
                  <m:funcPr>
                    <m:ctrlPr>
                      <w:rPr>
                        <w:rFonts w:ascii="Cambria Math" w:hAnsi="Cambria Math"/>
                        <w:color w:val="auto"/>
                        <w:szCs w:val="24"/>
                      </w:rPr>
                    </m:ctrlPr>
                  </m:funcPr>
                  <m:fName>
                    <m:limLow>
                      <m:limLowPr>
                        <m:ctrlPr>
                          <w:rPr>
                            <w:rFonts w:ascii="Cambria Math" w:hAnsi="Cambria Math"/>
                            <w:color w:val="auto"/>
                            <w:szCs w:val="24"/>
                          </w:rPr>
                        </m:ctrlPr>
                      </m:limLowPr>
                      <m:e>
                        <m:r>
                          <m:rPr>
                            <m:sty m:val="p"/>
                          </m:rPr>
                          <w:rPr>
                            <w:rFonts w:ascii="Cambria Math" w:hAnsi="Cambria Math"/>
                            <w:color w:val="auto"/>
                            <w:szCs w:val="24"/>
                          </w:rPr>
                          <m:t>max</m:t>
                        </m:r>
                      </m:e>
                      <m:lim>
                        <m:r>
                          <w:rPr>
                            <w:rFonts w:ascii="Cambria Math" w:hAnsi="Cambria Math"/>
                            <w:color w:val="auto"/>
                            <w:szCs w:val="24"/>
                          </w:rPr>
                          <m:t>i∈</m:t>
                        </m:r>
                        <m:d>
                          <m:dPr>
                            <m:begChr m:val="{"/>
                            <m:endChr m:val="}"/>
                            <m:ctrlPr>
                              <w:rPr>
                                <w:rFonts w:ascii="Cambria Math" w:hAnsi="Cambria Math"/>
                                <w:color w:val="auto"/>
                                <w:szCs w:val="24"/>
                              </w:rPr>
                            </m:ctrlPr>
                          </m:dPr>
                          <m:e>
                            <m:r>
                              <w:rPr>
                                <w:rFonts w:ascii="Cambria Math" w:hAnsi="Cambria Math"/>
                                <w:color w:val="auto"/>
                                <w:szCs w:val="24"/>
                              </w:rPr>
                              <m:t>1,…,n</m:t>
                            </m:r>
                          </m:e>
                        </m:d>
                      </m:lim>
                    </m:limLow>
                  </m:fName>
                  <m:e>
                    <m:d>
                      <m:dPr>
                        <m:begChr m:val="["/>
                        <m:endChr m:val="]"/>
                        <m:ctrlPr>
                          <w:rPr>
                            <w:rFonts w:ascii="Cambria Math" w:hAnsi="Cambria Math"/>
                            <w:color w:val="auto"/>
                            <w:szCs w:val="24"/>
                          </w:rPr>
                        </m:ctrlPr>
                      </m:dPr>
                      <m:e>
                        <m:nary>
                          <m:naryPr>
                            <m:chr m:val="∑"/>
                            <m:limLoc m:val="undOvr"/>
                            <m:supHide m:val="1"/>
                            <m:ctrlPr>
                              <w:rPr>
                                <w:rFonts w:ascii="Cambria Math" w:hAnsi="Cambria Math"/>
                                <w:color w:val="auto"/>
                                <w:szCs w:val="24"/>
                              </w:rPr>
                            </m:ctrlPr>
                          </m:naryPr>
                          <m:sub>
                            <m:r>
                              <w:rPr>
                                <w:rFonts w:ascii="Cambria Math" w:hAnsi="Cambria Math"/>
                                <w:color w:val="auto"/>
                                <w:szCs w:val="24"/>
                              </w:rPr>
                              <m:t>t∈</m:t>
                            </m:r>
                            <m:sSub>
                              <m:sSubPr>
                                <m:ctrlPr>
                                  <w:rPr>
                                    <w:rFonts w:ascii="Cambria Math" w:hAnsi="Cambria Math"/>
                                    <w:color w:val="auto"/>
                                    <w:szCs w:val="24"/>
                                  </w:rPr>
                                </m:ctrlPr>
                              </m:sSubPr>
                              <m:e>
                                <m:r>
                                  <w:rPr>
                                    <w:rFonts w:ascii="Cambria Math" w:hAnsi="Cambria Math"/>
                                    <w:color w:val="auto"/>
                                    <w:szCs w:val="24"/>
                                  </w:rPr>
                                  <m:t>T</m:t>
                                </m:r>
                              </m:e>
                              <m:sub>
                                <m:r>
                                  <w:rPr>
                                    <w:rFonts w:ascii="Cambria Math" w:hAnsi="Cambria Math"/>
                                    <w:color w:val="auto"/>
                                    <w:szCs w:val="24"/>
                                  </w:rPr>
                                  <m:t>i</m:t>
                                </m:r>
                              </m:sub>
                            </m:sSub>
                          </m:sub>
                          <m:sup/>
                          <m:e>
                            <m:d>
                              <m:dPr>
                                <m:ctrlPr>
                                  <w:rPr>
                                    <w:rFonts w:ascii="Cambria Math" w:hAnsi="Cambria Math"/>
                                    <w:color w:val="auto"/>
                                    <w:szCs w:val="24"/>
                                  </w:rPr>
                                </m:ctrlPr>
                              </m:dPr>
                              <m:e>
                                <m:sSub>
                                  <m:sSubPr>
                                    <m:ctrlPr>
                                      <w:rPr>
                                        <w:rFonts w:ascii="Cambria Math" w:hAnsi="Cambria Math"/>
                                        <w:color w:val="auto"/>
                                        <w:szCs w:val="24"/>
                                      </w:rPr>
                                    </m:ctrlPr>
                                  </m:sSubPr>
                                  <m:e>
                                    <m:r>
                                      <w:rPr>
                                        <w:rFonts w:ascii="Cambria Math" w:hAnsi="Cambria Math"/>
                                        <w:color w:val="auto"/>
                                        <w:szCs w:val="24"/>
                                      </w:rPr>
                                      <m:t>P</m:t>
                                    </m:r>
                                  </m:e>
                                  <m:sub>
                                    <m:r>
                                      <m:rPr>
                                        <m:nor/>
                                      </m:rPr>
                                      <w:rPr>
                                        <w:rFonts w:ascii="Cambria Math" w:hAnsi="Cambria Math"/>
                                        <w:color w:val="auto"/>
                                        <w:szCs w:val="24"/>
                                      </w:rPr>
                                      <m:t>crit</m:t>
                                    </m:r>
                                    <m:r>
                                      <w:rPr>
                                        <w:rFonts w:ascii="Cambria Math" w:hAnsi="Cambria Math"/>
                                        <w:color w:val="auto"/>
                                        <w:szCs w:val="24"/>
                                      </w:rPr>
                                      <m:t>,t</m:t>
                                    </m:r>
                                  </m:sub>
                                </m:sSub>
                                <m:r>
                                  <w:rPr>
                                    <w:rFonts w:ascii="Cambria Math" w:hAnsi="Cambria Math"/>
                                    <w:color w:val="auto"/>
                                    <w:szCs w:val="24"/>
                                  </w:rPr>
                                  <m:t>-</m:t>
                                </m:r>
                                <m:sSub>
                                  <m:sSubPr>
                                    <m:ctrlPr>
                                      <w:rPr>
                                        <w:rFonts w:ascii="Cambria Math" w:hAnsi="Cambria Math"/>
                                        <w:color w:val="auto"/>
                                        <w:szCs w:val="24"/>
                                      </w:rPr>
                                    </m:ctrlPr>
                                  </m:sSubPr>
                                  <m:e>
                                    <m:r>
                                      <w:rPr>
                                        <w:rFonts w:ascii="Cambria Math" w:hAnsi="Cambria Math"/>
                                        <w:color w:val="auto"/>
                                        <w:szCs w:val="24"/>
                                      </w:rPr>
                                      <m:t>P</m:t>
                                    </m:r>
                                  </m:e>
                                  <m:sub>
                                    <m:r>
                                      <m:rPr>
                                        <m:nor/>
                                      </m:rPr>
                                      <w:rPr>
                                        <w:rFonts w:ascii="Cambria Math" w:hAnsi="Cambria Math"/>
                                        <w:color w:val="auto"/>
                                        <w:szCs w:val="24"/>
                                      </w:rPr>
                                      <m:t>supply</m:t>
                                    </m:r>
                                    <m:r>
                                      <w:rPr>
                                        <w:rFonts w:ascii="Cambria Math" w:hAnsi="Cambria Math"/>
                                        <w:color w:val="auto"/>
                                        <w:szCs w:val="24"/>
                                      </w:rPr>
                                      <m:t>,t</m:t>
                                    </m:r>
                                  </m:sub>
                                </m:sSub>
                              </m:e>
                            </m:d>
                          </m:e>
                        </m:nary>
                        <m:r>
                          <w:rPr>
                            <w:rFonts w:ascii="Cambria Math" w:hAnsi="Cambria Math"/>
                            <w:color w:val="auto"/>
                            <w:szCs w:val="24"/>
                          </w:rPr>
                          <m:t>⋅</m:t>
                        </m:r>
                        <m:r>
                          <m:rPr>
                            <m:sty m:val="p"/>
                          </m:rPr>
                          <w:rPr>
                            <w:rFonts w:ascii="Cambria Math" w:hAnsi="Cambria Math"/>
                            <w:color w:val="auto"/>
                            <w:szCs w:val="24"/>
                          </w:rPr>
                          <m:t>Δ</m:t>
                        </m:r>
                        <m:r>
                          <w:rPr>
                            <w:rFonts w:ascii="Cambria Math" w:hAnsi="Cambria Math"/>
                            <w:color w:val="auto"/>
                            <w:szCs w:val="24"/>
                          </w:rPr>
                          <m:t>t</m:t>
                        </m:r>
                      </m:e>
                    </m:d>
                  </m:e>
                </m:func>
              </m:oMath>
            </m:oMathPara>
          </w:p>
        </w:tc>
        <w:tc>
          <w:tcPr>
            <w:tcW w:w="505" w:type="dxa"/>
            <w:vAlign w:val="center"/>
          </w:tcPr>
          <w:p w14:paraId="212F47F6" w14:textId="77777777" w:rsidR="00FE013C" w:rsidRDefault="00FE013C" w:rsidP="004C16FF">
            <w:pPr>
              <w:rPr>
                <w:color w:val="auto"/>
                <w:szCs w:val="24"/>
                <w:lang w:val="en-CA" w:eastAsia="en-CA"/>
              </w:rPr>
            </w:pPr>
            <w:r>
              <w:rPr>
                <w:color w:val="auto"/>
                <w:szCs w:val="24"/>
                <w:lang w:val="en-CA" w:eastAsia="en-CA"/>
              </w:rPr>
              <w:t>(1)</w:t>
            </w:r>
          </w:p>
        </w:tc>
      </w:tr>
    </w:tbl>
    <w:p w14:paraId="22F793B9" w14:textId="6CD9BBA7" w:rsidR="005324E9" w:rsidRPr="005324E9" w:rsidRDefault="005324E9" w:rsidP="005324E9">
      <w:pPr>
        <w:spacing w:after="120"/>
        <w:ind w:firstLine="480"/>
        <w:rPr>
          <w:highlight w:val="yellow"/>
          <w:lang w:val="en-CA"/>
        </w:rPr>
      </w:pPr>
      <w:r w:rsidRPr="005324E9">
        <w:rPr>
          <w:highlight w:val="yellow"/>
          <w:lang w:val="en-CA"/>
        </w:rPr>
        <w:t xml:space="preserve">where </w:t>
      </w:r>
      <m:oMath>
        <m:sSub>
          <m:sSubPr>
            <m:ctrlPr>
              <w:rPr>
                <w:rFonts w:ascii="Cambria Math" w:hAnsi="Cambria Math"/>
                <w:highlight w:val="yellow"/>
                <w:lang w:val="en-CA"/>
              </w:rPr>
            </m:ctrlPr>
          </m:sSubPr>
          <m:e>
            <m:r>
              <w:rPr>
                <w:rFonts w:ascii="Cambria Math" w:hAnsi="Cambria Math"/>
                <w:highlight w:val="yellow"/>
                <w:lang w:val="en-CA"/>
              </w:rPr>
              <m:t>E</m:t>
            </m:r>
          </m:e>
          <m:sub>
            <m:r>
              <m:rPr>
                <m:sty m:val="p"/>
              </m:rPr>
              <w:rPr>
                <w:rFonts w:ascii="Cambria Math" w:hAnsi="Cambria Math"/>
                <w:highlight w:val="yellow"/>
                <w:lang w:val="en-CA"/>
              </w:rPr>
              <m:t>B,det</m:t>
            </m:r>
          </m:sub>
        </m:sSub>
      </m:oMath>
      <w:r w:rsidRPr="005324E9">
        <w:rPr>
          <w:highlight w:val="yellow"/>
          <w:lang w:val="en-CA"/>
        </w:rPr>
        <w:t xml:space="preserve">is the minimum usable battery energy capacity required under deterministic sizing, in MWh; </w:t>
      </w:r>
      <m:oMath>
        <m:r>
          <w:rPr>
            <w:rFonts w:ascii="Cambria Math" w:hAnsi="Cambria Math"/>
            <w:highlight w:val="yellow"/>
            <w:lang w:val="en-CA"/>
          </w:rPr>
          <m:t>i</m:t>
        </m:r>
      </m:oMath>
      <w:r w:rsidRPr="005324E9">
        <w:rPr>
          <w:highlight w:val="yellow"/>
          <w:lang w:val="en-CA"/>
        </w:rPr>
        <w:t xml:space="preserve">denotes an individual renewable-generation shortfall event; </w:t>
      </w:r>
      <m:oMath>
        <m:r>
          <w:rPr>
            <w:rFonts w:ascii="Cambria Math" w:hAnsi="Cambria Math"/>
            <w:highlight w:val="yellow"/>
            <w:lang w:val="en-CA"/>
          </w:rPr>
          <m:t>n</m:t>
        </m:r>
      </m:oMath>
      <w:r w:rsidRPr="005324E9">
        <w:rPr>
          <w:highlight w:val="yellow"/>
          <w:lang w:val="en-CA"/>
        </w:rPr>
        <w:t xml:space="preserve">is the total number of identified shortfall events in the historical or representative time-series dataset; </w:t>
      </w:r>
      <m:oMath>
        <m:sSub>
          <m:sSubPr>
            <m:ctrlPr>
              <w:rPr>
                <w:rFonts w:ascii="Cambria Math" w:hAnsi="Cambria Math"/>
                <w:highlight w:val="yellow"/>
                <w:lang w:val="en-CA"/>
              </w:rPr>
            </m:ctrlPr>
          </m:sSubPr>
          <m:e>
            <m:r>
              <m:rPr>
                <m:scr m:val="script"/>
                <m:sty m:val="p"/>
              </m:rPr>
              <w:rPr>
                <w:rFonts w:ascii="Cambria Math" w:hAnsi="Cambria Math"/>
                <w:highlight w:val="yellow"/>
                <w:lang w:val="en-CA"/>
              </w:rPr>
              <m:t>T</m:t>
            </m:r>
          </m:e>
          <m:sub>
            <m:r>
              <w:rPr>
                <w:rFonts w:ascii="Cambria Math" w:hAnsi="Cambria Math"/>
                <w:highlight w:val="yellow"/>
                <w:lang w:val="en-CA"/>
              </w:rPr>
              <m:t>i</m:t>
            </m:r>
          </m:sub>
        </m:sSub>
      </m:oMath>
      <w:r w:rsidRPr="005324E9">
        <w:rPr>
          <w:highlight w:val="yellow"/>
          <w:lang w:val="en-CA"/>
        </w:rPr>
        <w:t xml:space="preserve">is the set of simulation intervals associated with event </w:t>
      </w:r>
      <m:oMath>
        <m:r>
          <w:rPr>
            <w:rFonts w:ascii="Cambria Math" w:hAnsi="Cambria Math"/>
            <w:highlight w:val="yellow"/>
            <w:lang w:val="en-CA"/>
          </w:rPr>
          <m:t>i</m:t>
        </m:r>
      </m:oMath>
      <w:r w:rsidRPr="005324E9">
        <w:rPr>
          <w:highlight w:val="yellow"/>
          <w:lang w:val="en-CA"/>
        </w:rPr>
        <w:t xml:space="preserve">; </w:t>
      </w:r>
      <m:oMath>
        <m:sSub>
          <m:sSubPr>
            <m:ctrlPr>
              <w:rPr>
                <w:rFonts w:ascii="Cambria Math" w:hAnsi="Cambria Math"/>
                <w:highlight w:val="yellow"/>
                <w:lang w:val="en-CA"/>
              </w:rPr>
            </m:ctrlPr>
          </m:sSubPr>
          <m:e>
            <m:r>
              <w:rPr>
                <w:rFonts w:ascii="Cambria Math" w:hAnsi="Cambria Math"/>
                <w:highlight w:val="yellow"/>
                <w:lang w:val="en-CA"/>
              </w:rPr>
              <m:t>P</m:t>
            </m:r>
          </m:e>
          <m:sub>
            <m:r>
              <m:rPr>
                <m:sty m:val="p"/>
              </m:rPr>
              <w:rPr>
                <w:rFonts w:ascii="Cambria Math" w:hAnsi="Cambria Math"/>
                <w:highlight w:val="yellow"/>
                <w:lang w:val="en-CA"/>
              </w:rPr>
              <m:t>crit,</m:t>
            </m:r>
            <m:r>
              <w:rPr>
                <w:rFonts w:ascii="Cambria Math" w:hAnsi="Cambria Math"/>
                <w:highlight w:val="yellow"/>
                <w:lang w:val="en-CA"/>
              </w:rPr>
              <m:t>t</m:t>
            </m:r>
          </m:sub>
        </m:sSub>
      </m:oMath>
      <w:r w:rsidRPr="005324E9">
        <w:rPr>
          <w:highlight w:val="yellow"/>
          <w:lang w:val="en-CA"/>
        </w:rPr>
        <w:t xml:space="preserve">is the critical, non-deferrable facility load during interval </w:t>
      </w:r>
      <m:oMath>
        <m:r>
          <w:rPr>
            <w:rFonts w:ascii="Cambria Math" w:hAnsi="Cambria Math"/>
            <w:highlight w:val="yellow"/>
            <w:lang w:val="en-CA"/>
          </w:rPr>
          <m:t>t</m:t>
        </m:r>
      </m:oMath>
      <w:r w:rsidRPr="005324E9">
        <w:rPr>
          <w:highlight w:val="yellow"/>
          <w:lang w:val="en-CA"/>
        </w:rPr>
        <w:t xml:space="preserve">, in MW; </w:t>
      </w:r>
      <m:oMath>
        <m:sSub>
          <m:sSubPr>
            <m:ctrlPr>
              <w:rPr>
                <w:rFonts w:ascii="Cambria Math" w:hAnsi="Cambria Math"/>
                <w:highlight w:val="yellow"/>
                <w:lang w:val="en-CA"/>
              </w:rPr>
            </m:ctrlPr>
          </m:sSubPr>
          <m:e>
            <m:r>
              <w:rPr>
                <w:rFonts w:ascii="Cambria Math" w:hAnsi="Cambria Math"/>
                <w:highlight w:val="yellow"/>
                <w:lang w:val="en-CA"/>
              </w:rPr>
              <m:t>P</m:t>
            </m:r>
          </m:e>
          <m:sub>
            <m:r>
              <m:rPr>
                <m:sty m:val="p"/>
              </m:rPr>
              <w:rPr>
                <w:rFonts w:ascii="Cambria Math" w:hAnsi="Cambria Math"/>
                <w:highlight w:val="yellow"/>
                <w:lang w:val="en-CA"/>
              </w:rPr>
              <m:t>supply,</m:t>
            </m:r>
            <m:r>
              <w:rPr>
                <w:rFonts w:ascii="Cambria Math" w:hAnsi="Cambria Math"/>
                <w:highlight w:val="yellow"/>
                <w:lang w:val="en-CA"/>
              </w:rPr>
              <m:t>t</m:t>
            </m:r>
          </m:sub>
        </m:sSub>
      </m:oMath>
      <w:r w:rsidRPr="005324E9">
        <w:rPr>
          <w:highlight w:val="yellow"/>
          <w:lang w:val="en-CA"/>
        </w:rPr>
        <w:t xml:space="preserve">is the non-battery electricity supply available during interval </w:t>
      </w:r>
      <m:oMath>
        <m:r>
          <w:rPr>
            <w:rFonts w:ascii="Cambria Math" w:hAnsi="Cambria Math"/>
            <w:highlight w:val="yellow"/>
            <w:lang w:val="en-CA"/>
          </w:rPr>
          <m:t>t</m:t>
        </m:r>
      </m:oMath>
      <w:r w:rsidRPr="005324E9">
        <w:rPr>
          <w:highlight w:val="yellow"/>
          <w:lang w:val="en-CA"/>
        </w:rPr>
        <w:t xml:space="preserve">, including renewable generation, permitted grid imports, and available backup generation, in MW; </w:t>
      </w:r>
      <m:oMath>
        <m:r>
          <m:rPr>
            <m:sty m:val="p"/>
          </m:rPr>
          <w:rPr>
            <w:rFonts w:ascii="Cambria Math" w:hAnsi="Cambria Math"/>
            <w:highlight w:val="yellow"/>
            <w:lang w:val="en-CA"/>
          </w:rPr>
          <m:t>Δ</m:t>
        </m:r>
        <m:r>
          <w:rPr>
            <w:rFonts w:ascii="Cambria Math" w:hAnsi="Cambria Math"/>
            <w:highlight w:val="yellow"/>
            <w:lang w:val="en-CA"/>
          </w:rPr>
          <m:t>t</m:t>
        </m:r>
      </m:oMath>
      <w:r w:rsidRPr="005324E9">
        <w:rPr>
          <w:highlight w:val="yellow"/>
          <w:lang w:val="en-CA"/>
        </w:rPr>
        <w:t xml:space="preserve">is the duration of each simulation interval, in hours; and </w:t>
      </w:r>
      <m:oMath>
        <m:sSup>
          <m:sSupPr>
            <m:ctrlPr>
              <w:rPr>
                <w:rFonts w:ascii="Cambria Math" w:hAnsi="Cambria Math"/>
                <w:highlight w:val="yellow"/>
                <w:lang w:val="en-CA"/>
              </w:rPr>
            </m:ctrlPr>
          </m:sSupPr>
          <m:e>
            <m:d>
              <m:dPr>
                <m:ctrlPr>
                  <w:rPr>
                    <w:rFonts w:ascii="Cambria Math" w:hAnsi="Cambria Math"/>
                    <w:highlight w:val="yellow"/>
                    <w:lang w:val="en-CA"/>
                  </w:rPr>
                </m:ctrlPr>
              </m:dPr>
              <m:e>
                <m:r>
                  <w:rPr>
                    <w:rFonts w:ascii="Cambria Math" w:hAnsi="Cambria Math"/>
                    <w:highlight w:val="yellow"/>
                    <w:lang w:val="en-CA"/>
                  </w:rPr>
                  <m:t>x</m:t>
                </m:r>
              </m:e>
            </m:d>
          </m:e>
          <m:sup>
            <m:r>
              <m:rPr>
                <m:sty m:val="p"/>
              </m:rPr>
              <w:rPr>
                <w:rFonts w:ascii="Cambria Math" w:hAnsi="Cambria Math"/>
                <w:highlight w:val="yellow"/>
                <w:lang w:val="en-CA"/>
              </w:rPr>
              <m:t>+</m:t>
            </m:r>
          </m:sup>
        </m:sSup>
        <m:r>
          <m:rPr>
            <m:sty m:val="p"/>
          </m:rPr>
          <w:rPr>
            <w:rFonts w:ascii="Cambria Math" w:hAnsi="Cambria Math"/>
            <w:highlight w:val="yellow"/>
            <w:lang w:val="en-CA"/>
          </w:rPr>
          <m:t>=max⁡</m:t>
        </m:r>
        <m:d>
          <m:dPr>
            <m:sepChr m:val=","/>
            <m:ctrlPr>
              <w:rPr>
                <w:rFonts w:ascii="Cambria Math" w:hAnsi="Cambria Math"/>
                <w:highlight w:val="yellow"/>
                <w:lang w:val="en-CA"/>
              </w:rPr>
            </m:ctrlPr>
          </m:dPr>
          <m:e>
            <m:r>
              <w:rPr>
                <w:rFonts w:ascii="Cambria Math" w:hAnsi="Cambria Math"/>
                <w:highlight w:val="yellow"/>
                <w:lang w:val="en-CA"/>
              </w:rPr>
              <m:t>x</m:t>
            </m:r>
          </m:e>
          <m:e>
            <m:r>
              <m:rPr>
                <m:sty m:val="p"/>
              </m:rPr>
              <w:rPr>
                <w:rFonts w:ascii="Cambria Math" w:hAnsi="Cambria Math"/>
                <w:highlight w:val="yellow"/>
                <w:lang w:val="en-CA"/>
              </w:rPr>
              <m:t>0</m:t>
            </m:r>
          </m:e>
        </m:d>
      </m:oMath>
      <w:r w:rsidRPr="005324E9">
        <w:rPr>
          <w:highlight w:val="yellow"/>
          <w:lang w:val="en-CA"/>
        </w:rPr>
        <w:t>ensures that only positive energy deficits are accumulated.</w:t>
      </w:r>
    </w:p>
    <w:p w14:paraId="76A064FC" w14:textId="77777777" w:rsidR="005324E9" w:rsidRDefault="005324E9" w:rsidP="002473F3">
      <w:pPr>
        <w:spacing w:after="120"/>
        <w:ind w:firstLine="480"/>
        <w:rPr>
          <w:color w:val="auto"/>
          <w:szCs w:val="24"/>
          <w:lang w:val="en-CA" w:eastAsia="en-CA"/>
        </w:rPr>
      </w:pPr>
    </w:p>
    <w:p w14:paraId="16F4CF6A" w14:textId="40EA4686" w:rsidR="002473F3" w:rsidRPr="002473F3" w:rsidRDefault="002473F3" w:rsidP="002473F3">
      <w:pPr>
        <w:spacing w:after="120"/>
        <w:ind w:firstLine="480"/>
        <w:rPr>
          <w:lang w:val="en-CA"/>
        </w:rPr>
      </w:pPr>
      <w:r w:rsidRPr="002473F3">
        <w:rPr>
          <w:highlight w:val="yellow"/>
          <w:lang w:val="en-CA"/>
        </w:rPr>
        <w:t>LOLE quantifies the expected duration during which available electricity supply is insufficient to meet the specified load over a defined assessment period. For an hourly chronological simulation of one year, LOLE is calculated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505"/>
      </w:tblGrid>
      <w:tr w:rsidR="00FE013C" w14:paraId="6FC60795" w14:textId="77777777" w:rsidTr="00F5352A">
        <w:tc>
          <w:tcPr>
            <w:tcW w:w="421" w:type="dxa"/>
          </w:tcPr>
          <w:p w14:paraId="40D57622" w14:textId="77777777" w:rsidR="00FE013C" w:rsidRDefault="00FE013C" w:rsidP="004C16FF">
            <w:pPr>
              <w:rPr>
                <w:color w:val="auto"/>
                <w:szCs w:val="24"/>
                <w:lang w:val="en-CA" w:eastAsia="en-CA"/>
              </w:rPr>
            </w:pPr>
          </w:p>
        </w:tc>
        <w:tc>
          <w:tcPr>
            <w:tcW w:w="7908" w:type="dxa"/>
          </w:tcPr>
          <w:p w14:paraId="5821DA4E" w14:textId="49D2AA69" w:rsidR="00FE013C" w:rsidRPr="00333CD8" w:rsidRDefault="009D0C8A" w:rsidP="004C16FF">
            <w:pPr>
              <w:rPr>
                <w:rFonts w:asciiTheme="majorBidi" w:hAnsiTheme="majorBidi" w:cstheme="majorBidi"/>
                <w:color w:val="auto"/>
                <w:szCs w:val="24"/>
                <w:lang w:val="en-CA" w:eastAsia="en-CA"/>
              </w:rPr>
            </w:pPr>
            <m:oMathPara>
              <m:oMath>
                <m:r>
                  <m:rPr>
                    <m:nor/>
                  </m:rPr>
                  <w:rPr>
                    <w:rFonts w:asciiTheme="majorBidi" w:hAnsiTheme="majorBidi" w:cstheme="majorBidi"/>
                  </w:rPr>
                  <m:t>LOLE</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E</m:t>
                        </m:r>
                      </m:e>
                      <m:sub>
                        <m:r>
                          <w:rPr>
                            <w:rFonts w:ascii="Cambria Math" w:hAnsi="Cambria Math" w:cstheme="majorBidi"/>
                          </w:rPr>
                          <m:t>B</m:t>
                        </m:r>
                      </m:sub>
                    </m:sSub>
                  </m:e>
                </m:d>
                <m:r>
                  <w:rPr>
                    <w:rFonts w:ascii="Cambria Math" w:hAnsi="Cambria Math" w:cstheme="majorBidi"/>
                  </w:rPr>
                  <m:t>=</m:t>
                </m:r>
                <m:nary>
                  <m:naryPr>
                    <m:chr m:val="∑"/>
                    <m:limLoc m:val="undOvr"/>
                    <m:ctrlPr>
                      <w:rPr>
                        <w:rFonts w:ascii="Cambria Math" w:hAnsi="Cambria Math" w:cstheme="majorBidi"/>
                      </w:rPr>
                    </m:ctrlPr>
                  </m:naryPr>
                  <m:sub>
                    <m:r>
                      <w:rPr>
                        <w:rFonts w:ascii="Cambria Math" w:hAnsi="Cambria Math" w:cstheme="majorBidi"/>
                      </w:rPr>
                      <m:t>t=1</m:t>
                    </m:r>
                  </m:sub>
                  <m:sup>
                    <m:r>
                      <w:rPr>
                        <w:rFonts w:ascii="Cambria Math" w:hAnsi="Cambria Math" w:cstheme="majorBidi"/>
                      </w:rPr>
                      <m:t>T</m:t>
                    </m:r>
                  </m:sup>
                  <m:e>
                    <m:r>
                      <m:rPr>
                        <m:scr m:val="double-struck"/>
                        <m:sty m:val="p"/>
                      </m:rPr>
                      <w:rPr>
                        <w:rFonts w:ascii="Cambria Math" w:hAnsi="Cambria Math" w:cstheme="majorBidi"/>
                      </w:rPr>
                      <m:t>1</m:t>
                    </m:r>
                  </m:e>
                </m:nary>
                <m:d>
                  <m:dPr>
                    <m:begChr m:val="["/>
                    <m:endChr m:val="]"/>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P</m:t>
                        </m:r>
                      </m:e>
                      <m:sub>
                        <m:r>
                          <m:rPr>
                            <m:nor/>
                          </m:rPr>
                          <w:rPr>
                            <w:rFonts w:asciiTheme="majorBidi" w:hAnsiTheme="majorBidi" w:cstheme="majorBidi"/>
                          </w:rPr>
                          <m:t>avail</m:t>
                        </m:r>
                        <m:r>
                          <w:rPr>
                            <w:rFonts w:ascii="Cambria Math" w:hAnsi="Cambria Math" w:cstheme="majorBidi"/>
                          </w:rPr>
                          <m:t>,t</m:t>
                        </m:r>
                      </m:sub>
                    </m:sSub>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E</m:t>
                            </m:r>
                          </m:e>
                          <m:sub>
                            <m:r>
                              <w:rPr>
                                <w:rFonts w:ascii="Cambria Math" w:hAnsi="Cambria Math" w:cstheme="majorBidi"/>
                              </w:rPr>
                              <m:t>B</m:t>
                            </m:r>
                          </m:sub>
                        </m:sSub>
                      </m:e>
                    </m:d>
                    <m:r>
                      <w:rPr>
                        <w:rFonts w:ascii="Cambria Math" w:hAnsi="Cambria Math" w:cstheme="majorBidi"/>
                      </w:rPr>
                      <m:t>&lt;</m:t>
                    </m:r>
                    <m:sSub>
                      <m:sSubPr>
                        <m:ctrlPr>
                          <w:rPr>
                            <w:rFonts w:ascii="Cambria Math" w:hAnsi="Cambria Math" w:cstheme="majorBidi"/>
                          </w:rPr>
                        </m:ctrlPr>
                      </m:sSubPr>
                      <m:e>
                        <m:r>
                          <w:rPr>
                            <w:rFonts w:ascii="Cambria Math" w:hAnsi="Cambria Math" w:cstheme="majorBidi"/>
                          </w:rPr>
                          <m:t>P</m:t>
                        </m:r>
                      </m:e>
                      <m:sub>
                        <m:r>
                          <m:rPr>
                            <m:nor/>
                          </m:rPr>
                          <w:rPr>
                            <w:rFonts w:asciiTheme="majorBidi" w:hAnsiTheme="majorBidi" w:cstheme="majorBidi"/>
                          </w:rPr>
                          <m:t>crit</m:t>
                        </m:r>
                        <m:r>
                          <w:rPr>
                            <w:rFonts w:ascii="Cambria Math" w:hAnsi="Cambria Math" w:cstheme="majorBidi"/>
                          </w:rPr>
                          <m:t>,t</m:t>
                        </m:r>
                      </m:sub>
                    </m:sSub>
                  </m:e>
                </m:d>
                <m:r>
                  <m:rPr>
                    <m:sty m:val="p"/>
                  </m:rPr>
                  <w:rPr>
                    <w:rFonts w:ascii="Cambria Math" w:hAnsi="Cambria Math" w:cstheme="majorBidi"/>
                  </w:rPr>
                  <m:t>Δ</m:t>
                </m:r>
                <m:r>
                  <w:rPr>
                    <w:rFonts w:ascii="Cambria Math" w:hAnsi="Cambria Math" w:cstheme="majorBidi"/>
                  </w:rPr>
                  <m:t>t</m:t>
                </m:r>
              </m:oMath>
            </m:oMathPara>
          </w:p>
        </w:tc>
        <w:tc>
          <w:tcPr>
            <w:tcW w:w="505" w:type="dxa"/>
            <w:vAlign w:val="center"/>
          </w:tcPr>
          <w:p w14:paraId="25C0C804" w14:textId="77777777" w:rsidR="00FE013C" w:rsidRDefault="00FE013C" w:rsidP="004C16FF">
            <w:pPr>
              <w:rPr>
                <w:color w:val="auto"/>
                <w:szCs w:val="24"/>
                <w:lang w:val="en-CA" w:eastAsia="en-CA"/>
              </w:rPr>
            </w:pPr>
            <w:r>
              <w:rPr>
                <w:color w:val="auto"/>
                <w:szCs w:val="24"/>
                <w:lang w:val="en-CA" w:eastAsia="en-CA"/>
              </w:rPr>
              <w:t>(2)</w:t>
            </w:r>
          </w:p>
        </w:tc>
      </w:tr>
    </w:tbl>
    <w:p w14:paraId="474833FD" w14:textId="5215A8D6" w:rsidR="002473F3" w:rsidRPr="002473F3" w:rsidRDefault="002473F3" w:rsidP="002473F3">
      <w:pPr>
        <w:spacing w:after="120"/>
        <w:ind w:firstLine="480"/>
        <w:rPr>
          <w:highlight w:val="yellow"/>
          <w:lang w:val="en-CA"/>
        </w:rPr>
      </w:pPr>
      <w:r w:rsidRPr="002473F3">
        <w:rPr>
          <w:highlight w:val="yellow"/>
          <w:lang w:val="en-CA"/>
        </w:rPr>
        <w:t xml:space="preserve">where </w:t>
      </w:r>
      <m:oMath>
        <m:sSub>
          <m:sSubPr>
            <m:ctrlPr>
              <w:rPr>
                <w:rFonts w:ascii="Cambria Math" w:hAnsi="Cambria Math"/>
                <w:highlight w:val="yellow"/>
                <w:lang w:val="en-CA"/>
              </w:rPr>
            </m:ctrlPr>
          </m:sSubPr>
          <m:e>
            <m:r>
              <w:rPr>
                <w:rFonts w:ascii="Cambria Math" w:hAnsi="Cambria Math"/>
                <w:highlight w:val="yellow"/>
                <w:lang w:val="en-CA"/>
              </w:rPr>
              <m:t>E</m:t>
            </m:r>
          </m:e>
          <m:sub>
            <m:r>
              <m:rPr>
                <m:sty m:val="p"/>
              </m:rPr>
              <w:rPr>
                <w:rFonts w:ascii="Cambria Math" w:hAnsi="Cambria Math"/>
                <w:highlight w:val="yellow"/>
                <w:lang w:val="en-CA"/>
              </w:rPr>
              <m:t>B</m:t>
            </m:r>
          </m:sub>
        </m:sSub>
        <m:r>
          <w:rPr>
            <w:rFonts w:ascii="Cambria Math" w:hAnsi="Cambria Math"/>
            <w:highlight w:val="yellow"/>
            <w:lang w:val="en-CA"/>
          </w:rPr>
          <m:t xml:space="preserve"> </m:t>
        </m:r>
      </m:oMath>
      <w:r w:rsidRPr="002473F3">
        <w:rPr>
          <w:highlight w:val="yellow"/>
          <w:lang w:val="en-CA"/>
        </w:rPr>
        <w:t xml:space="preserve">is the usable battery energy capacity in MWh; </w:t>
      </w:r>
      <m:oMath>
        <m:sSub>
          <m:sSubPr>
            <m:ctrlPr>
              <w:rPr>
                <w:rFonts w:ascii="Cambria Math" w:hAnsi="Cambria Math"/>
                <w:highlight w:val="yellow"/>
                <w:lang w:val="en-CA"/>
              </w:rPr>
            </m:ctrlPr>
          </m:sSubPr>
          <m:e>
            <m:r>
              <w:rPr>
                <w:rFonts w:ascii="Cambria Math" w:hAnsi="Cambria Math"/>
                <w:highlight w:val="yellow"/>
                <w:lang w:val="en-CA"/>
              </w:rPr>
              <m:t>P</m:t>
            </m:r>
          </m:e>
          <m:sub>
            <m:r>
              <m:rPr>
                <m:sty m:val="p"/>
              </m:rPr>
              <w:rPr>
                <w:rFonts w:ascii="Cambria Math" w:hAnsi="Cambria Math"/>
                <w:highlight w:val="yellow"/>
                <w:lang w:val="en-CA"/>
              </w:rPr>
              <m:t>avail,</m:t>
            </m:r>
            <m:r>
              <w:rPr>
                <w:rFonts w:ascii="Cambria Math" w:hAnsi="Cambria Math"/>
                <w:highlight w:val="yellow"/>
                <w:lang w:val="en-CA"/>
              </w:rPr>
              <m:t>t</m:t>
            </m:r>
          </m:sub>
        </m:sSub>
        <m:d>
          <m:dPr>
            <m:ctrlPr>
              <w:rPr>
                <w:rFonts w:ascii="Cambria Math" w:hAnsi="Cambria Math"/>
                <w:highlight w:val="yellow"/>
                <w:lang w:val="en-CA"/>
              </w:rPr>
            </m:ctrlPr>
          </m:dPr>
          <m:e>
            <m:sSub>
              <m:sSubPr>
                <m:ctrlPr>
                  <w:rPr>
                    <w:rFonts w:ascii="Cambria Math" w:hAnsi="Cambria Math"/>
                    <w:highlight w:val="yellow"/>
                    <w:lang w:val="en-CA"/>
                  </w:rPr>
                </m:ctrlPr>
              </m:sSubPr>
              <m:e>
                <m:r>
                  <w:rPr>
                    <w:rFonts w:ascii="Cambria Math" w:hAnsi="Cambria Math"/>
                    <w:highlight w:val="yellow"/>
                    <w:lang w:val="en-CA"/>
                  </w:rPr>
                  <m:t>E</m:t>
                </m:r>
              </m:e>
              <m:sub>
                <m:r>
                  <m:rPr>
                    <m:sty m:val="p"/>
                  </m:rPr>
                  <w:rPr>
                    <w:rFonts w:ascii="Cambria Math" w:hAnsi="Cambria Math"/>
                    <w:highlight w:val="yellow"/>
                    <w:lang w:val="en-CA"/>
                  </w:rPr>
                  <m:t>B</m:t>
                </m:r>
              </m:sub>
            </m:sSub>
          </m:e>
        </m:d>
        <m:r>
          <w:rPr>
            <w:rFonts w:ascii="Cambria Math" w:hAnsi="Cambria Math"/>
            <w:highlight w:val="yellow"/>
            <w:lang w:val="en-CA"/>
          </w:rPr>
          <m:t xml:space="preserve"> </m:t>
        </m:r>
      </m:oMath>
      <w:r w:rsidRPr="002473F3">
        <w:rPr>
          <w:highlight w:val="yellow"/>
          <w:lang w:val="en-CA"/>
        </w:rPr>
        <w:t xml:space="preserve">is the total power available during time step </w:t>
      </w:r>
      <m:oMath>
        <m:r>
          <w:rPr>
            <w:rFonts w:ascii="Cambria Math" w:hAnsi="Cambria Math"/>
            <w:highlight w:val="yellow"/>
            <w:lang w:val="en-CA"/>
          </w:rPr>
          <m:t>t</m:t>
        </m:r>
      </m:oMath>
      <w:r w:rsidRPr="002473F3">
        <w:rPr>
          <w:highlight w:val="yellow"/>
          <w:lang w:val="en-CA"/>
        </w:rPr>
        <w:t xml:space="preserve">, including renewable generation, battery discharge, permitted grid imports, and available backup generation; </w:t>
      </w:r>
      <m:oMath>
        <m:sSub>
          <m:sSubPr>
            <m:ctrlPr>
              <w:rPr>
                <w:rFonts w:ascii="Cambria Math" w:hAnsi="Cambria Math"/>
                <w:highlight w:val="yellow"/>
                <w:lang w:val="en-CA"/>
              </w:rPr>
            </m:ctrlPr>
          </m:sSubPr>
          <m:e>
            <m:r>
              <w:rPr>
                <w:rFonts w:ascii="Cambria Math" w:hAnsi="Cambria Math"/>
                <w:highlight w:val="yellow"/>
                <w:lang w:val="en-CA"/>
              </w:rPr>
              <m:t>P</m:t>
            </m:r>
          </m:e>
          <m:sub>
            <m:r>
              <m:rPr>
                <m:sty m:val="p"/>
              </m:rPr>
              <w:rPr>
                <w:rFonts w:ascii="Cambria Math" w:hAnsi="Cambria Math"/>
                <w:highlight w:val="yellow"/>
                <w:lang w:val="en-CA"/>
              </w:rPr>
              <m:t>crit,</m:t>
            </m:r>
            <m:r>
              <w:rPr>
                <w:rFonts w:ascii="Cambria Math" w:hAnsi="Cambria Math"/>
                <w:highlight w:val="yellow"/>
                <w:lang w:val="en-CA"/>
              </w:rPr>
              <m:t>t</m:t>
            </m:r>
          </m:sub>
        </m:sSub>
      </m:oMath>
      <w:r w:rsidRPr="002473F3">
        <w:rPr>
          <w:highlight w:val="yellow"/>
          <w:lang w:val="en-CA"/>
        </w:rPr>
        <w:t xml:space="preserve">is the critical, non-deferrable facility load during time step </w:t>
      </w:r>
      <m:oMath>
        <m:r>
          <w:rPr>
            <w:rFonts w:ascii="Cambria Math" w:hAnsi="Cambria Math"/>
            <w:highlight w:val="yellow"/>
            <w:lang w:val="en-CA"/>
          </w:rPr>
          <m:t>t</m:t>
        </m:r>
      </m:oMath>
      <w:r w:rsidRPr="002473F3">
        <w:rPr>
          <w:highlight w:val="yellow"/>
          <w:lang w:val="en-CA"/>
        </w:rPr>
        <w:t xml:space="preserve">; </w:t>
      </w:r>
      <m:oMath>
        <m:r>
          <m:rPr>
            <m:sty m:val="b"/>
          </m:rPr>
          <w:rPr>
            <w:rFonts w:ascii="Cambria Math" w:hAnsi="Cambria Math"/>
            <w:highlight w:val="yellow"/>
            <w:lang w:val="en-CA"/>
          </w:rPr>
          <m:t>1</m:t>
        </m:r>
        <m:d>
          <m:dPr>
            <m:begChr m:val="["/>
            <m:endChr m:val="]"/>
            <m:ctrlPr>
              <w:rPr>
                <w:rFonts w:ascii="Cambria Math" w:hAnsi="Cambria Math"/>
                <w:highlight w:val="yellow"/>
                <w:lang w:val="en-CA"/>
              </w:rPr>
            </m:ctrlPr>
          </m:dPr>
          <m:e>
            <m:r>
              <m:rPr>
                <m:sty m:val="p"/>
              </m:rPr>
              <w:rPr>
                <w:rFonts w:ascii="Cambria Math" w:hAnsi="Cambria Math"/>
                <w:highlight w:val="yellow"/>
                <w:lang w:val="en-CA"/>
              </w:rPr>
              <m:t>⋅</m:t>
            </m:r>
          </m:e>
        </m:d>
      </m:oMath>
      <w:r w:rsidRPr="002473F3">
        <w:rPr>
          <w:highlight w:val="yellow"/>
          <w:lang w:val="en-CA"/>
        </w:rPr>
        <w:t xml:space="preserve">is an indicator function equal to one when available power is lower than the critical load and zero otherwise; </w:t>
      </w:r>
      <m:oMath>
        <m:r>
          <m:rPr>
            <m:sty m:val="p"/>
          </m:rPr>
          <w:rPr>
            <w:rFonts w:ascii="Cambria Math" w:hAnsi="Cambria Math"/>
            <w:highlight w:val="yellow"/>
            <w:lang w:val="en-CA"/>
          </w:rPr>
          <m:t>Δ</m:t>
        </m:r>
        <m:r>
          <w:rPr>
            <w:rFonts w:ascii="Cambria Math" w:hAnsi="Cambria Math"/>
            <w:highlight w:val="yellow"/>
            <w:lang w:val="en-CA"/>
          </w:rPr>
          <m:t>t</m:t>
        </m:r>
      </m:oMath>
      <w:r w:rsidRPr="002473F3">
        <w:rPr>
          <w:highlight w:val="yellow"/>
          <w:lang w:val="en-CA"/>
        </w:rPr>
        <w:t xml:space="preserve">is the duration of each simulation interval in hours; and </w:t>
      </w:r>
      <m:oMath>
        <m:r>
          <w:rPr>
            <w:rFonts w:ascii="Cambria Math" w:hAnsi="Cambria Math"/>
            <w:highlight w:val="yellow"/>
            <w:lang w:val="en-CA"/>
          </w:rPr>
          <m:t>T</m:t>
        </m:r>
      </m:oMath>
      <w:r w:rsidRPr="002473F3">
        <w:rPr>
          <w:highlight w:val="yellow"/>
          <w:lang w:val="en-CA"/>
        </w:rPr>
        <w:t>is the total number of simulation intervals.</w:t>
      </w:r>
    </w:p>
    <w:p w14:paraId="37FF3A58" w14:textId="43DA978D" w:rsidR="002473F3" w:rsidRPr="002473F3" w:rsidRDefault="002473F3" w:rsidP="002473F3">
      <w:pPr>
        <w:spacing w:after="120"/>
        <w:ind w:firstLine="480"/>
        <w:rPr>
          <w:highlight w:val="yellow"/>
          <w:lang w:val="en-CA"/>
        </w:rPr>
      </w:pPr>
      <w:r w:rsidRPr="002473F3">
        <w:rPr>
          <w:highlight w:val="yellow"/>
          <w:lang w:val="en-CA"/>
        </w:rPr>
        <w:t xml:space="preserve">For an hourly annual simulation, </w:t>
      </w:r>
      <m:oMath>
        <m:r>
          <w:rPr>
            <w:rFonts w:ascii="Cambria Math" w:hAnsi="Cambria Math"/>
            <w:highlight w:val="yellow"/>
            <w:lang w:val="en-CA"/>
          </w:rPr>
          <m:t>T</m:t>
        </m:r>
        <m:r>
          <m:rPr>
            <m:sty m:val="p"/>
          </m:rPr>
          <w:rPr>
            <w:rFonts w:ascii="Cambria Math" w:hAnsi="Cambria Math"/>
            <w:highlight w:val="yellow"/>
            <w:lang w:val="en-CA"/>
          </w:rPr>
          <m:t xml:space="preserve">=8,760 </m:t>
        </m:r>
      </m:oMath>
      <w:r w:rsidRPr="002473F3">
        <w:rPr>
          <w:highlight w:val="yellow"/>
          <w:lang w:val="en-CA"/>
        </w:rPr>
        <w:t xml:space="preserve">and </w:t>
      </w:r>
      <m:oMath>
        <m:r>
          <m:rPr>
            <m:sty m:val="p"/>
          </m:rPr>
          <w:rPr>
            <w:rFonts w:ascii="Cambria Math" w:hAnsi="Cambria Math"/>
            <w:highlight w:val="yellow"/>
            <w:lang w:val="en-CA"/>
          </w:rPr>
          <m:t>Δ</m:t>
        </m:r>
        <m:r>
          <w:rPr>
            <w:rFonts w:ascii="Cambria Math" w:hAnsi="Cambria Math"/>
            <w:highlight w:val="yellow"/>
            <w:lang w:val="en-CA"/>
          </w:rPr>
          <m:t>t</m:t>
        </m:r>
        <m:r>
          <m:rPr>
            <m:sty m:val="p"/>
          </m:rPr>
          <w:rPr>
            <w:rFonts w:ascii="Cambria Math" w:hAnsi="Cambria Math"/>
            <w:highlight w:val="yellow"/>
            <w:lang w:val="en-CA"/>
          </w:rPr>
          <m:t>=1</m:t>
        </m:r>
      </m:oMath>
      <w:r w:rsidRPr="002473F3">
        <w:rPr>
          <w:highlight w:val="yellow"/>
          <w:lang w:val="en-CA"/>
        </w:rPr>
        <w:t>h. Equation (2) therefore returns LOLE in hours per year. No division by 8,760 is applied because such a division would convert the result into a dimensionless loss-of-load probability rather than an expected duration.</w:t>
      </w:r>
    </w:p>
    <w:p w14:paraId="556E0CBF" w14:textId="77777777" w:rsidR="002473F3" w:rsidRPr="002473F3" w:rsidRDefault="002473F3" w:rsidP="002473F3">
      <w:pPr>
        <w:spacing w:after="120"/>
        <w:ind w:firstLine="480"/>
        <w:rPr>
          <w:highlight w:val="yellow"/>
          <w:lang w:val="en-CA"/>
        </w:rPr>
      </w:pPr>
      <w:r w:rsidRPr="002473F3">
        <w:rPr>
          <w:highlight w:val="yellow"/>
          <w:lang w:val="en-CA"/>
        </w:rPr>
        <w:t xml:space="preserve">The reliability criterion adopted throughout this review is 99.99% annual availability, corresponding to a maximum shortfall duration of 0.876 h/year, or approximately 52.6 min/year, under the simplified relationship between annual availability and shortfall duration. Accordingly, the minimum battery capacity under </w:t>
      </w:r>
      <w:proofErr w:type="gramStart"/>
      <w:r w:rsidRPr="002473F3">
        <w:rPr>
          <w:highlight w:val="yellow"/>
          <w:lang w:val="en-CA"/>
        </w:rPr>
        <w:t>an</w:t>
      </w:r>
      <w:proofErr w:type="gramEnd"/>
      <w:r w:rsidRPr="002473F3">
        <w:rPr>
          <w:highlight w:val="yellow"/>
          <w:lang w:val="en-CA"/>
        </w:rPr>
        <w:t xml:space="preserve"> LOLE-based sizing approach may be expressed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505"/>
      </w:tblGrid>
      <w:tr w:rsidR="002473F3" w14:paraId="698E61B3" w14:textId="77777777" w:rsidTr="001E5821">
        <w:tc>
          <w:tcPr>
            <w:tcW w:w="421" w:type="dxa"/>
          </w:tcPr>
          <w:p w14:paraId="29A5ABCC" w14:textId="77777777" w:rsidR="002473F3" w:rsidRDefault="002473F3" w:rsidP="001E5821">
            <w:pPr>
              <w:rPr>
                <w:color w:val="auto"/>
                <w:szCs w:val="24"/>
                <w:lang w:val="en-CA" w:eastAsia="en-CA"/>
              </w:rPr>
            </w:pPr>
          </w:p>
        </w:tc>
        <w:tc>
          <w:tcPr>
            <w:tcW w:w="7908" w:type="dxa"/>
          </w:tcPr>
          <w:p w14:paraId="53BC7033" w14:textId="6EFEE473" w:rsidR="002473F3" w:rsidRPr="00333CD8" w:rsidRDefault="00000000" w:rsidP="001E5821">
            <w:pPr>
              <w:rPr>
                <w:rFonts w:asciiTheme="majorBidi" w:hAnsiTheme="majorBidi" w:cstheme="majorBidi"/>
                <w:color w:val="auto"/>
                <w:szCs w:val="24"/>
                <w:lang w:val="en-CA" w:eastAsia="en-CA"/>
              </w:rPr>
            </w:pPr>
            <m:oMathPara>
              <m:oMath>
                <m:sSubSup>
                  <m:sSubSupPr>
                    <m:ctrlPr>
                      <w:rPr>
                        <w:rFonts w:ascii="Cambria Math" w:hAnsi="Cambria Math" w:cstheme="majorBidi"/>
                      </w:rPr>
                    </m:ctrlPr>
                  </m:sSubSupPr>
                  <m:e>
                    <m:r>
                      <w:rPr>
                        <w:rFonts w:ascii="Cambria Math" w:hAnsi="Cambria Math" w:cstheme="majorBidi"/>
                      </w:rPr>
                      <m:t>E</m:t>
                    </m:r>
                  </m:e>
                  <m:sub>
                    <m:r>
                      <w:rPr>
                        <w:rFonts w:ascii="Cambria Math" w:hAnsi="Cambria Math" w:cstheme="majorBidi"/>
                      </w:rPr>
                      <m:t>B</m:t>
                    </m:r>
                  </m:sub>
                  <m:sup>
                    <m:r>
                      <w:rPr>
                        <w:rFonts w:ascii="Cambria Math" w:hAnsi="Cambria Math" w:cstheme="majorBidi"/>
                      </w:rPr>
                      <m:t>*</m:t>
                    </m:r>
                  </m:sup>
                </m:sSubSup>
                <m:r>
                  <w:rPr>
                    <w:rFonts w:ascii="Cambria Math" w:hAnsi="Cambria Math" w:cstheme="majorBidi"/>
                  </w:rPr>
                  <m:t>=</m:t>
                </m:r>
                <m:func>
                  <m:funcPr>
                    <m:ctrlPr>
                      <w:rPr>
                        <w:rFonts w:ascii="Cambria Math" w:hAnsi="Cambria Math" w:cstheme="majorBidi"/>
                      </w:rPr>
                    </m:ctrlPr>
                  </m:funcPr>
                  <m:fName>
                    <m:r>
                      <m:rPr>
                        <m:sty m:val="p"/>
                      </m:rPr>
                      <w:rPr>
                        <w:rFonts w:ascii="Cambria Math" w:hAnsi="Cambria Math" w:cstheme="majorBidi"/>
                      </w:rPr>
                      <m:t>arg</m:t>
                    </m:r>
                  </m:fName>
                  <m:e>
                    <m:func>
                      <m:funcPr>
                        <m:ctrlPr>
                          <w:rPr>
                            <w:rFonts w:ascii="Cambria Math" w:hAnsi="Cambria Math" w:cstheme="majorBidi"/>
                          </w:rPr>
                        </m:ctrlPr>
                      </m:funcPr>
                      <m:fName>
                        <m:limLow>
                          <m:limLowPr>
                            <m:ctrlPr>
                              <w:rPr>
                                <w:rFonts w:ascii="Cambria Math" w:hAnsi="Cambria Math" w:cstheme="majorBidi"/>
                              </w:rPr>
                            </m:ctrlPr>
                          </m:limLowPr>
                          <m:e>
                            <m:r>
                              <m:rPr>
                                <m:sty m:val="p"/>
                              </m:rPr>
                              <w:rPr>
                                <w:rFonts w:ascii="Cambria Math" w:hAnsi="Cambria Math" w:cstheme="majorBidi"/>
                              </w:rPr>
                              <m:t>min</m:t>
                            </m:r>
                          </m:e>
                          <m:lim>
                            <m:sSub>
                              <m:sSubPr>
                                <m:ctrlPr>
                                  <w:rPr>
                                    <w:rFonts w:ascii="Cambria Math" w:hAnsi="Cambria Math" w:cstheme="majorBidi"/>
                                  </w:rPr>
                                </m:ctrlPr>
                              </m:sSubPr>
                              <m:e>
                                <m:r>
                                  <w:rPr>
                                    <w:rFonts w:ascii="Cambria Math" w:hAnsi="Cambria Math" w:cstheme="majorBidi"/>
                                  </w:rPr>
                                  <m:t>E</m:t>
                                </m:r>
                              </m:e>
                              <m:sub>
                                <m:r>
                                  <w:rPr>
                                    <w:rFonts w:ascii="Cambria Math" w:hAnsi="Cambria Math" w:cstheme="majorBidi"/>
                                  </w:rPr>
                                  <m:t>B</m:t>
                                </m:r>
                              </m:sub>
                            </m:sSub>
                            <m:r>
                              <w:rPr>
                                <w:rFonts w:ascii="Cambria Math" w:hAnsi="Cambria Math" w:cstheme="majorBidi"/>
                              </w:rPr>
                              <m:t>≥0</m:t>
                            </m:r>
                          </m:lim>
                        </m:limLow>
                      </m:fName>
                      <m:e>
                        <m:d>
                          <m:dPr>
                            <m:begChr m:val="{"/>
                            <m:endChr m:val="}"/>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E</m:t>
                                </m:r>
                              </m:e>
                              <m:sub>
                                <m:r>
                                  <w:rPr>
                                    <w:rFonts w:ascii="Cambria Math" w:hAnsi="Cambria Math" w:cstheme="majorBidi"/>
                                  </w:rPr>
                                  <m:t>B</m:t>
                                </m:r>
                              </m:sub>
                            </m:sSub>
                            <m:r>
                              <w:rPr>
                                <w:rFonts w:ascii="Cambria Math" w:hAnsi="Cambria Math" w:cstheme="majorBidi"/>
                              </w:rPr>
                              <m:t>:</m:t>
                            </m:r>
                            <m:r>
                              <m:rPr>
                                <m:nor/>
                              </m:rPr>
                              <w:rPr>
                                <w:rFonts w:asciiTheme="majorBidi" w:hAnsiTheme="majorBidi" w:cstheme="majorBidi"/>
                              </w:rPr>
                              <m:t>LOLE</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E</m:t>
                                    </m:r>
                                  </m:e>
                                  <m:sub>
                                    <m:r>
                                      <w:rPr>
                                        <w:rFonts w:ascii="Cambria Math" w:hAnsi="Cambria Math" w:cstheme="majorBidi"/>
                                      </w:rPr>
                                      <m:t>B</m:t>
                                    </m:r>
                                  </m:sub>
                                </m:sSub>
                              </m:e>
                            </m:d>
                            <m:r>
                              <w:rPr>
                                <w:rFonts w:ascii="Cambria Math" w:hAnsi="Cambria Math" w:cstheme="majorBidi"/>
                              </w:rPr>
                              <m:t>≤0.876</m:t>
                            </m:r>
                            <m:r>
                              <m:rPr>
                                <m:nor/>
                              </m:rPr>
                              <w:rPr>
                                <w:rFonts w:asciiTheme="majorBidi" w:hAnsiTheme="majorBidi" w:cstheme="majorBidi"/>
                              </w:rPr>
                              <m:t> h/year</m:t>
                            </m:r>
                          </m:e>
                        </m:d>
                      </m:e>
                    </m:func>
                  </m:e>
                </m:func>
              </m:oMath>
            </m:oMathPara>
          </w:p>
        </w:tc>
        <w:tc>
          <w:tcPr>
            <w:tcW w:w="505" w:type="dxa"/>
            <w:vAlign w:val="center"/>
          </w:tcPr>
          <w:p w14:paraId="7F292C1D" w14:textId="7A91438E" w:rsidR="002473F3" w:rsidRDefault="002473F3" w:rsidP="001E5821">
            <w:pPr>
              <w:rPr>
                <w:color w:val="auto"/>
                <w:szCs w:val="24"/>
                <w:lang w:val="en-CA" w:eastAsia="en-CA"/>
              </w:rPr>
            </w:pPr>
            <w:r>
              <w:rPr>
                <w:color w:val="auto"/>
                <w:szCs w:val="24"/>
                <w:lang w:val="en-CA" w:eastAsia="en-CA"/>
              </w:rPr>
              <w:t>(3)</w:t>
            </w:r>
          </w:p>
        </w:tc>
      </w:tr>
    </w:tbl>
    <w:p w14:paraId="416E6540" w14:textId="77777777" w:rsidR="003A221C" w:rsidRPr="003A221C" w:rsidRDefault="003A221C" w:rsidP="003A221C">
      <w:pPr>
        <w:spacing w:after="120"/>
        <w:ind w:firstLine="480"/>
        <w:rPr>
          <w:highlight w:val="yellow"/>
          <w:lang w:val="en-CA"/>
        </w:rPr>
      </w:pPr>
      <w:r w:rsidRPr="003A221C">
        <w:rPr>
          <w:highlight w:val="yellow"/>
          <w:lang w:val="en-CA"/>
        </w:rPr>
        <w:t>Application of this formulation requires chronological load, renewable-generation, battery-dispatch, grid-availability, and backup-generation data. The resulting storage capacity is site-specific and should not be interpreted as a universal design value.</w:t>
      </w:r>
    </w:p>
    <w:p w14:paraId="0016921F" w14:textId="5E63051E" w:rsidR="00FE013C" w:rsidRDefault="00FE013C" w:rsidP="004C16FF">
      <w:pPr>
        <w:spacing w:after="120"/>
        <w:ind w:firstLine="480"/>
      </w:pPr>
      <w:r w:rsidRPr="006701FD">
        <w:t xml:space="preserve">The </w:t>
      </w:r>
      <w:r w:rsidR="00580BAE" w:rsidRPr="006701FD">
        <w:t>optimization</w:t>
      </w:r>
      <w:r w:rsidRPr="006701FD">
        <w:t xml:space="preserve">-based approach constructs storage sizing as a mathematical programming problem to </w:t>
      </w:r>
      <w:r w:rsidR="00580BAE" w:rsidRPr="006701FD">
        <w:t>minimize</w:t>
      </w:r>
      <w:r w:rsidRPr="006701FD">
        <w:t xml:space="preserve"> the total system costs (capital expenditure plus operational expenditure throughout the project life cycle) while satisfying the reliability, carbon emission, and capacity </w:t>
      </w:r>
      <w:r w:rsidRPr="006701FD">
        <w:lastRenderedPageBreak/>
        <w:t>constraints of the interconnection. Time-series dispatch simulation is a modelling approach that allows for detailed energy balance calculations at hourly or sub-hourly resolutions for one or more representative years to assess system performance in a realistic operating environment.</w:t>
      </w:r>
      <w:r>
        <w:t xml:space="preserve"> </w:t>
      </w:r>
      <w:r w:rsidRPr="002B3E4F">
        <w:t xml:space="preserve">Table 3 </w:t>
      </w:r>
      <w:r w:rsidR="00580BAE" w:rsidRPr="002B3E4F">
        <w:t>synthesizes</w:t>
      </w:r>
      <w:r w:rsidRPr="002B3E4F">
        <w:t xml:space="preserve"> the five primary storage duration tiers considered in this framework, comparing the technology options, 2025 cost ranges, round-trip efficiency, recommended sizing methodology, optimal data </w:t>
      </w:r>
      <w:r w:rsidR="00580BAE">
        <w:t>center</w:t>
      </w:r>
      <w:r w:rsidRPr="002B3E4F">
        <w:t xml:space="preserve"> application, and key limitations for each duration class.</w:t>
      </w:r>
    </w:p>
    <w:p w14:paraId="7CF04D61" w14:textId="566FCA9E" w:rsidR="00FE013C" w:rsidRDefault="00FE013C" w:rsidP="004C16FF">
      <w:pPr>
        <w:pStyle w:val="Caption"/>
        <w:keepNext/>
      </w:pPr>
      <w:r>
        <w:t xml:space="preserve">Table </w:t>
      </w:r>
      <w:r>
        <w:fldChar w:fldCharType="begin"/>
      </w:r>
      <w:r>
        <w:instrText xml:space="preserve"> SEQ Table \* ARABIC </w:instrText>
      </w:r>
      <w:r>
        <w:fldChar w:fldCharType="separate"/>
      </w:r>
      <w:r w:rsidR="003A3C82">
        <w:rPr>
          <w:noProof/>
        </w:rPr>
        <w:t>3</w:t>
      </w:r>
      <w:r>
        <w:rPr>
          <w:noProof/>
        </w:rPr>
        <w:fldChar w:fldCharType="end"/>
      </w:r>
      <w:r>
        <w:t xml:space="preserve"> </w:t>
      </w:r>
      <w:r w:rsidRPr="001641AD">
        <w:t xml:space="preserve">Storage </w:t>
      </w:r>
      <w:r>
        <w:t>d</w:t>
      </w:r>
      <w:r w:rsidRPr="001641AD">
        <w:t xml:space="preserve">uration </w:t>
      </w:r>
      <w:r>
        <w:t>o</w:t>
      </w:r>
      <w:r w:rsidRPr="001641AD">
        <w:t xml:space="preserve">ptions and </w:t>
      </w:r>
      <w:r>
        <w:t>t</w:t>
      </w:r>
      <w:r w:rsidRPr="001641AD">
        <w:t>rade-offs</w:t>
      </w:r>
    </w:p>
    <w:tbl>
      <w:tblPr>
        <w:tblStyle w:val="Mdeck5tablebodythreelines"/>
        <w:tblW w:w="0" w:type="auto"/>
        <w:tblLook w:val="04A0" w:firstRow="1" w:lastRow="0" w:firstColumn="1" w:lastColumn="0" w:noHBand="0" w:noVBand="1"/>
      </w:tblPr>
      <w:tblGrid>
        <w:gridCol w:w="839"/>
        <w:gridCol w:w="1280"/>
        <w:gridCol w:w="1423"/>
        <w:gridCol w:w="1176"/>
        <w:gridCol w:w="1450"/>
        <w:gridCol w:w="1891"/>
        <w:gridCol w:w="1693"/>
      </w:tblGrid>
      <w:tr w:rsidR="00FE013C" w:rsidRPr="007E3FC3" w14:paraId="74EB6BC7" w14:textId="77777777" w:rsidTr="00AF3016">
        <w:trPr>
          <w:cnfStyle w:val="100000000000" w:firstRow="1" w:lastRow="0" w:firstColumn="0" w:lastColumn="0" w:oddVBand="0" w:evenVBand="0" w:oddHBand="0" w:evenHBand="0" w:firstRowFirstColumn="0" w:firstRowLastColumn="0" w:lastRowFirstColumn="0" w:lastRowLastColumn="0"/>
        </w:trPr>
        <w:tc>
          <w:tcPr>
            <w:tcW w:w="0" w:type="auto"/>
            <w:hideMark/>
          </w:tcPr>
          <w:p w14:paraId="29D58331"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Duration</w:t>
            </w:r>
          </w:p>
        </w:tc>
        <w:tc>
          <w:tcPr>
            <w:tcW w:w="0" w:type="auto"/>
            <w:hideMark/>
          </w:tcPr>
          <w:p w14:paraId="7F16C723"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Technology</w:t>
            </w:r>
          </w:p>
        </w:tc>
        <w:tc>
          <w:tcPr>
            <w:tcW w:w="0" w:type="auto"/>
            <w:hideMark/>
          </w:tcPr>
          <w:p w14:paraId="27E28FD7" w14:textId="7471D78B"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 xml:space="preserve">Cost </w:t>
            </w:r>
            <w:r w:rsidR="00A232F6" w:rsidRPr="007E3FC3">
              <w:rPr>
                <w:b/>
                <w:bCs/>
                <w:color w:val="auto"/>
                <w:sz w:val="16"/>
                <w:szCs w:val="16"/>
                <w:highlight w:val="yellow"/>
                <w:lang w:val="en-US"/>
              </w:rPr>
              <w:t>Bas</w:t>
            </w:r>
            <w:r w:rsidR="007F0967" w:rsidRPr="007E3FC3">
              <w:rPr>
                <w:b/>
                <w:bCs/>
                <w:color w:val="auto"/>
                <w:sz w:val="16"/>
                <w:szCs w:val="16"/>
                <w:highlight w:val="yellow"/>
                <w:lang w:val="en-US"/>
              </w:rPr>
              <w:t>is</w:t>
            </w:r>
            <w:r w:rsidRPr="007E3FC3">
              <w:rPr>
                <w:b/>
                <w:bCs/>
                <w:color w:val="auto"/>
                <w:sz w:val="16"/>
                <w:szCs w:val="16"/>
                <w:highlight w:val="yellow"/>
                <w:lang w:val="en-US"/>
              </w:rPr>
              <w:t xml:space="preserve"> (2025)</w:t>
            </w:r>
          </w:p>
        </w:tc>
        <w:tc>
          <w:tcPr>
            <w:tcW w:w="0" w:type="auto"/>
            <w:hideMark/>
          </w:tcPr>
          <w:p w14:paraId="39B4E3FA"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Efficiency</w:t>
            </w:r>
          </w:p>
        </w:tc>
        <w:tc>
          <w:tcPr>
            <w:tcW w:w="0" w:type="auto"/>
            <w:hideMark/>
          </w:tcPr>
          <w:p w14:paraId="6B9AC27D"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Sizing Method</w:t>
            </w:r>
          </w:p>
        </w:tc>
        <w:tc>
          <w:tcPr>
            <w:tcW w:w="0" w:type="auto"/>
            <w:hideMark/>
          </w:tcPr>
          <w:p w14:paraId="2B2418FE"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Best Application (Data Center Context)</w:t>
            </w:r>
          </w:p>
        </w:tc>
        <w:tc>
          <w:tcPr>
            <w:tcW w:w="0" w:type="auto"/>
            <w:hideMark/>
          </w:tcPr>
          <w:p w14:paraId="22DF8B30"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Key Limitation</w:t>
            </w:r>
          </w:p>
        </w:tc>
      </w:tr>
      <w:tr w:rsidR="00FE013C" w:rsidRPr="007E3FC3" w14:paraId="1DEB16FB" w14:textId="77777777" w:rsidTr="00AF3016">
        <w:tc>
          <w:tcPr>
            <w:tcW w:w="0" w:type="auto"/>
            <w:hideMark/>
          </w:tcPr>
          <w:p w14:paraId="0692AC1B"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2–4 h</w:t>
            </w:r>
          </w:p>
        </w:tc>
        <w:tc>
          <w:tcPr>
            <w:tcW w:w="0" w:type="auto"/>
            <w:hideMark/>
          </w:tcPr>
          <w:p w14:paraId="43E13032" w14:textId="77777777" w:rsidR="00FE013C" w:rsidRPr="007E3FC3" w:rsidRDefault="00FE013C" w:rsidP="004C16FF">
            <w:pPr>
              <w:pStyle w:val="TableBody"/>
              <w:jc w:val="both"/>
              <w:rPr>
                <w:color w:val="auto"/>
                <w:sz w:val="16"/>
                <w:szCs w:val="16"/>
                <w:highlight w:val="yellow"/>
                <w:lang w:val="en-US"/>
              </w:rPr>
            </w:pPr>
            <w:r w:rsidRPr="007E3FC3">
              <w:rPr>
                <w:color w:val="auto"/>
                <w:sz w:val="16"/>
                <w:szCs w:val="16"/>
                <w:highlight w:val="yellow"/>
                <w:lang w:val="en-US"/>
              </w:rPr>
              <w:t>Li-ion LFP</w:t>
            </w:r>
          </w:p>
        </w:tc>
        <w:tc>
          <w:tcPr>
            <w:tcW w:w="0" w:type="auto"/>
            <w:hideMark/>
          </w:tcPr>
          <w:p w14:paraId="63D938CF" w14:textId="77777777" w:rsidR="00286292" w:rsidRPr="007E3FC3" w:rsidRDefault="00286292" w:rsidP="00286292">
            <w:pPr>
              <w:pStyle w:val="TableBody"/>
              <w:jc w:val="both"/>
              <w:rPr>
                <w:color w:val="auto"/>
                <w:sz w:val="16"/>
                <w:szCs w:val="16"/>
                <w:highlight w:val="yellow"/>
                <w:lang w:val="en-CA"/>
              </w:rPr>
            </w:pPr>
            <w:r w:rsidRPr="007E3FC3">
              <w:rPr>
                <w:color w:val="auto"/>
                <w:sz w:val="16"/>
                <w:szCs w:val="16"/>
                <w:highlight w:val="yellow"/>
                <w:lang w:val="en-CA"/>
              </w:rPr>
              <w:t xml:space="preserve">Battery-pack price: approximately USD 108/kWh </w:t>
            </w:r>
          </w:p>
          <w:p w14:paraId="3102C455" w14:textId="64341976" w:rsidR="00FE013C" w:rsidRPr="007E3FC3" w:rsidRDefault="00286292" w:rsidP="00286292">
            <w:pPr>
              <w:pStyle w:val="TableBody"/>
              <w:jc w:val="both"/>
              <w:rPr>
                <w:color w:val="auto"/>
                <w:sz w:val="16"/>
                <w:szCs w:val="16"/>
                <w:highlight w:val="yellow"/>
                <w:lang w:val="en-CA"/>
              </w:rPr>
            </w:pPr>
            <w:r w:rsidRPr="007E3FC3">
              <w:rPr>
                <w:color w:val="auto"/>
                <w:sz w:val="16"/>
                <w:szCs w:val="16"/>
                <w:highlight w:val="yellow"/>
                <w:lang w:val="en-CA"/>
              </w:rPr>
              <w:fldChar w:fldCharType="begin"/>
            </w:r>
            <w:r w:rsidRPr="007E3FC3">
              <w:rPr>
                <w:color w:val="auto"/>
                <w:sz w:val="16"/>
                <w:szCs w:val="16"/>
                <w:highlight w:val="yellow"/>
                <w:lang w:val="en-CA"/>
              </w:rPr>
              <w:instrText xml:space="preserve"> ADDIN ZOTERO_ITEM CSL_CITATION {"citationID":"xf3Tsy3x","properties":{"unsorted":false,"formattedCitation":"[17]","plainCitation":"[17]","noteIndex":0},"citationItems":[{"id":1923,"uris":["http://zotero.org/users/9870935/items/K5N743Z5"],"itemData":{"id":1923,"type":"post-weblog","title":"BNEF: Lithium-ion battery pack prices fall to $108/kWh, stationary storage becomes lowest price segment","URL":"https://www.ess-news.com/2025/12/09/bnef-lithium-ion-battery-pack-prices-fall-to-108-kwh-stationary-storage-becomes-lowest-price-segment/","author":[{"family":"BNEF","given":""}],"accessed":{"date-parts":[["2025",12,9]]}}}],"schema":"https://github.com/citation-style-language/schema/raw/master/csl-citation.json"} </w:instrText>
            </w:r>
            <w:r w:rsidRPr="007E3FC3">
              <w:rPr>
                <w:color w:val="auto"/>
                <w:sz w:val="16"/>
                <w:szCs w:val="16"/>
                <w:highlight w:val="yellow"/>
                <w:lang w:val="en-CA"/>
              </w:rPr>
              <w:fldChar w:fldCharType="separate"/>
            </w:r>
            <w:r w:rsidRPr="007E3FC3">
              <w:rPr>
                <w:sz w:val="16"/>
                <w:highlight w:val="yellow"/>
                <w:lang w:val="en-CA"/>
              </w:rPr>
              <w:t>[17]</w:t>
            </w:r>
            <w:r w:rsidRPr="007E3FC3">
              <w:rPr>
                <w:color w:val="auto"/>
                <w:sz w:val="16"/>
                <w:szCs w:val="16"/>
                <w:highlight w:val="yellow"/>
                <w:lang w:val="en-CA"/>
              </w:rPr>
              <w:fldChar w:fldCharType="end"/>
            </w:r>
          </w:p>
        </w:tc>
        <w:tc>
          <w:tcPr>
            <w:tcW w:w="0" w:type="auto"/>
            <w:hideMark/>
          </w:tcPr>
          <w:p w14:paraId="5232C65F" w14:textId="77777777" w:rsidR="00FE013C" w:rsidRPr="007E3FC3" w:rsidRDefault="00FE013C" w:rsidP="004C16FF">
            <w:pPr>
              <w:pStyle w:val="TableBody"/>
              <w:jc w:val="both"/>
              <w:rPr>
                <w:color w:val="auto"/>
                <w:sz w:val="16"/>
                <w:szCs w:val="16"/>
                <w:highlight w:val="yellow"/>
                <w:lang w:val="en-US"/>
              </w:rPr>
            </w:pPr>
            <w:r w:rsidRPr="007E3FC3">
              <w:rPr>
                <w:color w:val="auto"/>
                <w:sz w:val="16"/>
                <w:szCs w:val="16"/>
                <w:highlight w:val="yellow"/>
                <w:lang w:val="en-US"/>
              </w:rPr>
              <w:t>85–95%</w:t>
            </w:r>
            <w:r w:rsidRPr="007E3FC3">
              <w:rPr>
                <w:color w:val="auto"/>
                <w:sz w:val="16"/>
                <w:szCs w:val="16"/>
                <w:highlight w:val="yellow"/>
              </w:rPr>
              <w:fldChar w:fldCharType="begin"/>
            </w:r>
            <w:r w:rsidRPr="007E3FC3">
              <w:rPr>
                <w:color w:val="auto"/>
                <w:sz w:val="16"/>
                <w:szCs w:val="16"/>
                <w:highlight w:val="yellow"/>
                <w:lang w:val="en-US"/>
              </w:rPr>
              <w:instrText xml:space="preserve"> ADDIN ZOTERO_ITEM CSL_CITATION {"citationID":"bO4ebft7","properties":{"unsorted":false,"formattedCitation":"[45]","plainCitation":"[45]","noteIndex":0},"citationItems":[{"id":1982,"uris":["http://zotero.org/users/9870935/items/GEX9B6EX"],"itemData":{"id":1982,"type":"article-journal","container-title":"Future Batteries","DOI":"10.1016/j.fub.2024.100007","ISSN":"29502640","journalAbbreviation":"Future Batteries","language":"en","page":"100007","source":"DOI.org (Crossref)","title":"Navigating battery choices: A comparative study of lithium iron phosphate and nickel manganese cobalt battery technologies","title-short":"Navigating battery choices","volume":"4","author":[{"family":"Evro","given":"Solomon"},{"family":"Ajumobi","given":"Abdurahman"},{"family":"Mayon","given":"Darrell"},{"family":"Tomomewo","given":"Olusegun Stanley"}],"issued":{"date-parts":[["2024",12]]}}}],"schema":"https://github.com/citation-style-language/schema/raw/master/csl-citation.json"} </w:instrText>
            </w:r>
            <w:r w:rsidRPr="007E3FC3">
              <w:rPr>
                <w:color w:val="auto"/>
                <w:sz w:val="16"/>
                <w:szCs w:val="16"/>
                <w:highlight w:val="yellow"/>
              </w:rPr>
              <w:fldChar w:fldCharType="separate"/>
            </w:r>
            <w:r w:rsidRPr="007E3FC3">
              <w:rPr>
                <w:sz w:val="16"/>
                <w:highlight w:val="yellow"/>
                <w:lang w:val="en-US"/>
              </w:rPr>
              <w:t>[45]</w:t>
            </w:r>
            <w:r w:rsidRPr="007E3FC3">
              <w:rPr>
                <w:color w:val="auto"/>
                <w:sz w:val="16"/>
                <w:szCs w:val="16"/>
                <w:highlight w:val="yellow"/>
              </w:rPr>
              <w:fldChar w:fldCharType="end"/>
            </w:r>
            <w:r w:rsidRPr="007E3FC3">
              <w:rPr>
                <w:color w:val="auto"/>
                <w:sz w:val="16"/>
                <w:szCs w:val="16"/>
                <w:highlight w:val="yellow"/>
                <w:lang w:val="en-US"/>
              </w:rPr>
              <w:t xml:space="preserve"> </w:t>
            </w:r>
          </w:p>
        </w:tc>
        <w:tc>
          <w:tcPr>
            <w:tcW w:w="0" w:type="auto"/>
            <w:hideMark/>
          </w:tcPr>
          <w:p w14:paraId="00F10E05" w14:textId="695A8565" w:rsidR="00FE013C" w:rsidRPr="007E3FC3" w:rsidRDefault="00FE013C" w:rsidP="00B73641">
            <w:pPr>
              <w:pStyle w:val="TableBody"/>
              <w:jc w:val="both"/>
              <w:rPr>
                <w:color w:val="auto"/>
                <w:sz w:val="16"/>
                <w:szCs w:val="16"/>
                <w:highlight w:val="yellow"/>
                <w:lang w:val="en-US"/>
              </w:rPr>
            </w:pPr>
            <w:r w:rsidRPr="007E3FC3">
              <w:rPr>
                <w:color w:val="auto"/>
                <w:sz w:val="16"/>
                <w:szCs w:val="16"/>
                <w:highlight w:val="yellow"/>
                <w:lang w:val="en-US"/>
              </w:rPr>
              <w:t xml:space="preserve">Deterministic or Probabilistic </w:t>
            </w:r>
            <w:r w:rsidRPr="007E3FC3">
              <w:rPr>
                <w:color w:val="auto"/>
                <w:sz w:val="16"/>
                <w:szCs w:val="16"/>
                <w:highlight w:val="yellow"/>
              </w:rPr>
              <w:fldChar w:fldCharType="begin"/>
            </w:r>
            <w:r w:rsidR="00B73641" w:rsidRPr="007E3FC3">
              <w:rPr>
                <w:color w:val="auto"/>
                <w:sz w:val="16"/>
                <w:szCs w:val="16"/>
                <w:highlight w:val="yellow"/>
                <w:lang w:val="en-US"/>
              </w:rPr>
              <w:instrText xml:space="preserve"> ADDIN ZOTERO_ITEM CSL_CITATION {"citationID":"0PMpbWjw","properties":{"unsorted":false,"formattedCitation":"[48], [81]","plainCitation":"[48], [81]","noteIndex":0},"citationItems":[{"id":1989,"uris":["http://zotero.org/users/9870935/items/3AV4CVJ6"],"itemData":{"id":1989,"type":"article-journal","container-title":"Journal of Energy Storage","DOI":"10.1016/j.est.2025.119502","ISSN":"2352152X","journalAbbreviation":"Journal of Energy Storage","language":"en","page":"119502","source":"DOI.org (Crossref)","title":"Optimal sizing of battery storage for cost-effective peak shaving in regional distribution networks","volume":"141","author":[{"family":"Rana","given":"Md Masud"},{"family":"Mo","given":"Huadong"},{"family":"Shafiullah","given":"G.M."},{"family":"Qiao","given":"Li"},{"family":"Dong","given":"Daoyi"}],"issued":{"date-parts":[["2026",1]]}}},{"id":2021,"uris":["http://zotero.org/users/9870935/items/AHEUC4DF"],"itemData":{"id":2021,"type":"article","abstract":"Artificial intelligence (AI) is driving unprecedented growth in data center (DC) scale and power demand. AI workloads impose highly dynamic, difficult-to-forecast power profiles on the utility grid, creating reliability and stability challenges that conventional DC architectures are not designed to address. This paper provides a critical review of energy storage systems (ESSs) as the key enabling technology for reliable grid integration of AI DCs. We organize the review around a four-layer hierarchical taxonomy, namely chip-level buffering, rack/server-level ESSs, facility-level uninterruptible power supply (UPS) systems, and grid-scale battery energy storage systems (BESSs), supplemented by non-battery technologies including fuel cells (FCs) and thermal energy storage (TES). Each layer is analyzed with respect to response timescale, power and energy ratings, operational role, integration challenges, and coordination requirements. Key findings include: (i) AI DC load profiles differ fundamentally from traditional loads in their sub-second variability, making conventional ESS dispatch strategies insufficient; (ii) hierarchical, coordinated ESS deployment across all layers is necessary for effective load smoothing and grid support; and (iii) significant gaps remain in simulation tools, degradation modeling, load forecasting, and optimal multi-layer sizing. This review identifies open research challenges and future directions at the intersection of AI computing infrastructure and power system integration.","DOI":"10.48550/arXiv.2603.00415","note":"arXiv:2603.00415 [eess.SY]","number":"arXiv:2603.00415","publisher":"arXiv","source":"arXiv.org","title":"Grid Integration of AI Data Centers: A Critical Review of Energy Storage Solutions","title-short":"Grid Integration of AI Data Centers","URL":"http://arxiv.org/abs/2603.00415","author":[{"family":"Mohammadi","given":"Sina"},{"family":"Wang","given":"Wayne"},{"family":"Wada","given":"Marcus Chen I."},{"family":"Haghighi","given":"Rouzbeh"},{"family":"Hassan","given":"Ali"},{"family":"Liu","given":"Hualong"},{"family":"Bhatnagar","given":"Archit"},{"family":"Chen","given":"Ang"},{"family":"Su","given":"Wencong"}],"accessed":{"date-parts":[["2026",5,16]]},"issued":{"date-parts":[["2026",5,5]]}}}],"schema":"https://github.com/citation-style-language/schema/raw/master/csl-citation.json"} </w:instrText>
            </w:r>
            <w:r w:rsidRPr="007E3FC3">
              <w:rPr>
                <w:color w:val="auto"/>
                <w:sz w:val="16"/>
                <w:szCs w:val="16"/>
                <w:highlight w:val="yellow"/>
              </w:rPr>
              <w:fldChar w:fldCharType="separate"/>
            </w:r>
            <w:r w:rsidR="00B73641" w:rsidRPr="007E3FC3">
              <w:rPr>
                <w:sz w:val="16"/>
                <w:highlight w:val="yellow"/>
                <w:lang w:val="en-US"/>
              </w:rPr>
              <w:t>[48], [81]</w:t>
            </w:r>
            <w:r w:rsidRPr="007E3FC3">
              <w:rPr>
                <w:color w:val="auto"/>
                <w:sz w:val="16"/>
                <w:szCs w:val="16"/>
                <w:highlight w:val="yellow"/>
              </w:rPr>
              <w:fldChar w:fldCharType="end"/>
            </w:r>
          </w:p>
        </w:tc>
        <w:tc>
          <w:tcPr>
            <w:tcW w:w="0" w:type="auto"/>
            <w:hideMark/>
          </w:tcPr>
          <w:p w14:paraId="3AB391AF" w14:textId="45D389BC" w:rsidR="00FE013C" w:rsidRPr="007E3FC3" w:rsidRDefault="00FE013C" w:rsidP="007D29E8">
            <w:pPr>
              <w:pStyle w:val="TableBody"/>
              <w:jc w:val="both"/>
              <w:rPr>
                <w:color w:val="auto"/>
                <w:sz w:val="16"/>
                <w:szCs w:val="16"/>
                <w:highlight w:val="yellow"/>
                <w:lang w:val="en-US"/>
              </w:rPr>
            </w:pPr>
            <w:r w:rsidRPr="007E3FC3">
              <w:rPr>
                <w:color w:val="auto"/>
                <w:sz w:val="16"/>
                <w:szCs w:val="16"/>
                <w:highlight w:val="yellow"/>
                <w:lang w:val="en-US"/>
              </w:rPr>
              <w:t xml:space="preserve">Intra-day peak shaving; frequency regulation during solar ramp events; UPS replacement </w:t>
            </w:r>
            <w:r w:rsidRPr="007E3FC3">
              <w:rPr>
                <w:color w:val="auto"/>
                <w:sz w:val="16"/>
                <w:szCs w:val="16"/>
                <w:highlight w:val="yellow"/>
              </w:rPr>
              <w:fldChar w:fldCharType="begin"/>
            </w:r>
            <w:r w:rsidR="007D29E8" w:rsidRPr="007E3FC3">
              <w:rPr>
                <w:color w:val="auto"/>
                <w:sz w:val="16"/>
                <w:szCs w:val="16"/>
                <w:highlight w:val="yellow"/>
                <w:lang w:val="en-US"/>
              </w:rPr>
              <w:instrText xml:space="preserve"> ADDIN ZOTERO_ITEM CSL_CITATION {"citationID":"FmJd4TSi","properties":{"unsorted":false,"formattedCitation":"[63], [116]","plainCitation":"[63], [116]","noteIndex":0},"citationItems":[{"id":2119,"uris":["http://zotero.org/users/9870935/items/HCPVHF7M"],"itemData":{"id":2119,"type":"article-journal","container-title":"Energy Reports","DOI":"10.1016/j.egyr.2025.03.020","ISSN":"23524847","journalAbbreviation":"Energy Reports","language":"en","page":"3661-3671","source":"DOI.org (Crossref)","title":"Data centres as a source of flexibility for power systems","volume":"13","author":[{"family":"Takci","given":"Mehmet Türker"},{"family":"Qadrdan","given":"Meysam"},{"family":"Summers","given":"Jon"},{"family":"Gustafsson","given":"Jonas"}],"issued":{"date-parts":[["2025",6]]}}},{"id":2215,"uris":["http://zotero.org/users/9870935/items/6KYBNJ5X"],"itemData":{"id":2215,"type":"article-journal","abstract":"Abstract\n            Recently, various distributed energy resources are significantly integrated into the modern power systems. This introduction of distributed energy resource‐rich systems can cause various power quality issues, due to their uncertainties and capacity variations. Therefore, it is crucial to establish energy balance between generation and demand to improve power system's reliability and stability and to minimize energy costs without sacrificing customers’ comfort or utility. In this regard, power system flexibility concept is highlighted as a robust and cost‐effective energy management system, especially on the demand side, to provide consumers’ demands with an acceptable level of power quality. Accordingly, here, a comprehensive review of recent developments in the power system flexibility and demand‐side management strategies and demand response programs are provided to include mainly classifications, estimation methods, distributed energy resource modelling approaches, infrastructure requirements, and applications. In addition, current research topics for applying power system flexibility solutions and demand‐side management strategies based on modern power system operation are deliberated. Also, prominent challenges, research trends, and future perspectives are discussed. Finally, this review article aims to be an appropriate reference for comprehensive research trends in the power system flexibility concept in general and in demand‐side management strategies and demand response programs, specifically.","container-title":"IET Generation, Transmission &amp; Distribution","DOI":"10.1049/gtd2.13204","ISSN":"1751-8687, 1751-8695","issue":"13","journalAbbreviation":"IET Generation Trans &amp;amp; Dist","language":"en","page":"2259-2300","source":"DOI.org (Crossref)","title":"Recent developments of demand‐side management towards flexible DER‐rich power systems: A systematic review","title-short":"Recent developments of demand‐side management towards flexible DER‐rich power systems","volume":"18","author":[{"family":"Mousa","given":"Hossam H. H."},{"family":"Mahmoud","given":"Karar"},{"family":"Lehtonen","given":"Matti"}],"issued":{"date-parts":[["2024",7]]}}}],"schema":"https://github.com/citation-style-language/schema/raw/master/csl-citation.json"} </w:instrText>
            </w:r>
            <w:r w:rsidRPr="007E3FC3">
              <w:rPr>
                <w:color w:val="auto"/>
                <w:sz w:val="16"/>
                <w:szCs w:val="16"/>
                <w:highlight w:val="yellow"/>
              </w:rPr>
              <w:fldChar w:fldCharType="separate"/>
            </w:r>
            <w:r w:rsidR="007D29E8" w:rsidRPr="007E3FC3">
              <w:rPr>
                <w:sz w:val="16"/>
                <w:highlight w:val="yellow"/>
                <w:lang w:val="en-US"/>
              </w:rPr>
              <w:t>[63], [116]</w:t>
            </w:r>
            <w:r w:rsidRPr="007E3FC3">
              <w:rPr>
                <w:color w:val="auto"/>
                <w:sz w:val="16"/>
                <w:szCs w:val="16"/>
                <w:highlight w:val="yellow"/>
              </w:rPr>
              <w:fldChar w:fldCharType="end"/>
            </w:r>
          </w:p>
        </w:tc>
        <w:tc>
          <w:tcPr>
            <w:tcW w:w="0" w:type="auto"/>
            <w:hideMark/>
          </w:tcPr>
          <w:p w14:paraId="15E8C570" w14:textId="336EED03" w:rsidR="00FE013C" w:rsidRPr="007E3FC3" w:rsidRDefault="00FE013C" w:rsidP="007D29E8">
            <w:pPr>
              <w:pStyle w:val="TableBody"/>
              <w:jc w:val="both"/>
              <w:rPr>
                <w:color w:val="auto"/>
                <w:sz w:val="16"/>
                <w:szCs w:val="16"/>
                <w:highlight w:val="yellow"/>
                <w:lang w:val="en-US"/>
              </w:rPr>
            </w:pPr>
            <w:r w:rsidRPr="007E3FC3">
              <w:rPr>
                <w:color w:val="auto"/>
                <w:sz w:val="16"/>
                <w:szCs w:val="16"/>
                <w:highlight w:val="yellow"/>
                <w:lang w:val="en-US"/>
              </w:rPr>
              <w:t xml:space="preserve">Insufficient for multi-day cloudiness; requires grid backup or workload deferral </w:t>
            </w:r>
            <w:r w:rsidRPr="007E3FC3">
              <w:rPr>
                <w:color w:val="auto"/>
                <w:sz w:val="16"/>
                <w:szCs w:val="16"/>
                <w:highlight w:val="yellow"/>
              </w:rPr>
              <w:fldChar w:fldCharType="begin"/>
            </w:r>
            <w:r w:rsidR="007D29E8" w:rsidRPr="007E3FC3">
              <w:rPr>
                <w:color w:val="auto"/>
                <w:sz w:val="16"/>
                <w:szCs w:val="16"/>
                <w:highlight w:val="yellow"/>
                <w:lang w:val="en-US"/>
              </w:rPr>
              <w:instrText xml:space="preserve"> ADDIN ZOTERO_ITEM CSL_CITATION {"citationID":"kbgWUIaN","properties":{"unsorted":false,"formattedCitation":"[81], [117]","plainCitation":"[81], [117]","noteIndex":0},"citationItems":[{"id":2021,"uris":["http://zotero.org/users/9870935/items/AHEUC4DF"],"itemData":{"id":2021,"type":"article","abstract":"Artificial intelligence (AI) is driving unprecedented growth in data center (DC) scale and power demand. AI workloads impose highly dynamic, difficult-to-forecast power profiles on the utility grid, creating reliability and stability challenges that conventional DC architectures are not designed to address. This paper provides a critical review of energy storage systems (ESSs) as the key enabling technology for reliable grid integration of AI DCs. We organize the review around a four-layer hierarchical taxonomy, namely chip-level buffering, rack/server-level ESSs, facility-level uninterruptible power supply (UPS) systems, and grid-scale battery energy storage systems (BESSs), supplemented by non-battery technologies including fuel cells (FCs) and thermal energy storage (TES). Each layer is analyzed with respect to response timescale, power and energy ratings, operational role, integration challenges, and coordination requirements. Key findings include: (i) AI DC load profiles differ fundamentally from traditional loads in their sub-second variability, making conventional ESS dispatch strategies insufficient; (ii) hierarchical, coordinated ESS deployment across all layers is necessary for effective load smoothing and grid support; and (iii) significant gaps remain in simulation tools, degradation modeling, load forecasting, and optimal multi-layer sizing. This review identifies open research challenges and future directions at the intersection of AI computing infrastructure and power system integration.","DOI":"10.48550/arXiv.2603.00415","note":"arXiv:2603.00415 [eess.SY]","number":"arXiv:2603.00415","publisher":"arXiv","source":"arXiv.org","title":"Grid Integration of AI Data Centers: A Critical Review of Energy Storage Solutions","title-short":"Grid Integration of AI Data Centers","URL":"http://arxiv.org/abs/2603.00415","author":[{"family":"Mohammadi","given":"Sina"},{"family":"Wang","given":"Wayne"},{"family":"Wada","given":"Marcus Chen I."},{"family":"Haghighi","given":"Rouzbeh"},{"family":"Hassan","given":"Ali"},{"family":"Liu","given":"Hualong"},{"family":"Bhatnagar","given":"Archit"},{"family":"Chen","given":"Ang"},{"family":"Su","given":"Wencong"}],"accessed":{"date-parts":[["2026",5,16]]},"issued":{"date-parts":[["2026",5,5]]}}},{"id":2084,"uris":["http://zotero.org/users/9870935/items/TIB5XQM5"],"itemData":{"id":2084,"type":"post-weblog","title":"Electric Power Annual 2024","URL":"https://www.eia.gov/electricity/annual/pdf/epa.pdf","author":[{"family":"EIA","given":""}]}}],"schema":"https://github.com/citation-style-language/schema/raw/master/csl-citation.json"} </w:instrText>
            </w:r>
            <w:r w:rsidRPr="007E3FC3">
              <w:rPr>
                <w:color w:val="auto"/>
                <w:sz w:val="16"/>
                <w:szCs w:val="16"/>
                <w:highlight w:val="yellow"/>
              </w:rPr>
              <w:fldChar w:fldCharType="separate"/>
            </w:r>
            <w:r w:rsidR="007D29E8" w:rsidRPr="007E3FC3">
              <w:rPr>
                <w:sz w:val="16"/>
                <w:highlight w:val="yellow"/>
                <w:lang w:val="en-US"/>
              </w:rPr>
              <w:t>[81], [117]</w:t>
            </w:r>
            <w:r w:rsidRPr="007E3FC3">
              <w:rPr>
                <w:color w:val="auto"/>
                <w:sz w:val="16"/>
                <w:szCs w:val="16"/>
                <w:highlight w:val="yellow"/>
              </w:rPr>
              <w:fldChar w:fldCharType="end"/>
            </w:r>
          </w:p>
        </w:tc>
      </w:tr>
      <w:tr w:rsidR="00FE013C" w:rsidRPr="007E3FC3" w14:paraId="39BDEAB9" w14:textId="77777777" w:rsidTr="00AF3016">
        <w:tc>
          <w:tcPr>
            <w:tcW w:w="0" w:type="auto"/>
            <w:hideMark/>
          </w:tcPr>
          <w:p w14:paraId="5EDD64FD"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4–8 h</w:t>
            </w:r>
          </w:p>
        </w:tc>
        <w:tc>
          <w:tcPr>
            <w:tcW w:w="0" w:type="auto"/>
            <w:hideMark/>
          </w:tcPr>
          <w:p w14:paraId="6E781486" w14:textId="77777777" w:rsidR="00FE013C" w:rsidRPr="007E3FC3" w:rsidRDefault="00FE013C" w:rsidP="004C16FF">
            <w:pPr>
              <w:pStyle w:val="TableBody"/>
              <w:jc w:val="both"/>
              <w:rPr>
                <w:color w:val="auto"/>
                <w:sz w:val="16"/>
                <w:szCs w:val="16"/>
                <w:highlight w:val="yellow"/>
                <w:lang w:val="en-US"/>
              </w:rPr>
            </w:pPr>
            <w:r w:rsidRPr="007E3FC3">
              <w:rPr>
                <w:color w:val="auto"/>
                <w:sz w:val="16"/>
                <w:szCs w:val="16"/>
                <w:highlight w:val="yellow"/>
                <w:lang w:val="en-US"/>
              </w:rPr>
              <w:t>Li-ion LFP</w:t>
            </w:r>
          </w:p>
        </w:tc>
        <w:tc>
          <w:tcPr>
            <w:tcW w:w="0" w:type="auto"/>
            <w:hideMark/>
          </w:tcPr>
          <w:p w14:paraId="34061474" w14:textId="77777777" w:rsidR="00286292" w:rsidRPr="007E3FC3" w:rsidRDefault="00286292" w:rsidP="00286292">
            <w:pPr>
              <w:pStyle w:val="TableBody"/>
              <w:jc w:val="both"/>
              <w:rPr>
                <w:color w:val="auto"/>
                <w:sz w:val="16"/>
                <w:szCs w:val="16"/>
                <w:highlight w:val="yellow"/>
                <w:lang w:val="en-CA"/>
              </w:rPr>
            </w:pPr>
            <w:r w:rsidRPr="007E3FC3">
              <w:rPr>
                <w:color w:val="auto"/>
                <w:sz w:val="16"/>
                <w:szCs w:val="16"/>
                <w:highlight w:val="yellow"/>
                <w:lang w:val="en-CA"/>
              </w:rPr>
              <w:t>Installed-system cost: USD 180–320/kWh-system</w:t>
            </w:r>
          </w:p>
          <w:p w14:paraId="0FB857FC" w14:textId="1A85D164" w:rsidR="00FE013C" w:rsidRPr="007E3FC3" w:rsidRDefault="00FE013C" w:rsidP="00286292">
            <w:pPr>
              <w:pStyle w:val="TableBody"/>
              <w:jc w:val="both"/>
              <w:rPr>
                <w:color w:val="auto"/>
                <w:sz w:val="16"/>
                <w:szCs w:val="16"/>
                <w:highlight w:val="yellow"/>
                <w:lang w:val="en-US"/>
              </w:rPr>
            </w:pPr>
            <w:r w:rsidRPr="007E3FC3">
              <w:rPr>
                <w:color w:val="auto"/>
                <w:sz w:val="16"/>
                <w:szCs w:val="16"/>
                <w:highlight w:val="yellow"/>
              </w:rPr>
              <w:fldChar w:fldCharType="begin"/>
            </w:r>
            <w:r w:rsidR="00286292" w:rsidRPr="007E3FC3">
              <w:rPr>
                <w:color w:val="auto"/>
                <w:sz w:val="16"/>
                <w:szCs w:val="16"/>
                <w:highlight w:val="yellow"/>
                <w:lang w:val="en-US"/>
              </w:rPr>
              <w:instrText xml:space="preserve"> ADDIN ZOTERO_ITEM CSL_CITATION {"citationID":"3cdqhCT9","properties":{"unsorted":false,"formattedCitation":"[17], [118]","plainCitation":"[17], [118]","noteIndex":0},"citationItems":[{"id":1923,"uris":["http://zotero.org/users/9870935/items/K5N743Z5"],"itemData":{"id":1923,"type":"post-weblog","title":"BNEF: Lithium-ion battery pack prices fall to $108/kWh, stationary storage becomes lowest price segment","URL":"https://www.ess-news.com/2025/12/09/bnef-lithium-ion-battery-pack-prices-fall-to-108-kwh-stationary-storage-becomes-lowest-price-segment/","author":[{"family":"BNEF","given":""}],"accessed":{"date-parts":[["2025",12,9]]}}},{"id":2715,"uris":["http://zotero.org/users/9870935/items/7394XZ5J"],"itemData":{"id":2715,"type":"post-weblog","title":"Annual Technoogy Baseline","URL":"https://atb-archive.nlr.gov/","author":[{"literal":"NREL"}]}}],"schema":"https://github.com/citation-style-language/schema/raw/master/csl-citation.json"} </w:instrText>
            </w:r>
            <w:r w:rsidRPr="007E3FC3">
              <w:rPr>
                <w:color w:val="auto"/>
                <w:sz w:val="16"/>
                <w:szCs w:val="16"/>
                <w:highlight w:val="yellow"/>
              </w:rPr>
              <w:fldChar w:fldCharType="separate"/>
            </w:r>
            <w:r w:rsidR="00286292" w:rsidRPr="007E3FC3">
              <w:rPr>
                <w:sz w:val="16"/>
                <w:highlight w:val="yellow"/>
                <w:lang w:val="en-US"/>
              </w:rPr>
              <w:t>[17], [118]</w:t>
            </w:r>
            <w:r w:rsidRPr="007E3FC3">
              <w:rPr>
                <w:color w:val="auto"/>
                <w:sz w:val="16"/>
                <w:szCs w:val="16"/>
                <w:highlight w:val="yellow"/>
              </w:rPr>
              <w:fldChar w:fldCharType="end"/>
            </w:r>
          </w:p>
        </w:tc>
        <w:tc>
          <w:tcPr>
            <w:tcW w:w="0" w:type="auto"/>
            <w:hideMark/>
          </w:tcPr>
          <w:p w14:paraId="2E142967" w14:textId="77777777" w:rsidR="00FE013C" w:rsidRPr="007E3FC3" w:rsidRDefault="00FE013C" w:rsidP="004C16FF">
            <w:pPr>
              <w:pStyle w:val="TableBody"/>
              <w:jc w:val="both"/>
              <w:rPr>
                <w:color w:val="auto"/>
                <w:sz w:val="16"/>
                <w:szCs w:val="16"/>
                <w:highlight w:val="yellow"/>
                <w:lang w:val="en-US"/>
              </w:rPr>
            </w:pPr>
            <w:r w:rsidRPr="007E3FC3">
              <w:rPr>
                <w:color w:val="auto"/>
                <w:sz w:val="16"/>
                <w:szCs w:val="16"/>
                <w:highlight w:val="yellow"/>
                <w:lang w:val="en-US"/>
              </w:rPr>
              <w:t xml:space="preserve">85–95% </w:t>
            </w:r>
            <w:r w:rsidRPr="007E3FC3">
              <w:rPr>
                <w:color w:val="auto"/>
                <w:sz w:val="16"/>
                <w:szCs w:val="16"/>
                <w:highlight w:val="yellow"/>
              </w:rPr>
              <w:fldChar w:fldCharType="begin"/>
            </w:r>
            <w:r w:rsidRPr="007E3FC3">
              <w:rPr>
                <w:color w:val="auto"/>
                <w:sz w:val="16"/>
                <w:szCs w:val="16"/>
                <w:highlight w:val="yellow"/>
                <w:lang w:val="en-US"/>
              </w:rPr>
              <w:instrText xml:space="preserve"> ADDIN ZOTERO_ITEM CSL_CITATION {"citationID":"78MVeDMD","properties":{"unsorted":false,"formattedCitation":"[45]","plainCitation":"[45]","noteIndex":0},"citationItems":[{"id":1982,"uris":["http://zotero.org/users/9870935/items/GEX9B6EX"],"itemData":{"id":1982,"type":"article-journal","container-title":"Future Batteries","DOI":"10.1016/j.fub.2024.100007","ISSN":"29502640","journalAbbreviation":"Future Batteries","language":"en","page":"100007","source":"DOI.org (Crossref)","title":"Navigating battery choices: A comparative study of lithium iron phosphate and nickel manganese cobalt battery technologies","title-short":"Navigating battery choices","volume":"4","author":[{"family":"Evro","given":"Solomon"},{"family":"Ajumobi","given":"Abdurahman"},{"family":"Mayon","given":"Darrell"},{"family":"Tomomewo","given":"Olusegun Stanley"}],"issued":{"date-parts":[["2024",12]]}}}],"schema":"https://github.com/citation-style-language/schema/raw/master/csl-citation.json"} </w:instrText>
            </w:r>
            <w:r w:rsidRPr="007E3FC3">
              <w:rPr>
                <w:color w:val="auto"/>
                <w:sz w:val="16"/>
                <w:szCs w:val="16"/>
                <w:highlight w:val="yellow"/>
              </w:rPr>
              <w:fldChar w:fldCharType="separate"/>
            </w:r>
            <w:r w:rsidRPr="007E3FC3">
              <w:rPr>
                <w:sz w:val="16"/>
                <w:highlight w:val="yellow"/>
                <w:lang w:val="en-US"/>
              </w:rPr>
              <w:t>[45]</w:t>
            </w:r>
            <w:r w:rsidRPr="007E3FC3">
              <w:rPr>
                <w:color w:val="auto"/>
                <w:sz w:val="16"/>
                <w:szCs w:val="16"/>
                <w:highlight w:val="yellow"/>
              </w:rPr>
              <w:fldChar w:fldCharType="end"/>
            </w:r>
          </w:p>
        </w:tc>
        <w:tc>
          <w:tcPr>
            <w:tcW w:w="0" w:type="auto"/>
            <w:hideMark/>
          </w:tcPr>
          <w:p w14:paraId="56851980" w14:textId="7C5CF64C" w:rsidR="00FE013C" w:rsidRPr="007E3FC3" w:rsidRDefault="00FE013C" w:rsidP="00B73641">
            <w:pPr>
              <w:pStyle w:val="TableBody"/>
              <w:jc w:val="both"/>
              <w:rPr>
                <w:color w:val="auto"/>
                <w:sz w:val="16"/>
                <w:szCs w:val="16"/>
                <w:highlight w:val="yellow"/>
                <w:lang w:val="en-US"/>
              </w:rPr>
            </w:pPr>
            <w:r w:rsidRPr="007E3FC3">
              <w:rPr>
                <w:color w:val="auto"/>
                <w:sz w:val="16"/>
                <w:szCs w:val="16"/>
                <w:highlight w:val="yellow"/>
                <w:lang w:val="en-US"/>
              </w:rPr>
              <w:t xml:space="preserve">Probabilistic (LOLE targeting 99.9%–99.99%) </w:t>
            </w:r>
            <w:r w:rsidRPr="007E3FC3">
              <w:rPr>
                <w:color w:val="auto"/>
                <w:sz w:val="16"/>
                <w:szCs w:val="16"/>
                <w:highlight w:val="yellow"/>
              </w:rPr>
              <w:fldChar w:fldCharType="begin"/>
            </w:r>
            <w:r w:rsidR="00B73641" w:rsidRPr="007E3FC3">
              <w:rPr>
                <w:color w:val="auto"/>
                <w:sz w:val="16"/>
                <w:szCs w:val="16"/>
                <w:highlight w:val="yellow"/>
                <w:lang w:val="en-US"/>
              </w:rPr>
              <w:instrText xml:space="preserve"> ADDIN ZOTERO_ITEM CSL_CITATION {"citationID":"AtlXoIhz","properties":{"unsorted":false,"formattedCitation":"[48], [81]","plainCitation":"[48], [81]","noteIndex":0},"citationItems":[{"id":1989,"uris":["http://zotero.org/users/9870935/items/3AV4CVJ6"],"itemData":{"id":1989,"type":"article-journal","container-title":"Journal of Energy Storage","DOI":"10.1016/j.est.2025.119502","ISSN":"2352152X","journalAbbreviation":"Journal of Energy Storage","language":"en","page":"119502","source":"DOI.org (Crossref)","title":"Optimal sizing of battery storage for cost-effective peak shaving in regional distribution networks","volume":"141","author":[{"family":"Rana","given":"Md Masud"},{"family":"Mo","given":"Huadong"},{"family":"Shafiullah","given":"G.M."},{"family":"Qiao","given":"Li"},{"family":"Dong","given":"Daoyi"}],"issued":{"date-parts":[["2026",1]]}}},{"id":2021,"uris":["http://zotero.org/users/9870935/items/AHEUC4DF"],"itemData":{"id":2021,"type":"article","abstract":"Artificial intelligence (AI) is driving unprecedented growth in data center (DC) scale and power demand. AI workloads impose highly dynamic, difficult-to-forecast power profiles on the utility grid, creating reliability and stability challenges that conventional DC architectures are not designed to address. This paper provides a critical review of energy storage systems (ESSs) as the key enabling technology for reliable grid integration of AI DCs. We organize the review around a four-layer hierarchical taxonomy, namely chip-level buffering, rack/server-level ESSs, facility-level uninterruptible power supply (UPS) systems, and grid-scale battery energy storage systems (BESSs), supplemented by non-battery technologies including fuel cells (FCs) and thermal energy storage (TES). Each layer is analyzed with respect to response timescale, power and energy ratings, operational role, integration challenges, and coordination requirements. Key findings include: (i) AI DC load profiles differ fundamentally from traditional loads in their sub-second variability, making conventional ESS dispatch strategies insufficient; (ii) hierarchical, coordinated ESS deployment across all layers is necessary for effective load smoothing and grid support; and (iii) significant gaps remain in simulation tools, degradation modeling, load forecasting, and optimal multi-layer sizing. This review identifies open research challenges and future directions at the intersection of AI computing infrastructure and power system integration.","DOI":"10.48550/arXiv.2603.00415","note":"arXiv:2603.00415 [eess.SY]","number":"arXiv:2603.00415","publisher":"arXiv","source":"arXiv.org","title":"Grid Integration of AI Data Centers: A Critical Review of Energy Storage Solutions","title-short":"Grid Integration of AI Data Centers","URL":"http://arxiv.org/abs/2603.00415","author":[{"family":"Mohammadi","given":"Sina"},{"family":"Wang","given":"Wayne"},{"family":"Wada","given":"Marcus Chen I."},{"family":"Haghighi","given":"Rouzbeh"},{"family":"Hassan","given":"Ali"},{"family":"Liu","given":"Hualong"},{"family":"Bhatnagar","given":"Archit"},{"family":"Chen","given":"Ang"},{"family":"Su","given":"Wencong"}],"accessed":{"date-parts":[["2026",5,16]]},"issued":{"date-parts":[["2026",5,5]]}}}],"schema":"https://github.com/citation-style-language/schema/raw/master/csl-citation.json"} </w:instrText>
            </w:r>
            <w:r w:rsidRPr="007E3FC3">
              <w:rPr>
                <w:color w:val="auto"/>
                <w:sz w:val="16"/>
                <w:szCs w:val="16"/>
                <w:highlight w:val="yellow"/>
              </w:rPr>
              <w:fldChar w:fldCharType="separate"/>
            </w:r>
            <w:r w:rsidR="00B73641" w:rsidRPr="007E3FC3">
              <w:rPr>
                <w:sz w:val="16"/>
                <w:highlight w:val="yellow"/>
                <w:lang w:val="en-US"/>
              </w:rPr>
              <w:t>[48], [81]</w:t>
            </w:r>
            <w:r w:rsidRPr="007E3FC3">
              <w:rPr>
                <w:color w:val="auto"/>
                <w:sz w:val="16"/>
                <w:szCs w:val="16"/>
                <w:highlight w:val="yellow"/>
              </w:rPr>
              <w:fldChar w:fldCharType="end"/>
            </w:r>
          </w:p>
        </w:tc>
        <w:tc>
          <w:tcPr>
            <w:tcW w:w="0" w:type="auto"/>
            <w:hideMark/>
          </w:tcPr>
          <w:p w14:paraId="4B302F79" w14:textId="42E5B841" w:rsidR="00FE013C" w:rsidRPr="007E3FC3" w:rsidRDefault="00FE013C" w:rsidP="000B0F03">
            <w:pPr>
              <w:pStyle w:val="TableBody"/>
              <w:jc w:val="both"/>
              <w:rPr>
                <w:color w:val="auto"/>
                <w:sz w:val="16"/>
                <w:szCs w:val="16"/>
                <w:highlight w:val="yellow"/>
                <w:lang w:val="en-US"/>
              </w:rPr>
            </w:pPr>
            <w:r w:rsidRPr="007E3FC3">
              <w:rPr>
                <w:color w:val="auto"/>
                <w:sz w:val="16"/>
                <w:szCs w:val="16"/>
                <w:highlight w:val="yellow"/>
                <w:lang w:val="en-US"/>
              </w:rPr>
              <w:t xml:space="preserve">Overnight solar-to-solar shifting; seasonal solar dip management; cost reduction vs deterministic design </w:t>
            </w:r>
            <w:r w:rsidRPr="007E3FC3">
              <w:rPr>
                <w:color w:val="auto"/>
                <w:sz w:val="16"/>
                <w:szCs w:val="16"/>
                <w:highlight w:val="yellow"/>
              </w:rPr>
              <w:fldChar w:fldCharType="begin"/>
            </w:r>
            <w:r w:rsidR="000B0F03" w:rsidRPr="007E3FC3">
              <w:rPr>
                <w:color w:val="auto"/>
                <w:sz w:val="16"/>
                <w:szCs w:val="16"/>
                <w:highlight w:val="yellow"/>
                <w:lang w:val="en-US"/>
              </w:rPr>
              <w:instrText xml:space="preserve"> ADDIN ZOTERO_ITEM CSL_CITATION {"citationID":"m5ijxbq1","properties":{"unsorted":false,"formattedCitation":"[63], [67]","plainCitation":"[63], [67]","noteIndex":0},"citationItems":[{"id":2119,"uris":["http://zotero.org/users/9870935/items/HCPVHF7M"],"itemData":{"id":2119,"type":"article-journal","container-title":"Energy Reports","DOI":"10.1016/j.egyr.2025.03.020","ISSN":"23524847","journalAbbreviation":"Energy Reports","language":"en","page":"3661-3671","source":"DOI.org (Crossref)","title":"Data centres as a source of flexibility for power systems","volume":"13","author":[{"family":"Takci","given":"Mehmet Türker"},{"family":"Qadrdan","given":"Meysam"},{"family":"Summers","given":"Jon"},{"family":"Gustafsson","given":"Jonas"}],"issued":{"date-parts":[["2025",6]]}}},{"id":2194,"uris":["http://zotero.org/users/9870935/items/HM8VYHDA"],"itemData":{"id":2194,"type":"article-journal","container-title":"Joule","DOI":"10.1016/j.joule.2023.12.007","ISSN":"25424351","issue":"2","journalAbbreviation":"Joule","language":"en","page":"374-400","source":"DOI.org (Crossref)","title":"System-level impacts of voluntary carbon-free electricity procurement strategies","volume":"8","author":[{"family":"Xu","given":"Qingyu"},{"family":"Ricks","given":"Wilson"},{"family":"Manocha","given":"Aneesha"},{"family":"Patankar","given":"Neha"},{"family":"Jenkins","given":"Jesse D."}],"issued":{"date-parts":[["2024",2]]}}}],"schema":"https://github.com/citation-style-language/schema/raw/master/csl-citation.json"} </w:instrText>
            </w:r>
            <w:r w:rsidRPr="007E3FC3">
              <w:rPr>
                <w:color w:val="auto"/>
                <w:sz w:val="16"/>
                <w:szCs w:val="16"/>
                <w:highlight w:val="yellow"/>
              </w:rPr>
              <w:fldChar w:fldCharType="separate"/>
            </w:r>
            <w:r w:rsidR="000B0F03" w:rsidRPr="007E3FC3">
              <w:rPr>
                <w:sz w:val="16"/>
                <w:highlight w:val="yellow"/>
                <w:lang w:val="en-US"/>
              </w:rPr>
              <w:t>[63], [67]</w:t>
            </w:r>
            <w:r w:rsidRPr="007E3FC3">
              <w:rPr>
                <w:color w:val="auto"/>
                <w:sz w:val="16"/>
                <w:szCs w:val="16"/>
                <w:highlight w:val="yellow"/>
              </w:rPr>
              <w:fldChar w:fldCharType="end"/>
            </w:r>
          </w:p>
        </w:tc>
        <w:tc>
          <w:tcPr>
            <w:tcW w:w="0" w:type="auto"/>
            <w:hideMark/>
          </w:tcPr>
          <w:p w14:paraId="129A04FC" w14:textId="737CCECC" w:rsidR="00FE013C" w:rsidRPr="007E3FC3" w:rsidRDefault="00FE013C" w:rsidP="00B73641">
            <w:pPr>
              <w:pStyle w:val="TableBody"/>
              <w:jc w:val="both"/>
              <w:rPr>
                <w:color w:val="auto"/>
                <w:sz w:val="16"/>
                <w:szCs w:val="16"/>
                <w:highlight w:val="yellow"/>
                <w:lang w:val="en-US"/>
              </w:rPr>
            </w:pPr>
            <w:r w:rsidRPr="007E3FC3">
              <w:rPr>
                <w:color w:val="auto"/>
                <w:sz w:val="16"/>
                <w:szCs w:val="16"/>
                <w:highlight w:val="yellow"/>
                <w:lang w:val="en-US"/>
              </w:rPr>
              <w:t xml:space="preserve">Efficiency loss (5–15%); degradation limits 20–25 yr economic life </w:t>
            </w:r>
            <w:r w:rsidRPr="007E3FC3">
              <w:rPr>
                <w:color w:val="auto"/>
                <w:sz w:val="16"/>
                <w:szCs w:val="16"/>
                <w:highlight w:val="yellow"/>
              </w:rPr>
              <w:fldChar w:fldCharType="begin"/>
            </w:r>
            <w:r w:rsidR="00B73641" w:rsidRPr="007E3FC3">
              <w:rPr>
                <w:color w:val="auto"/>
                <w:sz w:val="16"/>
                <w:szCs w:val="16"/>
                <w:highlight w:val="yellow"/>
                <w:lang w:val="en-US"/>
              </w:rPr>
              <w:instrText xml:space="preserve"> ADDIN ZOTERO_ITEM CSL_CITATION {"citationID":"cLfqQeVF","properties":{"unsorted":false,"formattedCitation":"[67], [73]","plainCitation":"[67], [73]","noteIndex":0},"citationItems":[{"id":1988,"uris":["http://zotero.org/users/9870935/items/9LH8YF5V"],"itemData":{"id":1988,"type":"article-journal","container-title":"Future Batteries","DOI":"10.1016/j.fub.2025.100106","ISSN":"29502640","journalAbbreviation":"Future Batteries","language":"en","page":"100106","source":"DOI.org (Crossref)","title":"A review of battery energy storage system for renewable energy penetration in electrical power system: Environmental impact, sizing methods, market features, and policy frameworks","title-short":"A review of battery energy storage system for renewable energy penetration in electrical power system","volume":"7","author":[{"family":"Jaradat","given":"Tha'er"},{"family":"Khatib","given":"Tamer"}],"issued":{"date-parts":[["2025",9]]}}},{"id":2194,"uris":["http://zotero.org/users/9870935/items/HM8VYHDA"],"itemData":{"id":2194,"type":"article-journal","container-title":"Joule","DOI":"10.1016/j.joule.2023.12.007","ISSN":"25424351","issue":"2","journalAbbreviation":"Joule","language":"en","page":"374-400","source":"DOI.org (Crossref)","title":"System-level impacts of voluntary carbon-free electricity procurement strategies","volume":"8","author":[{"family":"Xu","given":"Qingyu"},{"family":"Ricks","given":"Wilson"},{"family":"Manocha","given":"Aneesha"},{"family":"Patankar","given":"Neha"},{"family":"Jenkins","given":"Jesse D."}],"issued":{"date-parts":[["2024",2]]}}}],"schema":"https://github.com/citation-style-language/schema/raw/master/csl-citation.json"} </w:instrText>
            </w:r>
            <w:r w:rsidRPr="007E3FC3">
              <w:rPr>
                <w:color w:val="auto"/>
                <w:sz w:val="16"/>
                <w:szCs w:val="16"/>
                <w:highlight w:val="yellow"/>
              </w:rPr>
              <w:fldChar w:fldCharType="separate"/>
            </w:r>
            <w:r w:rsidR="00B73641" w:rsidRPr="007E3FC3">
              <w:rPr>
                <w:sz w:val="16"/>
                <w:highlight w:val="yellow"/>
                <w:lang w:val="en-US"/>
              </w:rPr>
              <w:t>[67], [73]</w:t>
            </w:r>
            <w:r w:rsidRPr="007E3FC3">
              <w:rPr>
                <w:color w:val="auto"/>
                <w:sz w:val="16"/>
                <w:szCs w:val="16"/>
                <w:highlight w:val="yellow"/>
              </w:rPr>
              <w:fldChar w:fldCharType="end"/>
            </w:r>
          </w:p>
        </w:tc>
      </w:tr>
      <w:tr w:rsidR="00FE013C" w:rsidRPr="007E3FC3" w14:paraId="0A6DEBE1" w14:textId="77777777" w:rsidTr="00AF3016">
        <w:tc>
          <w:tcPr>
            <w:tcW w:w="0" w:type="auto"/>
            <w:hideMark/>
          </w:tcPr>
          <w:p w14:paraId="45E2975E"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8–24 h</w:t>
            </w:r>
          </w:p>
        </w:tc>
        <w:tc>
          <w:tcPr>
            <w:tcW w:w="0" w:type="auto"/>
            <w:hideMark/>
          </w:tcPr>
          <w:p w14:paraId="20D5DB06" w14:textId="77777777" w:rsidR="00FE013C" w:rsidRPr="007E3FC3" w:rsidRDefault="00FE013C" w:rsidP="004C16FF">
            <w:pPr>
              <w:pStyle w:val="TableBody"/>
              <w:jc w:val="both"/>
              <w:rPr>
                <w:color w:val="auto"/>
                <w:sz w:val="16"/>
                <w:szCs w:val="16"/>
                <w:highlight w:val="yellow"/>
                <w:lang w:val="en-US"/>
              </w:rPr>
            </w:pPr>
            <w:r w:rsidRPr="007E3FC3">
              <w:rPr>
                <w:color w:val="auto"/>
                <w:sz w:val="16"/>
                <w:szCs w:val="16"/>
                <w:highlight w:val="yellow"/>
                <w:lang w:val="en-US"/>
              </w:rPr>
              <w:t>Flow Battery (VRFB) or Li-ion extended DoD</w:t>
            </w:r>
          </w:p>
        </w:tc>
        <w:tc>
          <w:tcPr>
            <w:tcW w:w="0" w:type="auto"/>
            <w:hideMark/>
          </w:tcPr>
          <w:p w14:paraId="06AE34D2" w14:textId="77777777" w:rsidR="00286292" w:rsidRPr="007E3FC3" w:rsidRDefault="00286292" w:rsidP="00286292">
            <w:pPr>
              <w:pStyle w:val="TableBody"/>
              <w:jc w:val="both"/>
              <w:rPr>
                <w:color w:val="auto"/>
                <w:sz w:val="16"/>
                <w:szCs w:val="16"/>
                <w:highlight w:val="yellow"/>
                <w:lang w:val="en-CA"/>
              </w:rPr>
            </w:pPr>
            <w:r w:rsidRPr="007E3FC3">
              <w:rPr>
                <w:color w:val="auto"/>
                <w:sz w:val="16"/>
                <w:szCs w:val="16"/>
                <w:highlight w:val="yellow"/>
                <w:lang w:val="en-CA"/>
              </w:rPr>
              <w:t>Installed-system cost: USD 180–350/kWh-system</w:t>
            </w:r>
          </w:p>
          <w:p w14:paraId="474041E8" w14:textId="184769B0" w:rsidR="00FE013C" w:rsidRPr="007E3FC3" w:rsidRDefault="00FE013C" w:rsidP="00B73641">
            <w:pPr>
              <w:pStyle w:val="TableBody"/>
              <w:jc w:val="both"/>
              <w:rPr>
                <w:color w:val="auto"/>
                <w:sz w:val="16"/>
                <w:szCs w:val="16"/>
                <w:highlight w:val="yellow"/>
                <w:lang w:val="en-US"/>
              </w:rPr>
            </w:pPr>
            <w:r w:rsidRPr="007E3FC3">
              <w:rPr>
                <w:color w:val="auto"/>
                <w:sz w:val="16"/>
                <w:szCs w:val="16"/>
                <w:highlight w:val="yellow"/>
              </w:rPr>
              <w:fldChar w:fldCharType="begin"/>
            </w:r>
            <w:r w:rsidR="00B73641" w:rsidRPr="007E3FC3">
              <w:rPr>
                <w:color w:val="auto"/>
                <w:sz w:val="16"/>
                <w:szCs w:val="16"/>
                <w:highlight w:val="yellow"/>
                <w:lang w:val="en-US"/>
              </w:rPr>
              <w:instrText xml:space="preserve"> ADDIN ZOTERO_ITEM CSL_CITATION {"citationID":"kGRd6P2t","properties":{"unsorted":false,"formattedCitation":"[47], [96]","plainCitation":"[47], [96]","noteIndex":0},"citationItems":[{"id":1984,"uris":["http://zotero.org/users/9870935/items/M6SVEFZJ"],"itemData":{"id":1984,"type":"article-journal","container-title":"Next Research","DOI":"10.1016/j.nexres.2025.100767","ISSN":"30504759","issue":"4","journalAbbreviation":"Next Research","language":"en","page":"100767","source":"DOI.org (Crossref)","title":"A comprehensive review of vanadium redox flow batteries: Principles, benefits, and applications","title-short":"A comprehensive review of vanadium redox flow batteries","volume":"2","author":[{"family":"Barzigar","given":"Amirhossein"},{"family":"Ebadati","given":"Erfan"},{"family":"Mujumdar","given":"Arun S"},{"family":"Hosseinalipour","given":"S.M."}],"issued":{"date-parts":[["2025",12]]}}},{"id":2049,"uris":["http://zotero.org/users/9870935/items/HTQQE34D"],"itemData":{"id":2049,"type":"post-weblog","title":"National Renewable Energy Laboratory (NREL)","URL":"https://atb.nrel.gov/","author":[{"family":"NREL","given":""}]}}],"schema":"https://github.com/citation-style-language/schema/raw/master/csl-citation.json"} </w:instrText>
            </w:r>
            <w:r w:rsidRPr="007E3FC3">
              <w:rPr>
                <w:color w:val="auto"/>
                <w:sz w:val="16"/>
                <w:szCs w:val="16"/>
                <w:highlight w:val="yellow"/>
              </w:rPr>
              <w:fldChar w:fldCharType="separate"/>
            </w:r>
            <w:r w:rsidR="00B73641" w:rsidRPr="007E3FC3">
              <w:rPr>
                <w:sz w:val="16"/>
                <w:highlight w:val="yellow"/>
                <w:lang w:val="en-US"/>
              </w:rPr>
              <w:t>[47], [96]</w:t>
            </w:r>
            <w:r w:rsidRPr="007E3FC3">
              <w:rPr>
                <w:color w:val="auto"/>
                <w:sz w:val="16"/>
                <w:szCs w:val="16"/>
                <w:highlight w:val="yellow"/>
              </w:rPr>
              <w:fldChar w:fldCharType="end"/>
            </w:r>
          </w:p>
        </w:tc>
        <w:tc>
          <w:tcPr>
            <w:tcW w:w="0" w:type="auto"/>
            <w:hideMark/>
          </w:tcPr>
          <w:p w14:paraId="072D3B20" w14:textId="77777777" w:rsidR="00FE013C" w:rsidRPr="007E3FC3" w:rsidRDefault="00FE013C" w:rsidP="004C16FF">
            <w:pPr>
              <w:pStyle w:val="TableBody"/>
              <w:jc w:val="both"/>
              <w:rPr>
                <w:color w:val="auto"/>
                <w:sz w:val="16"/>
                <w:szCs w:val="16"/>
                <w:highlight w:val="yellow"/>
                <w:lang w:val="en-US"/>
              </w:rPr>
            </w:pPr>
            <w:r w:rsidRPr="007E3FC3">
              <w:rPr>
                <w:color w:val="auto"/>
                <w:sz w:val="16"/>
                <w:szCs w:val="16"/>
                <w:highlight w:val="yellow"/>
                <w:lang w:val="en-US"/>
              </w:rPr>
              <w:t xml:space="preserve">65–80% </w:t>
            </w:r>
            <w:r w:rsidRPr="007E3FC3">
              <w:rPr>
                <w:sz w:val="16"/>
                <w:highlight w:val="yellow"/>
                <w:lang w:val="en-US"/>
              </w:rPr>
              <w:t>[47]</w:t>
            </w:r>
          </w:p>
        </w:tc>
        <w:tc>
          <w:tcPr>
            <w:tcW w:w="0" w:type="auto"/>
            <w:hideMark/>
          </w:tcPr>
          <w:p w14:paraId="6D41E5EE" w14:textId="0746F039" w:rsidR="00FE013C" w:rsidRPr="007E3FC3" w:rsidRDefault="00FE013C" w:rsidP="00B73641">
            <w:pPr>
              <w:pStyle w:val="TableBody"/>
              <w:jc w:val="both"/>
              <w:rPr>
                <w:color w:val="auto"/>
                <w:sz w:val="16"/>
                <w:szCs w:val="16"/>
                <w:highlight w:val="yellow"/>
                <w:lang w:val="en-US"/>
              </w:rPr>
            </w:pPr>
            <w:r w:rsidRPr="007E3FC3">
              <w:rPr>
                <w:color w:val="auto"/>
                <w:sz w:val="16"/>
                <w:szCs w:val="16"/>
                <w:highlight w:val="yellow"/>
                <w:lang w:val="en-US"/>
              </w:rPr>
              <w:t xml:space="preserve">Optimization (MILP with reliability constraint) </w:t>
            </w:r>
            <w:r w:rsidRPr="007E3FC3">
              <w:rPr>
                <w:color w:val="auto"/>
                <w:sz w:val="16"/>
                <w:szCs w:val="16"/>
                <w:highlight w:val="yellow"/>
              </w:rPr>
              <w:fldChar w:fldCharType="begin"/>
            </w:r>
            <w:r w:rsidR="00B73641" w:rsidRPr="007E3FC3">
              <w:rPr>
                <w:color w:val="auto"/>
                <w:sz w:val="16"/>
                <w:szCs w:val="16"/>
                <w:highlight w:val="yellow"/>
                <w:lang w:val="en-US"/>
              </w:rPr>
              <w:instrText xml:space="preserve"> ADDIN ZOTERO_ITEM CSL_CITATION {"citationID":"RhyYQ92V","properties":{"unsorted":false,"formattedCitation":"[73], [81]","plainCitation":"[73], [81]","noteIndex":0},"citationItems":[{"id":1988,"uris":["http://zotero.org/users/9870935/items/9LH8YF5V"],"itemData":{"id":1988,"type":"article-journal","container-title":"Future Batteries","DOI":"10.1016/j.fub.2025.100106","ISSN":"29502640","journalAbbreviation":"Future Batteries","language":"en","page":"100106","source":"DOI.org (Crossref)","title":"A review of battery energy storage system for renewable energy penetration in electrical power system: Environmental impact, sizing methods, market features, and policy frameworks","title-short":"A review of battery energy storage system for renewable energy penetration in electrical power system","volume":"7","author":[{"family":"Jaradat","given":"Tha'er"},{"family":"Khatib","given":"Tamer"}],"issued":{"date-parts":[["2025",9]]}}},{"id":2021,"uris":["http://zotero.org/users/9870935/items/AHEUC4DF"],"itemData":{"id":2021,"type":"article","abstract":"Artificial intelligence (AI) is driving unprecedented growth in data center (DC) scale and power demand. AI workloads impose highly dynamic, difficult-to-forecast power profiles on the utility grid, creating reliability and stability challenges that conventional DC architectures are not designed to address. This paper provides a critical review of energy storage systems (ESSs) as the key enabling technology for reliable grid integration of AI DCs. We organize the review around a four-layer hierarchical taxonomy, namely chip-level buffering, rack/server-level ESSs, facility-level uninterruptible power supply (UPS) systems, and grid-scale battery energy storage systems (BESSs), supplemented by non-battery technologies including fuel cells (FCs) and thermal energy storage (TES). Each layer is analyzed with respect to response timescale, power and energy ratings, operational role, integration challenges, and coordination requirements. Key findings include: (i) AI DC load profiles differ fundamentally from traditional loads in their sub-second variability, making conventional ESS dispatch strategies insufficient; (ii) hierarchical, coordinated ESS deployment across all layers is necessary for effective load smoothing and grid support; and (iii) significant gaps remain in simulation tools, degradation modeling, load forecasting, and optimal multi-layer sizing. This review identifies open research challenges and future directions at the intersection of AI computing infrastructure and power system integration.","DOI":"10.48550/arXiv.2603.00415","note":"arXiv:2603.00415 [eess.SY]","number":"arXiv:2603.00415","publisher":"arXiv","source":"arXiv.org","title":"Grid Integration of AI Data Centers: A Critical Review of Energy Storage Solutions","title-short":"Grid Integration of AI Data Centers","URL":"http://arxiv.org/abs/2603.00415","author":[{"family":"Mohammadi","given":"Sina"},{"family":"Wang","given":"Wayne"},{"family":"Wada","given":"Marcus Chen I."},{"family":"Haghighi","given":"Rouzbeh"},{"family":"Hassan","given":"Ali"},{"family":"Liu","given":"Hualong"},{"family":"Bhatnagar","given":"Archit"},{"family":"Chen","given":"Ang"},{"family":"Su","given":"Wencong"}],"accessed":{"date-parts":[["2026",5,16]]},"issued":{"date-parts":[["2026",5,5]]}}}],"schema":"https://github.com/citation-style-language/schema/raw/master/csl-citation.json"} </w:instrText>
            </w:r>
            <w:r w:rsidRPr="007E3FC3">
              <w:rPr>
                <w:color w:val="auto"/>
                <w:sz w:val="16"/>
                <w:szCs w:val="16"/>
                <w:highlight w:val="yellow"/>
              </w:rPr>
              <w:fldChar w:fldCharType="separate"/>
            </w:r>
            <w:r w:rsidR="00B73641" w:rsidRPr="007E3FC3">
              <w:rPr>
                <w:sz w:val="16"/>
                <w:highlight w:val="yellow"/>
                <w:lang w:val="en-US"/>
              </w:rPr>
              <w:t>[73], [81]</w:t>
            </w:r>
            <w:r w:rsidRPr="007E3FC3">
              <w:rPr>
                <w:color w:val="auto"/>
                <w:sz w:val="16"/>
                <w:szCs w:val="16"/>
                <w:highlight w:val="yellow"/>
              </w:rPr>
              <w:fldChar w:fldCharType="end"/>
            </w:r>
          </w:p>
        </w:tc>
        <w:tc>
          <w:tcPr>
            <w:tcW w:w="0" w:type="auto"/>
            <w:hideMark/>
          </w:tcPr>
          <w:p w14:paraId="141EDB37" w14:textId="7B22026D" w:rsidR="00FE013C" w:rsidRPr="007E3FC3" w:rsidRDefault="00FE013C" w:rsidP="001B74A6">
            <w:pPr>
              <w:pStyle w:val="TableBody"/>
              <w:jc w:val="both"/>
              <w:rPr>
                <w:color w:val="auto"/>
                <w:sz w:val="16"/>
                <w:szCs w:val="16"/>
                <w:highlight w:val="yellow"/>
                <w:lang w:val="en-US"/>
              </w:rPr>
            </w:pPr>
            <w:r w:rsidRPr="007E3FC3">
              <w:rPr>
                <w:color w:val="auto"/>
                <w:sz w:val="16"/>
                <w:szCs w:val="16"/>
                <w:highlight w:val="yellow"/>
                <w:lang w:val="en-US"/>
              </w:rPr>
              <w:t xml:space="preserve">Multi-day firming; weak-grid support; MPC-integrated dispatch </w:t>
            </w:r>
            <w:r w:rsidRPr="007E3FC3">
              <w:rPr>
                <w:color w:val="auto"/>
                <w:sz w:val="16"/>
                <w:szCs w:val="16"/>
                <w:highlight w:val="yellow"/>
              </w:rPr>
              <w:fldChar w:fldCharType="begin"/>
            </w:r>
            <w:r w:rsidR="001B74A6" w:rsidRPr="007E3FC3">
              <w:rPr>
                <w:color w:val="auto"/>
                <w:sz w:val="16"/>
                <w:szCs w:val="16"/>
                <w:highlight w:val="yellow"/>
                <w:lang w:val="en-US"/>
              </w:rPr>
              <w:instrText xml:space="preserve"> ADDIN ZOTERO_ITEM CSL_CITATION {"citationID":"c2qz5NNw","properties":{"unsorted":false,"formattedCitation":"[63], [119], [120]","plainCitation":"[63], [119], [120]","noteIndex":0},"citationItems":[{"id":2119,"uris":["http://zotero.org/users/9870935/items/HCPVHF7M"],"itemData":{"id":2119,"type":"article-journal","container-title":"Energy Reports","DOI":"10.1016/j.egyr.2025.03.020","ISSN":"23524847","journalAbbreviation":"Energy Reports","language":"en","page":"3661-3671","source":"DOI.org (Crossref)","title":"Data centres as a source of flexibility for power systems","volume":"13","author":[{"family":"Takci","given":"Mehmet Türker"},{"family":"Qadrdan","given":"Meysam"},{"family":"Summers","given":"Jon"},{"family":"Gustafsson","given":"Jonas"}],"issued":{"date-parts":[["2025",6]]}}},{"id":2086,"uris":["http://zotero.org/users/9870935/items/PSX5T5NE"],"itemData":{"id":2086,"type":"article-journal","abstract":"Renewable energy sources (wind turbine and photovoltaic system) are connected to the smart grid to promote the grid power, but the output of these sources is changed due to the sunlight and wind speed variations. Power storage system has the ability to reduce variations in a power system. Battery energy storage system (BESS) and superconducting magnetic energy storage system (SMES) are good solutions for this problem. The storage unit is connected to a power system at the point of common coupling and is able to absorb/store both active and reactive powers from this system and inject them into the power system in the peak demand periods. A control strategy based on proportional–integrative–derivative (PID) and model predictive controller (MPC) are used to control (SMES/BESS) to enhance the transient performance of a smart grid. The proposed algorithm has been tested on standard IEEE 5‐bus system connected to wind turbine distributed generator, non‐linear loads, and storage device (BESS/SMES) to verify the superiority of the presented method. The simulation results show that the performance of SMES with PID is more efficient than BESS with PID, but they have nearly the same output when MPC control strategy is used.","container-title":"IET Renewable Power Generation","DOI":"10.1049/iet-rpg.2016.0892","ISSN":"1752-1416, 1752-1424","issue":"10","journalAbbreviation":"IET Renewable Power Gen","language":"en","page":"1316-1324","source":"DOI.org (Crossref)","title":"Enhancing smart grid transient performance using storage device‐based MPC controller","volume":"11","author":[{"family":"Sultan","given":"Yara A."},{"family":"Kaddah","given":"Sahar S."},{"family":"Elhosseini","given":"Mostafa A."}],"issued":{"date-parts":[["2017",8]]}}},{"id":2087,"uris":["http://zotero.org/users/9870935/items/4BDYURFT"],"itemData":{"id":2087,"type":"article-journal","container-title":"Energy","DOI":"10.1016/j.energy.2025.138205","ISSN":"03605442","journalAbbreviation":"Energy","language":"en","page":"138205","source":"DOI.org (Crossref)","title":"An economic model predictive control strategy for EV-integrated microgrids considering battery degradation","volume":"335","author":[{"family":"Hu","given":"Yunfeng"},{"family":"Li","given":"Zeying"},{"family":"Cui","given":"Jinghan"}],"issued":{"date-parts":[["2025",10]]}}}],"schema":"https://github.com/citation-style-language/schema/raw/master/csl-citation.json"} </w:instrText>
            </w:r>
            <w:r w:rsidRPr="007E3FC3">
              <w:rPr>
                <w:color w:val="auto"/>
                <w:sz w:val="16"/>
                <w:szCs w:val="16"/>
                <w:highlight w:val="yellow"/>
              </w:rPr>
              <w:fldChar w:fldCharType="separate"/>
            </w:r>
            <w:r w:rsidR="001B74A6" w:rsidRPr="007E3FC3">
              <w:rPr>
                <w:sz w:val="16"/>
                <w:highlight w:val="yellow"/>
                <w:lang w:val="en-US"/>
              </w:rPr>
              <w:t>[63], [119], [120]</w:t>
            </w:r>
            <w:r w:rsidRPr="007E3FC3">
              <w:rPr>
                <w:color w:val="auto"/>
                <w:sz w:val="16"/>
                <w:szCs w:val="16"/>
                <w:highlight w:val="yellow"/>
              </w:rPr>
              <w:fldChar w:fldCharType="end"/>
            </w:r>
          </w:p>
        </w:tc>
        <w:tc>
          <w:tcPr>
            <w:tcW w:w="0" w:type="auto"/>
            <w:hideMark/>
          </w:tcPr>
          <w:p w14:paraId="7ECC9B47" w14:textId="77777777" w:rsidR="00FE013C" w:rsidRPr="007E3FC3" w:rsidRDefault="00FE013C" w:rsidP="004C16FF">
            <w:pPr>
              <w:pStyle w:val="TableBody"/>
              <w:jc w:val="both"/>
              <w:rPr>
                <w:color w:val="auto"/>
                <w:sz w:val="16"/>
                <w:szCs w:val="16"/>
                <w:highlight w:val="yellow"/>
                <w:lang w:val="en-US"/>
              </w:rPr>
            </w:pPr>
            <w:r w:rsidRPr="007E3FC3">
              <w:rPr>
                <w:color w:val="auto"/>
                <w:sz w:val="16"/>
                <w:szCs w:val="16"/>
                <w:highlight w:val="yellow"/>
                <w:lang w:val="en-US"/>
              </w:rPr>
              <w:t xml:space="preserve">Higher </w:t>
            </w:r>
            <w:proofErr w:type="spellStart"/>
            <w:r w:rsidRPr="007E3FC3">
              <w:rPr>
                <w:color w:val="auto"/>
                <w:sz w:val="16"/>
                <w:szCs w:val="16"/>
                <w:highlight w:val="yellow"/>
                <w:lang w:val="en-US"/>
              </w:rPr>
              <w:t>CapEx</w:t>
            </w:r>
            <w:proofErr w:type="spellEnd"/>
            <w:r w:rsidRPr="007E3FC3">
              <w:rPr>
                <w:color w:val="auto"/>
                <w:sz w:val="16"/>
                <w:szCs w:val="16"/>
                <w:highlight w:val="yellow"/>
                <w:lang w:val="en-US"/>
              </w:rPr>
              <w:t xml:space="preserve">; VRFB still emerging at scale </w:t>
            </w:r>
            <w:r w:rsidRPr="007E3FC3">
              <w:rPr>
                <w:sz w:val="16"/>
                <w:highlight w:val="yellow"/>
                <w:lang w:val="en-US"/>
              </w:rPr>
              <w:t>[47]</w:t>
            </w:r>
          </w:p>
        </w:tc>
      </w:tr>
      <w:tr w:rsidR="00FE013C" w:rsidRPr="007E3FC3" w14:paraId="13657801" w14:textId="77777777" w:rsidTr="00AF3016">
        <w:tc>
          <w:tcPr>
            <w:tcW w:w="0" w:type="auto"/>
            <w:hideMark/>
          </w:tcPr>
          <w:p w14:paraId="35FEDE98"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24–100 h</w:t>
            </w:r>
          </w:p>
        </w:tc>
        <w:tc>
          <w:tcPr>
            <w:tcW w:w="0" w:type="auto"/>
            <w:hideMark/>
          </w:tcPr>
          <w:p w14:paraId="0DAE4E7B" w14:textId="77777777" w:rsidR="00FE013C" w:rsidRPr="007E3FC3" w:rsidRDefault="00FE013C" w:rsidP="004C16FF">
            <w:pPr>
              <w:pStyle w:val="TableBody"/>
              <w:jc w:val="both"/>
              <w:rPr>
                <w:color w:val="auto"/>
                <w:sz w:val="16"/>
                <w:szCs w:val="16"/>
                <w:highlight w:val="yellow"/>
                <w:lang w:val="en-US"/>
              </w:rPr>
            </w:pPr>
            <w:r w:rsidRPr="007E3FC3">
              <w:rPr>
                <w:color w:val="auto"/>
                <w:sz w:val="16"/>
                <w:szCs w:val="16"/>
                <w:highlight w:val="yellow"/>
                <w:lang w:val="en-US"/>
              </w:rPr>
              <w:t>Iron-Air / CAES</w:t>
            </w:r>
          </w:p>
        </w:tc>
        <w:tc>
          <w:tcPr>
            <w:tcW w:w="0" w:type="auto"/>
            <w:hideMark/>
          </w:tcPr>
          <w:p w14:paraId="78096A53" w14:textId="77777777" w:rsidR="00B07A7D" w:rsidRPr="007E3FC3" w:rsidRDefault="00B07A7D" w:rsidP="00B07A7D">
            <w:pPr>
              <w:pStyle w:val="TableBody"/>
              <w:jc w:val="both"/>
              <w:rPr>
                <w:color w:val="auto"/>
                <w:sz w:val="16"/>
                <w:szCs w:val="16"/>
                <w:highlight w:val="yellow"/>
                <w:lang w:val="en-CA"/>
              </w:rPr>
            </w:pPr>
            <w:r w:rsidRPr="007E3FC3">
              <w:rPr>
                <w:color w:val="auto"/>
                <w:sz w:val="16"/>
                <w:szCs w:val="16"/>
                <w:highlight w:val="yellow"/>
                <w:lang w:val="en-CA"/>
              </w:rPr>
              <w:t xml:space="preserve">Technology-specific reported system costs </w:t>
            </w:r>
          </w:p>
          <w:p w14:paraId="73056F51" w14:textId="23150264" w:rsidR="00FE013C" w:rsidRPr="007E3FC3" w:rsidRDefault="00FE013C" w:rsidP="007D29E8">
            <w:pPr>
              <w:pStyle w:val="TableBody"/>
              <w:jc w:val="both"/>
              <w:rPr>
                <w:color w:val="auto"/>
                <w:sz w:val="16"/>
                <w:szCs w:val="16"/>
                <w:highlight w:val="yellow"/>
                <w:lang w:val="en-US"/>
              </w:rPr>
            </w:pPr>
            <w:r w:rsidRPr="007E3FC3">
              <w:rPr>
                <w:color w:val="auto"/>
                <w:sz w:val="16"/>
                <w:szCs w:val="16"/>
                <w:highlight w:val="yellow"/>
              </w:rPr>
              <w:fldChar w:fldCharType="begin"/>
            </w:r>
            <w:r w:rsidR="007D29E8" w:rsidRPr="007E3FC3">
              <w:rPr>
                <w:color w:val="auto"/>
                <w:sz w:val="16"/>
                <w:szCs w:val="16"/>
                <w:highlight w:val="yellow"/>
                <w:lang w:val="en-US"/>
              </w:rPr>
              <w:instrText xml:space="preserve"> ADDIN ZOTERO_ITEM CSL_CITATION {"citationID":"1u4tqan1","properties":{"unsorted":false,"formattedCitation":"[110], [121]","plainCitation":"[110], [121]","noteIndex":0},"citationItems":[{"id":1985,"uris":["http://zotero.org/users/9870935/items/58URKSK2"],"itemData":{"id":1985,"type":"book","abstract":"This report on batteries addresses technology development, EU research and innovation activities, global and EU markets and market players and assesses the competitiveness of the EU battery sector and its positioning in the global battery market. Special attention is given to provide a broad overview of battery technologies. This report also contains an assessment of market developments, production, trade, patenting, and sustainability of Li-ion batteries. The report shows that the EU does not have a competitive advantage over its main competitors. To change the current situation and improve the competitiveness of battery production in the EU, the following key actions should be taken to address the key drivers of competitiveness: increase the currently limited internal supply of raw and processed materials, significantly reduce the cost of energy, labour, and investment, urgently develop skilled and experienced work force, simplify legislation reduce times to set up new production and secure demand for EU-produced batteries. The EU is also not leading anymore in battery research. Despite this, the EU makes an effort to build its battery sector and increase its ability to cover at least part of battery demand from internal sources. This applies mainly to the high-performance batteries for premium-class Electric Vehicles (EVs), while batteries for lower-classes EVs and stationary energy storage are falling short. This report is an output of the Clean Energy Technologies Observatory (CETO) and provides an evidence-based analysis of the overall battery landscape to support the EU policy making process. It is part of the series of reports on clean energy technologies needed for the delivery of the European Green Deal, and it is a continuation and extension of earlier editions of the CETO report on batteries.","collection-title":"EUR","DOI":"10.2760/2686206","ISBN":"978-92-68-38735-1","ISSN":"1831-9424","language":"eng","publisher":"Publications Office of the European Union","publisher-place":"LU","source":"DOI.org (CSL JSON)","title":"Clean Energy Technology Observatory","URL":"https://data.europa.eu/doi/10.2760/2686206","author":[{"literal":"European Commission. Joint Research Centre"},{"family":"Bielewski","given":"Marek"},{"family":"Pfrang","given":"Andreas"},{"family":"Quintero Pulido","given":"Diego Fernando"},{"family":"Peters","given":"Jens"},{"family":"Bobba","given":"Silvia"},{"family":"Leccisi","given":"Enrica"},{"family":"Mancini","given":"Lucia"},{"family":"Schade","given":"Burkhard"},{"family":"Georgakaki","given":"Aliki"},{"family":"Letout","given":"Simon"},{"family":"Mountraki","given":"Aikaterini"},{"family":"Ince","given":"Ela"}],"accessed":{"date-parts":[["2026",5,16]]},"issued":{"date-parts":[["2026"]]}}},{"id":2210,"uris":["http://zotero.org/users/9870935/items/B883UNJW"],"itemData":{"id":2210,"type":"article-journal","container-title":"Journal of Energy Storage","DOI":"10.1016/j.est.2026.120679","ISSN":"2352152X","journalAbbreviation":"Journal of Energy Storage","language":"en","page":"120679","source":"DOI.org (Crossref)","title":"A comparison of long duration energy storage technologies based on levelized cost of storage","volume":"153","author":[{"family":"Friedel","given":"Leonhard"},{"family":"Grenz","given":"Jana"},{"family":"Hagist","given":"Christian"}],"issued":{"date-parts":[["2026",4]]}}}],"schema":"https://github.com/citation-style-language/schema/raw/master/csl-citation.json"} </w:instrText>
            </w:r>
            <w:r w:rsidRPr="007E3FC3">
              <w:rPr>
                <w:color w:val="auto"/>
                <w:sz w:val="16"/>
                <w:szCs w:val="16"/>
                <w:highlight w:val="yellow"/>
              </w:rPr>
              <w:fldChar w:fldCharType="separate"/>
            </w:r>
            <w:r w:rsidR="007D29E8" w:rsidRPr="007E3FC3">
              <w:rPr>
                <w:sz w:val="16"/>
                <w:highlight w:val="yellow"/>
                <w:lang w:val="en-US"/>
              </w:rPr>
              <w:t>[110], [121]</w:t>
            </w:r>
            <w:r w:rsidRPr="007E3FC3">
              <w:rPr>
                <w:color w:val="auto"/>
                <w:sz w:val="16"/>
                <w:szCs w:val="16"/>
                <w:highlight w:val="yellow"/>
              </w:rPr>
              <w:fldChar w:fldCharType="end"/>
            </w:r>
          </w:p>
        </w:tc>
        <w:tc>
          <w:tcPr>
            <w:tcW w:w="0" w:type="auto"/>
            <w:hideMark/>
          </w:tcPr>
          <w:p w14:paraId="328C5DD4" w14:textId="51EBF707" w:rsidR="00FE013C" w:rsidRPr="007E3FC3" w:rsidRDefault="00FE013C" w:rsidP="007D29E8">
            <w:pPr>
              <w:pStyle w:val="TableBody"/>
              <w:jc w:val="both"/>
              <w:rPr>
                <w:color w:val="auto"/>
                <w:sz w:val="16"/>
                <w:szCs w:val="16"/>
                <w:highlight w:val="yellow"/>
                <w:lang w:val="en-US"/>
              </w:rPr>
            </w:pPr>
            <w:r w:rsidRPr="007E3FC3">
              <w:rPr>
                <w:color w:val="auto"/>
                <w:sz w:val="16"/>
                <w:szCs w:val="16"/>
                <w:highlight w:val="yellow"/>
                <w:lang w:val="en-US"/>
              </w:rPr>
              <w:t xml:space="preserve">40–70% </w:t>
            </w:r>
            <w:r w:rsidRPr="007E3FC3">
              <w:rPr>
                <w:color w:val="auto"/>
                <w:sz w:val="16"/>
                <w:szCs w:val="16"/>
                <w:highlight w:val="yellow"/>
              </w:rPr>
              <w:fldChar w:fldCharType="begin"/>
            </w:r>
            <w:r w:rsidR="007D29E8" w:rsidRPr="007E3FC3">
              <w:rPr>
                <w:color w:val="auto"/>
                <w:sz w:val="16"/>
                <w:szCs w:val="16"/>
                <w:highlight w:val="yellow"/>
                <w:lang w:val="en-US"/>
              </w:rPr>
              <w:instrText xml:space="preserve"> ADDIN ZOTERO_ITEM CSL_CITATION {"citationID":"uEb1ccwo","properties":{"unsorted":false,"formattedCitation":"[110], [121]","plainCitation":"[110], [121]","noteIndex":0},"citationItems":[{"id":1985,"uris":["http://zotero.org/users/9870935/items/58URKSK2"],"itemData":{"id":1985,"type":"book","abstract":"This report on batteries addresses technology development, EU research and innovation activities, global and EU markets and market players and assesses the competitiveness of the EU battery sector and its positioning in the global battery market. Special attention is given to provide a broad overview of battery technologies. This report also contains an assessment of market developments, production, trade, patenting, and sustainability of Li-ion batteries. The report shows that the EU does not have a competitive advantage over its main competitors. To change the current situation and improve the competitiveness of battery production in the EU, the following key actions should be taken to address the key drivers of competitiveness: increase the currently limited internal supply of raw and processed materials, significantly reduce the cost of energy, labour, and investment, urgently develop skilled and experienced work force, simplify legislation reduce times to set up new production and secure demand for EU-produced batteries. The EU is also not leading anymore in battery research. Despite this, the EU makes an effort to build its battery sector and increase its ability to cover at least part of battery demand from internal sources. This applies mainly to the high-performance batteries for premium-class Electric Vehicles (EVs), while batteries for lower-classes EVs and stationary energy storage are falling short. This report is an output of the Clean Energy Technologies Observatory (CETO) and provides an evidence-based analysis of the overall battery landscape to support the EU policy making process. It is part of the series of reports on clean energy technologies needed for the delivery of the European Green Deal, and it is a continuation and extension of earlier editions of the CETO report on batteries.","collection-title":"EUR","DOI":"10.2760/2686206","ISBN":"978-92-68-38735-1","ISSN":"1831-9424","language":"eng","publisher":"Publications Office of the European Union","publisher-place":"LU","source":"DOI.org (CSL JSON)","title":"Clean Energy Technology Observatory","URL":"https://data.europa.eu/doi/10.2760/2686206","author":[{"literal":"European Commission. Joint Research Centre"},{"family":"Bielewski","given":"Marek"},{"family":"Pfrang","given":"Andreas"},{"family":"Quintero Pulido","given":"Diego Fernando"},{"family":"Peters","given":"Jens"},{"family":"Bobba","given":"Silvia"},{"family":"Leccisi","given":"Enrica"},{"family":"Mancini","given":"Lucia"},{"family":"Schade","given":"Burkhard"},{"family":"Georgakaki","given":"Aliki"},{"family":"Letout","given":"Simon"},{"family":"Mountraki","given":"Aikaterini"},{"family":"Ince","given":"Ela"}],"accessed":{"date-parts":[["2026",5,16]]},"issued":{"date-parts":[["2026"]]}}},{"id":2210,"uris":["http://zotero.org/users/9870935/items/B883UNJW"],"itemData":{"id":2210,"type":"article-journal","container-title":"Journal of Energy Storage","DOI":"10.1016/j.est.2026.120679","ISSN":"2352152X","journalAbbreviation":"Journal of Energy Storage","language":"en","page":"120679","source":"DOI.org (Crossref)","title":"A comparison of long duration energy storage technologies based on levelized cost of storage","volume":"153","author":[{"family":"Friedel","given":"Leonhard"},{"family":"Grenz","given":"Jana"},{"family":"Hagist","given":"Christian"}],"issued":{"date-parts":[["2026",4]]}}}],"schema":"https://github.com/citation-style-language/schema/raw/master/csl-citation.json"} </w:instrText>
            </w:r>
            <w:r w:rsidRPr="007E3FC3">
              <w:rPr>
                <w:color w:val="auto"/>
                <w:sz w:val="16"/>
                <w:szCs w:val="16"/>
                <w:highlight w:val="yellow"/>
              </w:rPr>
              <w:fldChar w:fldCharType="separate"/>
            </w:r>
            <w:r w:rsidR="007D29E8" w:rsidRPr="007E3FC3">
              <w:rPr>
                <w:sz w:val="16"/>
                <w:highlight w:val="yellow"/>
                <w:lang w:val="en-US"/>
              </w:rPr>
              <w:t>[110], [121]</w:t>
            </w:r>
            <w:r w:rsidRPr="007E3FC3">
              <w:rPr>
                <w:color w:val="auto"/>
                <w:sz w:val="16"/>
                <w:szCs w:val="16"/>
                <w:highlight w:val="yellow"/>
              </w:rPr>
              <w:fldChar w:fldCharType="end"/>
            </w:r>
          </w:p>
        </w:tc>
        <w:tc>
          <w:tcPr>
            <w:tcW w:w="0" w:type="auto"/>
            <w:hideMark/>
          </w:tcPr>
          <w:p w14:paraId="4DF85AF7" w14:textId="1DC10437" w:rsidR="00FE013C" w:rsidRPr="007E3FC3" w:rsidRDefault="00FE013C" w:rsidP="00B73641">
            <w:pPr>
              <w:pStyle w:val="TableBody"/>
              <w:jc w:val="both"/>
              <w:rPr>
                <w:color w:val="auto"/>
                <w:sz w:val="16"/>
                <w:szCs w:val="16"/>
                <w:highlight w:val="yellow"/>
                <w:lang w:val="en-US"/>
              </w:rPr>
            </w:pPr>
            <w:r w:rsidRPr="007E3FC3">
              <w:rPr>
                <w:color w:val="auto"/>
                <w:sz w:val="16"/>
                <w:szCs w:val="16"/>
                <w:highlight w:val="yellow"/>
                <w:lang w:val="en-US"/>
              </w:rPr>
              <w:t xml:space="preserve">Optimization with seasonal reliability constraints </w:t>
            </w:r>
            <w:r w:rsidRPr="007E3FC3">
              <w:rPr>
                <w:color w:val="auto"/>
                <w:sz w:val="16"/>
                <w:szCs w:val="16"/>
                <w:highlight w:val="yellow"/>
              </w:rPr>
              <w:fldChar w:fldCharType="begin"/>
            </w:r>
            <w:r w:rsidR="00B73641" w:rsidRPr="007E3FC3">
              <w:rPr>
                <w:color w:val="auto"/>
                <w:sz w:val="16"/>
                <w:szCs w:val="16"/>
                <w:highlight w:val="yellow"/>
                <w:lang w:val="en-US"/>
              </w:rPr>
              <w:instrText xml:space="preserve"> ADDIN ZOTERO_ITEM CSL_CITATION {"citationID":"1raQF4FR","properties":{"unsorted":false,"formattedCitation":"[73], [81]","plainCitation":"[73], [81]","noteIndex":0},"citationItems":[{"id":1988,"uris":["http://zotero.org/users/9870935/items/9LH8YF5V"],"itemData":{"id":1988,"type":"article-journal","container-title":"Future Batteries","DOI":"10.1016/j.fub.2025.100106","ISSN":"29502640","journalAbbreviation":"Future Batteries","language":"en","page":"100106","source":"DOI.org (Crossref)","title":"A review of battery energy storage system for renewable energy penetration in electrical power system: Environmental impact, sizing methods, market features, and policy frameworks","title-short":"A review of battery energy storage system for renewable energy penetration in electrical power system","volume":"7","author":[{"family":"Jaradat","given":"Tha'er"},{"family":"Khatib","given":"Tamer"}],"issued":{"date-parts":[["2025",9]]}}},{"id":2021,"uris":["http://zotero.org/users/9870935/items/AHEUC4DF"],"itemData":{"id":2021,"type":"article","abstract":"Artificial intelligence (AI) is driving unprecedented growth in data center (DC) scale and power demand. AI workloads impose highly dynamic, difficult-to-forecast power profiles on the utility grid, creating reliability and stability challenges that conventional DC architectures are not designed to address. This paper provides a critical review of energy storage systems (ESSs) as the key enabling technology for reliable grid integration of AI DCs. We organize the review around a four-layer hierarchical taxonomy, namely chip-level buffering, rack/server-level ESSs, facility-level uninterruptible power supply (UPS) systems, and grid-scale battery energy storage systems (BESSs), supplemented by non-battery technologies including fuel cells (FCs) and thermal energy storage (TES). Each layer is analyzed with respect to response timescale, power and energy ratings, operational role, integration challenges, and coordination requirements. Key findings include: (i) AI DC load profiles differ fundamentally from traditional loads in their sub-second variability, making conventional ESS dispatch strategies insufficient; (ii) hierarchical, coordinated ESS deployment across all layers is necessary for effective load smoothing and grid support; and (iii) significant gaps remain in simulation tools, degradation modeling, load forecasting, and optimal multi-layer sizing. This review identifies open research challenges and future directions at the intersection of AI computing infrastructure and power system integration.","DOI":"10.48550/arXiv.2603.00415","note":"arXiv:2603.00415 [eess.SY]","number":"arXiv:2603.00415","publisher":"arXiv","source":"arXiv.org","title":"Grid Integration of AI Data Centers: A Critical Review of Energy Storage Solutions","title-short":"Grid Integration of AI Data Centers","URL":"http://arxiv.org/abs/2603.00415","author":[{"family":"Mohammadi","given":"Sina"},{"family":"Wang","given":"Wayne"},{"family":"Wada","given":"Marcus Chen I."},{"family":"Haghighi","given":"Rouzbeh"},{"family":"Hassan","given":"Ali"},{"family":"Liu","given":"Hualong"},{"family":"Bhatnagar","given":"Archit"},{"family":"Chen","given":"Ang"},{"family":"Su","given":"Wencong"}],"accessed":{"date-parts":[["2026",5,16]]},"issued":{"date-parts":[["2026",5,5]]}}}],"schema":"https://github.com/citation-style-language/schema/raw/master/csl-citation.json"} </w:instrText>
            </w:r>
            <w:r w:rsidRPr="007E3FC3">
              <w:rPr>
                <w:color w:val="auto"/>
                <w:sz w:val="16"/>
                <w:szCs w:val="16"/>
                <w:highlight w:val="yellow"/>
              </w:rPr>
              <w:fldChar w:fldCharType="separate"/>
            </w:r>
            <w:r w:rsidR="00B73641" w:rsidRPr="007E3FC3">
              <w:rPr>
                <w:sz w:val="16"/>
                <w:highlight w:val="yellow"/>
                <w:lang w:val="en-US"/>
              </w:rPr>
              <w:t>[73], [81]</w:t>
            </w:r>
            <w:r w:rsidRPr="007E3FC3">
              <w:rPr>
                <w:color w:val="auto"/>
                <w:sz w:val="16"/>
                <w:szCs w:val="16"/>
                <w:highlight w:val="yellow"/>
              </w:rPr>
              <w:fldChar w:fldCharType="end"/>
            </w:r>
          </w:p>
        </w:tc>
        <w:tc>
          <w:tcPr>
            <w:tcW w:w="0" w:type="auto"/>
            <w:hideMark/>
          </w:tcPr>
          <w:p w14:paraId="4BC6A479" w14:textId="359BE28C" w:rsidR="00FE013C" w:rsidRPr="007E3FC3" w:rsidRDefault="00FE013C" w:rsidP="007D29E8">
            <w:pPr>
              <w:pStyle w:val="TableBody"/>
              <w:jc w:val="both"/>
              <w:rPr>
                <w:color w:val="auto"/>
                <w:sz w:val="16"/>
                <w:szCs w:val="16"/>
                <w:highlight w:val="yellow"/>
                <w:lang w:val="en-US"/>
              </w:rPr>
            </w:pPr>
            <w:r w:rsidRPr="007E3FC3">
              <w:rPr>
                <w:color w:val="auto"/>
                <w:sz w:val="16"/>
                <w:szCs w:val="16"/>
                <w:highlight w:val="yellow"/>
                <w:lang w:val="en-US"/>
              </w:rPr>
              <w:t xml:space="preserve">Multi-day drought resilience; renewable firming in high variability climates </w:t>
            </w:r>
            <w:r w:rsidRPr="007E3FC3">
              <w:rPr>
                <w:color w:val="auto"/>
                <w:sz w:val="16"/>
                <w:szCs w:val="16"/>
                <w:highlight w:val="yellow"/>
              </w:rPr>
              <w:fldChar w:fldCharType="begin"/>
            </w:r>
            <w:r w:rsidR="007D29E8" w:rsidRPr="007E3FC3">
              <w:rPr>
                <w:color w:val="auto"/>
                <w:sz w:val="16"/>
                <w:szCs w:val="16"/>
                <w:highlight w:val="yellow"/>
                <w:lang w:val="en-US"/>
              </w:rPr>
              <w:instrText xml:space="preserve"> ADDIN ZOTERO_ITEM CSL_CITATION {"citationID":"8mVrVFgP","properties":{"unsorted":false,"formattedCitation":"[106], [122]","plainCitation":"[106], [122]","noteIndex":0},"citationItems":[{"id":2063,"uris":["http://zotero.org/users/9870935/items/47PEXHYC"],"itemData":{"id":2063,"type":"article-journal","container-title":"Communications Earth &amp; Environment","DOI":"10.1038/s43247-024-01850-5","ISSN":"2662-4435","issue":"1","journalAbbreviation":"Commun Earth Environ","language":"en","page":"661","source":"DOI.org (Crossref)","title":"Renewable energy quality trilemma and coincident wind and solar droughts","volume":"5","author":[{"family":"Li","given":"Mingquan"},{"family":"Ma","given":"Qingyuan"},{"family":"Shan","given":"Rui"},{"family":"Abdulla","given":"Ahmed"},{"family":"Virguez","given":"Edgar"},{"family":"Gao","given":"Shuo"},{"family":"Patiño-Echeverri","given":"Dalia"}],"issued":{"date-parts":[["2024",11,6]]}}},{"id":2065,"uris":["http://zotero.org/users/9870935/items/QGKY5D4X"],"itemData":{"id":2065,"type":"article-journal","container-title":"Advances in Climate Change Research","DOI":"10.1016/j.accre.2025.04.015","ISSN":"16749278","issue":"4","journalAbbreviation":"Advances in Climate Change Research","language":"en","page":"730-746","source":"DOI.org (Crossref)","title":"The impact of climate change on wind and solar photovoltaic power potential and distribution in China","volume":"16","author":[{"family":"Zhu","given":"Xiang-Rong"},{"family":"Tian","given":"Jun-Hao"},{"family":"Wang","given":"Yu"}],"issued":{"date-parts":[["2025",8]]}}}],"schema":"https://github.com/citation-style-language/schema/raw/master/csl-citation.json"} </w:instrText>
            </w:r>
            <w:r w:rsidRPr="007E3FC3">
              <w:rPr>
                <w:color w:val="auto"/>
                <w:sz w:val="16"/>
                <w:szCs w:val="16"/>
                <w:highlight w:val="yellow"/>
              </w:rPr>
              <w:fldChar w:fldCharType="separate"/>
            </w:r>
            <w:r w:rsidR="007D29E8" w:rsidRPr="007E3FC3">
              <w:rPr>
                <w:sz w:val="16"/>
                <w:highlight w:val="yellow"/>
                <w:lang w:val="en-US"/>
              </w:rPr>
              <w:t>[106], [122]</w:t>
            </w:r>
            <w:r w:rsidRPr="007E3FC3">
              <w:rPr>
                <w:color w:val="auto"/>
                <w:sz w:val="16"/>
                <w:szCs w:val="16"/>
                <w:highlight w:val="yellow"/>
              </w:rPr>
              <w:fldChar w:fldCharType="end"/>
            </w:r>
          </w:p>
        </w:tc>
        <w:tc>
          <w:tcPr>
            <w:tcW w:w="0" w:type="auto"/>
            <w:hideMark/>
          </w:tcPr>
          <w:p w14:paraId="1EA0A1A2" w14:textId="7CA2BC0C" w:rsidR="00FE013C" w:rsidRPr="007E3FC3" w:rsidRDefault="00FE013C" w:rsidP="007D29E8">
            <w:pPr>
              <w:pStyle w:val="TableBody"/>
              <w:jc w:val="both"/>
              <w:rPr>
                <w:color w:val="auto"/>
                <w:sz w:val="16"/>
                <w:szCs w:val="16"/>
                <w:highlight w:val="yellow"/>
                <w:lang w:val="en-US"/>
              </w:rPr>
            </w:pPr>
            <w:r w:rsidRPr="007E3FC3">
              <w:rPr>
                <w:color w:val="auto"/>
                <w:sz w:val="16"/>
                <w:szCs w:val="16"/>
                <w:highlight w:val="yellow"/>
                <w:lang w:val="en-US"/>
              </w:rPr>
              <w:t xml:space="preserve">Low round-trip efficiency; limited commercial deployment </w:t>
            </w:r>
            <w:r w:rsidRPr="007E3FC3">
              <w:rPr>
                <w:color w:val="auto"/>
                <w:sz w:val="16"/>
                <w:szCs w:val="16"/>
                <w:highlight w:val="yellow"/>
              </w:rPr>
              <w:fldChar w:fldCharType="begin"/>
            </w:r>
            <w:r w:rsidR="007D29E8" w:rsidRPr="007E3FC3">
              <w:rPr>
                <w:color w:val="auto"/>
                <w:sz w:val="16"/>
                <w:szCs w:val="16"/>
                <w:highlight w:val="yellow"/>
                <w:lang w:val="en-US"/>
              </w:rPr>
              <w:instrText xml:space="preserve"> ADDIN ZOTERO_ITEM CSL_CITATION {"citationID":"t4hhsG9p","properties":{"unsorted":false,"formattedCitation":"[81], [110]","plainCitation":"[81], [110]","noteIndex":0},"citationItems":[{"id":1985,"uris":["http://zotero.org/users/9870935/items/58URKSK2"],"itemData":{"id":1985,"type":"book","abstract":"This report on batteries addresses technology development, EU research and innovation activities, global and EU markets and market players and assesses the competitiveness of the EU battery sector and its positioning in the global battery market. Special attention is given to provide a broad overview of battery technologies. This report also contains an assessment of market developments, production, trade, patenting, and sustainability of Li-ion batteries. The report shows that the EU does not have a competitive advantage over its main competitors. To change the current situation and improve the competitiveness of battery production in the EU, the following key actions should be taken to address the key drivers of competitiveness: increase the currently limited internal supply of raw and processed materials, significantly reduce the cost of energy, labour, and investment, urgently develop skilled and experienced work force, simplify legislation reduce times to set up new production and secure demand for EU-produced batteries. The EU is also not leading anymore in battery research. Despite this, the EU makes an effort to build its battery sector and increase its ability to cover at least part of battery demand from internal sources. This applies mainly to the high-performance batteries for premium-class Electric Vehicles (EVs), while batteries for lower-classes EVs and stationary energy storage are falling short. This report is an output of the Clean Energy Technologies Observatory (CETO) and provides an evidence-based analysis of the overall battery landscape to support the EU policy making process. It is part of the series of reports on clean energy technologies needed for the delivery of the European Green Deal, and it is a continuation and extension of earlier editions of the CETO report on batteries.","collection-title":"EUR","DOI":"10.2760/2686206","ISBN":"978-92-68-38735-1","ISSN":"1831-9424","language":"eng","publisher":"Publications Office of the European Union","publisher-place":"LU","source":"DOI.org (CSL JSON)","title":"Clean Energy Technology Observatory","URL":"https://data.europa.eu/doi/10.2760/2686206","author":[{"literal":"European Commission. Joint Research Centre"},{"family":"Bielewski","given":"Marek"},{"family":"Pfrang","given":"Andreas"},{"family":"Quintero Pulido","given":"Diego Fernando"},{"family":"Peters","given":"Jens"},{"family":"Bobba","given":"Silvia"},{"family":"Leccisi","given":"Enrica"},{"family":"Mancini","given":"Lucia"},{"family":"Schade","given":"Burkhard"},{"family":"Georgakaki","given":"Aliki"},{"family":"Letout","given":"Simon"},{"family":"Mountraki","given":"Aikaterini"},{"family":"Ince","given":"Ela"}],"accessed":{"date-parts":[["2026",5,16]]},"issued":{"date-parts":[["2026"]]}}},{"id":2021,"uris":["http://zotero.org/users/9870935/items/AHEUC4DF"],"itemData":{"id":2021,"type":"article","abstract":"Artificial intelligence (AI) is driving unprecedented growth in data center (DC) scale and power demand. AI workloads impose highly dynamic, difficult-to-forecast power profiles on the utility grid, creating reliability and stability challenges that conventional DC architectures are not designed to address. This paper provides a critical review of energy storage systems (ESSs) as the key enabling technology for reliable grid integration of AI DCs. We organize the review around a four-layer hierarchical taxonomy, namely chip-level buffering, rack/server-level ESSs, facility-level uninterruptible power supply (UPS) systems, and grid-scale battery energy storage systems (BESSs), supplemented by non-battery technologies including fuel cells (FCs) and thermal energy storage (TES). Each layer is analyzed with respect to response timescale, power and energy ratings, operational role, integration challenges, and coordination requirements. Key findings include: (i) AI DC load profiles differ fundamentally from traditional loads in their sub-second variability, making conventional ESS dispatch strategies insufficient; (ii) hierarchical, coordinated ESS deployment across all layers is necessary for effective load smoothing and grid support; and (iii) significant gaps remain in simulation tools, degradation modeling, load forecasting, and optimal multi-layer sizing. This review identifies open research challenges and future directions at the intersection of AI computing infrastructure and power system integration.","DOI":"10.48550/arXiv.2603.00415","note":"arXiv:2603.00415 [eess.SY]","number":"arXiv:2603.00415","publisher":"arXiv","source":"arXiv.org","title":"Grid Integration of AI Data Centers: A Critical Review of Energy Storage Solutions","title-short":"Grid Integration of AI Data Centers","URL":"http://arxiv.org/abs/2603.00415","author":[{"family":"Mohammadi","given":"Sina"},{"family":"Wang","given":"Wayne"},{"family":"Wada","given":"Marcus Chen I."},{"family":"Haghighi","given":"Rouzbeh"},{"family":"Hassan","given":"Ali"},{"family":"Liu","given":"Hualong"},{"family":"Bhatnagar","given":"Archit"},{"family":"Chen","given":"Ang"},{"family":"Su","given":"Wencong"}],"accessed":{"date-parts":[["2026",5,16]]},"issued":{"date-parts":[["2026",5,5]]}}}],"schema":"https://github.com/citation-style-language/schema/raw/master/csl-citation.json"} </w:instrText>
            </w:r>
            <w:r w:rsidRPr="007E3FC3">
              <w:rPr>
                <w:color w:val="auto"/>
                <w:sz w:val="16"/>
                <w:szCs w:val="16"/>
                <w:highlight w:val="yellow"/>
              </w:rPr>
              <w:fldChar w:fldCharType="separate"/>
            </w:r>
            <w:r w:rsidR="007D29E8" w:rsidRPr="007E3FC3">
              <w:rPr>
                <w:sz w:val="16"/>
                <w:highlight w:val="yellow"/>
                <w:lang w:val="en-US"/>
              </w:rPr>
              <w:t>[81], [110]</w:t>
            </w:r>
            <w:r w:rsidRPr="007E3FC3">
              <w:rPr>
                <w:color w:val="auto"/>
                <w:sz w:val="16"/>
                <w:szCs w:val="16"/>
                <w:highlight w:val="yellow"/>
              </w:rPr>
              <w:fldChar w:fldCharType="end"/>
            </w:r>
          </w:p>
        </w:tc>
      </w:tr>
      <w:tr w:rsidR="00FE013C" w:rsidRPr="00AF3016" w14:paraId="2F482E53" w14:textId="77777777" w:rsidTr="00AF3016">
        <w:tc>
          <w:tcPr>
            <w:tcW w:w="0" w:type="auto"/>
            <w:hideMark/>
          </w:tcPr>
          <w:p w14:paraId="36B98206"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100+ h</w:t>
            </w:r>
          </w:p>
        </w:tc>
        <w:tc>
          <w:tcPr>
            <w:tcW w:w="0" w:type="auto"/>
            <w:hideMark/>
          </w:tcPr>
          <w:p w14:paraId="05BDFAD9" w14:textId="77777777" w:rsidR="00FE013C" w:rsidRPr="007E3FC3" w:rsidRDefault="00FE013C" w:rsidP="004C16FF">
            <w:pPr>
              <w:pStyle w:val="TableBody"/>
              <w:jc w:val="both"/>
              <w:rPr>
                <w:color w:val="auto"/>
                <w:sz w:val="16"/>
                <w:szCs w:val="16"/>
                <w:highlight w:val="yellow"/>
                <w:lang w:val="en-US"/>
              </w:rPr>
            </w:pPr>
            <w:r w:rsidRPr="007E3FC3">
              <w:rPr>
                <w:color w:val="auto"/>
                <w:sz w:val="16"/>
                <w:szCs w:val="16"/>
                <w:highlight w:val="yellow"/>
                <w:lang w:val="en-US"/>
              </w:rPr>
              <w:t>Green H₂ / Seasonal thermal storage</w:t>
            </w:r>
          </w:p>
        </w:tc>
        <w:tc>
          <w:tcPr>
            <w:tcW w:w="0" w:type="auto"/>
            <w:hideMark/>
          </w:tcPr>
          <w:p w14:paraId="140EB887" w14:textId="77777777" w:rsidR="00831EE0" w:rsidRPr="007E3FC3" w:rsidRDefault="00831EE0" w:rsidP="00831EE0">
            <w:pPr>
              <w:pStyle w:val="TableBody"/>
              <w:jc w:val="both"/>
              <w:rPr>
                <w:color w:val="auto"/>
                <w:sz w:val="16"/>
                <w:szCs w:val="16"/>
                <w:highlight w:val="yellow"/>
                <w:lang w:val="en-CA"/>
              </w:rPr>
            </w:pPr>
            <w:r w:rsidRPr="007E3FC3">
              <w:rPr>
                <w:color w:val="auto"/>
                <w:sz w:val="16"/>
                <w:szCs w:val="16"/>
                <w:highlight w:val="yellow"/>
                <w:lang w:val="en-CA"/>
              </w:rPr>
              <w:t>Technology-specific system cost basis</w:t>
            </w:r>
          </w:p>
          <w:p w14:paraId="644D0210" w14:textId="1CDAE1A2" w:rsidR="00FE013C" w:rsidRPr="007E3FC3" w:rsidRDefault="00FE013C" w:rsidP="007D29E8">
            <w:pPr>
              <w:pStyle w:val="TableBody"/>
              <w:jc w:val="both"/>
              <w:rPr>
                <w:color w:val="auto"/>
                <w:sz w:val="16"/>
                <w:szCs w:val="16"/>
                <w:highlight w:val="yellow"/>
                <w:lang w:val="en-US"/>
              </w:rPr>
            </w:pPr>
            <w:r w:rsidRPr="007E3FC3">
              <w:rPr>
                <w:color w:val="auto"/>
                <w:sz w:val="16"/>
                <w:szCs w:val="16"/>
                <w:highlight w:val="yellow"/>
              </w:rPr>
              <w:fldChar w:fldCharType="begin"/>
            </w:r>
            <w:r w:rsidR="007D29E8" w:rsidRPr="007E3FC3">
              <w:rPr>
                <w:color w:val="auto"/>
                <w:sz w:val="16"/>
                <w:szCs w:val="16"/>
                <w:highlight w:val="yellow"/>
                <w:lang w:val="en-US"/>
              </w:rPr>
              <w:instrText xml:space="preserve"> ADDIN ZOTERO_ITEM CSL_CITATION {"citationID":"fVrMURwJ","properties":{"unsorted":false,"formattedCitation":"[113], [114]","plainCitation":"[113], [114]","noteIndex":0},"citationItems":[{"id":1987,"uris":["http://zotero.org/users/9870935/items/2TYM8STM"],"itemData":{"id":1987,"type":"article-journal","abstract":"The Global Hydrogen Review is an annual publication by the International Energy Agency that tracks hydrogen production and demand worldwide, shedding light on the latest developments on policy, infrastructure, trade, investments and innovation.","language":"en","source":"Zotero","title":"Global Hydrogen Review 2025","URL":"https://iea.blob.core.windows.net/assets/12d92ecc-e960-40f3-aff5-b2de6690ab6b/GlobalHydrogenReview2025.pdf","author":[{"family":"Remme","given":"Uwe"}],"issued":{"date-parts":[["2025"]]}}},{"id":2076,"uris":["http://zotero.org/users/9870935/items/WSZ9BQJG"],"itemData":{"id":2076,"type":"article-journal","abstract":"Abstract\n            The Chinese government has set long-term carbon neutrality and variable renewable energy development goals for the power sector. The clean energy transition requires a co-evolution of innovation, investment, and deployment strategies for emerging energy storage technologies. Hydrogen could play a pivotal role as a long-duration energy storage in future low-carbon electricity systems, balancing inflexible or intermittent supply with demand. Cost projections are important for understanding this role, but data are scarce and uncertain. Here, we provide a techno-economic evaluation and uncertainty analysis of hydrogen as a long-duration energy storage, using a learning rate approach to estimate the long-term cost. We find that the levelized cost of hydrogen energy storage based on a modeled 25 MW system with proton exchange membranes technology is 3.981 yuan/kWh in 2025. Capital expenditure and equipment replacement costs are the top two contributors, accounting for 32.7% and 33.6%, respectively. Technological advancements and deployment scaling of electrolyzers and fuel cells are projected to drive the levelized cost of hydrogen energy storage down to 1.848 yuan/kWh by 2050 under an 18% learning rate trajectory. Although projections indicate that hydrogen energy storage remains less cost-competitive compared to mature technologies through 2050, like electrochemical storage and pumped hydro storage, its unique value proposition for long-duration storage and grid resilience sustains development potential in high variable renewable energy penetration scenarios.","container-title":"Clean Energy","DOI":"10.1093/ce/zkaf075","ISSN":"2515-4230, 2515-396X","issue":"2","language":"en","license":"https://creativecommons.org/licenses/by-nc/4.0/","page":"146-155","source":"DOI.org (Crossref)","title":"Estimating future costs of hydrogen as long-duration energy storage based on a learning rate approach","volume":"10","author":[{"family":"Yang","given":"Fuyuan"},{"family":"Wang","given":"Zhidong"},{"family":"Tian","given":"Xueqin"}],"issued":{"date-parts":[["2026",3,25]]}}}],"schema":"https://github.com/citation-style-language/schema/raw/master/csl-citation.json"} </w:instrText>
            </w:r>
            <w:r w:rsidRPr="007E3FC3">
              <w:rPr>
                <w:color w:val="auto"/>
                <w:sz w:val="16"/>
                <w:szCs w:val="16"/>
                <w:highlight w:val="yellow"/>
              </w:rPr>
              <w:fldChar w:fldCharType="separate"/>
            </w:r>
            <w:r w:rsidR="007D29E8" w:rsidRPr="007E3FC3">
              <w:rPr>
                <w:sz w:val="16"/>
                <w:highlight w:val="yellow"/>
                <w:lang w:val="en-US"/>
              </w:rPr>
              <w:t>[113], [114]</w:t>
            </w:r>
            <w:r w:rsidRPr="007E3FC3">
              <w:rPr>
                <w:color w:val="auto"/>
                <w:sz w:val="16"/>
                <w:szCs w:val="16"/>
                <w:highlight w:val="yellow"/>
              </w:rPr>
              <w:fldChar w:fldCharType="end"/>
            </w:r>
          </w:p>
        </w:tc>
        <w:tc>
          <w:tcPr>
            <w:tcW w:w="0" w:type="auto"/>
            <w:hideMark/>
          </w:tcPr>
          <w:p w14:paraId="79551898" w14:textId="43C2BE73" w:rsidR="00FE013C" w:rsidRPr="007E3FC3" w:rsidRDefault="00FE013C" w:rsidP="007D29E8">
            <w:pPr>
              <w:pStyle w:val="TableBody"/>
              <w:jc w:val="both"/>
              <w:rPr>
                <w:color w:val="auto"/>
                <w:sz w:val="16"/>
                <w:szCs w:val="16"/>
                <w:highlight w:val="yellow"/>
                <w:lang w:val="en-US"/>
              </w:rPr>
            </w:pPr>
            <w:r w:rsidRPr="007E3FC3">
              <w:rPr>
                <w:color w:val="auto"/>
                <w:sz w:val="16"/>
                <w:szCs w:val="16"/>
                <w:highlight w:val="yellow"/>
                <w:lang w:val="en-US"/>
              </w:rPr>
              <w:t xml:space="preserve">30–41% (H₂), 60–80% (thermal) </w:t>
            </w:r>
            <w:r w:rsidRPr="007E3FC3">
              <w:rPr>
                <w:color w:val="auto"/>
                <w:sz w:val="16"/>
                <w:szCs w:val="16"/>
                <w:highlight w:val="yellow"/>
              </w:rPr>
              <w:fldChar w:fldCharType="begin"/>
            </w:r>
            <w:r w:rsidR="007D29E8" w:rsidRPr="007E3FC3">
              <w:rPr>
                <w:color w:val="auto"/>
                <w:sz w:val="16"/>
                <w:szCs w:val="16"/>
                <w:highlight w:val="yellow"/>
                <w:lang w:val="en-US"/>
              </w:rPr>
              <w:instrText xml:space="preserve"> ADDIN ZOTERO_ITEM CSL_CITATION {"citationID":"f34Vou48","properties":{"unsorted":false,"formattedCitation":"[113], [114]","plainCitation":"[113], [114]","noteIndex":0},"citationItems":[{"id":1987,"uris":["http://zotero.org/users/9870935/items/2TYM8STM"],"itemData":{"id":1987,"type":"article-journal","abstract":"The Global Hydrogen Review is an annual publication by the International Energy Agency that tracks hydrogen production and demand worldwide, shedding light on the latest developments on policy, infrastructure, trade, investments and innovation.","language":"en","source":"Zotero","title":"Global Hydrogen Review 2025","URL":"https://iea.blob.core.windows.net/assets/12d92ecc-e960-40f3-aff5-b2de6690ab6b/GlobalHydrogenReview2025.pdf","author":[{"family":"Remme","given":"Uwe"}],"issued":{"date-parts":[["2025"]]}}},{"id":2076,"uris":["http://zotero.org/users/9870935/items/WSZ9BQJG"],"itemData":{"id":2076,"type":"article-journal","abstract":"Abstract\n            The Chinese government has set long-term carbon neutrality and variable renewable energy development goals for the power sector. The clean energy transition requires a co-evolution of innovation, investment, and deployment strategies for emerging energy storage technologies. Hydrogen could play a pivotal role as a long-duration energy storage in future low-carbon electricity systems, balancing inflexible or intermittent supply with demand. Cost projections are important for understanding this role, but data are scarce and uncertain. Here, we provide a techno-economic evaluation and uncertainty analysis of hydrogen as a long-duration energy storage, using a learning rate approach to estimate the long-term cost. We find that the levelized cost of hydrogen energy storage based on a modeled 25 MW system with proton exchange membranes technology is 3.981 yuan/kWh in 2025. Capital expenditure and equipment replacement costs are the top two contributors, accounting for 32.7% and 33.6%, respectively. Technological advancements and deployment scaling of electrolyzers and fuel cells are projected to drive the levelized cost of hydrogen energy storage down to 1.848 yuan/kWh by 2050 under an 18% learning rate trajectory. Although projections indicate that hydrogen energy storage remains less cost-competitive compared to mature technologies through 2050, like electrochemical storage and pumped hydro storage, its unique value proposition for long-duration storage and grid resilience sustains development potential in high variable renewable energy penetration scenarios.","container-title":"Clean Energy","DOI":"10.1093/ce/zkaf075","ISSN":"2515-4230, 2515-396X","issue":"2","language":"en","license":"https://creativecommons.org/licenses/by-nc/4.0/","page":"146-155","source":"DOI.org (Crossref)","title":"Estimating future costs of hydrogen as long-duration energy storage based on a learning rate approach","volume":"10","author":[{"family":"Yang","given":"Fuyuan"},{"family":"Wang","given":"Zhidong"},{"family":"Tian","given":"Xueqin"}],"issued":{"date-parts":[["2026",3,25]]}}}],"schema":"https://github.com/citation-style-language/schema/raw/master/csl-citation.json"} </w:instrText>
            </w:r>
            <w:r w:rsidRPr="007E3FC3">
              <w:rPr>
                <w:color w:val="auto"/>
                <w:sz w:val="16"/>
                <w:szCs w:val="16"/>
                <w:highlight w:val="yellow"/>
              </w:rPr>
              <w:fldChar w:fldCharType="separate"/>
            </w:r>
            <w:r w:rsidR="007D29E8" w:rsidRPr="007E3FC3">
              <w:rPr>
                <w:sz w:val="16"/>
                <w:highlight w:val="yellow"/>
                <w:lang w:val="en-US"/>
              </w:rPr>
              <w:t>[113], [114]</w:t>
            </w:r>
            <w:r w:rsidRPr="007E3FC3">
              <w:rPr>
                <w:color w:val="auto"/>
                <w:sz w:val="16"/>
                <w:szCs w:val="16"/>
                <w:highlight w:val="yellow"/>
              </w:rPr>
              <w:fldChar w:fldCharType="end"/>
            </w:r>
          </w:p>
        </w:tc>
        <w:tc>
          <w:tcPr>
            <w:tcW w:w="0" w:type="auto"/>
            <w:hideMark/>
          </w:tcPr>
          <w:p w14:paraId="509D77ED" w14:textId="0952EC75" w:rsidR="00FE013C" w:rsidRPr="007E3FC3" w:rsidRDefault="00FE013C" w:rsidP="001B74A6">
            <w:pPr>
              <w:pStyle w:val="TableBody"/>
              <w:jc w:val="both"/>
              <w:rPr>
                <w:color w:val="auto"/>
                <w:sz w:val="16"/>
                <w:szCs w:val="16"/>
                <w:highlight w:val="yellow"/>
                <w:lang w:val="en-US"/>
              </w:rPr>
            </w:pPr>
            <w:r w:rsidRPr="007E3FC3">
              <w:rPr>
                <w:color w:val="auto"/>
                <w:sz w:val="16"/>
                <w:szCs w:val="16"/>
                <w:highlight w:val="yellow"/>
                <w:lang w:val="en-US"/>
              </w:rPr>
              <w:t xml:space="preserve">Optimization with inter-seasonal constraints </w:t>
            </w:r>
            <w:r w:rsidRPr="007E3FC3">
              <w:rPr>
                <w:color w:val="auto"/>
                <w:sz w:val="16"/>
                <w:szCs w:val="16"/>
                <w:highlight w:val="yellow"/>
              </w:rPr>
              <w:fldChar w:fldCharType="begin"/>
            </w:r>
            <w:r w:rsidR="001B74A6" w:rsidRPr="007E3FC3">
              <w:rPr>
                <w:color w:val="auto"/>
                <w:sz w:val="16"/>
                <w:szCs w:val="16"/>
                <w:highlight w:val="yellow"/>
                <w:lang w:val="en-US"/>
              </w:rPr>
              <w:instrText xml:space="preserve"> ADDIN ZOTERO_ITEM CSL_CITATION {"citationID":"NFfiyigM","properties":{"unsorted":false,"formattedCitation":"[73], [123]","plainCitation":"[73], [123]","noteIndex":0},"citationItems":[{"id":1988,"uris":["http://zotero.org/users/9870935/items/9LH8YF5V"],"itemData":{"id":1988,"type":"article-journal","container-title":"Future Batteries","DOI":"10.1016/j.fub.2025.100106","ISSN":"29502640","journalAbbreviation":"Future Batteries","language":"en","page":"100106","source":"DOI.org (Crossref)","title":"A review of battery energy storage system for renewable energy penetration in electrical power system: Environmental impact, sizing methods, market features, and policy frameworks","title-short":"A review of battery energy storage system for renewable energy penetration in electrical power system","volume":"7","author":[{"family":"Jaradat","given":"Tha'er"},{"family":"Khatib","given":"Tamer"}],"issued":{"date-parts":[["2025",9]]}}},{"id":2110,"uris":["http://zotero.org/users/9870935/items/WXV5HE5P"],"itemData":{"id":2110,"type":"book","abstract":"This addition to the ISOR series addresses the analytics of the operations of electric energy systems with increasing penetration of stochastic renewable production facilities, such as wind- and solar-based generation units. As stochastic renewable production units become ubiquitous throughout electric energy systems, an increasing level of flexible backup provided by non-stochastic units and other system agents is needed if supply security and quality are to be maintained. Within the context above, this book provides up-to-date analytical tools to address challenging operational problems such as: - The modeling and forecasting of stochastic renewable power production. - The characterization of the impact of renewable production on market outcomes. - The clearing of electricity markets with high penetration of stochastic renewable units. - The development of mechanisms to counteract the variability and unpredictability of stochastic renewable units so that supply security is not at risk. - The trading of the electric energy produced by stochastic renewable producers. - The association of a number of electricity production facilities, stochastic and others, to increase their competitive edge in the electricity market. - The development of procedures to enable demand response and to facilitate the integration of stochastic renewable units. This book is written in a modular and tutorial manner and includes many illustrative examples to facilitate its comprehension. It is intended for advanced undergraduate and graduate students in the fields of electric energy systems, applied mathematics and economics. Practitioners in the electric energy sector will benefit as well from the concepts and techniques explained in this book","call-number":"658.40301","collection-number":"205","collection-title":"International Series in Operations Research &amp; Management Science","DOI":"10.1007/978-1-4614-9411-9","edition":"1st ed. 2014","ISBN":"978-1-4614-9411-9","number-of-pages":"1","publisher":"Springer US : Imprint: Springer","publisher-place":"New York, NY","source":"Library of Congress ISBN","title":"Integrating Renewables in Electricity Markets: Operational Problems","title-short":"Integrating Renewables in Electricity Markets","author":[{"family":"Morales","given":"Juan M."},{"family":"Conejo","given":"Antonio J."},{"family":"Madsen","given":"Henrik"},{"family":"Pinson","given":"Pierre"},{"family":"Zugno","given":"Marco"}],"issued":{"date-parts":[["2014"]]}}}],"schema":"https://github.com/citation-style-language/schema/raw/master/csl-citation.json"} </w:instrText>
            </w:r>
            <w:r w:rsidRPr="007E3FC3">
              <w:rPr>
                <w:color w:val="auto"/>
                <w:sz w:val="16"/>
                <w:szCs w:val="16"/>
                <w:highlight w:val="yellow"/>
              </w:rPr>
              <w:fldChar w:fldCharType="separate"/>
            </w:r>
            <w:r w:rsidR="001B74A6" w:rsidRPr="007E3FC3">
              <w:rPr>
                <w:sz w:val="16"/>
                <w:highlight w:val="yellow"/>
                <w:lang w:val="en-US"/>
              </w:rPr>
              <w:t>[73], [123]</w:t>
            </w:r>
            <w:r w:rsidRPr="007E3FC3">
              <w:rPr>
                <w:color w:val="auto"/>
                <w:sz w:val="16"/>
                <w:szCs w:val="16"/>
                <w:highlight w:val="yellow"/>
              </w:rPr>
              <w:fldChar w:fldCharType="end"/>
            </w:r>
          </w:p>
        </w:tc>
        <w:tc>
          <w:tcPr>
            <w:tcW w:w="0" w:type="auto"/>
            <w:hideMark/>
          </w:tcPr>
          <w:p w14:paraId="440EB0EA" w14:textId="49A7849D" w:rsidR="00FE013C" w:rsidRPr="007E3FC3" w:rsidRDefault="00FE013C" w:rsidP="001B74A6">
            <w:pPr>
              <w:pStyle w:val="TableBody"/>
              <w:jc w:val="both"/>
              <w:rPr>
                <w:color w:val="auto"/>
                <w:sz w:val="16"/>
                <w:szCs w:val="16"/>
                <w:highlight w:val="yellow"/>
                <w:lang w:val="en-US"/>
              </w:rPr>
            </w:pPr>
            <w:r w:rsidRPr="007E3FC3">
              <w:rPr>
                <w:color w:val="auto"/>
                <w:sz w:val="16"/>
                <w:szCs w:val="16"/>
                <w:highlight w:val="yellow"/>
                <w:lang w:val="en-US"/>
              </w:rPr>
              <w:t xml:space="preserve">Seasonal shifting; long-duration backup for extreme events; grid independence support </w:t>
            </w:r>
            <w:r w:rsidRPr="007E3FC3">
              <w:rPr>
                <w:color w:val="auto"/>
                <w:sz w:val="16"/>
                <w:szCs w:val="16"/>
                <w:highlight w:val="yellow"/>
              </w:rPr>
              <w:fldChar w:fldCharType="begin"/>
            </w:r>
            <w:r w:rsidR="001B74A6" w:rsidRPr="007E3FC3">
              <w:rPr>
                <w:color w:val="auto"/>
                <w:sz w:val="16"/>
                <w:szCs w:val="16"/>
                <w:highlight w:val="yellow"/>
                <w:lang w:val="en-US"/>
              </w:rPr>
              <w:instrText xml:space="preserve"> ADDIN ZOTERO_ITEM CSL_CITATION {"citationID":"pVfEVGCr","properties":{"unsorted":false,"formattedCitation":"[124], [125]","plainCitation":"[124], [125]","noteIndex":0},"citationItems":[{"id":2141,"uris":["http://zotero.org/users/9870935/items/G3GVLHVX"],"itemData":{"id":2141,"type":"article-journal","container-title":"Renewable and Sustainable Energy Reviews","DOI":"10.1016/j.rser.2026.116861","ISSN":"13640321","journalAbbreviation":"Renewable and Sustainable Energy Reviews","language":"en","page":"116861","source":"DOI.org (Crossref)","title":"Reviewing the socio-technical dynamics of AI, data centers and digitalization on energy and the environment","volume":"234","author":[{"family":"Kim","given":"Jinsoo"},{"family":"Kim","given":"Jihyo"},{"family":"Sovacool","given":"Benjamin K."},{"family":"Griffiths","given":"Steve"},{"family":"Bazilian","given":"Morgan"},{"family":"Creutzig","given":"Felix"},{"family":"Furszyfer Del Rio","given":"Dylan D."},{"family":"Agrawala","given":"Matthew"},{"family":"Choi","given":"Minki"},{"family":"Debnath","given":"Ramit"}],"issued":{"date-parts":[["2026",7]]}}},{"id":2082,"uris":["http://zotero.org/users/9870935/items/PZTN4HPZ"],"itemData":{"id":2082,"type":"post-weblog","title":"Powering Data Centers with Clean Energy","URL":"https://gain.inl.gov/content/uploads/4/2024/11/INL-RPT-24-79307-Powering-Data-Cneters-with-Clean-Energy.pdf","author":[{"family":"Idaho National Lab","given":""}]}}],"schema":"https://github.com/citation-style-language/schema/raw/master/csl-citation.json"} </w:instrText>
            </w:r>
            <w:r w:rsidRPr="007E3FC3">
              <w:rPr>
                <w:color w:val="auto"/>
                <w:sz w:val="16"/>
                <w:szCs w:val="16"/>
                <w:highlight w:val="yellow"/>
              </w:rPr>
              <w:fldChar w:fldCharType="separate"/>
            </w:r>
            <w:r w:rsidR="001B74A6" w:rsidRPr="007E3FC3">
              <w:rPr>
                <w:sz w:val="16"/>
                <w:highlight w:val="yellow"/>
                <w:lang w:val="en-US"/>
              </w:rPr>
              <w:t>[124], [125]</w:t>
            </w:r>
            <w:r w:rsidRPr="007E3FC3">
              <w:rPr>
                <w:color w:val="auto"/>
                <w:sz w:val="16"/>
                <w:szCs w:val="16"/>
                <w:highlight w:val="yellow"/>
              </w:rPr>
              <w:fldChar w:fldCharType="end"/>
            </w:r>
          </w:p>
        </w:tc>
        <w:tc>
          <w:tcPr>
            <w:tcW w:w="0" w:type="auto"/>
            <w:hideMark/>
          </w:tcPr>
          <w:p w14:paraId="02A5D77B" w14:textId="465BC675" w:rsidR="00FE013C" w:rsidRPr="00D31E21" w:rsidRDefault="00FE013C" w:rsidP="007D29E8">
            <w:pPr>
              <w:pStyle w:val="TableBody"/>
              <w:jc w:val="both"/>
              <w:rPr>
                <w:color w:val="auto"/>
                <w:sz w:val="16"/>
                <w:szCs w:val="16"/>
                <w:lang w:val="en-US"/>
              </w:rPr>
            </w:pPr>
            <w:r w:rsidRPr="007E3FC3">
              <w:rPr>
                <w:color w:val="auto"/>
                <w:sz w:val="16"/>
                <w:szCs w:val="16"/>
                <w:highlight w:val="yellow"/>
                <w:lang w:val="en-US"/>
              </w:rPr>
              <w:t xml:space="preserve">High losses; weak economic maturity; infrastructure dependency </w:t>
            </w:r>
            <w:r w:rsidRPr="007E3FC3">
              <w:rPr>
                <w:color w:val="auto"/>
                <w:sz w:val="16"/>
                <w:szCs w:val="16"/>
                <w:highlight w:val="yellow"/>
              </w:rPr>
              <w:fldChar w:fldCharType="begin"/>
            </w:r>
            <w:r w:rsidR="007D29E8" w:rsidRPr="007E3FC3">
              <w:rPr>
                <w:color w:val="auto"/>
                <w:sz w:val="16"/>
                <w:szCs w:val="16"/>
                <w:highlight w:val="yellow"/>
                <w:lang w:val="en-US"/>
              </w:rPr>
              <w:instrText xml:space="preserve"> ADDIN ZOTERO_ITEM CSL_CITATION {"citationID":"QpAKC3k6","properties":{"unsorted":false,"formattedCitation":"[113], [124]","plainCitation":"[113], [124]","noteIndex":0},"citationItems":[{"id":1987,"uris":["http://zotero.org/users/9870935/items/2TYM8STM"],"itemData":{"id":1987,"type":"article-journal","abstract":"The Global Hydrogen Review is an annual publication by the International Energy Agency that tracks hydrogen production and demand worldwide, shedding light on the latest developments on policy, infrastructure, trade, investments and innovation.","language":"en","source":"Zotero","title":"Global Hydrogen Review 2025","URL":"https://iea.blob.core.windows.net/assets/12d92ecc-e960-40f3-aff5-b2de6690ab6b/GlobalHydrogenReview2025.pdf","author":[{"family":"Remme","given":"Uwe"}],"issued":{"date-parts":[["2025"]]}}},{"id":2141,"uris":["http://zotero.org/users/9870935/items/G3GVLHVX"],"itemData":{"id":2141,"type":"article-journal","container-title":"Renewable and Sustainable Energy Reviews","DOI":"10.1016/j.rser.2026.116861","ISSN":"13640321","journalAbbreviation":"Renewable and Sustainable Energy Reviews","language":"en","page":"116861","source":"DOI.org (Crossref)","title":"Reviewing the socio-technical dynamics of AI, data centers and digitalization on energy and the environment","volume":"234","author":[{"family":"Kim","given":"Jinsoo"},{"family":"Kim","given":"Jihyo"},{"family":"Sovacool","given":"Benjamin K."},{"family":"Griffiths","given":"Steve"},{"family":"Bazilian","given":"Morgan"},{"family":"Creutzig","given":"Felix"},{"family":"Furszyfer Del Rio","given":"Dylan D."},{"family":"Agrawala","given":"Matthew"},{"family":"Choi","given":"Minki"},{"family":"Debnath","given":"Ramit"}],"issued":{"date-parts":[["2026",7]]}}}],"schema":"https://github.com/citation-style-language/schema/raw/master/csl-citation.json"} </w:instrText>
            </w:r>
            <w:r w:rsidRPr="007E3FC3">
              <w:rPr>
                <w:color w:val="auto"/>
                <w:sz w:val="16"/>
                <w:szCs w:val="16"/>
                <w:highlight w:val="yellow"/>
              </w:rPr>
              <w:fldChar w:fldCharType="separate"/>
            </w:r>
            <w:r w:rsidR="007D29E8" w:rsidRPr="007E3FC3">
              <w:rPr>
                <w:sz w:val="16"/>
                <w:highlight w:val="yellow"/>
                <w:lang w:val="en-US"/>
              </w:rPr>
              <w:t>[113], [124]</w:t>
            </w:r>
            <w:r w:rsidRPr="007E3FC3">
              <w:rPr>
                <w:color w:val="auto"/>
                <w:sz w:val="16"/>
                <w:szCs w:val="16"/>
                <w:highlight w:val="yellow"/>
              </w:rPr>
              <w:fldChar w:fldCharType="end"/>
            </w:r>
          </w:p>
        </w:tc>
      </w:tr>
    </w:tbl>
    <w:p w14:paraId="2BAC50E7" w14:textId="51C20BF6" w:rsidR="000665E7" w:rsidRDefault="000665E7" w:rsidP="000665E7">
      <w:pPr>
        <w:spacing w:after="120"/>
        <w:ind w:firstLine="480"/>
        <w:rPr>
          <w:lang w:val="en-CA"/>
        </w:rPr>
      </w:pPr>
      <w:r w:rsidRPr="009A7CA8">
        <w:rPr>
          <w:highlight w:val="yellow"/>
          <w:lang w:val="en-CA"/>
        </w:rPr>
        <w:t>Lithium-ion values in Table 3 refer to battery-pack prices where indicated. Installed battery-system costs are higher because they include power-conversion equipment, thermal management, controls, engineering, procurement, construction, and grid-interconnection costs.</w:t>
      </w:r>
      <w:r w:rsidR="00B204E7">
        <w:rPr>
          <w:lang w:val="en-CA"/>
        </w:rPr>
        <w:t xml:space="preserve"> </w:t>
      </w:r>
    </w:p>
    <w:p w14:paraId="069C975C" w14:textId="22E6E423" w:rsidR="00B204E7" w:rsidRPr="000665E7" w:rsidRDefault="00B204E7" w:rsidP="00B204E7">
      <w:pPr>
        <w:spacing w:after="120"/>
        <w:ind w:firstLine="480"/>
        <w:rPr>
          <w:lang w:val="en-CA"/>
        </w:rPr>
      </w:pPr>
      <w:r w:rsidRPr="00B204E7">
        <w:rPr>
          <w:highlight w:val="yellow"/>
          <w:lang w:val="en-CA"/>
        </w:rPr>
        <w:t>The following equations provide a generic mathematical structure for optimization-based storage and generation sizing. They are included as a conceptual formulation synthesized from the literature and were not used in this review to generate site-specific numerical results. Application of the formulation requires project-specific time-series data, technology parameters, reliability assumptions, and validation.</w:t>
      </w:r>
    </w:p>
    <w:p w14:paraId="6ED507B7" w14:textId="2E0FB555" w:rsidR="00FE013C" w:rsidRDefault="00FE013C" w:rsidP="004C16FF">
      <w:pPr>
        <w:spacing w:after="120"/>
        <w:ind w:firstLine="480"/>
      </w:pPr>
      <w:r w:rsidRPr="00A91FD2">
        <w:t xml:space="preserve">The </w:t>
      </w:r>
      <w:r w:rsidR="00580BAE" w:rsidRPr="00A91FD2">
        <w:t>optimization</w:t>
      </w:r>
      <w:r w:rsidRPr="00A91FD2">
        <w:t xml:space="preserve"> approach formulates storage (and renewable) sizing as a mixed-integer linear program (MILP) to </w:t>
      </w:r>
      <w:r w:rsidR="00580BAE" w:rsidRPr="00A91FD2">
        <w:t>minimize</w:t>
      </w:r>
      <w:r w:rsidRPr="00A91FD2">
        <w:t xml:space="preserve"> lifecycle cost while satisfying reliability and regulatory constraints: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505"/>
      </w:tblGrid>
      <w:tr w:rsidR="00FE013C" w:rsidRPr="009C0925" w14:paraId="2396E331" w14:textId="77777777" w:rsidTr="00F5352A">
        <w:tc>
          <w:tcPr>
            <w:tcW w:w="421" w:type="dxa"/>
          </w:tcPr>
          <w:p w14:paraId="7D95E5B2" w14:textId="77777777" w:rsidR="00FE013C" w:rsidRDefault="00FE013C" w:rsidP="004C16FF">
            <w:pPr>
              <w:rPr>
                <w:color w:val="auto"/>
                <w:szCs w:val="24"/>
                <w:lang w:val="en-CA" w:eastAsia="en-CA"/>
              </w:rPr>
            </w:pPr>
          </w:p>
        </w:tc>
        <w:tc>
          <w:tcPr>
            <w:tcW w:w="7908" w:type="dxa"/>
          </w:tcPr>
          <w:p w14:paraId="7A99E55B" w14:textId="11DE475B" w:rsidR="00FE013C" w:rsidRPr="009C0925" w:rsidRDefault="00837E50" w:rsidP="004C16FF">
            <w:pPr>
              <w:rPr>
                <w:rFonts w:asciiTheme="majorBidi" w:hAnsiTheme="majorBidi" w:cstheme="majorBidi"/>
                <w:color w:val="auto"/>
                <w:sz w:val="22"/>
                <w:szCs w:val="22"/>
                <w:highlight w:val="yellow"/>
                <w:lang w:val="en-CA" w:eastAsia="en-CA"/>
              </w:rPr>
            </w:pPr>
            <m:oMathPara>
              <m:oMath>
                <m:func>
                  <m:funcPr>
                    <m:ctrlPr>
                      <w:rPr>
                        <w:rFonts w:ascii="Cambria Math" w:hAnsi="Cambria Math"/>
                        <w:color w:val="auto"/>
                        <w:sz w:val="22"/>
                        <w:szCs w:val="22"/>
                        <w:highlight w:val="yellow"/>
                      </w:rPr>
                    </m:ctrlPr>
                  </m:funcPr>
                  <m:fName>
                    <m:r>
                      <m:rPr>
                        <m:sty m:val="p"/>
                      </m:rPr>
                      <w:rPr>
                        <w:rFonts w:ascii="Cambria Math" w:hAnsi="Cambria Math"/>
                        <w:color w:val="auto"/>
                        <w:sz w:val="22"/>
                        <w:szCs w:val="22"/>
                        <w:highlight w:val="yellow"/>
                      </w:rPr>
                      <m:t>min</m:t>
                    </m:r>
                  </m:fName>
                  <m:e>
                    <m:sSub>
                      <m:sSubPr>
                        <m:ctrlPr>
                          <w:rPr>
                            <w:rFonts w:ascii="Cambria Math" w:hAnsi="Cambria Math"/>
                            <w:color w:val="auto"/>
                            <w:sz w:val="22"/>
                            <w:szCs w:val="22"/>
                            <w:highlight w:val="yellow"/>
                          </w:rPr>
                        </m:ctrlPr>
                      </m:sSubPr>
                      <m:e>
                        <m:r>
                          <w:rPr>
                            <w:rFonts w:ascii="Cambria Math" w:hAnsi="Cambria Math"/>
                            <w:color w:val="auto"/>
                            <w:sz w:val="22"/>
                            <w:szCs w:val="22"/>
                            <w:highlight w:val="yellow"/>
                          </w:rPr>
                          <m:t>C</m:t>
                        </m:r>
                      </m:e>
                      <m:sub>
                        <m:r>
                          <m:rPr>
                            <m:nor/>
                          </m:rPr>
                          <w:rPr>
                            <w:rFonts w:ascii="Cambria Math" w:hAnsi="Cambria Math"/>
                            <w:color w:val="auto"/>
                            <w:sz w:val="22"/>
                            <w:szCs w:val="22"/>
                            <w:highlight w:val="yellow"/>
                          </w:rPr>
                          <m:t>total</m:t>
                        </m:r>
                      </m:sub>
                    </m:sSub>
                  </m:e>
                </m:func>
                <m:r>
                  <w:rPr>
                    <w:rFonts w:ascii="Cambria Math" w:hAnsi="Cambria Math"/>
                    <w:color w:val="auto"/>
                    <w:sz w:val="22"/>
                    <w:szCs w:val="22"/>
                    <w:highlight w:val="yellow"/>
                  </w:rPr>
                  <m:t>=</m:t>
                </m:r>
                <m:sSub>
                  <m:sSubPr>
                    <m:ctrlPr>
                      <w:rPr>
                        <w:rFonts w:ascii="Cambria Math" w:hAnsi="Cambria Math"/>
                        <w:color w:val="auto"/>
                        <w:sz w:val="22"/>
                        <w:szCs w:val="22"/>
                        <w:highlight w:val="yellow"/>
                      </w:rPr>
                    </m:ctrlPr>
                  </m:sSubPr>
                  <m:e>
                    <m:r>
                      <w:rPr>
                        <w:rFonts w:ascii="Cambria Math" w:hAnsi="Cambria Math"/>
                        <w:color w:val="auto"/>
                        <w:sz w:val="22"/>
                        <w:szCs w:val="22"/>
                        <w:highlight w:val="yellow"/>
                      </w:rPr>
                      <m:t>C</m:t>
                    </m:r>
                  </m:e>
                  <m:sub>
                    <m:r>
                      <m:rPr>
                        <m:nor/>
                      </m:rPr>
                      <w:rPr>
                        <w:rFonts w:ascii="Cambria Math" w:hAnsi="Cambria Math"/>
                        <w:color w:val="auto"/>
                        <w:sz w:val="22"/>
                        <w:szCs w:val="22"/>
                        <w:highlight w:val="yellow"/>
                      </w:rPr>
                      <m:t>cap</m:t>
                    </m:r>
                  </m:sub>
                </m:sSub>
                <m:r>
                  <w:rPr>
                    <w:rFonts w:ascii="Cambria Math" w:hAnsi="Cambria Math"/>
                    <w:color w:val="auto"/>
                    <w:sz w:val="22"/>
                    <w:szCs w:val="22"/>
                    <w:highlight w:val="yellow"/>
                  </w:rPr>
                  <m:t>+</m:t>
                </m:r>
                <m:nary>
                  <m:naryPr>
                    <m:chr m:val="∑"/>
                    <m:limLoc m:val="undOvr"/>
                    <m:ctrlPr>
                      <w:rPr>
                        <w:rFonts w:ascii="Cambria Math" w:hAnsi="Cambria Math"/>
                        <w:color w:val="auto"/>
                        <w:sz w:val="22"/>
                        <w:szCs w:val="22"/>
                        <w:highlight w:val="yellow"/>
                      </w:rPr>
                    </m:ctrlPr>
                  </m:naryPr>
                  <m:sub>
                    <m:r>
                      <w:rPr>
                        <w:rFonts w:ascii="Cambria Math" w:hAnsi="Cambria Math"/>
                        <w:color w:val="auto"/>
                        <w:sz w:val="22"/>
                        <w:szCs w:val="22"/>
                        <w:highlight w:val="yellow"/>
                      </w:rPr>
                      <m:t>t=1</m:t>
                    </m:r>
                  </m:sub>
                  <m:sup>
                    <m:r>
                      <w:rPr>
                        <w:rFonts w:ascii="Cambria Math" w:hAnsi="Cambria Math"/>
                        <w:color w:val="auto"/>
                        <w:sz w:val="22"/>
                        <w:szCs w:val="22"/>
                        <w:highlight w:val="yellow"/>
                      </w:rPr>
                      <m:t>T</m:t>
                    </m:r>
                  </m:sup>
                  <m:e>
                    <m:d>
                      <m:dPr>
                        <m:ctrlPr>
                          <w:rPr>
                            <w:rFonts w:ascii="Cambria Math" w:hAnsi="Cambria Math"/>
                            <w:color w:val="auto"/>
                            <w:sz w:val="22"/>
                            <w:szCs w:val="22"/>
                            <w:highlight w:val="yellow"/>
                          </w:rPr>
                        </m:ctrlPr>
                      </m:dPr>
                      <m:e>
                        <m:sSub>
                          <m:sSubPr>
                            <m:ctrlPr>
                              <w:rPr>
                                <w:rFonts w:ascii="Cambria Math" w:hAnsi="Cambria Math"/>
                                <w:color w:val="auto"/>
                                <w:sz w:val="22"/>
                                <w:szCs w:val="22"/>
                                <w:highlight w:val="yellow"/>
                              </w:rPr>
                            </m:ctrlPr>
                          </m:sSubPr>
                          <m:e>
                            <m:r>
                              <w:rPr>
                                <w:rFonts w:ascii="Cambria Math" w:hAnsi="Cambria Math"/>
                                <w:color w:val="auto"/>
                                <w:sz w:val="22"/>
                                <w:szCs w:val="22"/>
                                <w:highlight w:val="yellow"/>
                              </w:rPr>
                              <m:t>C</m:t>
                            </m:r>
                          </m:e>
                          <m:sub>
                            <m:r>
                              <m:rPr>
                                <m:nor/>
                              </m:rPr>
                              <w:rPr>
                                <w:rFonts w:ascii="Cambria Math" w:hAnsi="Cambria Math"/>
                                <w:color w:val="auto"/>
                                <w:sz w:val="22"/>
                                <w:szCs w:val="22"/>
                                <w:highlight w:val="yellow"/>
                              </w:rPr>
                              <m:t>op</m:t>
                            </m:r>
                            <m:r>
                              <w:rPr>
                                <w:rFonts w:ascii="Cambria Math" w:hAnsi="Cambria Math"/>
                                <w:color w:val="auto"/>
                                <w:sz w:val="22"/>
                                <w:szCs w:val="22"/>
                                <w:highlight w:val="yellow"/>
                              </w:rPr>
                              <m:t>,t</m:t>
                            </m:r>
                          </m:sub>
                        </m:sSub>
                        <m:r>
                          <w:rPr>
                            <w:rFonts w:ascii="Cambria Math" w:hAnsi="Cambria Math"/>
                            <w:color w:val="auto"/>
                            <w:sz w:val="22"/>
                            <w:szCs w:val="22"/>
                            <w:highlight w:val="yellow"/>
                          </w:rPr>
                          <m:t>+</m:t>
                        </m:r>
                        <m:sSub>
                          <m:sSubPr>
                            <m:ctrlPr>
                              <w:rPr>
                                <w:rFonts w:ascii="Cambria Math" w:hAnsi="Cambria Math"/>
                                <w:color w:val="auto"/>
                                <w:sz w:val="22"/>
                                <w:szCs w:val="22"/>
                                <w:highlight w:val="yellow"/>
                              </w:rPr>
                            </m:ctrlPr>
                          </m:sSubPr>
                          <m:e>
                            <m:r>
                              <w:rPr>
                                <w:rFonts w:ascii="Cambria Math" w:hAnsi="Cambria Math"/>
                                <w:color w:val="auto"/>
                                <w:sz w:val="22"/>
                                <w:szCs w:val="22"/>
                                <w:highlight w:val="yellow"/>
                              </w:rPr>
                              <m:t>C</m:t>
                            </m:r>
                          </m:e>
                          <m:sub>
                            <m:r>
                              <m:rPr>
                                <m:nor/>
                              </m:rPr>
                              <w:rPr>
                                <w:rFonts w:ascii="Cambria Math" w:hAnsi="Cambria Math"/>
                                <w:color w:val="auto"/>
                                <w:sz w:val="22"/>
                                <w:szCs w:val="22"/>
                                <w:highlight w:val="yellow"/>
                              </w:rPr>
                              <m:t>deg</m:t>
                            </m:r>
                            <m:r>
                              <w:rPr>
                                <w:rFonts w:ascii="Cambria Math" w:hAnsi="Cambria Math"/>
                                <w:color w:val="auto"/>
                                <w:sz w:val="22"/>
                                <w:szCs w:val="22"/>
                                <w:highlight w:val="yellow"/>
                              </w:rPr>
                              <m:t>,t</m:t>
                            </m:r>
                          </m:sub>
                        </m:sSub>
                      </m:e>
                    </m:d>
                  </m:e>
                </m:nary>
              </m:oMath>
            </m:oMathPara>
          </w:p>
        </w:tc>
        <w:tc>
          <w:tcPr>
            <w:tcW w:w="505" w:type="dxa"/>
            <w:vAlign w:val="center"/>
          </w:tcPr>
          <w:p w14:paraId="7D00D276" w14:textId="77777777" w:rsidR="00FE013C" w:rsidRPr="009C0925" w:rsidRDefault="00FE013C" w:rsidP="004C16FF">
            <w:pPr>
              <w:rPr>
                <w:color w:val="auto"/>
                <w:szCs w:val="24"/>
                <w:highlight w:val="yellow"/>
                <w:lang w:val="en-CA" w:eastAsia="en-CA"/>
              </w:rPr>
            </w:pPr>
            <w:r w:rsidRPr="009C0925">
              <w:rPr>
                <w:color w:val="auto"/>
                <w:szCs w:val="24"/>
                <w:highlight w:val="yellow"/>
                <w:lang w:val="en-CA" w:eastAsia="en-CA"/>
              </w:rPr>
              <w:t>(4)</w:t>
            </w:r>
          </w:p>
        </w:tc>
      </w:tr>
    </w:tbl>
    <w:p w14:paraId="19C9CE8A" w14:textId="316C591A" w:rsidR="008254C7" w:rsidRPr="009C0925" w:rsidRDefault="008254C7" w:rsidP="008254C7">
      <w:pPr>
        <w:spacing w:before="100" w:beforeAutospacing="1" w:after="100" w:afterAutospacing="1"/>
        <w:rPr>
          <w:color w:val="auto"/>
          <w:szCs w:val="24"/>
          <w:highlight w:val="yellow"/>
          <w:lang w:val="en-CA" w:eastAsia="en-CA"/>
        </w:rPr>
      </w:pPr>
      <w:r w:rsidRPr="009C0925">
        <w:rPr>
          <w:color w:val="auto"/>
          <w:szCs w:val="24"/>
          <w:highlight w:val="yellow"/>
          <w:lang w:val="en-CA" w:eastAsia="en-CA"/>
        </w:rPr>
        <w:t xml:space="preserve">where </w:t>
      </w:r>
      <m:oMath>
        <m:sSub>
          <m:sSubPr>
            <m:ctrlPr>
              <w:rPr>
                <w:rFonts w:ascii="Cambria Math" w:hAnsi="Cambria Math"/>
                <w:color w:val="auto"/>
                <w:szCs w:val="24"/>
                <w:highlight w:val="yellow"/>
                <w:lang w:val="en-CA" w:eastAsia="en-CA"/>
              </w:rPr>
            </m:ctrlPr>
          </m:sSubPr>
          <m:e>
            <m:r>
              <w:rPr>
                <w:rFonts w:ascii="Cambria Math" w:hAnsi="Cambria Math"/>
                <w:color w:val="auto"/>
                <w:szCs w:val="24"/>
                <w:highlight w:val="yellow"/>
                <w:lang w:val="en-CA" w:eastAsia="en-CA"/>
              </w:rPr>
              <m:t>C</m:t>
            </m:r>
          </m:e>
          <m:sub>
            <m:r>
              <m:rPr>
                <m:sty m:val="p"/>
              </m:rPr>
              <w:rPr>
                <w:rFonts w:ascii="Cambria Math" w:hAnsi="Cambria Math"/>
                <w:color w:val="auto"/>
                <w:szCs w:val="24"/>
                <w:highlight w:val="yellow"/>
                <w:lang w:val="en-CA" w:eastAsia="en-CA"/>
              </w:rPr>
              <m:t>total</m:t>
            </m:r>
          </m:sub>
        </m:sSub>
      </m:oMath>
      <w:r w:rsidRPr="009C0925">
        <w:rPr>
          <w:color w:val="auto"/>
          <w:szCs w:val="24"/>
          <w:highlight w:val="yellow"/>
          <w:lang w:val="en-CA" w:eastAsia="en-CA"/>
        </w:rPr>
        <w:t>is the total lifecycle cost.</w:t>
      </w:r>
    </w:p>
    <w:p w14:paraId="6E969F0C" w14:textId="1E2C0508" w:rsidR="00FE013C" w:rsidRPr="009C0925" w:rsidRDefault="00FE013C" w:rsidP="004C16FF">
      <w:pPr>
        <w:spacing w:before="100" w:beforeAutospacing="1" w:after="100" w:afterAutospacing="1"/>
        <w:rPr>
          <w:color w:val="auto"/>
          <w:szCs w:val="24"/>
          <w:highlight w:val="yellow"/>
          <w:lang w:val="en-CA" w:eastAsia="en-CA"/>
        </w:rPr>
      </w:pPr>
      <w:r w:rsidRPr="009C0925">
        <w:rPr>
          <w:color w:val="auto"/>
          <w:szCs w:val="24"/>
          <w:highlight w:val="yellow"/>
          <w:lang w:val="en-CA" w:eastAsia="en-CA"/>
        </w:rPr>
        <w:t>subject to:</w:t>
      </w:r>
    </w:p>
    <w:p w14:paraId="23607DCE" w14:textId="77777777" w:rsidR="00FE013C" w:rsidRPr="009C0925" w:rsidRDefault="00FE013C" w:rsidP="004C16FF">
      <w:pPr>
        <w:spacing w:before="100" w:beforeAutospacing="1" w:after="100" w:afterAutospacing="1"/>
        <w:rPr>
          <w:b/>
          <w:bCs/>
          <w:color w:val="auto"/>
          <w:szCs w:val="24"/>
          <w:highlight w:val="yellow"/>
          <w:lang w:val="en-CA" w:eastAsia="en-CA"/>
        </w:rPr>
      </w:pPr>
      <w:r w:rsidRPr="009C0925">
        <w:rPr>
          <w:b/>
          <w:bCs/>
          <w:color w:val="auto"/>
          <w:szCs w:val="24"/>
          <w:highlight w:val="yellow"/>
          <w:lang w:val="en-CA" w:eastAsia="en-CA"/>
        </w:rPr>
        <w:t>Energy Balance (hourly):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505"/>
      </w:tblGrid>
      <w:tr w:rsidR="00FE013C" w:rsidRPr="009C0925" w14:paraId="799DB136" w14:textId="77777777" w:rsidTr="00F5352A">
        <w:tc>
          <w:tcPr>
            <w:tcW w:w="421" w:type="dxa"/>
          </w:tcPr>
          <w:p w14:paraId="47C717C9" w14:textId="77777777" w:rsidR="00FE013C" w:rsidRPr="009C0925" w:rsidRDefault="00FE013C" w:rsidP="004C16FF">
            <w:pPr>
              <w:rPr>
                <w:color w:val="auto"/>
                <w:szCs w:val="24"/>
                <w:highlight w:val="yellow"/>
                <w:lang w:val="en-CA" w:eastAsia="en-CA"/>
              </w:rPr>
            </w:pPr>
          </w:p>
        </w:tc>
        <w:tc>
          <w:tcPr>
            <w:tcW w:w="7908" w:type="dxa"/>
          </w:tcPr>
          <w:p w14:paraId="3BE84C97" w14:textId="2B095479" w:rsidR="00FE013C" w:rsidRPr="009C0925" w:rsidRDefault="00B062FB" w:rsidP="004C16FF">
            <w:pPr>
              <w:rPr>
                <w:rFonts w:asciiTheme="majorBidi" w:hAnsiTheme="majorBidi" w:cstheme="majorBidi"/>
                <w:color w:val="auto"/>
                <w:sz w:val="22"/>
                <w:szCs w:val="22"/>
                <w:highlight w:val="yellow"/>
                <w:lang w:val="en-CA" w:eastAsia="en-CA"/>
              </w:rPr>
            </w:pPr>
            <m:oMathPara>
              <m:oMath>
                <m:sSub>
                  <m:sSubPr>
                    <m:ctrlPr>
                      <w:rPr>
                        <w:rFonts w:ascii="Cambria Math" w:hAnsi="Cambria Math"/>
                        <w:color w:val="auto"/>
                        <w:szCs w:val="24"/>
                        <w:highlight w:val="yellow"/>
                      </w:rPr>
                    </m:ctrlPr>
                  </m:sSubPr>
                  <m:e>
                    <m:r>
                      <w:rPr>
                        <w:rFonts w:ascii="Cambria Math" w:hAnsi="Cambria Math"/>
                        <w:color w:val="auto"/>
                        <w:szCs w:val="24"/>
                        <w:highlight w:val="yellow"/>
                      </w:rPr>
                      <m:t>P</m:t>
                    </m:r>
                  </m:e>
                  <m:sub>
                    <m:r>
                      <m:rPr>
                        <m:nor/>
                      </m:rPr>
                      <w:rPr>
                        <w:rFonts w:ascii="Cambria Math" w:hAnsi="Cambria Math"/>
                        <w:color w:val="auto"/>
                        <w:szCs w:val="24"/>
                        <w:highlight w:val="yellow"/>
                      </w:rPr>
                      <m:t>PV</m:t>
                    </m:r>
                    <m:r>
                      <w:rPr>
                        <w:rFonts w:ascii="Cambria Math" w:hAnsi="Cambria Math"/>
                        <w:color w:val="auto"/>
                        <w:szCs w:val="24"/>
                        <w:highlight w:val="yellow"/>
                      </w:rPr>
                      <m:t>,t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m:rPr>
                        <m:nor/>
                      </m:rPr>
                      <w:rPr>
                        <w:rFonts w:ascii="Cambria Math" w:hAnsi="Cambria Math"/>
                        <w:color w:val="auto"/>
                        <w:szCs w:val="24"/>
                        <w:highlight w:val="yellow"/>
                      </w:rPr>
                      <m:t>wind</m:t>
                    </m:r>
                    <m:r>
                      <w:rPr>
                        <w:rFonts w:ascii="Cambria Math" w:hAnsi="Cambria Math"/>
                        <w:color w:val="auto"/>
                        <w:szCs w:val="24"/>
                        <w:highlight w:val="yellow"/>
                      </w:rPr>
                      <m:t>,t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m:rPr>
                        <m:nor/>
                      </m:rPr>
                      <w:rPr>
                        <w:rFonts w:ascii="Cambria Math" w:hAnsi="Cambria Math"/>
                        <w:color w:val="auto"/>
                        <w:szCs w:val="24"/>
                        <w:highlight w:val="yellow"/>
                      </w:rPr>
                      <m:t>grid</m:t>
                    </m:r>
                    <m:r>
                      <w:rPr>
                        <w:rFonts w:ascii="Cambria Math" w:hAnsi="Cambria Math"/>
                        <w:color w:val="auto"/>
                        <w:szCs w:val="24"/>
                        <w:highlight w:val="yellow"/>
                      </w:rPr>
                      <m:t>,t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m:rPr>
                        <m:nor/>
                      </m:rPr>
                      <w:rPr>
                        <w:rFonts w:ascii="Cambria Math" w:hAnsi="Cambria Math"/>
                        <w:color w:val="auto"/>
                        <w:szCs w:val="24"/>
                        <w:highlight w:val="yellow"/>
                      </w:rPr>
                      <m:t>dis</m:t>
                    </m:r>
                    <m:r>
                      <w:rPr>
                        <w:rFonts w:ascii="Cambria Math" w:hAnsi="Cambria Math"/>
                        <w:color w:val="auto"/>
                        <w:szCs w:val="24"/>
                        <w:highlight w:val="yellow"/>
                      </w:rPr>
                      <m:t>,t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m:rPr>
                        <m:nor/>
                      </m:rPr>
                      <w:rPr>
                        <w:rFonts w:ascii="Cambria Math" w:hAnsi="Cambria Math"/>
                        <w:color w:val="auto"/>
                        <w:szCs w:val="24"/>
                        <w:highlight w:val="yellow"/>
                      </w:rPr>
                      <m:t>load</m:t>
                    </m:r>
                    <m:r>
                      <w:rPr>
                        <w:rFonts w:ascii="Cambria Math" w:hAnsi="Cambria Math"/>
                        <w:color w:val="auto"/>
                        <w:szCs w:val="24"/>
                        <w:highlight w:val="yellow"/>
                      </w:rPr>
                      <m:t>,t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m:rPr>
                        <m:nor/>
                      </m:rPr>
                      <w:rPr>
                        <w:rFonts w:ascii="Cambria Math" w:hAnsi="Cambria Math"/>
                        <w:color w:val="auto"/>
                        <w:szCs w:val="24"/>
                        <w:highlight w:val="yellow"/>
                      </w:rPr>
                      <m:t>ch</m:t>
                    </m:r>
                    <m:r>
                      <w:rPr>
                        <w:rFonts w:ascii="Cambria Math" w:hAnsi="Cambria Math"/>
                        <w:color w:val="auto"/>
                        <w:szCs w:val="24"/>
                        <w:highlight w:val="yellow"/>
                      </w:rPr>
                      <m:t>,t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m:rPr>
                        <m:nor/>
                      </m:rPr>
                      <w:rPr>
                        <w:rFonts w:ascii="Cambria Math" w:hAnsi="Cambria Math"/>
                        <w:color w:val="auto"/>
                        <w:szCs w:val="24"/>
                        <w:highlight w:val="yellow"/>
                      </w:rPr>
                      <m:t>curt</m:t>
                    </m:r>
                    <m:r>
                      <w:rPr>
                        <w:rFonts w:ascii="Cambria Math" w:hAnsi="Cambria Math"/>
                        <w:color w:val="auto"/>
                        <w:szCs w:val="24"/>
                        <w:highlight w:val="yellow"/>
                      </w:rPr>
                      <m:t>,t</m:t>
                    </m:r>
                  </m:sub>
                </m:sSub>
              </m:oMath>
            </m:oMathPara>
          </w:p>
        </w:tc>
        <w:tc>
          <w:tcPr>
            <w:tcW w:w="505" w:type="dxa"/>
            <w:vAlign w:val="center"/>
          </w:tcPr>
          <w:p w14:paraId="59CF1D23" w14:textId="77777777" w:rsidR="00FE013C" w:rsidRPr="009C0925" w:rsidRDefault="00FE013C" w:rsidP="004C16FF">
            <w:pPr>
              <w:rPr>
                <w:color w:val="auto"/>
                <w:szCs w:val="24"/>
                <w:highlight w:val="yellow"/>
                <w:lang w:val="en-CA" w:eastAsia="en-CA"/>
              </w:rPr>
            </w:pPr>
            <w:r w:rsidRPr="009C0925">
              <w:rPr>
                <w:color w:val="auto"/>
                <w:szCs w:val="24"/>
                <w:highlight w:val="yellow"/>
                <w:lang w:val="en-CA" w:eastAsia="en-CA"/>
              </w:rPr>
              <w:t>(5)</w:t>
            </w:r>
          </w:p>
        </w:tc>
      </w:tr>
    </w:tbl>
    <w:p w14:paraId="31A45B3B" w14:textId="6DA55487" w:rsidR="00FE013C" w:rsidRPr="009C0925" w:rsidRDefault="00FE013C" w:rsidP="004C16FF">
      <w:pPr>
        <w:spacing w:before="100" w:beforeAutospacing="1" w:after="100" w:afterAutospacing="1"/>
        <w:rPr>
          <w:b/>
          <w:bCs/>
          <w:color w:val="auto"/>
          <w:szCs w:val="24"/>
          <w:highlight w:val="yellow"/>
          <w:lang w:val="en-CA" w:eastAsia="en-CA"/>
        </w:rPr>
      </w:pPr>
      <w:r w:rsidRPr="009C0925">
        <w:rPr>
          <w:b/>
          <w:bCs/>
          <w:color w:val="auto"/>
          <w:szCs w:val="24"/>
          <w:highlight w:val="yellow"/>
          <w:lang w:val="en-CA" w:eastAsia="en-CA"/>
        </w:rPr>
        <w:t xml:space="preserve">Battery State-of-Charge </w:t>
      </w:r>
      <w:r w:rsidR="009238A0" w:rsidRPr="009C0925">
        <w:rPr>
          <w:b/>
          <w:bCs/>
          <w:color w:val="auto"/>
          <w:szCs w:val="24"/>
          <w:highlight w:val="yellow"/>
          <w:lang w:val="en-CA" w:eastAsia="en-CA"/>
        </w:rPr>
        <w:t>Equation</w:t>
      </w:r>
      <w:r w:rsidRPr="009C0925">
        <w:rPr>
          <w:b/>
          <w:bCs/>
          <w:color w:val="auto"/>
          <w:szCs w:val="24"/>
          <w:highlight w:val="yellow"/>
          <w:lang w:val="en-CA" w:eastAsia="en-C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505"/>
      </w:tblGrid>
      <w:tr w:rsidR="00FE013C" w:rsidRPr="009C0925" w14:paraId="323BBD1E" w14:textId="77777777" w:rsidTr="00F5352A">
        <w:tc>
          <w:tcPr>
            <w:tcW w:w="421" w:type="dxa"/>
          </w:tcPr>
          <w:p w14:paraId="094CAE98" w14:textId="77777777" w:rsidR="00FE013C" w:rsidRPr="009C0925" w:rsidRDefault="00FE013C" w:rsidP="004C16FF">
            <w:pPr>
              <w:rPr>
                <w:color w:val="auto"/>
                <w:szCs w:val="24"/>
                <w:highlight w:val="yellow"/>
                <w:lang w:val="en-CA" w:eastAsia="en-CA"/>
              </w:rPr>
            </w:pPr>
          </w:p>
        </w:tc>
        <w:tc>
          <w:tcPr>
            <w:tcW w:w="7908" w:type="dxa"/>
          </w:tcPr>
          <w:p w14:paraId="5DD2AD9F" w14:textId="3F4607E4" w:rsidR="00FE013C" w:rsidRPr="009C0925" w:rsidRDefault="009238A0" w:rsidP="004C16FF">
            <w:pPr>
              <w:rPr>
                <w:rFonts w:asciiTheme="majorBidi" w:hAnsiTheme="majorBidi" w:cstheme="majorBidi"/>
                <w:color w:val="auto"/>
                <w:sz w:val="22"/>
                <w:szCs w:val="22"/>
                <w:highlight w:val="yellow"/>
                <w:lang w:val="en-CA" w:eastAsia="en-CA"/>
              </w:rPr>
            </w:pPr>
            <m:oMathPara>
              <m:oMath>
                <m:sSub>
                  <m:sSubPr>
                    <m:ctrlPr>
                      <w:rPr>
                        <w:rFonts w:ascii="Cambria Math" w:hAnsi="Cambria Math"/>
                        <w:color w:val="auto"/>
                        <w:szCs w:val="24"/>
                        <w:highlight w:val="yellow"/>
                      </w:rPr>
                    </m:ctrlPr>
                  </m:sSubPr>
                  <m:e>
                    <m:r>
                      <w:rPr>
                        <w:rFonts w:ascii="Cambria Math" w:hAnsi="Cambria Math"/>
                        <w:color w:val="auto"/>
                        <w:szCs w:val="24"/>
                        <w:highlight w:val="yellow"/>
                      </w:rPr>
                      <m:t>E</m:t>
                    </m:r>
                  </m:e>
                  <m:sub>
                    <m:r>
                      <w:rPr>
                        <w:rFonts w:ascii="Cambria Math" w:hAnsi="Cambria Math"/>
                        <w:color w:val="auto"/>
                        <w:szCs w:val="24"/>
                        <w:highlight w:val="yellow"/>
                      </w:rPr>
                      <m:t>t+1</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E</m:t>
                    </m:r>
                  </m:e>
                  <m:sub>
                    <m:r>
                      <w:rPr>
                        <w:rFonts w:ascii="Cambria Math" w:hAnsi="Cambria Math"/>
                        <w:color w:val="auto"/>
                        <w:szCs w:val="24"/>
                        <w:highlight w:val="yellow"/>
                      </w:rPr>
                      <m:t>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η</m:t>
                    </m:r>
                  </m:e>
                  <m:sub>
                    <m:r>
                      <m:rPr>
                        <m:nor/>
                      </m:rPr>
                      <w:rPr>
                        <w:rFonts w:ascii="Cambria Math" w:hAnsi="Cambria Math"/>
                        <w:color w:val="auto"/>
                        <w:szCs w:val="24"/>
                        <w:highlight w:val="yellow"/>
                      </w:rPr>
                      <m:t>ch</m:t>
                    </m:r>
                  </m:sub>
                </m:sSub>
                <m:sSub>
                  <m:sSubPr>
                    <m:ctrlPr>
                      <w:rPr>
                        <w:rFonts w:ascii="Cambria Math" w:hAnsi="Cambria Math"/>
                        <w:color w:val="auto"/>
                        <w:szCs w:val="24"/>
                        <w:highlight w:val="yellow"/>
                      </w:rPr>
                    </m:ctrlPr>
                  </m:sSubPr>
                  <m:e>
                    <m:r>
                      <w:rPr>
                        <w:rFonts w:ascii="Cambria Math" w:hAnsi="Cambria Math"/>
                        <w:color w:val="auto"/>
                        <w:szCs w:val="24"/>
                        <w:highlight w:val="yellow"/>
                      </w:rPr>
                      <m:t>P</m:t>
                    </m:r>
                  </m:e>
                  <m:sub>
                    <m:r>
                      <m:rPr>
                        <m:nor/>
                      </m:rPr>
                      <w:rPr>
                        <w:rFonts w:ascii="Cambria Math" w:hAnsi="Cambria Math"/>
                        <w:color w:val="auto"/>
                        <w:szCs w:val="24"/>
                        <w:highlight w:val="yellow"/>
                      </w:rPr>
                      <m:t>ch</m:t>
                    </m:r>
                    <m:r>
                      <w:rPr>
                        <w:rFonts w:ascii="Cambria Math" w:hAnsi="Cambria Math"/>
                        <w:color w:val="auto"/>
                        <w:szCs w:val="24"/>
                        <w:highlight w:val="yellow"/>
                      </w:rPr>
                      <m:t>,t</m:t>
                    </m:r>
                  </m:sub>
                </m:sSub>
                <m:r>
                  <m:rPr>
                    <m:sty m:val="p"/>
                  </m:rPr>
                  <w:rPr>
                    <w:rFonts w:ascii="Cambria Math" w:hAnsi="Cambria Math"/>
                    <w:color w:val="auto"/>
                    <w:szCs w:val="24"/>
                    <w:highlight w:val="yellow"/>
                  </w:rPr>
                  <m:t>Δ</m:t>
                </m:r>
                <m:r>
                  <w:rPr>
                    <w:rFonts w:ascii="Cambria Math" w:hAnsi="Cambria Math"/>
                    <w:color w:val="auto"/>
                    <w:szCs w:val="24"/>
                    <w:highlight w:val="yellow"/>
                  </w:rPr>
                  <m:t>t-</m:t>
                </m:r>
                <m:sSub>
                  <m:sSubPr>
                    <m:ctrlPr>
                      <w:rPr>
                        <w:rFonts w:ascii="Cambria Math" w:hAnsi="Cambria Math"/>
                        <w:color w:val="auto"/>
                        <w:szCs w:val="24"/>
                        <w:highlight w:val="yellow"/>
                      </w:rPr>
                    </m:ctrlPr>
                  </m:sSubPr>
                  <m:e>
                    <m:r>
                      <w:rPr>
                        <w:rFonts w:ascii="Cambria Math" w:hAnsi="Cambria Math"/>
                        <w:color w:val="auto"/>
                        <w:szCs w:val="24"/>
                        <w:highlight w:val="yellow"/>
                      </w:rPr>
                      <m:t>η</m:t>
                    </m:r>
                  </m:e>
                  <m:sub>
                    <m:r>
                      <m:rPr>
                        <m:nor/>
                      </m:rPr>
                      <w:rPr>
                        <w:rFonts w:ascii="Cambria Math" w:hAnsi="Cambria Math"/>
                        <w:color w:val="auto"/>
                        <w:szCs w:val="24"/>
                        <w:highlight w:val="yellow"/>
                      </w:rPr>
                      <m:t>dis</m:t>
                    </m:r>
                  </m:sub>
                </m:sSub>
                <m:sSub>
                  <m:sSubPr>
                    <m:ctrlPr>
                      <w:rPr>
                        <w:rFonts w:ascii="Cambria Math" w:hAnsi="Cambria Math"/>
                        <w:color w:val="auto"/>
                        <w:szCs w:val="24"/>
                        <w:highlight w:val="yellow"/>
                      </w:rPr>
                    </m:ctrlPr>
                  </m:sSubPr>
                  <m:e>
                    <m:r>
                      <w:rPr>
                        <w:rFonts w:ascii="Cambria Math" w:hAnsi="Cambria Math"/>
                        <w:color w:val="auto"/>
                        <w:szCs w:val="24"/>
                        <w:highlight w:val="yellow"/>
                      </w:rPr>
                      <m:t>P</m:t>
                    </m:r>
                  </m:e>
                  <m:sub>
                    <m:r>
                      <m:rPr>
                        <m:nor/>
                      </m:rPr>
                      <w:rPr>
                        <w:rFonts w:ascii="Cambria Math" w:hAnsi="Cambria Math"/>
                        <w:color w:val="auto"/>
                        <w:szCs w:val="24"/>
                        <w:highlight w:val="yellow"/>
                      </w:rPr>
                      <m:t>dis</m:t>
                    </m:r>
                    <m:r>
                      <w:rPr>
                        <w:rFonts w:ascii="Cambria Math" w:hAnsi="Cambria Math"/>
                        <w:color w:val="auto"/>
                        <w:szCs w:val="24"/>
                        <w:highlight w:val="yellow"/>
                      </w:rPr>
                      <m:t>,t</m:t>
                    </m:r>
                  </m:sub>
                </m:sSub>
                <m:r>
                  <m:rPr>
                    <m:sty m:val="p"/>
                  </m:rPr>
                  <w:rPr>
                    <w:rFonts w:ascii="Cambria Math" w:hAnsi="Cambria Math"/>
                    <w:color w:val="auto"/>
                    <w:szCs w:val="24"/>
                    <w:highlight w:val="yellow"/>
                  </w:rPr>
                  <m:t>Δ</m:t>
                </m:r>
                <m:r>
                  <w:rPr>
                    <w:rFonts w:ascii="Cambria Math" w:hAnsi="Cambria Math"/>
                    <w:color w:val="auto"/>
                    <w:szCs w:val="24"/>
                    <w:highlight w:val="yellow"/>
                  </w:rPr>
                  <m:t>t</m:t>
                </m:r>
              </m:oMath>
            </m:oMathPara>
          </w:p>
        </w:tc>
        <w:tc>
          <w:tcPr>
            <w:tcW w:w="505" w:type="dxa"/>
            <w:vAlign w:val="center"/>
          </w:tcPr>
          <w:p w14:paraId="765B93A3" w14:textId="77777777" w:rsidR="00FE013C" w:rsidRPr="009C0925" w:rsidRDefault="00FE013C" w:rsidP="004C16FF">
            <w:pPr>
              <w:rPr>
                <w:color w:val="auto"/>
                <w:szCs w:val="24"/>
                <w:highlight w:val="yellow"/>
                <w:lang w:val="en-CA" w:eastAsia="en-CA"/>
              </w:rPr>
            </w:pPr>
            <w:r w:rsidRPr="009C0925">
              <w:rPr>
                <w:color w:val="auto"/>
                <w:szCs w:val="24"/>
                <w:highlight w:val="yellow"/>
                <w:lang w:val="en-CA" w:eastAsia="en-CA"/>
              </w:rPr>
              <w:t>(6)</w:t>
            </w:r>
          </w:p>
        </w:tc>
      </w:tr>
    </w:tbl>
    <w:p w14:paraId="0110B78D" w14:textId="77777777" w:rsidR="009238A0" w:rsidRPr="009C0925" w:rsidRDefault="009238A0" w:rsidP="009238A0">
      <w:pPr>
        <w:spacing w:before="100" w:beforeAutospacing="1" w:after="100" w:afterAutospacing="1"/>
        <w:rPr>
          <w:b/>
          <w:bCs/>
          <w:color w:val="auto"/>
          <w:szCs w:val="24"/>
          <w:highlight w:val="yellow"/>
          <w:lang w:val="en-CA" w:eastAsia="en-CA"/>
        </w:rPr>
      </w:pPr>
      <w:r w:rsidRPr="009C0925">
        <w:rPr>
          <w:b/>
          <w:bCs/>
          <w:color w:val="auto"/>
          <w:szCs w:val="24"/>
          <w:highlight w:val="yellow"/>
          <w:lang w:val="en-CA" w:eastAsia="en-CA"/>
        </w:rPr>
        <w:t>Battery State-of-Charge Constraints: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505"/>
      </w:tblGrid>
      <w:tr w:rsidR="009238A0" w:rsidRPr="009C0925" w14:paraId="235A0989" w14:textId="77777777" w:rsidTr="001E5821">
        <w:tc>
          <w:tcPr>
            <w:tcW w:w="421" w:type="dxa"/>
          </w:tcPr>
          <w:p w14:paraId="795E3C4A" w14:textId="77777777" w:rsidR="009238A0" w:rsidRPr="009C0925" w:rsidRDefault="009238A0" w:rsidP="001E5821">
            <w:pPr>
              <w:rPr>
                <w:color w:val="auto"/>
                <w:szCs w:val="24"/>
                <w:highlight w:val="yellow"/>
                <w:lang w:val="en-CA" w:eastAsia="en-CA"/>
              </w:rPr>
            </w:pPr>
          </w:p>
        </w:tc>
        <w:tc>
          <w:tcPr>
            <w:tcW w:w="7908" w:type="dxa"/>
          </w:tcPr>
          <w:p w14:paraId="2F3BD932" w14:textId="77777777" w:rsidR="009238A0" w:rsidRPr="009C0925" w:rsidRDefault="009238A0" w:rsidP="001E5821">
            <w:pPr>
              <w:rPr>
                <w:rFonts w:asciiTheme="majorBidi" w:hAnsiTheme="majorBidi" w:cstheme="majorBidi"/>
                <w:color w:val="auto"/>
                <w:sz w:val="22"/>
                <w:szCs w:val="22"/>
                <w:highlight w:val="yellow"/>
                <w:lang w:val="en-CA" w:eastAsia="en-CA"/>
              </w:rPr>
            </w:pPr>
            <m:oMathPara>
              <m:oMath>
                <m:sSub>
                  <m:sSubPr>
                    <m:ctrlPr>
                      <w:rPr>
                        <w:rFonts w:ascii="Cambria Math" w:hAnsi="Cambria Math"/>
                        <w:color w:val="auto"/>
                        <w:szCs w:val="24"/>
                        <w:highlight w:val="yellow"/>
                        <w:lang w:val="en-CA" w:eastAsia="en-CA"/>
                      </w:rPr>
                    </m:ctrlPr>
                  </m:sSubPr>
                  <m:e>
                    <m:r>
                      <w:rPr>
                        <w:rFonts w:ascii="Cambria Math" w:hAnsi="Cambria Math"/>
                        <w:color w:val="auto"/>
                        <w:szCs w:val="24"/>
                        <w:highlight w:val="yellow"/>
                        <w:lang w:val="en-CA" w:eastAsia="en-CA"/>
                      </w:rPr>
                      <m:t>E</m:t>
                    </m:r>
                  </m:e>
                  <m:sub>
                    <m:r>
                      <m:rPr>
                        <m:nor/>
                      </m:rPr>
                      <w:rPr>
                        <w:color w:val="auto"/>
                        <w:szCs w:val="24"/>
                        <w:highlight w:val="yellow"/>
                        <w:lang w:val="en-CA" w:eastAsia="en-CA"/>
                      </w:rPr>
                      <m:t>min</m:t>
                    </m:r>
                  </m:sub>
                </m:sSub>
                <m:r>
                  <w:rPr>
                    <w:rFonts w:ascii="Cambria Math" w:hAnsi="Cambria Math"/>
                    <w:color w:val="auto"/>
                    <w:szCs w:val="24"/>
                    <w:highlight w:val="yellow"/>
                    <w:lang w:val="en-CA" w:eastAsia="en-CA"/>
                  </w:rPr>
                  <m:t>≤</m:t>
                </m:r>
                <m:sSub>
                  <m:sSubPr>
                    <m:ctrlPr>
                      <w:rPr>
                        <w:rFonts w:ascii="Cambria Math" w:hAnsi="Cambria Math"/>
                        <w:color w:val="auto"/>
                        <w:szCs w:val="24"/>
                        <w:highlight w:val="yellow"/>
                        <w:lang w:val="en-CA" w:eastAsia="en-CA"/>
                      </w:rPr>
                    </m:ctrlPr>
                  </m:sSubPr>
                  <m:e>
                    <m:r>
                      <w:rPr>
                        <w:rFonts w:ascii="Cambria Math" w:hAnsi="Cambria Math"/>
                        <w:color w:val="auto"/>
                        <w:szCs w:val="24"/>
                        <w:highlight w:val="yellow"/>
                        <w:lang w:val="en-CA" w:eastAsia="en-CA"/>
                      </w:rPr>
                      <m:t>E</m:t>
                    </m:r>
                  </m:e>
                  <m:sub>
                    <m:r>
                      <m:rPr>
                        <m:nor/>
                      </m:rPr>
                      <w:rPr>
                        <w:color w:val="auto"/>
                        <w:szCs w:val="24"/>
                        <w:highlight w:val="yellow"/>
                        <w:lang w:val="en-CA" w:eastAsia="en-CA"/>
                      </w:rPr>
                      <m:t>BATT</m:t>
                    </m:r>
                  </m:sub>
                </m:sSub>
                <m:r>
                  <w:rPr>
                    <w:rFonts w:ascii="Cambria Math" w:hAnsi="Cambria Math"/>
                    <w:color w:val="auto"/>
                    <w:szCs w:val="24"/>
                    <w:highlight w:val="yellow"/>
                    <w:lang w:val="en-CA" w:eastAsia="en-CA"/>
                  </w:rPr>
                  <m:t>(t)≤</m:t>
                </m:r>
                <m:sSub>
                  <m:sSubPr>
                    <m:ctrlPr>
                      <w:rPr>
                        <w:rFonts w:ascii="Cambria Math" w:hAnsi="Cambria Math"/>
                        <w:color w:val="auto"/>
                        <w:szCs w:val="24"/>
                        <w:highlight w:val="yellow"/>
                        <w:lang w:val="en-CA" w:eastAsia="en-CA"/>
                      </w:rPr>
                    </m:ctrlPr>
                  </m:sSubPr>
                  <m:e>
                    <m:r>
                      <w:rPr>
                        <w:rFonts w:ascii="Cambria Math" w:hAnsi="Cambria Math"/>
                        <w:color w:val="auto"/>
                        <w:szCs w:val="24"/>
                        <w:highlight w:val="yellow"/>
                        <w:lang w:val="en-CA" w:eastAsia="en-CA"/>
                      </w:rPr>
                      <m:t>E</m:t>
                    </m:r>
                  </m:e>
                  <m:sub>
                    <m:r>
                      <m:rPr>
                        <m:nor/>
                      </m:rPr>
                      <w:rPr>
                        <w:color w:val="auto"/>
                        <w:szCs w:val="24"/>
                        <w:highlight w:val="yellow"/>
                        <w:lang w:val="en-CA" w:eastAsia="en-CA"/>
                      </w:rPr>
                      <m:t>max</m:t>
                    </m:r>
                  </m:sub>
                </m:sSub>
                <m:r>
                  <w:rPr>
                    <w:rFonts w:ascii="Cambria Math" w:hAnsi="Cambria Math"/>
                    <w:color w:val="auto"/>
                    <w:szCs w:val="24"/>
                    <w:highlight w:val="yellow"/>
                    <w:lang w:val="en-CA" w:eastAsia="en-CA"/>
                  </w:rPr>
                  <m:t>=</m:t>
                </m:r>
                <m:sSub>
                  <m:sSubPr>
                    <m:ctrlPr>
                      <w:rPr>
                        <w:rFonts w:ascii="Cambria Math" w:hAnsi="Cambria Math"/>
                        <w:color w:val="auto"/>
                        <w:szCs w:val="24"/>
                        <w:highlight w:val="yellow"/>
                        <w:lang w:val="en-CA" w:eastAsia="en-CA"/>
                      </w:rPr>
                    </m:ctrlPr>
                  </m:sSubPr>
                  <m:e>
                    <m:r>
                      <w:rPr>
                        <w:rFonts w:ascii="Cambria Math" w:hAnsi="Cambria Math"/>
                        <w:color w:val="auto"/>
                        <w:szCs w:val="24"/>
                        <w:highlight w:val="yellow"/>
                        <w:lang w:val="en-CA" w:eastAsia="en-CA"/>
                      </w:rPr>
                      <m:t>E</m:t>
                    </m:r>
                  </m:e>
                  <m:sub>
                    <m:r>
                      <m:rPr>
                        <m:nor/>
                      </m:rPr>
                      <w:rPr>
                        <w:color w:val="auto"/>
                        <w:szCs w:val="24"/>
                        <w:highlight w:val="yellow"/>
                        <w:lang w:val="en-CA" w:eastAsia="en-CA"/>
                      </w:rPr>
                      <m:t>BATT</m:t>
                    </m:r>
                  </m:sub>
                </m:sSub>
                <m:r>
                  <m:rPr>
                    <m:sty m:val="p"/>
                  </m:rPr>
                  <w:rPr>
                    <w:rFonts w:ascii="Cambria Math" w:hAnsi="Cambria Math"/>
                    <w:color w:val="auto"/>
                    <w:szCs w:val="24"/>
                    <w:highlight w:val="yellow"/>
                    <w:lang w:val="en-CA" w:eastAsia="en-CA"/>
                  </w:rPr>
                  <m:t>∀</m:t>
                </m:r>
                <m:r>
                  <w:rPr>
                    <w:rFonts w:ascii="Cambria Math" w:hAnsi="Cambria Math"/>
                    <w:color w:val="auto"/>
                    <w:szCs w:val="24"/>
                    <w:highlight w:val="yellow"/>
                    <w:lang w:val="en-CA" w:eastAsia="en-CA"/>
                  </w:rPr>
                  <m:t>t</m:t>
                </m:r>
              </m:oMath>
            </m:oMathPara>
          </w:p>
        </w:tc>
        <w:tc>
          <w:tcPr>
            <w:tcW w:w="505" w:type="dxa"/>
            <w:vAlign w:val="center"/>
          </w:tcPr>
          <w:p w14:paraId="2608315A" w14:textId="2D303BDC" w:rsidR="009238A0" w:rsidRPr="009C0925" w:rsidRDefault="009238A0" w:rsidP="001E5821">
            <w:pPr>
              <w:rPr>
                <w:color w:val="auto"/>
                <w:szCs w:val="24"/>
                <w:highlight w:val="yellow"/>
                <w:lang w:val="en-CA" w:eastAsia="en-CA"/>
              </w:rPr>
            </w:pPr>
            <w:r w:rsidRPr="009C0925">
              <w:rPr>
                <w:color w:val="auto"/>
                <w:szCs w:val="24"/>
                <w:highlight w:val="yellow"/>
                <w:lang w:val="en-CA" w:eastAsia="en-CA"/>
              </w:rPr>
              <w:t>(</w:t>
            </w:r>
            <w:r w:rsidR="00994C5A" w:rsidRPr="009C0925">
              <w:rPr>
                <w:color w:val="auto"/>
                <w:szCs w:val="24"/>
                <w:highlight w:val="yellow"/>
                <w:lang w:val="en-CA" w:eastAsia="en-CA"/>
              </w:rPr>
              <w:t>7</w:t>
            </w:r>
            <w:r w:rsidRPr="009C0925">
              <w:rPr>
                <w:color w:val="auto"/>
                <w:szCs w:val="24"/>
                <w:highlight w:val="yellow"/>
                <w:lang w:val="en-CA" w:eastAsia="en-CA"/>
              </w:rPr>
              <w:t>)</w:t>
            </w:r>
          </w:p>
        </w:tc>
      </w:tr>
    </w:tbl>
    <w:p w14:paraId="38D2E6C4" w14:textId="0B3785DD" w:rsidR="00FE013C" w:rsidRPr="009C0925" w:rsidRDefault="00FD64CA" w:rsidP="004C16FF">
      <w:pPr>
        <w:spacing w:before="100" w:beforeAutospacing="1" w:after="100" w:afterAutospacing="1"/>
        <w:rPr>
          <w:b/>
          <w:bCs/>
          <w:color w:val="auto"/>
          <w:szCs w:val="24"/>
          <w:highlight w:val="yellow"/>
          <w:lang w:val="en-CA" w:eastAsia="en-CA"/>
        </w:rPr>
      </w:pPr>
      <w:r w:rsidRPr="009C0925">
        <w:rPr>
          <w:b/>
          <w:bCs/>
          <w:color w:val="auto"/>
          <w:szCs w:val="24"/>
          <w:highlight w:val="yellow"/>
          <w:lang w:val="en-CA" w:eastAsia="en-CA"/>
        </w:rPr>
        <w:t>Solar and Wind Constraint</w:t>
      </w:r>
      <w:r w:rsidR="00FE013C" w:rsidRPr="009C0925">
        <w:rPr>
          <w:b/>
          <w:bCs/>
          <w:color w:val="auto"/>
          <w:szCs w:val="24"/>
          <w:highlight w:val="yellow"/>
          <w:lang w:val="en-CA" w:eastAsia="en-C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505"/>
      </w:tblGrid>
      <w:tr w:rsidR="00FE013C" w:rsidRPr="009C0925" w14:paraId="663CE828" w14:textId="77777777" w:rsidTr="00F5352A">
        <w:tc>
          <w:tcPr>
            <w:tcW w:w="421" w:type="dxa"/>
          </w:tcPr>
          <w:p w14:paraId="0DEBAFE5" w14:textId="77777777" w:rsidR="00FE013C" w:rsidRPr="009C0925" w:rsidRDefault="00FE013C" w:rsidP="004C16FF">
            <w:pPr>
              <w:rPr>
                <w:color w:val="auto"/>
                <w:szCs w:val="24"/>
                <w:highlight w:val="yellow"/>
                <w:lang w:val="en-CA" w:eastAsia="en-CA"/>
              </w:rPr>
            </w:pPr>
          </w:p>
        </w:tc>
        <w:tc>
          <w:tcPr>
            <w:tcW w:w="7908" w:type="dxa"/>
          </w:tcPr>
          <w:p w14:paraId="25C78AA2" w14:textId="20A167BC" w:rsidR="00FE013C" w:rsidRPr="009C0925" w:rsidRDefault="008145E6" w:rsidP="004C16FF">
            <w:pPr>
              <w:rPr>
                <w:rFonts w:asciiTheme="majorBidi" w:hAnsiTheme="majorBidi" w:cstheme="majorBidi"/>
                <w:color w:val="auto"/>
                <w:sz w:val="22"/>
                <w:szCs w:val="22"/>
                <w:highlight w:val="yellow"/>
                <w:lang w:val="en-CA" w:eastAsia="en-CA"/>
              </w:rPr>
            </w:pPr>
            <m:oMathPara>
              <m:oMath>
                <m:r>
                  <w:rPr>
                    <w:rFonts w:ascii="Cambria Math" w:hAnsi="Cambria Math"/>
                    <w:color w:val="auto"/>
                    <w:szCs w:val="24"/>
                    <w:highlight w:val="yellow"/>
                  </w:rPr>
                  <m:t>0≤</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m:rPr>
                        <m:nor/>
                      </m:rPr>
                      <w:rPr>
                        <w:rFonts w:ascii="Cambria Math" w:hAnsi="Cambria Math"/>
                        <w:color w:val="auto"/>
                        <w:szCs w:val="24"/>
                        <w:highlight w:val="yellow"/>
                      </w:rPr>
                      <m:t>PV</m:t>
                    </m:r>
                    <m:r>
                      <w:rPr>
                        <w:rFonts w:ascii="Cambria Math" w:hAnsi="Cambria Math"/>
                        <w:color w:val="auto"/>
                        <w:szCs w:val="24"/>
                        <w:highlight w:val="yellow"/>
                      </w:rPr>
                      <m:t>,t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m:rPr>
                        <m:nor/>
                      </m:rPr>
                      <w:rPr>
                        <w:rFonts w:ascii="Cambria Math" w:hAnsi="Cambria Math"/>
                        <w:color w:val="auto"/>
                        <w:szCs w:val="24"/>
                        <w:highlight w:val="yellow"/>
                      </w:rPr>
                      <m:t>PV</m:t>
                    </m:r>
                  </m:sub>
                </m:sSub>
                <m:r>
                  <w:rPr>
                    <w:rFonts w:ascii="Cambria Math" w:hAnsi="Cambria Math"/>
                    <w:color w:val="auto"/>
                    <w:szCs w:val="24"/>
                    <w:highlight w:val="yellow"/>
                  </w:rPr>
                  <m:t>⋅C</m:t>
                </m:r>
                <m:sSub>
                  <m:sSubPr>
                    <m:ctrlPr>
                      <w:rPr>
                        <w:rFonts w:ascii="Cambria Math" w:hAnsi="Cambria Math"/>
                        <w:color w:val="auto"/>
                        <w:szCs w:val="24"/>
                        <w:highlight w:val="yellow"/>
                      </w:rPr>
                    </m:ctrlPr>
                  </m:sSubPr>
                  <m:e>
                    <m:r>
                      <w:rPr>
                        <w:rFonts w:ascii="Cambria Math" w:hAnsi="Cambria Math"/>
                        <w:color w:val="auto"/>
                        <w:szCs w:val="24"/>
                        <w:highlight w:val="yellow"/>
                      </w:rPr>
                      <m:t>F</m:t>
                    </m:r>
                  </m:e>
                  <m:sub>
                    <m:r>
                      <m:rPr>
                        <m:nor/>
                      </m:rPr>
                      <w:rPr>
                        <w:rFonts w:ascii="Cambria Math" w:hAnsi="Cambria Math"/>
                        <w:color w:val="auto"/>
                        <w:szCs w:val="24"/>
                        <w:highlight w:val="yellow"/>
                      </w:rPr>
                      <m:t>PV</m:t>
                    </m:r>
                    <m:r>
                      <w:rPr>
                        <w:rFonts w:ascii="Cambria Math" w:hAnsi="Cambria Math"/>
                        <w:color w:val="auto"/>
                        <w:szCs w:val="24"/>
                        <w:highlight w:val="yellow"/>
                      </w:rPr>
                      <m:t>,t</m:t>
                    </m:r>
                  </m:sub>
                </m:sSub>
              </m:oMath>
            </m:oMathPara>
          </w:p>
        </w:tc>
        <w:tc>
          <w:tcPr>
            <w:tcW w:w="505" w:type="dxa"/>
            <w:vAlign w:val="center"/>
          </w:tcPr>
          <w:p w14:paraId="731E234B" w14:textId="5E5FE2C4" w:rsidR="00FE013C" w:rsidRPr="009C0925" w:rsidRDefault="00FE013C" w:rsidP="004C16FF">
            <w:pPr>
              <w:rPr>
                <w:color w:val="auto"/>
                <w:szCs w:val="24"/>
                <w:highlight w:val="yellow"/>
                <w:lang w:val="en-CA" w:eastAsia="en-CA"/>
              </w:rPr>
            </w:pPr>
            <w:r w:rsidRPr="009C0925">
              <w:rPr>
                <w:color w:val="auto"/>
                <w:szCs w:val="24"/>
                <w:highlight w:val="yellow"/>
                <w:lang w:val="en-CA" w:eastAsia="en-CA"/>
              </w:rPr>
              <w:t>(</w:t>
            </w:r>
            <w:r w:rsidR="00994C5A" w:rsidRPr="009C0925">
              <w:rPr>
                <w:color w:val="auto"/>
                <w:szCs w:val="24"/>
                <w:highlight w:val="yellow"/>
                <w:lang w:val="en-CA" w:eastAsia="en-CA"/>
              </w:rPr>
              <w:t>8</w:t>
            </w:r>
            <w:r w:rsidRPr="009C0925">
              <w:rPr>
                <w:color w:val="auto"/>
                <w:szCs w:val="24"/>
                <w:highlight w:val="yellow"/>
                <w:lang w:val="en-CA" w:eastAsia="en-CA"/>
              </w:rPr>
              <w:t>)</w:t>
            </w:r>
          </w:p>
        </w:tc>
      </w:tr>
      <w:tr w:rsidR="00FE013C" w:rsidRPr="009C0925" w14:paraId="72947D45" w14:textId="77777777" w:rsidTr="00FF0DBE">
        <w:tc>
          <w:tcPr>
            <w:tcW w:w="421" w:type="dxa"/>
          </w:tcPr>
          <w:p w14:paraId="49A346BC" w14:textId="77777777" w:rsidR="00FE013C" w:rsidRPr="009C0925" w:rsidRDefault="00FE013C" w:rsidP="004C16FF">
            <w:pPr>
              <w:rPr>
                <w:color w:val="auto"/>
                <w:szCs w:val="24"/>
                <w:highlight w:val="yellow"/>
                <w:lang w:val="en-CA" w:eastAsia="en-CA"/>
              </w:rPr>
            </w:pPr>
          </w:p>
        </w:tc>
        <w:tc>
          <w:tcPr>
            <w:tcW w:w="7908" w:type="dxa"/>
          </w:tcPr>
          <w:p w14:paraId="17DD6BF9" w14:textId="26B50FE3" w:rsidR="00FE013C" w:rsidRPr="009C0925" w:rsidRDefault="008F5078" w:rsidP="004C16FF">
            <w:pPr>
              <w:rPr>
                <w:rFonts w:asciiTheme="majorBidi" w:hAnsiTheme="majorBidi" w:cstheme="majorBidi"/>
                <w:color w:val="auto"/>
                <w:sz w:val="22"/>
                <w:szCs w:val="22"/>
                <w:highlight w:val="yellow"/>
                <w:lang w:val="en-CA" w:eastAsia="en-CA"/>
              </w:rPr>
            </w:pPr>
            <m:oMathPara>
              <m:oMath>
                <m:r>
                  <w:rPr>
                    <w:rFonts w:ascii="Cambria Math" w:hAnsi="Cambria Math"/>
                    <w:color w:val="auto"/>
                    <w:szCs w:val="24"/>
                    <w:highlight w:val="yellow"/>
                  </w:rPr>
                  <m:t>0≤</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m:rPr>
                        <m:nor/>
                      </m:rPr>
                      <w:rPr>
                        <w:rFonts w:ascii="Cambria Math" w:hAnsi="Cambria Math"/>
                        <w:color w:val="auto"/>
                        <w:szCs w:val="24"/>
                        <w:highlight w:val="yellow"/>
                      </w:rPr>
                      <m:t>wind</m:t>
                    </m:r>
                    <m:r>
                      <w:rPr>
                        <w:rFonts w:ascii="Cambria Math" w:hAnsi="Cambria Math"/>
                        <w:color w:val="auto"/>
                        <w:szCs w:val="24"/>
                        <w:highlight w:val="yellow"/>
                      </w:rPr>
                      <m:t>,t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m:rPr>
                        <m:nor/>
                      </m:rPr>
                      <w:rPr>
                        <w:rFonts w:ascii="Cambria Math" w:hAnsi="Cambria Math"/>
                        <w:color w:val="auto"/>
                        <w:szCs w:val="24"/>
                        <w:highlight w:val="yellow"/>
                      </w:rPr>
                      <m:t>wind</m:t>
                    </m:r>
                  </m:sub>
                </m:sSub>
                <m:r>
                  <w:rPr>
                    <w:rFonts w:ascii="Cambria Math" w:hAnsi="Cambria Math"/>
                    <w:color w:val="auto"/>
                    <w:szCs w:val="24"/>
                    <w:highlight w:val="yellow"/>
                  </w:rPr>
                  <m:t>⋅C</m:t>
                </m:r>
                <m:sSub>
                  <m:sSubPr>
                    <m:ctrlPr>
                      <w:rPr>
                        <w:rFonts w:ascii="Cambria Math" w:hAnsi="Cambria Math"/>
                        <w:color w:val="auto"/>
                        <w:szCs w:val="24"/>
                        <w:highlight w:val="yellow"/>
                      </w:rPr>
                    </m:ctrlPr>
                  </m:sSubPr>
                  <m:e>
                    <m:r>
                      <w:rPr>
                        <w:rFonts w:ascii="Cambria Math" w:hAnsi="Cambria Math"/>
                        <w:color w:val="auto"/>
                        <w:szCs w:val="24"/>
                        <w:highlight w:val="yellow"/>
                      </w:rPr>
                      <m:t>F</m:t>
                    </m:r>
                  </m:e>
                  <m:sub>
                    <m:r>
                      <m:rPr>
                        <m:nor/>
                      </m:rPr>
                      <w:rPr>
                        <w:rFonts w:ascii="Cambria Math" w:hAnsi="Cambria Math"/>
                        <w:color w:val="auto"/>
                        <w:szCs w:val="24"/>
                        <w:highlight w:val="yellow"/>
                      </w:rPr>
                      <m:t>wind</m:t>
                    </m:r>
                    <m:r>
                      <w:rPr>
                        <w:rFonts w:ascii="Cambria Math" w:hAnsi="Cambria Math"/>
                        <w:color w:val="auto"/>
                        <w:szCs w:val="24"/>
                        <w:highlight w:val="yellow"/>
                      </w:rPr>
                      <m:t>,t</m:t>
                    </m:r>
                  </m:sub>
                </m:sSub>
              </m:oMath>
            </m:oMathPara>
          </w:p>
        </w:tc>
        <w:tc>
          <w:tcPr>
            <w:tcW w:w="505" w:type="dxa"/>
          </w:tcPr>
          <w:p w14:paraId="2483E27C" w14:textId="431C8F35" w:rsidR="00FE013C" w:rsidRPr="009C0925" w:rsidRDefault="00FE013C" w:rsidP="004C16FF">
            <w:pPr>
              <w:rPr>
                <w:color w:val="auto"/>
                <w:szCs w:val="24"/>
                <w:highlight w:val="yellow"/>
                <w:lang w:val="en-CA" w:eastAsia="en-CA"/>
              </w:rPr>
            </w:pPr>
            <w:r w:rsidRPr="009C0925">
              <w:rPr>
                <w:color w:val="auto"/>
                <w:szCs w:val="24"/>
                <w:highlight w:val="yellow"/>
                <w:lang w:val="en-CA" w:eastAsia="en-CA"/>
              </w:rPr>
              <w:t>(</w:t>
            </w:r>
            <w:r w:rsidR="00994C5A" w:rsidRPr="009C0925">
              <w:rPr>
                <w:color w:val="auto"/>
                <w:szCs w:val="24"/>
                <w:highlight w:val="yellow"/>
                <w:lang w:val="en-CA" w:eastAsia="en-CA"/>
              </w:rPr>
              <w:t>9</w:t>
            </w:r>
            <w:r w:rsidRPr="009C0925">
              <w:rPr>
                <w:color w:val="auto"/>
                <w:szCs w:val="24"/>
                <w:highlight w:val="yellow"/>
                <w:lang w:val="en-CA" w:eastAsia="en-CA"/>
              </w:rPr>
              <w:t>)</w:t>
            </w:r>
          </w:p>
        </w:tc>
      </w:tr>
    </w:tbl>
    <w:p w14:paraId="27C9F025" w14:textId="77777777" w:rsidR="00F04882" w:rsidRPr="009C0925" w:rsidRDefault="00F04882" w:rsidP="00F04882">
      <w:pPr>
        <w:spacing w:before="100" w:beforeAutospacing="1" w:after="100" w:afterAutospacing="1"/>
        <w:rPr>
          <w:b/>
          <w:bCs/>
          <w:color w:val="auto"/>
          <w:szCs w:val="24"/>
          <w:highlight w:val="yellow"/>
          <w:lang w:val="en-CA" w:eastAsia="en-CA"/>
        </w:rPr>
      </w:pPr>
      <w:r w:rsidRPr="009C0925">
        <w:rPr>
          <w:b/>
          <w:bCs/>
          <w:color w:val="auto"/>
          <w:szCs w:val="24"/>
          <w:highlight w:val="yellow"/>
          <w:lang w:val="en-CA" w:eastAsia="en-CA"/>
        </w:rPr>
        <w:t>where:</w:t>
      </w:r>
    </w:p>
    <w:p w14:paraId="090E74D7" w14:textId="704B1476" w:rsidR="00F04882" w:rsidRPr="009C0925" w:rsidRDefault="00F04882" w:rsidP="00F04882">
      <w:pPr>
        <w:numPr>
          <w:ilvl w:val="0"/>
          <w:numId w:val="27"/>
        </w:numPr>
        <w:spacing w:before="100" w:beforeAutospacing="1" w:after="100" w:afterAutospacing="1"/>
        <w:rPr>
          <w:rFonts w:asciiTheme="majorBidi" w:hAnsiTheme="majorBidi" w:cstheme="majorBidi"/>
          <w:color w:val="auto"/>
          <w:szCs w:val="24"/>
          <w:highlight w:val="yellow"/>
          <w:lang w:val="en-CA" w:eastAsia="en-CA"/>
        </w:rPr>
      </w:pPr>
      <m:oMath>
        <m:sSub>
          <m:sSubPr>
            <m:ctrlPr>
              <w:rPr>
                <w:rFonts w:ascii="Cambria Math" w:hAnsi="Cambria Math" w:cstheme="majorBidi"/>
                <w:color w:val="auto"/>
                <w:szCs w:val="24"/>
                <w:highlight w:val="yellow"/>
                <w:lang w:val="en-CA" w:eastAsia="en-CA"/>
              </w:rPr>
            </m:ctrlPr>
          </m:sSubPr>
          <m:e>
            <m:groupChr>
              <m:groupChrPr>
                <m:chr m:val="‾"/>
                <m:pos m:val="top"/>
                <m:vertJc m:val="bot"/>
                <m:ctrlPr>
                  <w:rPr>
                    <w:rFonts w:ascii="Cambria Math" w:hAnsi="Cambria Math" w:cstheme="majorBidi"/>
                    <w:color w:val="auto"/>
                    <w:szCs w:val="24"/>
                    <w:highlight w:val="yellow"/>
                    <w:lang w:val="en-CA" w:eastAsia="en-CA"/>
                  </w:rPr>
                </m:ctrlPr>
              </m:groupChrPr>
              <m:e>
                <m:r>
                  <w:rPr>
                    <w:rFonts w:ascii="Cambria Math" w:hAnsi="Cambria Math" w:cstheme="majorBidi"/>
                    <w:color w:val="auto"/>
                    <w:szCs w:val="24"/>
                    <w:highlight w:val="yellow"/>
                    <w:lang w:val="en-CA" w:eastAsia="en-CA"/>
                  </w:rPr>
                  <m:t>P</m:t>
                </m:r>
              </m:e>
            </m:groupChr>
          </m:e>
          <m:sub>
            <m:r>
              <m:rPr>
                <m:sty m:val="p"/>
              </m:rPr>
              <w:rPr>
                <w:rFonts w:ascii="Cambria Math" w:hAnsi="Cambria Math" w:cstheme="majorBidi"/>
                <w:color w:val="auto"/>
                <w:szCs w:val="24"/>
                <w:highlight w:val="yellow"/>
                <w:lang w:val="en-CA" w:eastAsia="en-CA"/>
              </w:rPr>
              <m:t>PV</m:t>
            </m:r>
          </m:sub>
        </m:sSub>
      </m:oMath>
      <w:r w:rsidRPr="009C0925">
        <w:rPr>
          <w:rFonts w:asciiTheme="majorBidi" w:hAnsiTheme="majorBidi" w:cstheme="majorBidi"/>
          <w:color w:val="auto"/>
          <w:szCs w:val="24"/>
          <w:highlight w:val="yellow"/>
          <w:lang w:val="en-CA" w:eastAsia="en-CA"/>
        </w:rPr>
        <w:t>= installed PV capacity (MW)</w:t>
      </w:r>
    </w:p>
    <w:p w14:paraId="0AA514D4" w14:textId="5DE09DA8" w:rsidR="00F04882" w:rsidRPr="009C0925" w:rsidRDefault="00F04882" w:rsidP="00F04882">
      <w:pPr>
        <w:numPr>
          <w:ilvl w:val="0"/>
          <w:numId w:val="27"/>
        </w:numPr>
        <w:spacing w:before="100" w:beforeAutospacing="1" w:after="100" w:afterAutospacing="1"/>
        <w:rPr>
          <w:rFonts w:asciiTheme="majorBidi" w:hAnsiTheme="majorBidi" w:cstheme="majorBidi"/>
          <w:color w:val="auto"/>
          <w:szCs w:val="24"/>
          <w:highlight w:val="yellow"/>
          <w:lang w:val="en-CA" w:eastAsia="en-CA"/>
        </w:rPr>
      </w:pPr>
      <m:oMath>
        <m:r>
          <w:rPr>
            <w:rFonts w:ascii="Cambria Math" w:hAnsi="Cambria Math" w:cstheme="majorBidi"/>
            <w:color w:val="auto"/>
            <w:szCs w:val="24"/>
            <w:highlight w:val="yellow"/>
            <w:lang w:val="en-CA" w:eastAsia="en-CA"/>
          </w:rPr>
          <m:t>C</m:t>
        </m:r>
        <m:sSub>
          <m:sSubPr>
            <m:ctrlPr>
              <w:rPr>
                <w:rFonts w:ascii="Cambria Math" w:hAnsi="Cambria Math" w:cstheme="majorBidi"/>
                <w:color w:val="auto"/>
                <w:szCs w:val="24"/>
                <w:highlight w:val="yellow"/>
                <w:lang w:val="en-CA" w:eastAsia="en-CA"/>
              </w:rPr>
            </m:ctrlPr>
          </m:sSubPr>
          <m:e>
            <m:r>
              <w:rPr>
                <w:rFonts w:ascii="Cambria Math" w:hAnsi="Cambria Math" w:cstheme="majorBidi"/>
                <w:color w:val="auto"/>
                <w:szCs w:val="24"/>
                <w:highlight w:val="yellow"/>
                <w:lang w:val="en-CA" w:eastAsia="en-CA"/>
              </w:rPr>
              <m:t>F</m:t>
            </m:r>
          </m:e>
          <m:sub>
            <m:r>
              <m:rPr>
                <m:sty m:val="p"/>
              </m:rPr>
              <w:rPr>
                <w:rFonts w:ascii="Cambria Math" w:hAnsi="Cambria Math" w:cstheme="majorBidi"/>
                <w:color w:val="auto"/>
                <w:szCs w:val="24"/>
                <w:highlight w:val="yellow"/>
                <w:lang w:val="en-CA" w:eastAsia="en-CA"/>
              </w:rPr>
              <m:t>PV</m:t>
            </m:r>
            <m:r>
              <w:rPr>
                <w:rFonts w:ascii="Cambria Math" w:hAnsi="Cambria Math" w:cstheme="majorBidi"/>
                <w:color w:val="auto"/>
                <w:szCs w:val="24"/>
                <w:highlight w:val="yellow"/>
                <w:lang w:val="en-CA" w:eastAsia="en-CA"/>
              </w:rPr>
              <m:t>,t</m:t>
            </m:r>
          </m:sub>
        </m:sSub>
      </m:oMath>
      <w:r w:rsidRPr="009C0925">
        <w:rPr>
          <w:rFonts w:asciiTheme="majorBidi" w:hAnsiTheme="majorBidi" w:cstheme="majorBidi"/>
          <w:color w:val="auto"/>
          <w:szCs w:val="24"/>
          <w:highlight w:val="yellow"/>
          <w:lang w:val="en-CA" w:eastAsia="en-CA"/>
        </w:rPr>
        <w:t>= solar capacity factor</w:t>
      </w:r>
    </w:p>
    <w:p w14:paraId="6FFF8A6B" w14:textId="072FAD27" w:rsidR="00F04882" w:rsidRPr="009C0925" w:rsidRDefault="00F04882" w:rsidP="00F04882">
      <w:pPr>
        <w:pStyle w:val="ListParagraph"/>
        <w:numPr>
          <w:ilvl w:val="0"/>
          <w:numId w:val="27"/>
        </w:numPr>
        <w:spacing w:line="300" w:lineRule="atLeast"/>
        <w:jc w:val="left"/>
        <w:rPr>
          <w:rFonts w:asciiTheme="majorBidi" w:hAnsiTheme="majorBidi" w:cstheme="majorBidi"/>
          <w:color w:val="auto"/>
          <w:sz w:val="21"/>
          <w:szCs w:val="21"/>
          <w:highlight w:val="yellow"/>
          <w:lang w:val="en-CA" w:eastAsia="en-CA"/>
        </w:rPr>
      </w:pPr>
      <m:oMath>
        <m:sSub>
          <m:sSubPr>
            <m:ctrlPr>
              <w:rPr>
                <w:rFonts w:ascii="Cambria Math" w:hAnsi="Cambria Math" w:cstheme="majorBidi"/>
                <w:color w:val="auto"/>
                <w:szCs w:val="24"/>
                <w:highlight w:val="yellow"/>
                <w:lang w:val="en-CA" w:eastAsia="en-CA"/>
              </w:rPr>
            </m:ctrlPr>
          </m:sSubPr>
          <m:e>
            <m:groupChr>
              <m:groupChrPr>
                <m:chr m:val="‾"/>
                <m:pos m:val="top"/>
                <m:vertJc m:val="bot"/>
                <m:ctrlPr>
                  <w:rPr>
                    <w:rFonts w:ascii="Cambria Math" w:hAnsi="Cambria Math" w:cstheme="majorBidi"/>
                    <w:color w:val="auto"/>
                    <w:szCs w:val="24"/>
                    <w:highlight w:val="yellow"/>
                    <w:lang w:val="en-CA" w:eastAsia="en-CA"/>
                  </w:rPr>
                </m:ctrlPr>
              </m:groupChrPr>
              <m:e>
                <m:r>
                  <w:rPr>
                    <w:rFonts w:ascii="Cambria Math" w:hAnsi="Cambria Math" w:cstheme="majorBidi"/>
                    <w:color w:val="auto"/>
                    <w:szCs w:val="24"/>
                    <w:highlight w:val="yellow"/>
                    <w:lang w:val="en-CA" w:eastAsia="en-CA"/>
                  </w:rPr>
                  <m:t>P</m:t>
                </m:r>
              </m:e>
            </m:groupChr>
          </m:e>
          <m:sub>
            <m:r>
              <m:rPr>
                <m:sty m:val="p"/>
              </m:rPr>
              <w:rPr>
                <w:rFonts w:ascii="Cambria Math" w:hAnsi="Cambria Math" w:cstheme="majorBidi"/>
                <w:color w:val="auto"/>
                <w:szCs w:val="24"/>
                <w:highlight w:val="yellow"/>
                <w:lang w:val="en-CA" w:eastAsia="en-CA"/>
              </w:rPr>
              <m:t>wind</m:t>
            </m:r>
          </m:sub>
        </m:sSub>
      </m:oMath>
      <w:r w:rsidRPr="009C0925">
        <w:rPr>
          <w:rFonts w:asciiTheme="majorBidi" w:hAnsiTheme="majorBidi" w:cstheme="majorBidi"/>
          <w:color w:val="auto"/>
          <w:sz w:val="21"/>
          <w:szCs w:val="21"/>
          <w:highlight w:val="yellow"/>
          <w:lang w:val="en-CA" w:eastAsia="en-CA"/>
        </w:rPr>
        <w:t xml:space="preserve">= installed wind capacity (MW) </w:t>
      </w:r>
    </w:p>
    <w:p w14:paraId="0173F9E0" w14:textId="24F1B345" w:rsidR="00F04882" w:rsidRPr="009C0925" w:rsidRDefault="00F04882" w:rsidP="00F04882">
      <w:pPr>
        <w:pStyle w:val="ListParagraph"/>
        <w:numPr>
          <w:ilvl w:val="0"/>
          <w:numId w:val="27"/>
        </w:numPr>
        <w:spacing w:line="300" w:lineRule="atLeast"/>
        <w:jc w:val="left"/>
        <w:rPr>
          <w:rFonts w:asciiTheme="majorBidi" w:hAnsiTheme="majorBidi" w:cstheme="majorBidi"/>
          <w:color w:val="auto"/>
          <w:sz w:val="21"/>
          <w:szCs w:val="21"/>
          <w:highlight w:val="yellow"/>
          <w:lang w:val="en-CA" w:eastAsia="en-CA"/>
        </w:rPr>
      </w:pPr>
      <m:oMath>
        <m:r>
          <w:rPr>
            <w:rFonts w:ascii="Cambria Math" w:hAnsi="Cambria Math" w:cstheme="majorBidi"/>
            <w:color w:val="auto"/>
            <w:szCs w:val="24"/>
            <w:highlight w:val="yellow"/>
            <w:lang w:val="en-CA" w:eastAsia="en-CA"/>
          </w:rPr>
          <m:t>C</m:t>
        </m:r>
        <m:sSub>
          <m:sSubPr>
            <m:ctrlPr>
              <w:rPr>
                <w:rFonts w:ascii="Cambria Math" w:hAnsi="Cambria Math" w:cstheme="majorBidi"/>
                <w:color w:val="auto"/>
                <w:szCs w:val="24"/>
                <w:highlight w:val="yellow"/>
                <w:lang w:val="en-CA" w:eastAsia="en-CA"/>
              </w:rPr>
            </m:ctrlPr>
          </m:sSubPr>
          <m:e>
            <m:r>
              <w:rPr>
                <w:rFonts w:ascii="Cambria Math" w:hAnsi="Cambria Math" w:cstheme="majorBidi"/>
                <w:color w:val="auto"/>
                <w:szCs w:val="24"/>
                <w:highlight w:val="yellow"/>
                <w:lang w:val="en-CA" w:eastAsia="en-CA"/>
              </w:rPr>
              <m:t>F</m:t>
            </m:r>
          </m:e>
          <m:sub>
            <m:r>
              <m:rPr>
                <m:sty m:val="p"/>
              </m:rPr>
              <w:rPr>
                <w:rFonts w:ascii="Cambria Math" w:hAnsi="Cambria Math" w:cstheme="majorBidi"/>
                <w:color w:val="auto"/>
                <w:szCs w:val="24"/>
                <w:highlight w:val="yellow"/>
                <w:lang w:val="en-CA" w:eastAsia="en-CA"/>
              </w:rPr>
              <m:t>wind</m:t>
            </m:r>
            <m:r>
              <w:rPr>
                <w:rFonts w:ascii="Cambria Math" w:hAnsi="Cambria Math" w:cstheme="majorBidi"/>
                <w:color w:val="auto"/>
                <w:szCs w:val="24"/>
                <w:highlight w:val="yellow"/>
                <w:lang w:val="en-CA" w:eastAsia="en-CA"/>
              </w:rPr>
              <m:t>,t</m:t>
            </m:r>
          </m:sub>
        </m:sSub>
      </m:oMath>
      <w:r w:rsidRPr="009C0925">
        <w:rPr>
          <w:rFonts w:asciiTheme="majorBidi" w:hAnsiTheme="majorBidi" w:cstheme="majorBidi"/>
          <w:color w:val="auto"/>
          <w:sz w:val="21"/>
          <w:szCs w:val="21"/>
          <w:highlight w:val="yellow"/>
          <w:lang w:val="en-CA" w:eastAsia="en-CA"/>
        </w:rPr>
        <w:t>= wind capacity factor</w:t>
      </w:r>
    </w:p>
    <w:p w14:paraId="4596B22F" w14:textId="657981C3" w:rsidR="00FE013C" w:rsidRPr="009C0925" w:rsidRDefault="00FE013C" w:rsidP="004C16FF">
      <w:pPr>
        <w:spacing w:before="100" w:beforeAutospacing="1" w:after="100" w:afterAutospacing="1"/>
        <w:rPr>
          <w:b/>
          <w:bCs/>
          <w:color w:val="auto"/>
          <w:szCs w:val="24"/>
          <w:highlight w:val="yellow"/>
          <w:lang w:val="en-CA" w:eastAsia="en-CA"/>
        </w:rPr>
      </w:pPr>
      <w:r w:rsidRPr="009C0925">
        <w:rPr>
          <w:b/>
          <w:bCs/>
          <w:color w:val="auto"/>
          <w:szCs w:val="24"/>
          <w:highlight w:val="yellow"/>
          <w:lang w:val="en-CA" w:eastAsia="en-CA"/>
        </w:rPr>
        <w:t>Interconnection limit (grid-imposed constraint):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505"/>
      </w:tblGrid>
      <w:tr w:rsidR="00FE013C" w:rsidRPr="009C0925" w14:paraId="601130DC" w14:textId="77777777" w:rsidTr="00F5352A">
        <w:tc>
          <w:tcPr>
            <w:tcW w:w="421" w:type="dxa"/>
          </w:tcPr>
          <w:p w14:paraId="413E8120" w14:textId="77777777" w:rsidR="00FE013C" w:rsidRPr="009C0925" w:rsidRDefault="00FE013C" w:rsidP="004C16FF">
            <w:pPr>
              <w:rPr>
                <w:color w:val="auto"/>
                <w:szCs w:val="24"/>
                <w:highlight w:val="yellow"/>
                <w:lang w:val="en-CA" w:eastAsia="en-CA"/>
              </w:rPr>
            </w:pPr>
          </w:p>
        </w:tc>
        <w:tc>
          <w:tcPr>
            <w:tcW w:w="7908" w:type="dxa"/>
          </w:tcPr>
          <w:p w14:paraId="15EC907A" w14:textId="5FBD5C83" w:rsidR="00FE013C" w:rsidRPr="009C0925" w:rsidRDefault="0017518F" w:rsidP="004C16FF">
            <w:pPr>
              <w:rPr>
                <w:rFonts w:asciiTheme="majorBidi" w:hAnsiTheme="majorBidi" w:cstheme="majorBidi"/>
                <w:color w:val="auto"/>
                <w:sz w:val="22"/>
                <w:szCs w:val="22"/>
                <w:highlight w:val="yellow"/>
                <w:lang w:val="en-CA" w:eastAsia="en-CA"/>
              </w:rPr>
            </w:pPr>
            <m:oMathPara>
              <m:oMath>
                <m:r>
                  <w:rPr>
                    <w:rFonts w:ascii="Cambria Math" w:hAnsi="Cambria Math"/>
                    <w:color w:val="auto"/>
                    <w:szCs w:val="24"/>
                    <w:highlight w:val="yellow"/>
                  </w:rPr>
                  <m:t>0≤</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m:rPr>
                        <m:nor/>
                      </m:rPr>
                      <w:rPr>
                        <w:rFonts w:ascii="Cambria Math" w:hAnsi="Cambria Math"/>
                        <w:color w:val="auto"/>
                        <w:szCs w:val="24"/>
                        <w:highlight w:val="yellow"/>
                      </w:rPr>
                      <m:t>grid</m:t>
                    </m:r>
                    <m:r>
                      <w:rPr>
                        <w:rFonts w:ascii="Cambria Math" w:hAnsi="Cambria Math"/>
                        <w:color w:val="auto"/>
                        <w:szCs w:val="24"/>
                        <w:highlight w:val="yellow"/>
                      </w:rPr>
                      <m:t>,t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m:rPr>
                        <m:nor/>
                      </m:rPr>
                      <w:rPr>
                        <w:rFonts w:ascii="Cambria Math" w:hAnsi="Cambria Math"/>
                        <w:color w:val="auto"/>
                        <w:szCs w:val="24"/>
                        <w:highlight w:val="yellow"/>
                      </w:rPr>
                      <m:t>grid</m:t>
                    </m:r>
                  </m:sub>
                </m:sSub>
              </m:oMath>
            </m:oMathPara>
          </w:p>
        </w:tc>
        <w:tc>
          <w:tcPr>
            <w:tcW w:w="505" w:type="dxa"/>
            <w:vAlign w:val="center"/>
          </w:tcPr>
          <w:p w14:paraId="2F6F68B8" w14:textId="77777777" w:rsidR="00FE013C" w:rsidRPr="009C0925" w:rsidRDefault="00FE013C" w:rsidP="004C16FF">
            <w:pPr>
              <w:rPr>
                <w:color w:val="auto"/>
                <w:szCs w:val="24"/>
                <w:highlight w:val="yellow"/>
                <w:lang w:val="en-CA" w:eastAsia="en-CA"/>
              </w:rPr>
            </w:pPr>
            <w:r w:rsidRPr="009C0925">
              <w:rPr>
                <w:color w:val="auto"/>
                <w:szCs w:val="24"/>
                <w:highlight w:val="yellow"/>
                <w:lang w:val="en-CA" w:eastAsia="en-CA"/>
              </w:rPr>
              <w:t>(9)</w:t>
            </w:r>
          </w:p>
        </w:tc>
      </w:tr>
    </w:tbl>
    <w:p w14:paraId="2ACDFE29" w14:textId="3247CD41" w:rsidR="00751BCD" w:rsidRPr="009C0925" w:rsidRDefault="00751BCD" w:rsidP="00751BCD">
      <w:pPr>
        <w:spacing w:before="100" w:beforeAutospacing="1" w:after="100" w:afterAutospacing="1"/>
        <w:rPr>
          <w:color w:val="auto"/>
          <w:szCs w:val="24"/>
          <w:highlight w:val="yellow"/>
          <w:lang w:val="en-CA" w:eastAsia="en-CA"/>
        </w:rPr>
      </w:pPr>
      <w:r w:rsidRPr="009C0925">
        <w:rPr>
          <w:color w:val="auto"/>
          <w:szCs w:val="24"/>
          <w:highlight w:val="yellow"/>
          <w:lang w:val="en-CA" w:eastAsia="en-CA"/>
        </w:rPr>
        <w:t xml:space="preserve">where </w:t>
      </w:r>
      <m:oMath>
        <m:sSub>
          <m:sSubPr>
            <m:ctrlPr>
              <w:rPr>
                <w:rFonts w:ascii="Cambria Math" w:hAnsi="Cambria Math"/>
                <w:color w:val="auto"/>
                <w:szCs w:val="24"/>
                <w:highlight w:val="yellow"/>
                <w:lang w:val="en-CA" w:eastAsia="en-CA"/>
              </w:rPr>
            </m:ctrlPr>
          </m:sSubPr>
          <m:e>
            <m:groupChr>
              <m:groupChrPr>
                <m:chr m:val="‾"/>
                <m:pos m:val="top"/>
                <m:vertJc m:val="bot"/>
                <m:ctrlPr>
                  <w:rPr>
                    <w:rFonts w:ascii="Cambria Math" w:hAnsi="Cambria Math"/>
                    <w:color w:val="auto"/>
                    <w:szCs w:val="24"/>
                    <w:highlight w:val="yellow"/>
                    <w:lang w:val="en-CA" w:eastAsia="en-CA"/>
                  </w:rPr>
                </m:ctrlPr>
              </m:groupChrPr>
              <m:e>
                <m:r>
                  <w:rPr>
                    <w:rFonts w:ascii="Cambria Math" w:hAnsi="Cambria Math"/>
                    <w:color w:val="auto"/>
                    <w:szCs w:val="24"/>
                    <w:highlight w:val="yellow"/>
                    <w:lang w:val="en-CA" w:eastAsia="en-CA"/>
                  </w:rPr>
                  <m:t>P</m:t>
                </m:r>
              </m:e>
            </m:groupChr>
          </m:e>
          <m:sub>
            <m:r>
              <m:rPr>
                <m:sty m:val="p"/>
              </m:rPr>
              <w:rPr>
                <w:rFonts w:ascii="Cambria Math" w:hAnsi="Cambria Math"/>
                <w:color w:val="auto"/>
                <w:szCs w:val="24"/>
                <w:highlight w:val="yellow"/>
                <w:lang w:val="en-CA" w:eastAsia="en-CA"/>
              </w:rPr>
              <m:t>grid</m:t>
            </m:r>
          </m:sub>
        </m:sSub>
      </m:oMath>
      <w:r w:rsidRPr="009C0925">
        <w:rPr>
          <w:color w:val="auto"/>
          <w:szCs w:val="24"/>
          <w:highlight w:val="yellow"/>
          <w:lang w:val="en-CA" w:eastAsia="en-CA"/>
        </w:rPr>
        <w:t>is the maximum permitted grid-interconnection capacity.</w:t>
      </w:r>
    </w:p>
    <w:p w14:paraId="0E8C55D8" w14:textId="49DC7DAC" w:rsidR="00FE013C" w:rsidRPr="009C0925" w:rsidRDefault="00FE013C" w:rsidP="004C16FF">
      <w:pPr>
        <w:spacing w:before="100" w:beforeAutospacing="1" w:after="100" w:afterAutospacing="1"/>
        <w:rPr>
          <w:b/>
          <w:bCs/>
          <w:color w:val="auto"/>
          <w:szCs w:val="24"/>
          <w:highlight w:val="yellow"/>
          <w:lang w:val="en-CA" w:eastAsia="en-CA"/>
        </w:rPr>
      </w:pPr>
      <w:r w:rsidRPr="009C0925">
        <w:rPr>
          <w:b/>
          <w:bCs/>
          <w:color w:val="auto"/>
          <w:szCs w:val="24"/>
          <w:highlight w:val="yellow"/>
          <w:lang w:val="en-CA" w:eastAsia="en-CA"/>
        </w:rPr>
        <w:t>Reliability (LOLE) Constraint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FE013C" w14:paraId="418CEACA" w14:textId="77777777" w:rsidTr="00F5352A">
        <w:tc>
          <w:tcPr>
            <w:tcW w:w="421" w:type="dxa"/>
          </w:tcPr>
          <w:p w14:paraId="38C604DA" w14:textId="77777777" w:rsidR="00FE013C" w:rsidRPr="009C0925" w:rsidRDefault="00FE013C" w:rsidP="004C16FF">
            <w:pPr>
              <w:rPr>
                <w:color w:val="auto"/>
                <w:szCs w:val="24"/>
                <w:highlight w:val="yellow"/>
                <w:lang w:val="en-CA" w:eastAsia="en-CA"/>
              </w:rPr>
            </w:pPr>
          </w:p>
        </w:tc>
        <w:tc>
          <w:tcPr>
            <w:tcW w:w="7908" w:type="dxa"/>
          </w:tcPr>
          <w:p w14:paraId="1FB500AE" w14:textId="267F33E7" w:rsidR="00FE013C" w:rsidRPr="009C0925" w:rsidRDefault="00B653B1" w:rsidP="004C16FF">
            <w:pPr>
              <w:rPr>
                <w:rFonts w:asciiTheme="majorBidi" w:hAnsiTheme="majorBidi" w:cstheme="majorBidi"/>
                <w:color w:val="auto"/>
                <w:sz w:val="22"/>
                <w:szCs w:val="22"/>
                <w:highlight w:val="yellow"/>
                <w:lang w:val="en-CA" w:eastAsia="en-CA"/>
              </w:rPr>
            </w:pPr>
            <m:oMathPara>
              <m:oMath>
                <m:r>
                  <m:rPr>
                    <m:nor/>
                  </m:rPr>
                  <w:rPr>
                    <w:color w:val="auto"/>
                    <w:szCs w:val="24"/>
                    <w:highlight w:val="yellow"/>
                  </w:rPr>
                  <m:t>LOLE</m:t>
                </m:r>
                <m:r>
                  <w:rPr>
                    <w:rFonts w:ascii="Cambria Math" w:hAnsi="Cambria Math"/>
                    <w:color w:val="auto"/>
                    <w:szCs w:val="24"/>
                    <w:highlight w:val="yellow"/>
                  </w:rPr>
                  <m:t>≤0.876</m:t>
                </m:r>
                <m:r>
                  <m:rPr>
                    <m:nor/>
                  </m:rPr>
                  <w:rPr>
                    <w:color w:val="auto"/>
                    <w:szCs w:val="24"/>
                    <w:highlight w:val="yellow"/>
                  </w:rPr>
                  <m:t> h/year</m:t>
                </m:r>
              </m:oMath>
            </m:oMathPara>
          </w:p>
        </w:tc>
        <w:tc>
          <w:tcPr>
            <w:tcW w:w="505" w:type="dxa"/>
            <w:vAlign w:val="center"/>
          </w:tcPr>
          <w:p w14:paraId="7DE7D2BF" w14:textId="77777777" w:rsidR="00FE013C" w:rsidRDefault="00FE013C" w:rsidP="004C16FF">
            <w:pPr>
              <w:rPr>
                <w:color w:val="auto"/>
                <w:szCs w:val="24"/>
                <w:lang w:val="en-CA" w:eastAsia="en-CA"/>
              </w:rPr>
            </w:pPr>
            <w:r w:rsidRPr="009C0925">
              <w:rPr>
                <w:color w:val="auto"/>
                <w:szCs w:val="24"/>
                <w:highlight w:val="yellow"/>
                <w:lang w:val="en-CA" w:eastAsia="en-CA"/>
              </w:rPr>
              <w:t>(10)</w:t>
            </w:r>
          </w:p>
        </w:tc>
      </w:tr>
    </w:tbl>
    <w:p w14:paraId="56181588" w14:textId="77777777" w:rsidR="00FE013C" w:rsidRDefault="00FE013C" w:rsidP="004C16FF">
      <w:pPr>
        <w:rPr>
          <w:b/>
          <w:bCs/>
          <w:color w:val="auto"/>
          <w:szCs w:val="24"/>
          <w:lang w:val="en-CA" w:eastAsia="en-CA"/>
        </w:rPr>
      </w:pPr>
      <w:r w:rsidRPr="00A91FD2">
        <w:rPr>
          <w:rFonts w:ascii="Cambria Math" w:hAnsi="Cambria Math"/>
          <w:color w:val="auto"/>
          <w:szCs w:val="24"/>
          <w:lang w:val="en-CA" w:eastAsia="en-CA"/>
        </w:rPr>
        <w:br/>
      </w:r>
      <w:r w:rsidRPr="00A91FD2">
        <w:rPr>
          <w:b/>
          <w:bCs/>
          <w:color w:val="auto"/>
          <w:szCs w:val="24"/>
          <w:lang w:val="en-CA" w:eastAsia="en-CA"/>
        </w:rPr>
        <w:t>Carbon constraint (optional):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FE013C" w14:paraId="3104FF9E" w14:textId="77777777" w:rsidTr="00F5352A">
        <w:tc>
          <w:tcPr>
            <w:tcW w:w="421" w:type="dxa"/>
          </w:tcPr>
          <w:p w14:paraId="74FEED8D" w14:textId="77777777" w:rsidR="00FE013C" w:rsidRDefault="00FE013C" w:rsidP="004C16FF">
            <w:pPr>
              <w:rPr>
                <w:color w:val="auto"/>
                <w:szCs w:val="24"/>
                <w:lang w:val="en-CA" w:eastAsia="en-CA"/>
              </w:rPr>
            </w:pPr>
          </w:p>
        </w:tc>
        <w:tc>
          <w:tcPr>
            <w:tcW w:w="7908" w:type="dxa"/>
          </w:tcPr>
          <w:p w14:paraId="72EC30AE" w14:textId="77777777" w:rsidR="00FE013C" w:rsidRPr="00225E6D" w:rsidRDefault="00000000" w:rsidP="004C16FF">
            <w:pPr>
              <w:rPr>
                <w:rFonts w:asciiTheme="majorBidi" w:hAnsiTheme="majorBidi" w:cstheme="majorBidi"/>
                <w:color w:val="auto"/>
                <w:sz w:val="22"/>
                <w:szCs w:val="22"/>
                <w:lang w:val="en-CA" w:eastAsia="en-CA"/>
              </w:rPr>
            </w:pPr>
            <m:oMathPara>
              <m:oMath>
                <m:nary>
                  <m:naryPr>
                    <m:chr m:val="∑"/>
                    <m:limLoc m:val="undOvr"/>
                    <m:grow m:val="1"/>
                    <m:supHide m:val="1"/>
                    <m:ctrlPr>
                      <w:rPr>
                        <w:rFonts w:ascii="Cambria Math" w:hAnsi="Cambria Math"/>
                        <w:color w:val="auto"/>
                        <w:szCs w:val="24"/>
                        <w:lang w:val="en-CA" w:eastAsia="en-CA"/>
                      </w:rPr>
                    </m:ctrlPr>
                  </m:naryPr>
                  <m:sub>
                    <m:r>
                      <w:rPr>
                        <w:rFonts w:ascii="Cambria Math" w:hAnsi="Cambria Math"/>
                        <w:color w:val="auto"/>
                        <w:szCs w:val="24"/>
                        <w:lang w:val="en-CA" w:eastAsia="en-CA"/>
                      </w:rPr>
                      <m:t>t</m:t>
                    </m:r>
                  </m:sub>
                  <m:sup/>
                  <m:e>
                    <m:d>
                      <m:dPr>
                        <m:ctrlPr>
                          <w:rPr>
                            <w:rFonts w:ascii="Cambria Math" w:hAnsi="Cambria Math"/>
                            <w:color w:val="auto"/>
                            <w:szCs w:val="24"/>
                            <w:lang w:val="en-CA" w:eastAsia="en-CA"/>
                          </w:rPr>
                        </m:ctrlPr>
                      </m:dPr>
                      <m:e>
                        <m:sSub>
                          <m:sSubPr>
                            <m:ctrlPr>
                              <w:rPr>
                                <w:rFonts w:ascii="Cambria Math" w:hAnsi="Cambria Math"/>
                                <w:color w:val="auto"/>
                                <w:szCs w:val="24"/>
                                <w:lang w:val="en-CA" w:eastAsia="en-CA"/>
                              </w:rPr>
                            </m:ctrlPr>
                          </m:sSubPr>
                          <m:e>
                            <m:r>
                              <w:rPr>
                                <w:rFonts w:ascii="Cambria Math" w:hAnsi="Cambria Math"/>
                                <w:color w:val="auto"/>
                                <w:szCs w:val="24"/>
                                <w:lang w:val="en-CA" w:eastAsia="en-CA"/>
                              </w:rPr>
                              <m:t>P</m:t>
                            </m:r>
                          </m:e>
                          <m:sub>
                            <m:r>
                              <m:rPr>
                                <m:nor/>
                              </m:rPr>
                              <w:rPr>
                                <w:color w:val="auto"/>
                                <w:szCs w:val="24"/>
                                <w:lang w:val="en-CA" w:eastAsia="en-CA"/>
                              </w:rPr>
                              <m:t>grid</m:t>
                            </m:r>
                          </m:sub>
                        </m:sSub>
                        <m:r>
                          <w:rPr>
                            <w:rFonts w:ascii="Cambria Math" w:hAnsi="Cambria Math"/>
                            <w:color w:val="auto"/>
                            <w:szCs w:val="24"/>
                            <w:lang w:val="en-CA" w:eastAsia="en-CA"/>
                          </w:rPr>
                          <m:t>(t)⋅</m:t>
                        </m:r>
                        <m:sSub>
                          <m:sSubPr>
                            <m:ctrlPr>
                              <w:rPr>
                                <w:rFonts w:ascii="Cambria Math" w:hAnsi="Cambria Math"/>
                                <w:color w:val="auto"/>
                                <w:szCs w:val="24"/>
                                <w:lang w:val="en-CA" w:eastAsia="en-CA"/>
                              </w:rPr>
                            </m:ctrlPr>
                          </m:sSubPr>
                          <m:e>
                            <m:r>
                              <m:rPr>
                                <m:nor/>
                              </m:rPr>
                              <w:rPr>
                                <w:color w:val="auto"/>
                                <w:szCs w:val="24"/>
                                <w:lang w:val="en-CA" w:eastAsia="en-CA"/>
                              </w:rPr>
                              <m:t>CI</m:t>
                            </m:r>
                          </m:e>
                          <m:sub>
                            <m:r>
                              <m:rPr>
                                <m:nor/>
                              </m:rPr>
                              <w:rPr>
                                <w:color w:val="auto"/>
                                <w:szCs w:val="24"/>
                                <w:lang w:val="en-CA" w:eastAsia="en-CA"/>
                              </w:rPr>
                              <m:t>grid</m:t>
                            </m:r>
                          </m:sub>
                        </m:sSub>
                        <m:r>
                          <w:rPr>
                            <w:rFonts w:ascii="Cambria Math" w:hAnsi="Cambria Math"/>
                            <w:color w:val="auto"/>
                            <w:szCs w:val="24"/>
                            <w:lang w:val="en-CA" w:eastAsia="en-CA"/>
                          </w:rPr>
                          <m:t>(t)</m:t>
                        </m:r>
                      </m:e>
                    </m:d>
                  </m:e>
                </m:nary>
                <m:r>
                  <m:rPr>
                    <m:sty m:val="p"/>
                  </m:rPr>
                  <w:rPr>
                    <w:rFonts w:ascii="Cambria Math" w:hAnsi="Cambria Math"/>
                    <w:color w:val="auto"/>
                    <w:szCs w:val="24"/>
                    <w:lang w:val="en-CA" w:eastAsia="en-CA"/>
                  </w:rPr>
                  <m:t>Δ</m:t>
                </m:r>
                <m:r>
                  <w:rPr>
                    <w:rFonts w:ascii="Cambria Math" w:hAnsi="Cambria Math"/>
                    <w:color w:val="auto"/>
                    <w:szCs w:val="24"/>
                    <w:lang w:val="en-CA" w:eastAsia="en-CA"/>
                  </w:rPr>
                  <m:t>t≤</m:t>
                </m:r>
                <m:sSubSup>
                  <m:sSubSupPr>
                    <m:ctrlPr>
                      <w:rPr>
                        <w:rFonts w:ascii="Cambria Math" w:hAnsi="Cambria Math"/>
                        <w:color w:val="auto"/>
                        <w:szCs w:val="24"/>
                        <w:lang w:val="en-CA" w:eastAsia="en-CA"/>
                      </w:rPr>
                    </m:ctrlPr>
                  </m:sSubSupPr>
                  <m:e>
                    <m:r>
                      <m:rPr>
                        <m:nor/>
                      </m:rPr>
                      <w:rPr>
                        <w:color w:val="auto"/>
                        <w:szCs w:val="24"/>
                        <w:lang w:val="en-CA" w:eastAsia="en-CA"/>
                      </w:rPr>
                      <m:t>CO</m:t>
                    </m:r>
                  </m:e>
                  <m:sub>
                    <m:r>
                      <w:rPr>
                        <w:rFonts w:ascii="Cambria Math" w:hAnsi="Cambria Math"/>
                        <w:color w:val="auto"/>
                        <w:szCs w:val="24"/>
                        <w:lang w:val="en-CA" w:eastAsia="en-CA"/>
                      </w:rPr>
                      <m:t>2</m:t>
                    </m:r>
                  </m:sub>
                  <m:sup>
                    <m:r>
                      <m:rPr>
                        <m:nor/>
                      </m:rPr>
                      <w:rPr>
                        <w:color w:val="auto"/>
                        <w:szCs w:val="24"/>
                        <w:lang w:val="en-CA" w:eastAsia="en-CA"/>
                      </w:rPr>
                      <m:t>target</m:t>
                    </m:r>
                  </m:sup>
                </m:sSubSup>
              </m:oMath>
            </m:oMathPara>
          </w:p>
        </w:tc>
        <w:tc>
          <w:tcPr>
            <w:tcW w:w="505" w:type="dxa"/>
            <w:vAlign w:val="center"/>
          </w:tcPr>
          <w:p w14:paraId="6A148A28" w14:textId="77777777" w:rsidR="00FE013C" w:rsidRDefault="00FE013C" w:rsidP="004C16FF">
            <w:pPr>
              <w:rPr>
                <w:color w:val="auto"/>
                <w:szCs w:val="24"/>
                <w:lang w:val="en-CA" w:eastAsia="en-CA"/>
              </w:rPr>
            </w:pPr>
            <w:r>
              <w:rPr>
                <w:color w:val="auto"/>
                <w:szCs w:val="24"/>
                <w:lang w:val="en-CA" w:eastAsia="en-CA"/>
              </w:rPr>
              <w:t>(11)</w:t>
            </w:r>
          </w:p>
        </w:tc>
      </w:tr>
    </w:tbl>
    <w:p w14:paraId="27CF1722" w14:textId="77777777" w:rsidR="00FE013C" w:rsidRPr="00A91FD2" w:rsidRDefault="00FE013C" w:rsidP="004C16FF">
      <w:pPr>
        <w:spacing w:before="100" w:beforeAutospacing="1" w:after="100" w:afterAutospacing="1"/>
        <w:rPr>
          <w:color w:val="auto"/>
          <w:szCs w:val="24"/>
          <w:lang w:val="en-CA" w:eastAsia="en-CA"/>
        </w:rPr>
      </w:pPr>
      <w:r w:rsidRPr="00A91FD2">
        <w:rPr>
          <w:color w:val="auto"/>
          <w:szCs w:val="24"/>
          <w:lang w:val="en-CA" w:eastAsia="en-CA"/>
        </w:rPr>
        <w:t>where:</w:t>
      </w:r>
    </w:p>
    <w:p w14:paraId="4EB738CF" w14:textId="77777777" w:rsidR="00FE013C" w:rsidRPr="00A91FD2" w:rsidRDefault="00000000" w:rsidP="004C16FF">
      <w:pPr>
        <w:numPr>
          <w:ilvl w:val="0"/>
          <w:numId w:val="15"/>
        </w:numPr>
        <w:spacing w:before="100" w:beforeAutospacing="1" w:after="100" w:afterAutospacing="1"/>
        <w:rPr>
          <w:color w:val="auto"/>
          <w:szCs w:val="24"/>
          <w:lang w:val="en-CA" w:eastAsia="en-CA"/>
        </w:rPr>
      </w:pPr>
      <m:oMath>
        <m:sSub>
          <m:sSubPr>
            <m:ctrlPr>
              <w:rPr>
                <w:rFonts w:ascii="Cambria Math" w:hAnsi="Cambria Math"/>
                <w:color w:val="auto"/>
                <w:szCs w:val="24"/>
                <w:lang w:val="en-CA" w:eastAsia="en-CA"/>
              </w:rPr>
            </m:ctrlPr>
          </m:sSubPr>
          <m:e>
            <m:r>
              <w:rPr>
                <w:rFonts w:ascii="Cambria Math" w:hAnsi="Cambria Math"/>
                <w:color w:val="auto"/>
                <w:szCs w:val="24"/>
                <w:lang w:val="en-CA" w:eastAsia="en-CA"/>
              </w:rPr>
              <m:t>C</m:t>
            </m:r>
          </m:e>
          <m:sub>
            <m:r>
              <m:rPr>
                <m:nor/>
              </m:rPr>
              <w:rPr>
                <w:color w:val="auto"/>
                <w:szCs w:val="24"/>
                <w:lang w:val="en-CA" w:eastAsia="en-CA"/>
              </w:rPr>
              <m:t>op</m:t>
            </m:r>
          </m:sub>
        </m:sSub>
        <m:r>
          <w:rPr>
            <w:rFonts w:ascii="Cambria Math" w:hAnsi="Cambria Math"/>
            <w:color w:val="auto"/>
            <w:szCs w:val="24"/>
            <w:lang w:val="en-CA" w:eastAsia="en-CA"/>
          </w:rPr>
          <m:t>(t)</m:t>
        </m:r>
      </m:oMath>
      <w:r w:rsidR="00FE013C" w:rsidRPr="00A91FD2">
        <w:rPr>
          <w:color w:val="auto"/>
          <w:szCs w:val="24"/>
          <w:lang w:val="en-CA" w:eastAsia="en-CA"/>
        </w:rPr>
        <w:t xml:space="preserve">= operational cost at hour </w:t>
      </w:r>
      <m:oMath>
        <m:r>
          <w:rPr>
            <w:rFonts w:ascii="Cambria Math" w:hAnsi="Cambria Math"/>
            <w:color w:val="auto"/>
            <w:szCs w:val="24"/>
            <w:lang w:val="en-CA" w:eastAsia="en-CA"/>
          </w:rPr>
          <m:t>t</m:t>
        </m:r>
      </m:oMath>
      <w:r w:rsidR="00FE013C" w:rsidRPr="00A91FD2">
        <w:rPr>
          <w:color w:val="auto"/>
          <w:szCs w:val="24"/>
          <w:lang w:val="en-CA" w:eastAsia="en-CA"/>
        </w:rPr>
        <w:t xml:space="preserve">(fuel, grid energy costs) </w:t>
      </w:r>
    </w:p>
    <w:p w14:paraId="660B45A6" w14:textId="77777777" w:rsidR="00FE013C" w:rsidRPr="00A91FD2" w:rsidRDefault="00000000" w:rsidP="004C16FF">
      <w:pPr>
        <w:numPr>
          <w:ilvl w:val="0"/>
          <w:numId w:val="15"/>
        </w:numPr>
        <w:spacing w:before="100" w:beforeAutospacing="1" w:after="100" w:afterAutospacing="1"/>
        <w:rPr>
          <w:color w:val="auto"/>
          <w:szCs w:val="24"/>
          <w:lang w:val="en-CA" w:eastAsia="en-CA"/>
        </w:rPr>
      </w:pPr>
      <m:oMath>
        <m:sSub>
          <m:sSubPr>
            <m:ctrlPr>
              <w:rPr>
                <w:rFonts w:ascii="Cambria Math" w:hAnsi="Cambria Math"/>
                <w:color w:val="auto"/>
                <w:szCs w:val="24"/>
                <w:lang w:val="en-CA" w:eastAsia="en-CA"/>
              </w:rPr>
            </m:ctrlPr>
          </m:sSubPr>
          <m:e>
            <m:r>
              <w:rPr>
                <w:rFonts w:ascii="Cambria Math" w:hAnsi="Cambria Math"/>
                <w:color w:val="auto"/>
                <w:szCs w:val="24"/>
                <w:lang w:val="en-CA" w:eastAsia="en-CA"/>
              </w:rPr>
              <m:t>C</m:t>
            </m:r>
          </m:e>
          <m:sub>
            <m:r>
              <m:rPr>
                <m:nor/>
              </m:rPr>
              <w:rPr>
                <w:color w:val="auto"/>
                <w:szCs w:val="24"/>
                <w:lang w:val="en-CA" w:eastAsia="en-CA"/>
              </w:rPr>
              <m:t>deg</m:t>
            </m:r>
          </m:sub>
        </m:sSub>
        <m:r>
          <w:rPr>
            <w:rFonts w:ascii="Cambria Math" w:hAnsi="Cambria Math"/>
            <w:color w:val="auto"/>
            <w:szCs w:val="24"/>
            <w:lang w:val="en-CA" w:eastAsia="en-CA"/>
          </w:rPr>
          <m:t>(t)</m:t>
        </m:r>
      </m:oMath>
      <w:r w:rsidR="00FE013C" w:rsidRPr="00A91FD2">
        <w:rPr>
          <w:color w:val="auto"/>
          <w:szCs w:val="24"/>
          <w:lang w:val="en-CA" w:eastAsia="en-CA"/>
        </w:rPr>
        <w:t xml:space="preserve">= battery degradation cost at hour </w:t>
      </w:r>
      <m:oMath>
        <m:r>
          <w:rPr>
            <w:rFonts w:ascii="Cambria Math" w:hAnsi="Cambria Math"/>
            <w:color w:val="auto"/>
            <w:szCs w:val="24"/>
            <w:lang w:val="en-CA" w:eastAsia="en-CA"/>
          </w:rPr>
          <m:t>t</m:t>
        </m:r>
      </m:oMath>
      <w:r w:rsidR="00FE013C" w:rsidRPr="00A91FD2">
        <w:rPr>
          <w:color w:val="auto"/>
          <w:szCs w:val="24"/>
          <w:lang w:val="en-CA" w:eastAsia="en-CA"/>
        </w:rPr>
        <w:t xml:space="preserve">(cycle depth and usage-based wear) </w:t>
      </w:r>
    </w:p>
    <w:p w14:paraId="597BD316" w14:textId="77777777" w:rsidR="00FE013C" w:rsidRPr="00A91FD2" w:rsidRDefault="00000000" w:rsidP="004C16FF">
      <w:pPr>
        <w:numPr>
          <w:ilvl w:val="0"/>
          <w:numId w:val="15"/>
        </w:numPr>
        <w:spacing w:before="100" w:beforeAutospacing="1" w:after="100" w:afterAutospacing="1"/>
        <w:rPr>
          <w:color w:val="auto"/>
          <w:szCs w:val="24"/>
          <w:lang w:val="en-CA" w:eastAsia="en-CA"/>
        </w:rPr>
      </w:pPr>
      <m:oMath>
        <m:sSub>
          <m:sSubPr>
            <m:ctrlPr>
              <w:rPr>
                <w:rFonts w:ascii="Cambria Math" w:hAnsi="Cambria Math"/>
                <w:color w:val="auto"/>
                <w:szCs w:val="24"/>
                <w:lang w:val="en-CA" w:eastAsia="en-CA"/>
              </w:rPr>
            </m:ctrlPr>
          </m:sSubPr>
          <m:e>
            <m:r>
              <w:rPr>
                <w:rFonts w:ascii="Cambria Math" w:hAnsi="Cambria Math"/>
                <w:color w:val="auto"/>
                <w:szCs w:val="24"/>
                <w:lang w:val="en-CA" w:eastAsia="en-CA"/>
              </w:rPr>
              <m:t>C</m:t>
            </m:r>
          </m:e>
          <m:sub>
            <m:r>
              <m:rPr>
                <m:nor/>
              </m:rPr>
              <w:rPr>
                <w:color w:val="auto"/>
                <w:szCs w:val="24"/>
                <w:lang w:val="en-CA" w:eastAsia="en-CA"/>
              </w:rPr>
              <m:t>cap</m:t>
            </m:r>
          </m:sub>
        </m:sSub>
        <m:r>
          <w:rPr>
            <w:rFonts w:ascii="Cambria Math" w:hAnsi="Cambria Math"/>
            <w:color w:val="auto"/>
            <w:szCs w:val="24"/>
            <w:lang w:val="en-CA" w:eastAsia="en-CA"/>
          </w:rPr>
          <m:t>(⋅)</m:t>
        </m:r>
      </m:oMath>
      <w:r w:rsidR="00FE013C" w:rsidRPr="00A91FD2">
        <w:rPr>
          <w:color w:val="auto"/>
          <w:szCs w:val="24"/>
          <w:lang w:val="en-CA" w:eastAsia="en-CA"/>
        </w:rPr>
        <w:t xml:space="preserve">= capital cost (battery in $/kWh, PV/wind in $/kW) </w:t>
      </w:r>
    </w:p>
    <w:p w14:paraId="7E5DCE67" w14:textId="77777777" w:rsidR="00FE013C" w:rsidRPr="00A91FD2" w:rsidRDefault="00000000" w:rsidP="004C16FF">
      <w:pPr>
        <w:numPr>
          <w:ilvl w:val="0"/>
          <w:numId w:val="15"/>
        </w:numPr>
        <w:spacing w:before="100" w:beforeAutospacing="1" w:after="100" w:afterAutospacing="1"/>
        <w:rPr>
          <w:color w:val="auto"/>
          <w:szCs w:val="24"/>
          <w:lang w:val="en-CA" w:eastAsia="en-CA"/>
        </w:rPr>
      </w:pPr>
      <m:oMath>
        <m:sSub>
          <m:sSubPr>
            <m:ctrlPr>
              <w:rPr>
                <w:rFonts w:ascii="Cambria Math" w:hAnsi="Cambria Math"/>
                <w:color w:val="auto"/>
                <w:szCs w:val="24"/>
                <w:lang w:val="en-CA" w:eastAsia="en-CA"/>
              </w:rPr>
            </m:ctrlPr>
          </m:sSubPr>
          <m:e>
            <m:acc>
              <m:accPr>
                <m:chr m:val="̇"/>
                <m:ctrlPr>
                  <w:rPr>
                    <w:rFonts w:ascii="Cambria Math" w:hAnsi="Cambria Math"/>
                    <w:color w:val="auto"/>
                    <w:szCs w:val="24"/>
                    <w:lang w:val="en-CA" w:eastAsia="en-CA"/>
                  </w:rPr>
                </m:ctrlPr>
              </m:accPr>
              <m:e>
                <m:r>
                  <w:rPr>
                    <w:rFonts w:ascii="Cambria Math" w:hAnsi="Cambria Math"/>
                    <w:color w:val="auto"/>
                    <w:szCs w:val="24"/>
                    <w:lang w:val="en-CA" w:eastAsia="en-CA"/>
                  </w:rPr>
                  <m:t>E</m:t>
                </m:r>
              </m:e>
            </m:acc>
          </m:e>
          <m:sub>
            <m:r>
              <m:rPr>
                <m:nor/>
              </m:rPr>
              <w:rPr>
                <w:color w:val="auto"/>
                <w:szCs w:val="24"/>
                <w:lang w:val="en-CA" w:eastAsia="en-CA"/>
              </w:rPr>
              <m:t>BATT,ch</m:t>
            </m:r>
          </m:sub>
        </m:sSub>
        <m:r>
          <w:rPr>
            <w:rFonts w:ascii="Cambria Math" w:hAnsi="Cambria Math"/>
            <w:color w:val="auto"/>
            <w:szCs w:val="24"/>
            <w:lang w:val="en-CA" w:eastAsia="en-CA"/>
          </w:rPr>
          <m:t>,</m:t>
        </m:r>
        <m:sSub>
          <m:sSubPr>
            <m:ctrlPr>
              <w:rPr>
                <w:rFonts w:ascii="Cambria Math" w:hAnsi="Cambria Math"/>
                <w:color w:val="auto"/>
                <w:szCs w:val="24"/>
                <w:lang w:val="en-CA" w:eastAsia="en-CA"/>
              </w:rPr>
            </m:ctrlPr>
          </m:sSubPr>
          <m:e>
            <m:acc>
              <m:accPr>
                <m:chr m:val="̇"/>
                <m:ctrlPr>
                  <w:rPr>
                    <w:rFonts w:ascii="Cambria Math" w:hAnsi="Cambria Math"/>
                    <w:color w:val="auto"/>
                    <w:szCs w:val="24"/>
                    <w:lang w:val="en-CA" w:eastAsia="en-CA"/>
                  </w:rPr>
                </m:ctrlPr>
              </m:accPr>
              <m:e>
                <m:r>
                  <w:rPr>
                    <w:rFonts w:ascii="Cambria Math" w:hAnsi="Cambria Math"/>
                    <w:color w:val="auto"/>
                    <w:szCs w:val="24"/>
                    <w:lang w:val="en-CA" w:eastAsia="en-CA"/>
                  </w:rPr>
                  <m:t>E</m:t>
                </m:r>
              </m:e>
            </m:acc>
          </m:e>
          <m:sub>
            <m:r>
              <m:rPr>
                <m:nor/>
              </m:rPr>
              <w:rPr>
                <w:color w:val="auto"/>
                <w:szCs w:val="24"/>
                <w:lang w:val="en-CA" w:eastAsia="en-CA"/>
              </w:rPr>
              <m:t>BATT,disch</m:t>
            </m:r>
          </m:sub>
        </m:sSub>
      </m:oMath>
      <w:r w:rsidR="00FE013C" w:rsidRPr="00A91FD2">
        <w:rPr>
          <w:color w:val="auto"/>
          <w:szCs w:val="24"/>
          <w:lang w:val="en-CA" w:eastAsia="en-CA"/>
        </w:rPr>
        <w:t xml:space="preserve">= battery charge/discharge power (MW) </w:t>
      </w:r>
    </w:p>
    <w:p w14:paraId="6FC43655" w14:textId="77777777" w:rsidR="00FE013C" w:rsidRPr="00A91FD2" w:rsidRDefault="00FE013C" w:rsidP="004C16FF">
      <w:pPr>
        <w:numPr>
          <w:ilvl w:val="0"/>
          <w:numId w:val="15"/>
        </w:numPr>
        <w:spacing w:before="100" w:beforeAutospacing="1" w:after="100" w:afterAutospacing="1"/>
        <w:rPr>
          <w:color w:val="auto"/>
          <w:szCs w:val="24"/>
          <w:lang w:val="en-CA" w:eastAsia="en-CA"/>
        </w:rPr>
      </w:pPr>
      <m:oMath>
        <m:r>
          <m:rPr>
            <m:nor/>
          </m:rPr>
          <w:rPr>
            <w:color w:val="auto"/>
            <w:szCs w:val="24"/>
            <w:lang w:val="en-CA" w:eastAsia="en-CA"/>
          </w:rPr>
          <m:t>resource</m:t>
        </m:r>
        <m:r>
          <w:rPr>
            <w:rFonts w:ascii="Cambria Math" w:hAnsi="Cambria Math"/>
            <w:color w:val="auto"/>
            <w:szCs w:val="24"/>
            <w:lang w:val="en-CA" w:eastAsia="en-CA"/>
          </w:rPr>
          <m:t>(t)</m:t>
        </m:r>
      </m:oMath>
      <w:r w:rsidRPr="00A91FD2">
        <w:rPr>
          <w:color w:val="auto"/>
          <w:szCs w:val="24"/>
          <w:lang w:val="en-CA" w:eastAsia="en-CA"/>
        </w:rPr>
        <w:t xml:space="preserve">= available renewable resource at time </w:t>
      </w:r>
      <m:oMath>
        <m:r>
          <w:rPr>
            <w:rFonts w:ascii="Cambria Math" w:hAnsi="Cambria Math"/>
            <w:color w:val="auto"/>
            <w:szCs w:val="24"/>
            <w:lang w:val="en-CA" w:eastAsia="en-CA"/>
          </w:rPr>
          <m:t>t</m:t>
        </m:r>
      </m:oMath>
    </w:p>
    <w:p w14:paraId="556550E4" w14:textId="77777777" w:rsidR="00FE013C" w:rsidRPr="00A91FD2" w:rsidRDefault="00000000" w:rsidP="004C16FF">
      <w:pPr>
        <w:numPr>
          <w:ilvl w:val="0"/>
          <w:numId w:val="15"/>
        </w:numPr>
        <w:spacing w:before="100" w:beforeAutospacing="1" w:after="100" w:afterAutospacing="1"/>
        <w:rPr>
          <w:color w:val="auto"/>
          <w:szCs w:val="24"/>
          <w:lang w:val="en-CA" w:eastAsia="en-CA"/>
        </w:rPr>
      </w:pPr>
      <m:oMath>
        <m:sSub>
          <m:sSubPr>
            <m:ctrlPr>
              <w:rPr>
                <w:rFonts w:ascii="Cambria Math" w:hAnsi="Cambria Math"/>
                <w:color w:val="auto"/>
                <w:szCs w:val="24"/>
                <w:lang w:val="en-CA" w:eastAsia="en-CA"/>
              </w:rPr>
            </m:ctrlPr>
          </m:sSubPr>
          <m:e>
            <m:r>
              <m:rPr>
                <m:nor/>
              </m:rPr>
              <w:rPr>
                <w:color w:val="auto"/>
                <w:szCs w:val="24"/>
                <w:lang w:val="en-CA" w:eastAsia="en-CA"/>
              </w:rPr>
              <m:t>CI</m:t>
            </m:r>
          </m:e>
          <m:sub>
            <m:r>
              <m:rPr>
                <m:nor/>
              </m:rPr>
              <w:rPr>
                <w:color w:val="auto"/>
                <w:szCs w:val="24"/>
                <w:lang w:val="en-CA" w:eastAsia="en-CA"/>
              </w:rPr>
              <m:t>grid</m:t>
            </m:r>
          </m:sub>
        </m:sSub>
        <m:r>
          <w:rPr>
            <w:rFonts w:ascii="Cambria Math" w:hAnsi="Cambria Math"/>
            <w:color w:val="auto"/>
            <w:szCs w:val="24"/>
            <w:lang w:val="en-CA" w:eastAsia="en-CA"/>
          </w:rPr>
          <m:t>(t)</m:t>
        </m:r>
      </m:oMath>
      <w:r w:rsidR="00FE013C" w:rsidRPr="00A91FD2">
        <w:rPr>
          <w:color w:val="auto"/>
          <w:szCs w:val="24"/>
          <w:lang w:val="en-CA" w:eastAsia="en-CA"/>
        </w:rPr>
        <w:t xml:space="preserve">= time-varying grid carbon intensity </w:t>
      </w:r>
    </w:p>
    <w:p w14:paraId="1472CD35" w14:textId="77777777" w:rsidR="00336475" w:rsidRPr="00336475" w:rsidRDefault="00B204E7" w:rsidP="00336475">
      <w:pPr>
        <w:spacing w:after="120"/>
        <w:ind w:firstLine="480"/>
        <w:rPr>
          <w:highlight w:val="yellow"/>
          <w:lang w:val="en-CA"/>
        </w:rPr>
      </w:pPr>
      <w:r w:rsidRPr="00336475">
        <w:rPr>
          <w:highlight w:val="yellow"/>
          <w:lang w:val="en-CA"/>
        </w:rPr>
        <w:t xml:space="preserve">Deterministic, Probabilistic and Optimizations based approaches have different planning purposes. Dynamic sizing is a liberal sizing estimate under specified deficit </w:t>
      </w:r>
      <w:proofErr w:type="gramStart"/>
      <w:r w:rsidRPr="00336475">
        <w:rPr>
          <w:highlight w:val="yellow"/>
          <w:lang w:val="en-CA"/>
        </w:rPr>
        <w:t>conditions, but</w:t>
      </w:r>
      <w:proofErr w:type="gramEnd"/>
      <w:r w:rsidRPr="00336475">
        <w:rPr>
          <w:highlight w:val="yellow"/>
          <w:lang w:val="en-CA"/>
        </w:rPr>
        <w:t xml:space="preserve"> can result in a significant amount of space. In probabilistic methods, the possibilities of some inadequacy of supply are calculated and the mean durations are determined based on a specified reliability criterion. While capital cost, operating cost, emissions, and physical constraints are all considered together, optimizing approaches require the input data, formulation, solver and validation procedure to be well documented. Comparative assessments per project are given, and no storage reduction or Pareto-optimal configuration is claimed for this review.</w:t>
      </w:r>
    </w:p>
    <w:p w14:paraId="7EED3019" w14:textId="34CF6C19" w:rsidR="00FE013C" w:rsidRDefault="00FE013C" w:rsidP="00FC3188">
      <w:pPr>
        <w:keepNext/>
        <w:spacing w:after="120"/>
        <w:jc w:val="center"/>
      </w:pPr>
      <w:r w:rsidRPr="00582570">
        <w:rPr>
          <w:noProof/>
          <w:lang w:val="en-CA"/>
        </w:rPr>
        <w:drawing>
          <wp:inline distT="0" distB="0" distL="0" distR="0" wp14:anchorId="30D28A52" wp14:editId="3DCC70FB">
            <wp:extent cx="5537835" cy="3016250"/>
            <wp:effectExtent l="0" t="0" r="5715" b="0"/>
            <wp:docPr id="13017237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23768" name="Picture 5"/>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9317" b="8983"/>
                    <a:stretch>
                      <a:fillRect/>
                    </a:stretch>
                  </pic:blipFill>
                  <pic:spPr bwMode="auto">
                    <a:xfrm>
                      <a:off x="0" y="0"/>
                      <a:ext cx="5539079" cy="3016928"/>
                    </a:xfrm>
                    <a:prstGeom prst="rect">
                      <a:avLst/>
                    </a:prstGeom>
                    <a:noFill/>
                    <a:ln>
                      <a:noFill/>
                    </a:ln>
                    <a:extLst>
                      <a:ext uri="{53640926-AAD7-44D8-BBD7-CCE9431645EC}">
                        <a14:shadowObscured xmlns:a14="http://schemas.microsoft.com/office/drawing/2010/main"/>
                      </a:ext>
                    </a:extLst>
                  </pic:spPr>
                </pic:pic>
              </a:graphicData>
            </a:graphic>
          </wp:inline>
        </w:drawing>
      </w:r>
    </w:p>
    <w:p w14:paraId="6C5B3953" w14:textId="175FD557" w:rsidR="00FE013C" w:rsidRDefault="00FE013C" w:rsidP="00FC3188">
      <w:pPr>
        <w:pStyle w:val="Caption"/>
        <w:jc w:val="center"/>
      </w:pPr>
      <w:r w:rsidRPr="00BA3D74">
        <w:rPr>
          <w:highlight w:val="yellow"/>
        </w:rPr>
        <w:t xml:space="preserve">Figure </w:t>
      </w:r>
      <w:r w:rsidRPr="00BA3D74">
        <w:rPr>
          <w:highlight w:val="yellow"/>
        </w:rPr>
        <w:fldChar w:fldCharType="begin"/>
      </w:r>
      <w:r w:rsidRPr="00BA3D74">
        <w:rPr>
          <w:highlight w:val="yellow"/>
        </w:rPr>
        <w:instrText xml:space="preserve"> SEQ Figure \* ARABIC </w:instrText>
      </w:r>
      <w:r w:rsidRPr="00BA3D74">
        <w:rPr>
          <w:highlight w:val="yellow"/>
        </w:rPr>
        <w:fldChar w:fldCharType="separate"/>
      </w:r>
      <w:r w:rsidR="00807110" w:rsidRPr="00BA3D74">
        <w:rPr>
          <w:noProof/>
          <w:highlight w:val="yellow"/>
        </w:rPr>
        <w:t>6</w:t>
      </w:r>
      <w:r w:rsidRPr="00BA3D74">
        <w:rPr>
          <w:noProof/>
          <w:highlight w:val="yellow"/>
        </w:rPr>
        <w:fldChar w:fldCharType="end"/>
      </w:r>
      <w:r w:rsidRPr="00BA3D74">
        <w:rPr>
          <w:highlight w:val="yellow"/>
        </w:rPr>
        <w:t xml:space="preserve"> Energy storage technology landscape: duration vs. cost trade-offs</w:t>
      </w:r>
    </w:p>
    <w:p w14:paraId="02B303F1" w14:textId="77777777" w:rsidR="00FE013C" w:rsidRDefault="00FE013C" w:rsidP="004C16FF">
      <w:pPr>
        <w:pStyle w:val="Heading20"/>
        <w:jc w:val="both"/>
        <w:rPr>
          <w:color w:val="auto"/>
        </w:rPr>
      </w:pPr>
      <w:r>
        <w:rPr>
          <w:color w:val="auto"/>
        </w:rPr>
        <w:t>5.4. Hybrid Backup Power Systems</w:t>
      </w:r>
    </w:p>
    <w:p w14:paraId="28AADF7D" w14:textId="2F01E32B" w:rsidR="00FE013C" w:rsidRPr="00EE0471" w:rsidRDefault="00FE013C" w:rsidP="001B74A6">
      <w:pPr>
        <w:spacing w:after="120"/>
        <w:ind w:firstLine="480"/>
      </w:pPr>
      <w:r w:rsidRPr="00EE0471">
        <w:t>Choosing a technology for backup power means balancing reliability, cost, emissions, and fuel logistics. Despite the declining economic viability of fossil fuels and the drive to reduce carbon emissions, diesel generators are the most widely adopted backup solution, with capital costs between $300 to $600 per kW, a track record of reliability, and well-established fuel supply chains. However, diesel generators generate substantial air pollutants (NOx, PM2.5) and CO</w:t>
      </w:r>
      <w:r w:rsidRPr="00ED5900">
        <w:rPr>
          <w:vertAlign w:val="subscript"/>
        </w:rPr>
        <w:t>2</w:t>
      </w:r>
      <w:r w:rsidRPr="00EE0471">
        <w:t xml:space="preserve"> emissions locally, which conflicts with corporate sustainability objectives</w:t>
      </w:r>
      <w:r>
        <w:fldChar w:fldCharType="begin"/>
      </w:r>
      <w:r w:rsidR="001B74A6">
        <w:instrText xml:space="preserve"> ADDIN ZOTERO_ITEM CSL_CITATION {"citationID":"y7cVLr5U","properties":{"unsorted":false,"formattedCitation":"[126]","plainCitation":"[126]","noteIndex":0},"citationItems":[{"id":2079,"uris":["http://zotero.org/users/9870935/items/NE8T8CB2"],"itemData":{"id":2079,"type":"article-journal","container-title":"Carbon Capture Science &amp; Technology","DOI":"10.1016/j.ccst.2025.100379","ISSN":"27726568","journalAbbreviation":"Carbon Capture Science &amp; Technology","language":"en","page":"100379","source":"DOI.org (Crossref)","title":"Emission control and carbon capture from diesel generators and engines: A decade-long perspective","title-short":"Emission control and carbon capture from diesel generators and engines","volume":"14","author":[{"family":"Babamohammadi","given":"Shervan"},{"family":"Birss","given":"Amy R"},{"family":"Pouran","given":"Hamid"},{"family":"Pandhal","given":"Jagroop"},{"family":"Borhani","given":"Tohid N."}],"issued":{"date-parts":[["2025",3]]}}}],"schema":"https://github.com/citation-style-language/schema/raw/master/csl-citation.json"} </w:instrText>
      </w:r>
      <w:r>
        <w:fldChar w:fldCharType="separate"/>
      </w:r>
      <w:r w:rsidR="001B74A6" w:rsidRPr="001B74A6">
        <w:t>[126]</w:t>
      </w:r>
      <w:r>
        <w:fldChar w:fldCharType="end"/>
      </w:r>
      <w:r w:rsidRPr="00EE0471">
        <w:t xml:space="preserve">. Typical diesel generator installations for a 100 MW data </w:t>
      </w:r>
      <w:r w:rsidR="00580BAE">
        <w:t>center</w:t>
      </w:r>
      <w:r w:rsidRPr="00EE0471">
        <w:t xml:space="preserve"> with N+1 redundancy are about 20 to 30 MW, with 24 to 72 hours of fuel storage to operate at full load.</w:t>
      </w:r>
    </w:p>
    <w:p w14:paraId="3E4C74F6" w14:textId="15D3E35F" w:rsidR="00FE013C" w:rsidRPr="00EE0471" w:rsidRDefault="00FE013C" w:rsidP="001B74A6">
      <w:pPr>
        <w:spacing w:after="120"/>
        <w:ind w:firstLine="480"/>
      </w:pPr>
      <w:r w:rsidRPr="00EE0471">
        <w:t>Natural gas generators produce lower emissions than diesel. CO</w:t>
      </w:r>
      <w:r w:rsidRPr="004A0F17">
        <w:rPr>
          <w:vertAlign w:val="subscript"/>
        </w:rPr>
        <w:t>2</w:t>
      </w:r>
      <w:r w:rsidRPr="00EE0471">
        <w:t xml:space="preserve"> emissions are approximately 20–30</w:t>
      </w:r>
      <w:r>
        <w:t xml:space="preserve">% </w:t>
      </w:r>
      <w:r w:rsidRPr="00EE0471">
        <w:t xml:space="preserve">lower per kWh, and the local air quality impact is much lower. Capital costs are similar to </w:t>
      </w:r>
      <w:r w:rsidRPr="00EE0471">
        <w:lastRenderedPageBreak/>
        <w:t>those of diesel ($350 - $650/kW), but the reliability of the fuel supply is dependent on the natural gas pipeline infrastructure, which might be vulnerable during extreme weather events</w:t>
      </w:r>
      <w:r>
        <w:fldChar w:fldCharType="begin"/>
      </w:r>
      <w:r w:rsidR="001B74A6">
        <w:instrText xml:space="preserve"> ADDIN ZOTERO_ITEM CSL_CITATION {"citationID":"KkWqXrYg","properties":{"unsorted":false,"formattedCitation":"[127]","plainCitation":"[127]","noteIndex":0},"citationItems":[{"id":2080,"uris":["http://zotero.org/users/9870935/items/WJJ79X93"],"itemData":{"id":2080,"type":"article-journal","container-title":"Energy Reports","DOI":"10.1016/j.egyr.2026.109178","ISSN":"23524847","journalAbbreviation":"Energy Reports","language":"en","page":"109178","source":"DOI.org (Crossref)","title":"Scalable data centers – Power generation and delivery challenges and solutions","volume":"15","author":[{"family":"Ghosh","given":"Soham"},{"family":"Damodara","given":"Jaya"}],"issued":{"date-parts":[["2026",6]]}}}],"schema":"https://github.com/citation-style-language/schema/raw/master/csl-citation.json"} </w:instrText>
      </w:r>
      <w:r>
        <w:fldChar w:fldCharType="separate"/>
      </w:r>
      <w:r w:rsidR="001B74A6" w:rsidRPr="001B74A6">
        <w:t>[127]</w:t>
      </w:r>
      <w:r>
        <w:fldChar w:fldCharType="end"/>
      </w:r>
      <w:r w:rsidRPr="00EE0471">
        <w:t>. Microturbines, which are powered by natural gas or biogas, have lower efficiencies (25–35</w:t>
      </w:r>
      <w:r>
        <w:t>%</w:t>
      </w:r>
      <w:r w:rsidRPr="00EE0471">
        <w:t>) than reciprocating engines and have smaller footprints and less maintenance</w:t>
      </w:r>
      <w:r>
        <w:fldChar w:fldCharType="begin"/>
      </w:r>
      <w:r w:rsidR="00F77E8E">
        <w:instrText xml:space="preserve"> ADDIN ZOTERO_ITEM CSL_CITATION {"citationID":"H0M4Pu4F","properties":{"unsorted":false,"formattedCitation":"[117]","plainCitation":"[117]","dontUpdate":true,"noteIndex":0},"citationItems":[{"id":2082,"uris":["http://zotero.org/users/9870935/items/PZTN4HPZ"],"itemData":{"id":2082,"type":"post-weblog","title":"Powering Data Centers with Clean Energy","URL":"https://gain.inl.gov/content/uploads/4/2024/11/INL-RPT-24-79307-Powering-Data-Cneters-with-Clean-Energy.pdf","author":[{"family":"Idaho National Lab","given":""}]}}],"schema":"https://github.com/citation-style-language/schema/raw/master/csl-citation.json"} </w:instrText>
      </w:r>
      <w:r>
        <w:fldChar w:fldCharType="separate"/>
      </w:r>
      <w:r w:rsidRPr="00584BC7">
        <w:t xml:space="preserve"> requirements [117]</w:t>
      </w:r>
      <w:r>
        <w:fldChar w:fldCharType="end"/>
      </w:r>
      <w:r w:rsidRPr="00EE0471">
        <w:t>.</w:t>
      </w:r>
    </w:p>
    <w:p w14:paraId="162FD4D7" w14:textId="0094CA9F" w:rsidR="00FE013C" w:rsidRPr="00EE0471" w:rsidRDefault="00FE013C" w:rsidP="007D29E8">
      <w:pPr>
        <w:spacing w:after="120"/>
        <w:ind w:firstLine="480"/>
      </w:pPr>
      <w:r w:rsidRPr="00EE0471">
        <w:t xml:space="preserve">Assessing grid connection as a backup method assumes that the utility grid is reliable and has dual utility feeds from separate substations, </w:t>
      </w:r>
      <w:r w:rsidR="00580BAE" w:rsidRPr="00EE0471">
        <w:t>minimizing</w:t>
      </w:r>
      <w:r w:rsidRPr="00EE0471">
        <w:t xml:space="preserve"> the likelihood of a dual outage. Tiered power contracts are a mix of firm capacity and interruptible lower-powered rates that offer economic flexibility along with backup power</w:t>
      </w:r>
      <w:r>
        <w:fldChar w:fldCharType="begin"/>
      </w:r>
      <w:r w:rsidR="001B74A6">
        <w:instrText xml:space="preserve"> ADDIN ZOTERO_ITEM CSL_CITATION {"citationID":"a5J6f3tN","properties":{"unsorted":false,"formattedCitation":"[128]","plainCitation":"[128]","noteIndex":0},"citationItems":[{"id":2083,"uris":["http://zotero.org/users/9870935/items/XWHBFKKT"],"itemData":{"id":2083,"type":"post-weblog","title":"Powering Data Centers in the AI Era","URL":"https://energie.hec.ca/wp-content/uploads/2025/10/PPT_EPRI.pdf","author":[{"family":"EPRI","given":""}]}}],"schema":"https://github.com/citation-style-language/schema/raw/master/csl-citation.json"} </w:instrText>
      </w:r>
      <w:r>
        <w:fldChar w:fldCharType="separate"/>
      </w:r>
      <w:r w:rsidR="001B74A6" w:rsidRPr="001B74A6">
        <w:t>[128]</w:t>
      </w:r>
      <w:r>
        <w:fldChar w:fldCharType="end"/>
      </w:r>
      <w:r w:rsidRPr="00EE0471">
        <w:t>. Grid backup varies widely from region to region, with an average of 1.5 to 6 hours of utility outages per year in the U.S. for each utility and geographic area</w:t>
      </w:r>
      <w:r>
        <w:fldChar w:fldCharType="begin"/>
      </w:r>
      <w:r w:rsidR="007D29E8">
        <w:instrText xml:space="preserve"> ADDIN ZOTERO_ITEM CSL_CITATION {"citationID":"UpEoxyqs","properties":{"unsorted":false,"formattedCitation":"[117]","plainCitation":"[117]","noteIndex":0},"citationItems":[{"id":2084,"uris":["http://zotero.org/users/9870935/items/TIB5XQM5"],"itemData":{"id":2084,"type":"post-weblog","title":"Electric Power Annual 2024","URL":"https://www.eia.gov/electricity/annual/pdf/epa.pdf","author":[{"family":"EIA","given":""}]}}],"schema":"https://github.com/citation-style-language/schema/raw/master/csl-citation.json"} </w:instrText>
      </w:r>
      <w:r>
        <w:fldChar w:fldCharType="separate"/>
      </w:r>
      <w:r w:rsidR="007D29E8" w:rsidRPr="007D29E8">
        <w:t>[117]</w:t>
      </w:r>
      <w:r>
        <w:fldChar w:fldCharType="end"/>
      </w:r>
      <w:r w:rsidRPr="00EE0471">
        <w:t>.</w:t>
      </w:r>
    </w:p>
    <w:p w14:paraId="4404FCEB" w14:textId="77777777" w:rsidR="00FE013C" w:rsidRDefault="00FE013C" w:rsidP="004C16FF">
      <w:pPr>
        <w:pStyle w:val="Heading20"/>
        <w:jc w:val="both"/>
        <w:rPr>
          <w:color w:val="auto"/>
        </w:rPr>
      </w:pPr>
      <w:r>
        <w:rPr>
          <w:color w:val="auto"/>
        </w:rPr>
        <w:t>5.5. Integration and Control Architecture</w:t>
      </w:r>
    </w:p>
    <w:p w14:paraId="0E67A1C9" w14:textId="104FD2FE" w:rsidR="00FE013C" w:rsidRPr="00FE141F" w:rsidRDefault="00FE013C" w:rsidP="001B74A6">
      <w:pPr>
        <w:spacing w:after="120"/>
        <w:ind w:firstLine="480"/>
      </w:pPr>
      <w:r w:rsidRPr="00FE141F">
        <w:t xml:space="preserve">In a microgrid for a data </w:t>
      </w:r>
      <w:r w:rsidR="00580BAE">
        <w:t>center</w:t>
      </w:r>
      <w:r w:rsidRPr="00FE141F">
        <w:t xml:space="preserve"> powered by renewable energy, the energy management system (EMS) provides central intelligence coordination of renewable generation, storage dispatch, backup power activation, and demand-side management. Modern EMS platforms have three main levels of control: device-level controllers that react to grid signals in milliseconds, facility-level EMS that control dispatch </w:t>
      </w:r>
      <w:r w:rsidR="00580BAE" w:rsidRPr="00FE141F">
        <w:t>optimization</w:t>
      </w:r>
      <w:r w:rsidRPr="00FE141F">
        <w:t xml:space="preserve"> every hour, and corporate-level </w:t>
      </w:r>
      <w:r w:rsidR="00580BAE" w:rsidRPr="00FE141F">
        <w:t>optimizers</w:t>
      </w:r>
      <w:r w:rsidRPr="00FE141F">
        <w:t xml:space="preserve"> that control resource allocation across multiple facilities</w:t>
      </w:r>
      <w:r>
        <w:fldChar w:fldCharType="begin"/>
      </w:r>
      <w:r w:rsidR="001B74A6">
        <w:instrText xml:space="preserve"> ADDIN ZOTERO_ITEM CSL_CITATION {"citationID":"PrmsOtPX","properties":{"unsorted":false,"formattedCitation":"[129]","plainCitation":"[129]","noteIndex":0},"citationItems":[{"id":2085,"uris":["http://zotero.org/users/9870935/items/8HNCPDSJ"],"itemData":{"id":2085,"type":"article-journal","container-title":"Energy Reports","DOI":"10.1016/j.egyr.2022.03.009","ISSN":"23524847","journalAbbreviation":"Energy Reports","language":"en","page":"3948-3963","source":"DOI.org (Crossref)","title":"A review of control strategies for flywheel energy storage system and a case study with matrix converter","volume":"8","author":[{"family":"Zhang","given":"J.W."},{"family":"Wang","given":"Y.H."},{"family":"Liu","given":"G.C."},{"family":"Tian","given":"G.Z."}],"issued":{"date-parts":[["2022",11]]}}}],"schema":"https://github.com/citation-style-language/schema/raw/master/csl-citation.json"} </w:instrText>
      </w:r>
      <w:r>
        <w:fldChar w:fldCharType="separate"/>
      </w:r>
      <w:r w:rsidR="001B74A6" w:rsidRPr="001B74A6">
        <w:t>[129]</w:t>
      </w:r>
      <w:r>
        <w:fldChar w:fldCharType="end"/>
      </w:r>
      <w:r w:rsidRPr="00FE141F">
        <w:t>.</w:t>
      </w:r>
    </w:p>
    <w:p w14:paraId="38B64A67" w14:textId="41742E14" w:rsidR="00FE013C" w:rsidRPr="00FE141F" w:rsidRDefault="00FE013C" w:rsidP="001B74A6">
      <w:pPr>
        <w:spacing w:after="120"/>
        <w:ind w:firstLine="480"/>
      </w:pPr>
      <w:r w:rsidRPr="00FE141F">
        <w:t>Model-predictive control (MPC) is the preferred dispatch optimization approach, which combines forecasting of renewable generation and load demand to provide 24 to 48 hour dispatch optimization, updated periodically</w:t>
      </w:r>
      <w:r>
        <w:fldChar w:fldCharType="begin"/>
      </w:r>
      <w:r w:rsidR="001B74A6">
        <w:instrText xml:space="preserve"> ADDIN ZOTERO_ITEM CSL_CITATION {"citationID":"vgPGRl66","properties":{"unsorted":false,"formattedCitation":"[119]","plainCitation":"[119]","noteIndex":0},"citationItems":[{"id":2086,"uris":["http://zotero.org/users/9870935/items/PSX5T5NE"],"itemData":{"id":2086,"type":"article-journal","abstract":"Renewable energy sources (wind turbine and photovoltaic system) are connected to the smart grid to promote the grid power, but the output of these sources is changed due to the sunlight and wind speed variations. Power storage system has the ability to reduce variations in a power system. Battery energy storage system (BESS) and superconducting magnetic energy storage system (SMES) are good solutions for this problem. The storage unit is connected to a power system at the point of common coupling and is able to absorb/store both active and reactive powers from this system and inject them into the power system in the peak demand periods. A control strategy based on proportional–integrative–derivative (PID) and model predictive controller (MPC) are used to control (SMES/BESS) to enhance the transient performance of a smart grid. The proposed algorithm has been tested on standard IEEE 5‐bus system connected to wind turbine distributed generator, non‐linear loads, and storage device (BESS/SMES) to verify the superiority of the presented method. The simulation results show that the performance of SMES with PID is more efficient than BESS with PID, but they have nearly the same output when MPC control strategy is used.","container-title":"IET Renewable Power Generation","DOI":"10.1049/iet-rpg.2016.0892","ISSN":"1752-1416, 1752-1424","issue":"10","journalAbbreviation":"IET Renewable Power Gen","language":"en","page":"1316-1324","source":"DOI.org (Crossref)","title":"Enhancing smart grid transient performance using storage device‐based MPC controller","volume":"11","author":[{"family":"Sultan","given":"Yara A."},{"family":"Kaddah","given":"Sahar S."},{"family":"Elhosseini","given":"Mostafa A."}],"issued":{"date-parts":[["2017",8]]}}}],"schema":"https://github.com/citation-style-language/schema/raw/master/csl-citation.json"} </w:instrText>
      </w:r>
      <w:r>
        <w:fldChar w:fldCharType="separate"/>
      </w:r>
      <w:r w:rsidR="001B74A6" w:rsidRPr="001B74A6">
        <w:t>[119]</w:t>
      </w:r>
      <w:r>
        <w:fldChar w:fldCharType="end"/>
      </w:r>
      <w:r w:rsidRPr="00FE141F">
        <w:t xml:space="preserve">. The MPC formulation aims to </w:t>
      </w:r>
      <w:r w:rsidR="00580BAE" w:rsidRPr="00FE141F">
        <w:t>minimize</w:t>
      </w:r>
      <w:r w:rsidRPr="00FE141F">
        <w:t xml:space="preserve"> a cost function comprising energy procurement costs, battery degradation costs, demand charge penalties, and carbon emission costs, while satisfying physical constraints such as battery state-of-charge limits, inverter capacity ratings, and interconnection power flow bounds. Research has shown that MPC-based dispatch can provide savings of 10–20% in energy cost, while achieving similar or better reliability performance, compared to simple rule-based dispatch strategies</w:t>
      </w:r>
      <w:r>
        <w:fldChar w:fldCharType="begin"/>
      </w:r>
      <w:r w:rsidR="001B74A6">
        <w:instrText xml:space="preserve"> ADDIN ZOTERO_ITEM CSL_CITATION {"citationID":"n2uVBffu","properties":{"unsorted":false,"formattedCitation":"[120]","plainCitation":"[120]","noteIndex":0},"citationItems":[{"id":2087,"uris":["http://zotero.org/users/9870935/items/4BDYURFT"],"itemData":{"id":2087,"type":"article-journal","container-title":"Energy","DOI":"10.1016/j.energy.2025.138205","ISSN":"03605442","journalAbbreviation":"Energy","language":"en","page":"138205","source":"DOI.org (Crossref)","title":"An economic model predictive control strategy for EV-integrated microgrids considering battery degradation","volume":"335","author":[{"family":"Hu","given":"Yunfeng"},{"family":"Li","given":"Zeying"},{"family":"Cui","given":"Jinghan"}],"issued":{"date-parts":[["2025",10]]}}}],"schema":"https://github.com/citation-style-language/schema/raw/master/csl-citation.json"} </w:instrText>
      </w:r>
      <w:r>
        <w:fldChar w:fldCharType="separate"/>
      </w:r>
      <w:r w:rsidR="001B74A6" w:rsidRPr="001B74A6">
        <w:t>[120]</w:t>
      </w:r>
      <w:r>
        <w:fldChar w:fldCharType="end"/>
      </w:r>
      <w:r w:rsidRPr="00FE141F">
        <w:t>.</w:t>
      </w:r>
    </w:p>
    <w:p w14:paraId="4451159A" w14:textId="1891CD0C" w:rsidR="00FE013C" w:rsidRPr="00FE141F" w:rsidRDefault="00FE013C" w:rsidP="001B74A6">
      <w:pPr>
        <w:spacing w:after="120"/>
        <w:ind w:firstLine="480"/>
      </w:pPr>
      <w:r w:rsidRPr="00FE141F">
        <w:t>A key aspect of system reliability is the implementation of fault detection, redundancy, and failover logic. Modern EMS platforms have N+1 or 2N redundancy for key components and automatically fail if any controller or communication fails. To address the growing threats to critical infrastructure, cybersecurity provisions, such as encrypted communications, multi-factor authentication, and network segmentation between operational technology (OT) and enterprise IT networks, are vital</w:t>
      </w:r>
      <w:r>
        <w:fldChar w:fldCharType="begin"/>
      </w:r>
      <w:r w:rsidR="001B74A6">
        <w:instrText xml:space="preserve"> ADDIN ZOTERO_ITEM CSL_CITATION {"citationID":"pn3NYYgZ","properties":{"unsorted":false,"formattedCitation":"[130]","plainCitation":"[130]","noteIndex":0},"citationItems":[{"id":2089,"uris":["http://zotero.org/users/9870935/items/QKZEVQIE"],"itemData":{"id":2089,"type":"article-journal","abstract":"In recent years, the Oil &amp; Gas industry has been subjected to a progressive electrification process aiming to comply with global environmental requirements on CO2 emissions reduction. High-power electric motors fed by Variable Frequency Drives (VFDs) have replaced gas turbines as drivers for gas compression applications. In Liquefied Natural Gas (LNG) plants, unexpected downturns could be experienced in case of high torsional vibrations of power generations units. These torsional vibrations derive from the interaction among turbine-generator (TG) units and VFDs and are known as Sub-Synchronous Torsional Interactions (SSTIs). SSTIs can lead to instability when the overall electromechanical system lacks sufficient damping. In this scenario, electrical damping assessment is fundamental in order to ensure stability and reliable operation of an LNG plant. Negative electrical damping is strictly related to the negative incremental resistance behavior of the power converters and it is influenced by the converter’s control system. In this paper, a real case study based on Thyristor Variable Frequency Drives (TVFDs) is considered. Ad hoc dynamic models of the power converters and of the TG unit are developed and combined in order to provide an accurate estimation of the electrical damping. It is demonstrated that the electrical damping is affected by variations of the main control system parameters and how the use of a simplified model instead of an ad hoc model can impact the stability evaluation.","container-title":"Energies","DOI":"10.3390/en13102612","ISSN":"1996-1073","issue":"10","journalAbbreviation":"Energies","language":"en","page":"2612","source":"DOI.org (Crossref)","title":"Electrical Damping Assessment and Stability Considerations for a Highly Electrified Liquefied Natural Gas Plant","volume":"13","author":[{"family":"Bongini","given":"Lorenzo"},{"family":"Mastromauro","given":"Rosa Anna"},{"family":"Sgrò","given":"Daniele"},{"family":"Malvaldi","given":"Fabrizio"}],"issued":{"date-parts":[["2020",5,20]]}}}],"schema":"https://github.com/citation-style-language/schema/raw/master/csl-citation.json"} </w:instrText>
      </w:r>
      <w:r>
        <w:fldChar w:fldCharType="separate"/>
      </w:r>
      <w:r w:rsidR="001B74A6" w:rsidRPr="001B74A6">
        <w:t>[130]</w:t>
      </w:r>
      <w:r>
        <w:fldChar w:fldCharType="end"/>
      </w:r>
      <w:r w:rsidRPr="00FE141F">
        <w:t>.</w:t>
      </w:r>
    </w:p>
    <w:p w14:paraId="75B69A05" w14:textId="77777777" w:rsidR="00FE013C" w:rsidRDefault="00FE013C" w:rsidP="004C16FF">
      <w:pPr>
        <w:pStyle w:val="Heading10"/>
        <w:jc w:val="both"/>
        <w:rPr>
          <w:color w:val="auto"/>
        </w:rPr>
      </w:pPr>
      <w:r>
        <w:rPr>
          <w:color w:val="auto"/>
          <w:lang w:eastAsia="zh-CN"/>
        </w:rPr>
        <w:t xml:space="preserve">6. </w:t>
      </w:r>
      <w:r>
        <w:rPr>
          <w:color w:val="auto"/>
        </w:rPr>
        <w:t>Power System Modeling and Simulation</w:t>
      </w:r>
    </w:p>
    <w:p w14:paraId="793FB34A" w14:textId="3DFC4318" w:rsidR="00FE013C" w:rsidRDefault="00FE013C" w:rsidP="004C16FF">
      <w:pPr>
        <w:spacing w:after="120"/>
        <w:ind w:firstLine="480"/>
      </w:pPr>
      <w:r>
        <w:t xml:space="preserve">This section examines the tools, methodologies, and validation approaches for the design and analysis of hybrid microgrid systems for renewable-powered AI data </w:t>
      </w:r>
      <w:r w:rsidR="00580BAE">
        <w:t>center</w:t>
      </w:r>
      <w:r>
        <w:t xml:space="preserve">s. Accurate modelling is essential for predicting system performance under varying operating conditions, </w:t>
      </w:r>
      <w:r w:rsidR="00580BAE">
        <w:t>optimizing</w:t>
      </w:r>
      <w:r>
        <w:t xml:space="preserve"> component sizes, and validating control strategies before deployment.</w:t>
      </w:r>
    </w:p>
    <w:p w14:paraId="1BCE194B" w14:textId="77777777" w:rsidR="00FE013C" w:rsidRDefault="00FE013C" w:rsidP="004C16FF">
      <w:pPr>
        <w:pStyle w:val="Heading20"/>
        <w:jc w:val="both"/>
        <w:rPr>
          <w:color w:val="auto"/>
        </w:rPr>
      </w:pPr>
      <w:r>
        <w:rPr>
          <w:color w:val="auto"/>
        </w:rPr>
        <w:t>6.1. Steady-State Power Flow Analysis</w:t>
      </w:r>
    </w:p>
    <w:p w14:paraId="4CAD0C04" w14:textId="10B0E476" w:rsidR="00FE013C" w:rsidRPr="00970159" w:rsidRDefault="00FE013C" w:rsidP="001B74A6">
      <w:pPr>
        <w:spacing w:after="120"/>
        <w:ind w:firstLine="480"/>
      </w:pPr>
      <w:r w:rsidRPr="00970159">
        <w:lastRenderedPageBreak/>
        <w:t xml:space="preserve">The voltage profile, power flow, and losses derived from the steady-state power flow analysis are the basis for the design of electrical systems, as they define equipment ratings and protection settings. The power flow equations are nonlinear, and the Newton–Raphson method is the standard algorithm used to solve them, requiring four to eight iterations to converge for well-conditioned systems </w:t>
      </w:r>
      <w:r>
        <w:fldChar w:fldCharType="begin"/>
      </w:r>
      <w:r w:rsidR="000B0F03">
        <w:instrText xml:space="preserve"> ADDIN ZOTERO_ITEM CSL_CITATION {"citationID":"R69gUmT3","properties":{"unsorted":false,"formattedCitation":"[61]","plainCitation":"[61]","noteIndex":0},"citationItems":[{"id":2090,"uris":["http://zotero.org/users/9870935/items/MW6JYBRT"],"itemData":{"id":2090,"type":"article-journal","container-title":"IEEE Transactions on Power Systems","DOI":"10.1109/TPWRS.2010.2051168","ISSN":"0885-8950, 1558-0679","issue":"1","journalAbbreviation":"IEEE Trans. Power Syst.","license":"https://ieeexplore.ieee.org/Xplorehelp/downloads/license-information/IEEE.html","page":"12-19","source":"DOI.org (Crossref)","title":"MATPOWER: Steady-State Operations, Planning, and Analysis Tools for Power Systems Research and Education","title-short":"MATPOWER","volume":"26","author":[{"family":"Zimmerman","given":"Ray Daniel"},{"family":"Murillo-Sanchez","given":"Carlos Edmundo"},{"family":"Thomas","given":"Robert John"}],"issued":{"date-parts":[["2011",2]]}}}],"schema":"https://github.com/citation-style-language/schema/raw/master/csl-citation.json"} </w:instrText>
      </w:r>
      <w:r>
        <w:fldChar w:fldCharType="separate"/>
      </w:r>
      <w:r w:rsidR="000B0F03" w:rsidRPr="000B0F03">
        <w:t>[61]</w:t>
      </w:r>
      <w:r>
        <w:fldChar w:fldCharType="end"/>
      </w:r>
      <w:r w:rsidRPr="00970159">
        <w:t xml:space="preserve">. The DC power flow approximation also includes a </w:t>
      </w:r>
      <w:r w:rsidR="00580BAE" w:rsidRPr="00970159">
        <w:t>linearization</w:t>
      </w:r>
      <w:r w:rsidRPr="00970159">
        <w:t xml:space="preserve"> of the AC power flow equations, omitting reactive power and voltage magnitude changes, and leads to computationally efficient results appropriate for screening-level analysis and large-scale system studies</w:t>
      </w:r>
      <w:r>
        <w:fldChar w:fldCharType="begin"/>
      </w:r>
      <w:r w:rsidR="001B74A6">
        <w:instrText xml:space="preserve"> ADDIN ZOTERO_ITEM CSL_CITATION {"citationID":"mJtqhMx4","properties":{"unsorted":false,"formattedCitation":"[131]","plainCitation":"[131]","noteIndex":0},"citationItems":[{"id":2091,"uris":["http://zotero.org/users/9870935/items/P7FFXDCA"],"itemData":{"id":2091,"type":"article-journal","container-title":"IEEE Transactions on Power Systems","DOI":"10.1109/59.99396","ISSN":"08858950","issue":"4","journalAbbreviation":"IEEE Trans. Power Syst.","license":"https://ieeexplore.ieee.org/Xplorehelp/downloads/license-information/IEEE.html","page":"1425-1431","source":"DOI.org (Crossref)","title":"Fast decoupled load flow: hypothesis, derivations, and testing","title-short":"Fast decoupled load flow","volume":"5","author":[{"family":"Monticelli","given":"A.J."},{"family":"Garcia","given":"A."},{"family":"Saavedra","given":"O.R."}],"issued":{"date-parts":[["1990",11]]}}}],"schema":"https://github.com/citation-style-language/schema/raw/master/csl-citation.json"} </w:instrText>
      </w:r>
      <w:r>
        <w:fldChar w:fldCharType="separate"/>
      </w:r>
      <w:r w:rsidR="001B74A6" w:rsidRPr="001B74A6">
        <w:t>[131]</w:t>
      </w:r>
      <w:r>
        <w:fldChar w:fldCharType="end"/>
      </w:r>
      <w:r w:rsidRPr="00970159">
        <w:t>.</w:t>
      </w:r>
    </w:p>
    <w:p w14:paraId="25B2D104" w14:textId="75C55849" w:rsidR="00FE013C" w:rsidRPr="00970159" w:rsidRDefault="00FE013C" w:rsidP="001B74A6">
      <w:pPr>
        <w:spacing w:after="120"/>
        <w:ind w:firstLine="480"/>
      </w:pPr>
      <w:r w:rsidRPr="00970159">
        <w:t xml:space="preserve">Optimal power flow (OPF) is an extension of the basic power flow formulation with an objective function (typically cost or loss </w:t>
      </w:r>
      <w:r w:rsidR="00580BAE" w:rsidRPr="00970159">
        <w:t>minimization</w:t>
      </w:r>
      <w:r w:rsidRPr="00970159">
        <w:t xml:space="preserve">) and operational constraints on voltage magnitudes, line flows, and generator outputs. OPF can be employed in renewable-powered data </w:t>
      </w:r>
      <w:r w:rsidR="00580BAE">
        <w:t>center</w:t>
      </w:r>
      <w:r w:rsidRPr="00970159">
        <w:t xml:space="preserve">s to </w:t>
      </w:r>
      <w:r w:rsidR="00580BAE" w:rsidRPr="00970159">
        <w:t>optimize</w:t>
      </w:r>
      <w:r w:rsidRPr="00970159">
        <w:t xml:space="preserve"> the dispatch of renewable generators, battery storage, and grid interconnection to </w:t>
      </w:r>
      <w:r w:rsidR="00580BAE" w:rsidRPr="00970159">
        <w:t>minimize</w:t>
      </w:r>
      <w:r w:rsidRPr="00970159">
        <w:t xml:space="preserve"> energy costs while maintaining power quality and reliability</w:t>
      </w:r>
      <w:r>
        <w:fldChar w:fldCharType="begin"/>
      </w:r>
      <w:r w:rsidR="001B74A6">
        <w:instrText xml:space="preserve"> ADDIN ZOTERO_ITEM CSL_CITATION {"citationID":"ZkcxuEkd","properties":{"unsorted":false,"formattedCitation":"[132]","plainCitation":"[132]","noteIndex":0},"citationItems":[{"id":2092,"uris":["http://zotero.org/users/9870935/items/5VTNPVIA"],"itemData":{"id":2092,"type":"article-journal","container-title":"IEEE Transactions on Power Systems","DOI":"10.1109/59.76723","ISSN":"08858950","issue":"2","journalAbbreviation":"IEEE Trans. Power Syst.","license":"https://ieeexplore.ieee.org/Xplorehelp/downloads/license-information/IEEE.html","page":"762-770","source":"DOI.org (Crossref)","title":"A survey of the optimal power flow literature","volume":"6","author":[{"family":"Huneault","given":"M."},{"family":"Galiana","given":"F.D."}],"issued":{"date-parts":[["1991",5]]}}}],"schema":"https://github.com/citation-style-language/schema/raw/master/csl-citation.json"} </w:instrText>
      </w:r>
      <w:r>
        <w:fldChar w:fldCharType="separate"/>
      </w:r>
      <w:r w:rsidR="001B74A6" w:rsidRPr="001B74A6">
        <w:t>[132]</w:t>
      </w:r>
      <w:r>
        <w:fldChar w:fldCharType="end"/>
      </w:r>
      <w:r w:rsidRPr="00970159">
        <w:t>. In contingency analysis, which is based on the N-1 reliability criterion, the performance of a system is tested when one component fails to ensure that the system can still operate satisfactorily after this failure</w:t>
      </w:r>
      <w:r>
        <w:fldChar w:fldCharType="begin"/>
      </w:r>
      <w:r w:rsidR="001B74A6">
        <w:instrText xml:space="preserve"> ADDIN ZOTERO_ITEM CSL_CITATION {"citationID":"ipICDqP7","properties":{"unsorted":false,"formattedCitation":"[133]","plainCitation":"[133]","noteIndex":0},"citationItems":[{"id":2093,"uris":["http://zotero.org/users/9870935/items/LIMXCIJ4"],"itemData":{"id":2093,"type":"paper-conference","container-title":"2016 IEEE Power and Energy Society General Meeting (PESGM)","DOI":"10.1109/PESGM.2016.7741072","event-title":"2016 IEEE Power and Energy Society General Meeting (PESGM)","ISBN":"978-1-5090-4168-8","page":"1-5","publisher":"IEEE","publisher-place":"Boston, MA, USA","source":"DOI.org (Crossref)","title":"NERC TPL-001-4 transient voltage performance compliance study - criteria development, study methodology and case studies","URL":"http://ieeexplore.ieee.org/document/7741072/","author":[{"literal":"Xiaokang Xu"},{"family":"Kandlawala","given":"M. Fareed"},{"literal":"Ming Wu"}],"accessed":{"date-parts":[["2026",5,18]]},"issued":{"date-parts":[["2016",7]]}}}],"schema":"https://github.com/citation-style-language/schema/raw/master/csl-citation.json"} </w:instrText>
      </w:r>
      <w:r>
        <w:fldChar w:fldCharType="separate"/>
      </w:r>
      <w:r w:rsidR="001B74A6" w:rsidRPr="001B74A6">
        <w:t>[133]</w:t>
      </w:r>
      <w:r>
        <w:fldChar w:fldCharType="end"/>
      </w:r>
      <w:r w:rsidRPr="00970159">
        <w:t xml:space="preserve">. The tools often used for power flow analysis are MATPOWER, an open-source MATLAB toolbox; PSS/E, a commercial tool; and </w:t>
      </w:r>
      <w:proofErr w:type="spellStart"/>
      <w:r w:rsidRPr="00970159">
        <w:t>DIgSILENT</w:t>
      </w:r>
      <w:proofErr w:type="spellEnd"/>
      <w:r w:rsidRPr="00970159">
        <w:t xml:space="preserve"> </w:t>
      </w:r>
      <w:proofErr w:type="spellStart"/>
      <w:r w:rsidRPr="00970159">
        <w:t>PowerFactory</w:t>
      </w:r>
      <w:proofErr w:type="spellEnd"/>
      <w:r w:rsidRPr="00970159">
        <w:t>, a commercial and popular tool in Europe</w:t>
      </w:r>
      <w:r>
        <w:fldChar w:fldCharType="begin"/>
      </w:r>
      <w:r w:rsidR="001B74A6">
        <w:instrText xml:space="preserve"> ADDIN ZOTERO_ITEM CSL_CITATION {"citationID":"BkNp7by7","properties":{"unsorted":false,"formattedCitation":"[134]","plainCitation":"[134]","noteIndex":0},"citationItems":[{"id":2094,"uris":["http://zotero.org/users/9870935/items/4RTVK2FK"],"itemData":{"id":2094,"type":"paper-conference","container-title":"2019 International Conference on Clean Electrical Power (ICCEP)","DOI":"10.1109/ICCEP.2019.8890163","event-title":"2019 International Conference on Clean Electrical Power (ICCEP)","ISBN":"978-1-7281-1356-2","license":"https://ieeexplore.ieee.org/Xplorehelp/downloads/license-information/IEEE.html","page":"82-86","publisher":"IEEE","publisher-place":"Otranto, Italy","source":"DOI.org (Crossref)","title":"Comparison of different tools for power flow analysis with high wind power integration","URL":"https://ieeexplore.ieee.org/document/8890163/","author":[{"family":"Fernandez-Guillamon","given":"A."},{"family":"Molina-Garcia","given":"A."},{"family":"Das","given":"K."},{"family":"Altin","given":"M."}],"accessed":{"date-parts":[["2026",5,18]]},"issued":{"date-parts":[["2019",7]]}}}],"schema":"https://github.com/citation-style-language/schema/raw/master/csl-citation.json"} </w:instrText>
      </w:r>
      <w:r>
        <w:fldChar w:fldCharType="separate"/>
      </w:r>
      <w:r w:rsidR="001B74A6" w:rsidRPr="001B74A6">
        <w:t>[134]</w:t>
      </w:r>
      <w:r>
        <w:fldChar w:fldCharType="end"/>
      </w:r>
      <w:r w:rsidRPr="00970159">
        <w:t>.</w:t>
      </w:r>
    </w:p>
    <w:p w14:paraId="58095EF1" w14:textId="77777777" w:rsidR="00FE013C" w:rsidRDefault="00FE013C" w:rsidP="004C16FF">
      <w:pPr>
        <w:pStyle w:val="Heading20"/>
        <w:jc w:val="both"/>
        <w:rPr>
          <w:color w:val="auto"/>
        </w:rPr>
      </w:pPr>
      <w:r>
        <w:rPr>
          <w:color w:val="auto"/>
        </w:rPr>
        <w:t>6.2. Transient Stability and Grid Dynamics</w:t>
      </w:r>
    </w:p>
    <w:p w14:paraId="7A8C313E" w14:textId="4BA3A706" w:rsidR="00FE013C" w:rsidRPr="0070515F" w:rsidRDefault="00FE013C" w:rsidP="001B74A6">
      <w:pPr>
        <w:spacing w:after="120"/>
        <w:ind w:firstLine="480"/>
      </w:pPr>
      <w:r w:rsidRPr="0070515F">
        <w:t xml:space="preserve">Transient stability analysis involves studying the transient dynamic response of the power system after a large fault, generator trip, or sudden load change. Transient stability is also an important issue for microgrids in data </w:t>
      </w:r>
      <w:r w:rsidR="00580BAE">
        <w:t>center</w:t>
      </w:r>
      <w:r w:rsidRPr="0070515F">
        <w:t xml:space="preserve">s with high renewable penetration owing to the lack of inherent rotational inertia in inverter-based resources. Virtual inertia can be achieved by grid-forming inverters, where the reference voltage and frequency are generated by the inverter without using a grid </w:t>
      </w:r>
      <w:r w:rsidR="00580BAE" w:rsidRPr="0070515F">
        <w:t>synchronizing</w:t>
      </w:r>
      <w:r w:rsidRPr="0070515F">
        <w:t xml:space="preserve"> signal, by controlling their dynamic response, as that of a synchronous machine</w:t>
      </w:r>
      <w:r>
        <w:fldChar w:fldCharType="begin"/>
      </w:r>
      <w:r w:rsidR="001B74A6">
        <w:instrText xml:space="preserve"> ADDIN ZOTERO_ITEM CSL_CITATION {"citationID":"EnZx5jNZ","properties":{"unsorted":false,"formattedCitation":"[18], [135]","plainCitation":"[18], [135]","noteIndex":0},"citationItems":[{"id":1927,"uris":["http://zotero.org/users/9870935/items/PZK7R79L"],"itemData":{"id":1927,"type":"article-journal","abstract":"The penetration of distributed energy resources in electrical grids has been steadily increasing in an effort to reduce greenhouse gas emissions. Inverters, as interfaces between distributed energy resources and grids, have become critical assets in modern power systems. In recent years, the development and application of grid-forming inverters have gained significant traction due to their capability of supporting power grid operations. A comprehensive review of grid-forming inverters is presented for power system applications. A comparison between grid-forming inverters and grid-following inverters is conducted in terms of their functionalities to highlight the potential of grid-forming inverter technologies in support of power system stability and resiliency. In addition, advanced control strategies integrated into grid-forming inverters under various operation conditions are presented through reviewing the innovations introduced in recent literature and in industrial applications. This paper is intended to provide an updated reference regarding grid-forming inverters for power system applications to researchers and practitioners in the field of power electronics.","container-title":"Chinese Journal of Electrical Engineering","DOI":"10.23919/CJEE.2022.000001","ISSN":"2096-1529","issue":"1","journalAbbreviation":"Chin. J. Electr. Eng.","language":"en","page":"1-15","source":"DOI.org (Crossref)","title":"Review of Grid-forming Inverters in Support of Power System Operation","volume":"8","author":[{"family":"Song","given":"Guanhong"},{"family":"Cao","given":"Bo"},{"family":"Chang","given":"Liuchen"}],"issued":{"date-parts":[["2022",3]]}}},{"id":2095,"uris":["http://zotero.org/users/9870935/items/GBR6LIAE"],"itemData":{"id":2095,"type":"paper-conference","container-title":"2024 IEEE PES Innovative Smart Grid Technologies Europe (ISGT EUROPE)","DOI":"10.1109/ISGTEUROPE62998.2024.10863434","event-title":"2024 IEEE PES Innovative Smart Grid Technologies Europe (ISGT EUROPE)","ISBN":"979-8-3503-9042-1","license":"https://doi.org/10.15223/policy-029","page":"1-5","publisher":"IEEE","publisher-place":"Dubrovnik, Croatia","source":"DOI.org (Crossref)","title":"Power System Stability Improvements Through Grid Forming Inverters for Systems with High Penetration of Grid Following Inverters","URL":"https://ieeexplore.ieee.org/document/10863434/","author":[{"family":"Geekiyanage","given":"Viduruwan"},{"family":"Seppänen","given":"Janne"}],"accessed":{"date-parts":[["2026",5,18]]},"issued":{"date-parts":[["2024",10,14]]}}}],"schema":"https://github.com/citation-style-language/schema/raw/master/csl-citation.json"} </w:instrText>
      </w:r>
      <w:r>
        <w:fldChar w:fldCharType="separate"/>
      </w:r>
      <w:r w:rsidR="001B74A6" w:rsidRPr="001B74A6">
        <w:t>[18], [135]</w:t>
      </w:r>
      <w:r>
        <w:fldChar w:fldCharType="end"/>
      </w:r>
      <w:r w:rsidRPr="0070515F">
        <w:t>. The transition from on-grid to off-grid (islanded operation) is a significant transient event that occurs when the utility grid suffers a disturbance, and for which careful design of inverter control parameters, protection settings, and load shedding schemes is required</w:t>
      </w:r>
      <w:r>
        <w:fldChar w:fldCharType="begin"/>
      </w:r>
      <w:r w:rsidR="001B74A6">
        <w:instrText xml:space="preserve"> ADDIN ZOTERO_ITEM CSL_CITATION {"citationID":"AdxixQhk","properties":{"unsorted":false,"formattedCitation":"[136]","plainCitation":"[136]","noteIndex":0},"citationItems":[{"id":2096,"uris":["http://zotero.org/users/9870935/items/M5N4Z7YA"],"itemData":{"id":2096,"type":"standard","DOI":"10.1109/IEEESTD.2018.8340204","ISBN":"978-1-5044-4515-3","license":"https://doi.org/10.15223/policy-029","publisher":"IEEE","source":"DOI.org (Crossref)","title":"IEEE Standard for the Specification of Microgrid Controllers","URL":"https://ieeexplore.ieee.org/document/8340204/","accessed":{"date-parts":[["2026",5,18]]}}}],"schema":"https://github.com/citation-style-language/schema/raw/master/csl-citation.json"} </w:instrText>
      </w:r>
      <w:r>
        <w:fldChar w:fldCharType="separate"/>
      </w:r>
      <w:r w:rsidR="001B74A6" w:rsidRPr="001B74A6">
        <w:t>[136]</w:t>
      </w:r>
      <w:r>
        <w:fldChar w:fldCharType="end"/>
      </w:r>
      <w:r w:rsidRPr="0070515F">
        <w:t>.</w:t>
      </w:r>
    </w:p>
    <w:p w14:paraId="6F4A14BA" w14:textId="576128F7" w:rsidR="00FE013C" w:rsidRPr="0070515F" w:rsidRDefault="00FE013C" w:rsidP="001B74A6">
      <w:pPr>
        <w:spacing w:after="120"/>
        <w:ind w:firstLine="480"/>
      </w:pPr>
      <w:r w:rsidRPr="0070515F">
        <w:t xml:space="preserve">The challenge of PLL stability arises with increasing renewable penetration. However, PLL-based grid-following inverters can suffer from oscillatory operation or complete loss of </w:t>
      </w:r>
      <w:r w:rsidR="00580BAE" w:rsidRPr="0070515F">
        <w:t>synchronization</w:t>
      </w:r>
      <w:r w:rsidRPr="0070515F">
        <w:t xml:space="preserve"> in weak grid conditions when the short circuit ratio (SCR) at the point of interconnection is low, which can cause cascading failures</w:t>
      </w:r>
      <w:r>
        <w:fldChar w:fldCharType="begin"/>
      </w:r>
      <w:r w:rsidR="001B74A6">
        <w:instrText xml:space="preserve"> ADDIN ZOTERO_ITEM CSL_CITATION {"citationID":"nNqJkW4n","properties":{"unsorted":false,"formattedCitation":"[137]","plainCitation":"[137]","noteIndex":0},"citationItems":[{"id":2097,"uris":["http://zotero.org/users/9870935/items/KGQXJHH9"],"itemData":{"id":2097,"type":"article-journal","container-title":"IEEE Access","DOI":"10.1109/ACCESS.2025.3546491","ISSN":"2169-3536","journalAbbreviation":"IEEE Access","license":"https://creativecommons.org/licenses/by/4.0/legalcode","page":"39912-39934","source":"DOI.org (Crossref)","title":"Power System Stability With High Penetration of Renewable Energy Sources: Challenges, Assessment, and Mitigation Strategies","title-short":"Power System Stability With High Penetration of Renewable Energy Sources","volume":"13","author":[{"family":"Ali","given":"Jana Sheikh"},{"family":"Qiblawey","given":"Yazan"},{"family":"Alassi","given":"Abdulrahman"},{"family":"Massoud","given":"Ahmed M."},{"family":"Muyeen","given":"S. M."},{"family":"Abu-Rub","given":"Haitham"}],"issued":{"date-parts":[["2025"]]}}}],"schema":"https://github.com/citation-style-language/schema/raw/master/csl-citation.json"} </w:instrText>
      </w:r>
      <w:r>
        <w:fldChar w:fldCharType="separate"/>
      </w:r>
      <w:r w:rsidR="001B74A6" w:rsidRPr="001B74A6">
        <w:t>[137]</w:t>
      </w:r>
      <w:r>
        <w:fldChar w:fldCharType="end"/>
      </w:r>
      <w:r w:rsidRPr="0070515F">
        <w:t>. There are several well-documented examples of the occurrence of the sub-synchronous resonance (SSR) phenomenon between the inverter controls and series-compensated (SC) transmission lines, and these interactions require detailed electromagnetic transient (EMT) simulation studies for grid-connected renewable plants</w:t>
      </w:r>
      <w:r>
        <w:fldChar w:fldCharType="begin"/>
      </w:r>
      <w:r w:rsidR="001B74A6">
        <w:instrText xml:space="preserve"> ADDIN ZOTERO_ITEM CSL_CITATION {"citationID":"VvGA3otY","properties":{"unsorted":false,"formattedCitation":"[138]","plainCitation":"[138]","noteIndex":0},"citationItems":[{"id":2100,"uris":["http://zotero.org/users/9870935/items/CW9DIYPL"],"itemData":{"id":2100,"type":"document","title":"Inverter-Based Resource Performance Issues","URL":"https://www.nerc.com/globalassets/programs/bpsa/alerts/2023/nerc-alert-r-2023-03-14-01-level-2---inverter-based-resource-performance-issues.pdf","author":[{"family":"NERC","given":""}]}}],"schema":"https://github.com/citation-style-language/schema/raw/master/csl-citation.json"} </w:instrText>
      </w:r>
      <w:r>
        <w:fldChar w:fldCharType="separate"/>
      </w:r>
      <w:r w:rsidR="001B74A6" w:rsidRPr="001B74A6">
        <w:t>[138]</w:t>
      </w:r>
      <w:r>
        <w:fldChar w:fldCharType="end"/>
      </w:r>
      <w:r w:rsidRPr="0070515F">
        <w:t>.</w:t>
      </w:r>
    </w:p>
    <w:p w14:paraId="080A117E" w14:textId="77777777" w:rsidR="00FE013C" w:rsidRDefault="00FE013C" w:rsidP="004C16FF">
      <w:pPr>
        <w:pStyle w:val="Heading20"/>
        <w:jc w:val="both"/>
        <w:rPr>
          <w:color w:val="auto"/>
        </w:rPr>
      </w:pPr>
      <w:r>
        <w:rPr>
          <w:color w:val="auto"/>
        </w:rPr>
        <w:t>6.3. Harmonic Analysis and Power Quality</w:t>
      </w:r>
    </w:p>
    <w:p w14:paraId="054DD43C" w14:textId="40F11B2E" w:rsidR="00FE013C" w:rsidRPr="00637E25" w:rsidRDefault="00FE013C" w:rsidP="000B0F03">
      <w:pPr>
        <w:spacing w:after="120"/>
        <w:ind w:firstLine="480"/>
      </w:pPr>
      <w:r w:rsidRPr="00637E25">
        <w:t xml:space="preserve">Harmonic analysis is crucial to ensure compliance with power quality standards set in IEEE 519 and to help develop the correct mitigation. The harmonic profile of a data </w:t>
      </w:r>
      <w:r w:rsidR="00580BAE">
        <w:t>center</w:t>
      </w:r>
      <w:r w:rsidRPr="00637E25">
        <w:t xml:space="preserve"> microgrid depends on the combined effect of all the data </w:t>
      </w:r>
      <w:r w:rsidR="00580BAE">
        <w:t>center</w:t>
      </w:r>
      <w:r w:rsidRPr="00637E25">
        <w:t xml:space="preserve"> nonlinear loads such as IT equipment SMPSs, cooling system VFDs, LED lights, and the harmonic currents produced by the renewable inverter</w:t>
      </w:r>
      <w:r>
        <w:fldChar w:fldCharType="begin"/>
      </w:r>
      <w:r>
        <w:instrText xml:space="preserve"> ADDIN ZOTERO_ITEM CSL_CITATION {"citationID":"rFvXbkfi","properties":{"unsorted":false,"formattedCitation":"[22]","plainCitation":"[22]","noteIndex":0},"citationItems":[{"id":1944,"uris":["http://zotero.org/users/9870935/items/XZS2JQRQ"],"itemData":{"id":1944,"type":"standard","DOI":"10.1109/IEEESTD.2022.9848440","ISBN":"978-1-5044-8727-6","license":"https://doi.org/10.15223/policy-029","publisher":"IEEE","source":"DOI.org (Crossref)","title":"IEEE Standard for Harmonic Control in Electric Power Systems","URL":"https://ieeexplore.ieee.org/document/9848440/","accessed":{"date-parts":[["2026",5,10]]}}}],"schema":"https://github.com/citation-style-language/schema/raw/master/csl-citation.json"} </w:instrText>
      </w:r>
      <w:r>
        <w:fldChar w:fldCharType="separate"/>
      </w:r>
      <w:r w:rsidRPr="00C44659">
        <w:t>[22]</w:t>
      </w:r>
      <w:r>
        <w:fldChar w:fldCharType="end"/>
      </w:r>
      <w:r w:rsidRPr="00637E25">
        <w:t xml:space="preserve">. Frequency-domain analysis techniques such as Fourier decomposition and harmonic impedance </w:t>
      </w:r>
      <w:r w:rsidRPr="00637E25">
        <w:lastRenderedPageBreak/>
        <w:t>scanning are employed to detect resonance conditions which could increase the level of specific harmonic orders</w:t>
      </w:r>
      <w:r>
        <w:fldChar w:fldCharType="begin"/>
      </w:r>
      <w:r w:rsidR="000B0F03">
        <w:instrText xml:space="preserve"> ADDIN ZOTERO_ITEM CSL_CITATION {"citationID":"9pAXEXox","properties":{"unsorted":false,"formattedCitation":"[62]","plainCitation":"[62]","noteIndex":0},"citationItems":[{"id":2101,"uris":["http://zotero.org/users/9870935/items/VB4B8XL6"],"itemData":{"id":2101,"type":"book","DOI":"10.1002/9781118887059","edition":"1","ISBN":"978-1-118-86162-2","language":"en","publisher":"Wiley","source":"DOI.org (Crossref)","title":"Power System Harmonics and Passive Filter Designs","URL":"https://onlinelibrary.wiley.com/doi/book/10.1002/9781118887059","author":[{"family":"Das","given":"J. C."}],"accessed":{"date-parts":[["2026",5,18]]},"issued":{"date-parts":[["2015",3,16]]}}}],"schema":"https://github.com/citation-style-language/schema/raw/master/csl-citation.json"} </w:instrText>
      </w:r>
      <w:r>
        <w:fldChar w:fldCharType="separate"/>
      </w:r>
      <w:r w:rsidR="000B0F03" w:rsidRPr="000B0F03">
        <w:t>[62]</w:t>
      </w:r>
      <w:r>
        <w:fldChar w:fldCharType="end"/>
      </w:r>
      <w:r w:rsidRPr="00637E25">
        <w:t>.</w:t>
      </w:r>
    </w:p>
    <w:p w14:paraId="15D3C3E3" w14:textId="1FD0727E" w:rsidR="00FE013C" w:rsidRPr="00637E25" w:rsidRDefault="00FE013C" w:rsidP="001B74A6">
      <w:pPr>
        <w:spacing w:after="120"/>
        <w:ind w:firstLine="480"/>
      </w:pPr>
      <w:r w:rsidRPr="00637E25">
        <w:t xml:space="preserve">Passive filters (tuned LC circuits), active power filters (APFs), multi-pulse rectifier configurations, and advanced inverter control algorithms can be used to reduce harmonic current injection </w:t>
      </w:r>
      <w:r>
        <w:fldChar w:fldCharType="begin"/>
      </w:r>
      <w:r w:rsidR="000B0F03">
        <w:instrText xml:space="preserve"> ADDIN ZOTERO_ITEM CSL_CITATION {"citationID":"mqXTld0r","properties":{"unsorted":false,"formattedCitation":"[62]","plainCitation":"[62]","noteIndex":0},"citationItems":[{"id":2101,"uris":["http://zotero.org/users/9870935/items/VB4B8XL6"],"itemData":{"id":2101,"type":"book","DOI":"10.1002/9781118887059","edition":"1","ISBN":"978-1-118-86162-2","language":"en","publisher":"Wiley","source":"DOI.org (Crossref)","title":"Power System Harmonics and Passive Filter Designs","URL":"https://onlinelibrary.wiley.com/doi/book/10.1002/9781118887059","author":[{"family":"Das","given":"J. C."}],"accessed":{"date-parts":[["2026",5,18]]},"issued":{"date-parts":[["2015",3,16]]}}}],"schema":"https://github.com/citation-style-language/schema/raw/master/csl-citation.json"} </w:instrText>
      </w:r>
      <w:r>
        <w:fldChar w:fldCharType="separate"/>
      </w:r>
      <w:r w:rsidR="000B0F03" w:rsidRPr="000B0F03">
        <w:t>[62]</w:t>
      </w:r>
      <w:r>
        <w:fldChar w:fldCharType="end"/>
      </w:r>
      <w:r w:rsidRPr="00637E25">
        <w:t xml:space="preserve">. The choice of mitigation technology depends on the harmonic spectrum, loading dynamics, and cost considerations. Active filters are the preferred choice for AI data </w:t>
      </w:r>
      <w:r w:rsidR="00580BAE">
        <w:t>center</w:t>
      </w:r>
      <w:r w:rsidRPr="00637E25">
        <w:t>s, where the loads are often irregular, as they can continuously adapt to shifts in the harmonic profile</w:t>
      </w:r>
      <w:r>
        <w:fldChar w:fldCharType="begin"/>
      </w:r>
      <w:r w:rsidR="001B74A6">
        <w:instrText xml:space="preserve"> ADDIN ZOTERO_ITEM CSL_CITATION {"citationID":"dBxza6Dz","properties":{"unsorted":false,"formattedCitation":"[139]","plainCitation":"[139]","noteIndex":0},"citationItems":[{"id":2102,"uris":["http://zotero.org/users/9870935/items/V6QTZZ73"],"itemData":{"id":2102,"type":"article-journal","abstract":"Power quality issues have become a critical concern in modern industrial systems due to the increasing use of nonlinear loads, power electronic converters, and renewable energy integration. These factors significantly contribute to harmonic distortion, reactive power imbalance, voltage fluctuations, and reduced power factor, which can degrade system performance and shorten equipment lifespan. This study aims to analyze the effectiveness of active power filters in improving power quality in industrial environments. The research adopts a qualitative analytical approach by synthesizing recent empirical and simulation-based studies on shunt, series, and hybrid active power filter configurations. The findings indicate that active power filters provide superior harmonic mitigation, dynamic reactive power compensation, and voltage stabilization compared to conventional passive solutions. Shunt active power filters are particularly effective in reducing current harmonics, while series active power filters address voltage-related disturbances such as sags and swells. The study concludes that active power filters represent a robust and flexible solution for enhancing industrial power quality, supporting compliance with international standards and improving overall system reliability.","container-title":"RESWARA: Jurnal Riset Ilmu Teknik","DOI":"10.70716/reswara.v3i2.404","ISSN":"3025-9444","issue":"2","journalAbbreviation":"Reswara J. Ris. Ilmu Tek.","license":"https://creativecommons.org/licenses/by-sa/4.0","page":"44-50","source":"DOI.org (Crossref)","title":"Power Quality Improvement Using Active Power Filters in Industrial Systems","volume":"3","author":[{"family":"Anindya","given":"Mikaela Shopie"},{"family":"Zaro","given":"Fouad"},{"family":"Popescu","given":"Mihaela"}],"issued":{"date-parts":[["2025",4,26]]}}}],"schema":"https://github.com/citation-style-language/schema/raw/master/csl-citation.json"} </w:instrText>
      </w:r>
      <w:r>
        <w:fldChar w:fldCharType="separate"/>
      </w:r>
      <w:r w:rsidR="001B74A6" w:rsidRPr="001B74A6">
        <w:t>[139]</w:t>
      </w:r>
      <w:r>
        <w:fldChar w:fldCharType="end"/>
      </w:r>
      <w:r w:rsidRPr="00637E25">
        <w:t>.</w:t>
      </w:r>
    </w:p>
    <w:p w14:paraId="780E96E1" w14:textId="77777777" w:rsidR="00FE013C" w:rsidRDefault="00FE013C" w:rsidP="004C16FF">
      <w:pPr>
        <w:pStyle w:val="Heading20"/>
        <w:jc w:val="both"/>
        <w:rPr>
          <w:color w:val="auto"/>
        </w:rPr>
      </w:pPr>
      <w:r>
        <w:rPr>
          <w:color w:val="auto"/>
        </w:rPr>
        <w:t>6.4. Microgrid Modeling Frameworks</w:t>
      </w:r>
    </w:p>
    <w:p w14:paraId="62BF3783" w14:textId="7BB6BBF4" w:rsidR="00FE013C" w:rsidRPr="0014185D" w:rsidRDefault="00FE013C" w:rsidP="001B74A6">
      <w:pPr>
        <w:spacing w:after="120"/>
        <w:ind w:firstLine="480"/>
      </w:pPr>
      <w:r w:rsidRPr="0014185D">
        <w:t xml:space="preserve">There are a variety of software packages for microgrid modelling and simulation, ranging in fidelity and efficiency. HOMER (Hybrid Optimization Model for Electric Renewables), developed by NREL and Modeled by UL Solutions, is a dispatch simulation that combines economic </w:t>
      </w:r>
      <w:r w:rsidR="00580BAE" w:rsidRPr="0014185D">
        <w:t>optimization</w:t>
      </w:r>
      <w:r w:rsidRPr="0014185D">
        <w:t xml:space="preserve"> and is particularly useful for sizing applications and comparison of technologies</w:t>
      </w:r>
      <w:r>
        <w:fldChar w:fldCharType="begin"/>
      </w:r>
      <w:r w:rsidR="001B74A6">
        <w:instrText xml:space="preserve"> ADDIN ZOTERO_ITEM CSL_CITATION {"citationID":"TEOEDiB7","properties":{"unsorted":false,"formattedCitation":"[140]","plainCitation":"[140]","noteIndex":0},"citationItems":[{"id":2104,"uris":["http://zotero.org/users/9870935/items/VUEBTNAU"],"itemData":{"id":2104,"type":"post-weblog","title":"Microgrid and Hybrid Power Modeling","URL":"https://homerenergy.com/","author":[{"family":"HOMER","given":""}]}}],"schema":"https://github.com/citation-style-language/schema/raw/master/csl-citation.json"} </w:instrText>
      </w:r>
      <w:r>
        <w:fldChar w:fldCharType="separate"/>
      </w:r>
      <w:r w:rsidR="001B74A6" w:rsidRPr="001B74A6">
        <w:t>[140]</w:t>
      </w:r>
      <w:r>
        <w:fldChar w:fldCharType="end"/>
      </w:r>
      <w:r w:rsidRPr="0014185D">
        <w:t>. HOMER Pro has built-in component models of solar PV, wind turbines, batteries, generators, and grid interconnection, and sensitivity analysis to explore parameter uncertainty. However, HOMER’s hourly time resolution may not be adequate for sub-hourly phenomena, such as frequency regulation and voltage transients.</w:t>
      </w:r>
    </w:p>
    <w:p w14:paraId="5CC18D81" w14:textId="6519062A" w:rsidR="00FE013C" w:rsidRPr="0014185D" w:rsidRDefault="00FE013C" w:rsidP="001B74A6">
      <w:pPr>
        <w:spacing w:after="120"/>
        <w:ind w:firstLine="480"/>
      </w:pPr>
      <w:r w:rsidRPr="0014185D">
        <w:t xml:space="preserve">For detailed electromagnetic transient simulations, MATLAB Simulink with the </w:t>
      </w:r>
      <w:proofErr w:type="spellStart"/>
      <w:r w:rsidRPr="0014185D">
        <w:t>Simscape</w:t>
      </w:r>
      <w:proofErr w:type="spellEnd"/>
      <w:r w:rsidRPr="0014185D">
        <w:t xml:space="preserve"> Electrical toolbox delivers analysis of the dynamics of inverter control, protection system co-ordination, and fast-switching power electronics. Several open-source tools are available, such as </w:t>
      </w:r>
      <w:proofErr w:type="spellStart"/>
      <w:r w:rsidRPr="0014185D">
        <w:t>Pandapower</w:t>
      </w:r>
      <w:proofErr w:type="spellEnd"/>
      <w:r w:rsidRPr="0014185D">
        <w:t xml:space="preserve"> (Python power flow), </w:t>
      </w:r>
      <w:r w:rsidRPr="002A1323">
        <w:t>PYPOWER (a Python port of the MATPOWER optimal power flow toolbox)</w:t>
      </w:r>
      <w:r w:rsidRPr="0014185D">
        <w:t xml:space="preserve">, and </w:t>
      </w:r>
      <w:proofErr w:type="spellStart"/>
      <w:r w:rsidRPr="0014185D">
        <w:t>OpenModelica</w:t>
      </w:r>
      <w:proofErr w:type="spellEnd"/>
      <w:r w:rsidRPr="0014185D">
        <w:t xml:space="preserve"> (equation-based modelling) for research and preliminary engineering studies</w:t>
      </w:r>
      <w:r>
        <w:fldChar w:fldCharType="begin"/>
      </w:r>
      <w:r w:rsidR="000B0F03">
        <w:instrText xml:space="preserve"> ADDIN ZOTERO_ITEM CSL_CITATION {"citationID":"9MlNjf5g","properties":{"unsorted":false,"formattedCitation":"[61]","plainCitation":"[61]","noteIndex":0},"citationItems":[{"id":2090,"uris":["http://zotero.org/users/9870935/items/MW6JYBRT"],"itemData":{"id":2090,"type":"article-journal","container-title":"IEEE Transactions on Power Systems","DOI":"10.1109/TPWRS.2010.2051168","ISSN":"0885-8950, 1558-0679","issue":"1","journalAbbreviation":"IEEE Trans. Power Syst.","license":"https://ieeexplore.ieee.org/Xplorehelp/downloads/license-information/IEEE.html","page":"12-19","source":"DOI.org (Crossref)","title":"MATPOWER: Steady-State Operations, Planning, and Analysis Tools for Power Systems Research and Education","title-short":"MATPOWER","volume":"26","author":[{"family":"Zimmerman","given":"Ray Daniel"},{"family":"Murillo-Sanchez","given":"Carlos Edmundo"},{"family":"Thomas","given":"Robert John"}],"issued":{"date-parts":[["2011",2]]}}}],"schema":"https://github.com/citation-style-language/schema/raw/master/csl-citation.json"} </w:instrText>
      </w:r>
      <w:r>
        <w:fldChar w:fldCharType="separate"/>
      </w:r>
      <w:r w:rsidR="000B0F03" w:rsidRPr="000B0F03">
        <w:t>[61]</w:t>
      </w:r>
      <w:r>
        <w:fldChar w:fldCharType="end"/>
      </w:r>
      <w:r w:rsidRPr="0014185D">
        <w:t xml:space="preserve">. The choice of the modelling framework should be determined by the analysis needs: HOMER for system sizing and economic </w:t>
      </w:r>
      <w:r w:rsidR="00580BAE" w:rsidRPr="0014185D">
        <w:t>optimization</w:t>
      </w:r>
      <w:r w:rsidRPr="0014185D">
        <w:t>, MATLAB/ETAP for detailed electrical design and protection coordination, and PSCAD/EMTDC for electromagnetic transient studies of inverter-dominated systems</w:t>
      </w:r>
      <w:r>
        <w:fldChar w:fldCharType="begin"/>
      </w:r>
      <w:r w:rsidR="001B74A6">
        <w:instrText xml:space="preserve"> ADDIN ZOTERO_ITEM CSL_CITATION {"citationID":"B1rst5wh","properties":{"unsorted":false,"formattedCitation":"[141]","plainCitation":"[141]","noteIndex":0},"citationItems":[{"id":2108,"uris":["http://zotero.org/users/9870935/items/QMWE3DSP"],"itemData":{"id":2108,"type":"paper-conference","container-title":"2015 IEEE Power &amp; Energy Society General Meeting","DOI":"10.1109/PESGM.2015.7285986","event-title":"2015 IEEE Power &amp; Energy Society General Meeting","ISBN":"978-1-4673-8040-9","page":"1-5","publisher":"IEEE","publisher-place":"Denver, CO, USA","source":"DOI.org (Crossref)","title":"Towards consistent model exchange and simulation of VSC-HVdc controls for EMT studies","URL":"http://ieeexplore.ieee.org/document/7285986/","author":[{"family":"Rogersten","given":"Robert"},{"family":"Vanfretti","given":"Luigi"},{"family":"Li","given":"Wei"}],"accessed":{"date-parts":[["2026",5,18]]},"issued":{"date-parts":[["2015",7]]}}}],"schema":"https://github.com/citation-style-language/schema/raw/master/csl-citation.json"} </w:instrText>
      </w:r>
      <w:r>
        <w:fldChar w:fldCharType="separate"/>
      </w:r>
      <w:r w:rsidR="001B74A6" w:rsidRPr="001B74A6">
        <w:t>[141]</w:t>
      </w:r>
      <w:r>
        <w:fldChar w:fldCharType="end"/>
      </w:r>
      <w:r w:rsidRPr="0014185D">
        <w:t>.</w:t>
      </w:r>
    </w:p>
    <w:p w14:paraId="085E83CE" w14:textId="77777777" w:rsidR="00FE013C" w:rsidRDefault="00FE013C" w:rsidP="004C16FF">
      <w:pPr>
        <w:pStyle w:val="Heading20"/>
        <w:jc w:val="both"/>
        <w:rPr>
          <w:color w:val="auto"/>
        </w:rPr>
      </w:pPr>
      <w:r>
        <w:rPr>
          <w:color w:val="auto"/>
        </w:rPr>
        <w:t>6.5. Time-Series Simulation and Forecasting</w:t>
      </w:r>
    </w:p>
    <w:p w14:paraId="2CF32591" w14:textId="32AACBF1" w:rsidR="00FE013C" w:rsidRPr="00AA52FF" w:rsidRDefault="00FE013C" w:rsidP="001B74A6">
      <w:pPr>
        <w:spacing w:after="120"/>
        <w:ind w:firstLine="480"/>
      </w:pPr>
      <w:r w:rsidRPr="00AA52FF">
        <w:t xml:space="preserve">To assess renewable energy-based data </w:t>
      </w:r>
      <w:r w:rsidR="00580BAE">
        <w:t>center</w:t>
      </w:r>
      <w:r w:rsidRPr="00AA52FF">
        <w:t xml:space="preserve"> systems under realistic operating conditions, time-series simulation at hourly or sub-hourly resolution is crucial. Hourly simulation accounts for the diurnal and seasonal variation in renewable generation and load demand, and it can be used to provide the energy balance calculations required to determine the storage capacity required, energy demand and supply from the grid, and energy balance metrics for system reliability</w:t>
      </w:r>
      <w:r>
        <w:fldChar w:fldCharType="begin"/>
      </w:r>
      <w:r w:rsidR="001B74A6">
        <w:instrText xml:space="preserve"> ADDIN ZOTERO_ITEM CSL_CITATION {"citationID":"bPQv1yvI","properties":{"unsorted":false,"formattedCitation":"[142]","plainCitation":"[142]","noteIndex":0},"citationItems":[{"id":2109,"uris":["http://zotero.org/users/9870935/items/EHIDCCEW"],"itemData":{"id":2109,"type":"paper-conference","container-title":"2023 IEEE 9th International Conference on Smart Instrumentation, Measurement and Applications (ICSIMA)","DOI":"10.1109/ICSIMA59853.2023.10373520","event-title":"2023 IEEE 9th International Conference on Smart Instrumentation, Measurement and Applications (ICSIMA)","ISBN":"979-8-3503-4338-0","license":"https://doi.org/10.15223/policy-029","page":"263-268","publisher":"IEEE","publisher-place":"Kuala Lumpur, Malaysia","source":"DOI.org (Crossref)","title":"Using Model Predictive Control in Renewable Energy Sources","URL":"https://ieeexplore.ieee.org/document/10373520/","author":[{"family":"Rosli","given":"Anis Najwa"},{"family":"Yusoff","given":"Siti Hajar"},{"family":"Mansor","given":"Hasmah"},{"family":"Sapihie","given":"Siti Nadiah Mohd"},{"family":"Fahmi","given":"Muhammad Aqil Muqri Muhamad"}],"accessed":{"date-parts":[["2026",5,21]]},"issued":{"date-parts":[["2023",10,17]]}}}],"schema":"https://github.com/citation-style-language/schema/raw/master/csl-citation.json"} </w:instrText>
      </w:r>
      <w:r>
        <w:fldChar w:fldCharType="separate"/>
      </w:r>
      <w:r w:rsidR="001B74A6" w:rsidRPr="001B74A6">
        <w:t>[142]</w:t>
      </w:r>
      <w:r>
        <w:fldChar w:fldCharType="end"/>
      </w:r>
      <w:r w:rsidRPr="00AA52FF">
        <w:t>. At 5–15-min resolution, sub-hourly simulation can capture the rapid transients from cloud transients, wind gusts, and load steps, which impact power quality and frequency regulation.</w:t>
      </w:r>
    </w:p>
    <w:p w14:paraId="06F4FA34" w14:textId="3CD88B50" w:rsidR="00FE013C" w:rsidRPr="00AA52FF" w:rsidRDefault="00FE013C" w:rsidP="001B74A6">
      <w:pPr>
        <w:spacing w:after="120"/>
        <w:ind w:firstLine="480"/>
      </w:pPr>
      <w:r w:rsidRPr="00AA52FF">
        <w:t xml:space="preserve">Stochastic simulation methods, especially Monte Carlo methods, can be used to quantify uncertainty in the performance of a system, resulting from errors in forecasts, equipment failures, and climate variability. Monte Carlo analysis runs thousands of simulation runs, with the input parameters randomly sampled across the range, which generates a probability distribution of key output metrics such as annual energy cost, LOLE, and renewable </w:t>
      </w:r>
      <w:r w:rsidR="00580BAE" w:rsidRPr="00AA52FF">
        <w:t>utilization</w:t>
      </w:r>
      <w:r w:rsidRPr="00AA52FF">
        <w:t xml:space="preserve"> fraction</w:t>
      </w:r>
      <w:r>
        <w:fldChar w:fldCharType="begin"/>
      </w:r>
      <w:r w:rsidR="001B74A6">
        <w:instrText xml:space="preserve"> ADDIN ZOTERO_ITEM CSL_CITATION {"citationID":"axvHbxNa","properties":{"unsorted":false,"formattedCitation":"[123]","plainCitation":"[123]","noteIndex":0},"citationItems":[{"id":2110,"uris":["http://zotero.org/users/9870935/items/WXV5HE5P"],"itemData":{"id":2110,"type":"book","abstract":"This addition to the ISOR series addresses the analytics of the operations of electric energy systems with increasing penetration of stochastic renewable production facilities, such as wind- and solar-based generation units. As stochastic renewable production units become ubiquitous throughout electric energy systems, an increasing level of flexible backup provided by non-stochastic units and other system agents is needed if supply security and quality are to be maintained. Within the context above, this book provides up-to-date analytical tools to address challenging operational problems such as: - The modeling and forecasting of stochastic renewable power production. - The characterization of the impact of renewable production on market outcomes. - The clearing of electricity markets with high penetration of stochastic renewable units. - The development of mechanisms to counteract the variability and unpredictability of stochastic renewable units so that supply security is not at risk. - The trading of the electric energy produced by stochastic renewable producers. - The association of a number of electricity production facilities, stochastic and others, to increase their competitive edge in the electricity market. - The development of procedures to enable demand response and to facilitate the integration of stochastic renewable units. This book is written in a modular and tutorial manner and includes many illustrative examples to facilitate its comprehension. It is intended for advanced undergraduate and graduate students in the fields of electric energy systems, applied mathematics and economics. Practitioners in the electric energy sector will benefit as well from the concepts and techniques explained in this book","call-number":"658.40301","collection-number":"205","collection-title":"International Series in Operations Research &amp; Management Science","DOI":"10.1007/978-1-4614-9411-9","edition":"1st ed. 2014","ISBN":"978-1-4614-9411-9","number-of-pages":"1","publisher":"Springer US : Imprint: Springer","publisher-place":"New York, NY","source":"Library of Congress ISBN","title":"Integrating Renewables in Electricity Markets: Operational Problems","title-short":"Integrating Renewables in Electricity Markets","author":[{"family":"Morales","given":"Juan M."},{"family":"Conejo","given":"Antonio J."},{"family":"Madsen","given":"Henrik"},{"family":"Pinson","given":"Pierre"},{"family":"Zugno","given":"Marco"}],"issued":{"date-parts":[["2014"]]}}}],"schema":"https://github.com/citation-style-language/schema/raw/master/csl-citation.json"} </w:instrText>
      </w:r>
      <w:r>
        <w:fldChar w:fldCharType="separate"/>
      </w:r>
      <w:r w:rsidR="001B74A6" w:rsidRPr="001B74A6">
        <w:t>[123]</w:t>
      </w:r>
      <w:r>
        <w:fldChar w:fldCharType="end"/>
      </w:r>
      <w:r w:rsidRPr="00AA52FF">
        <w:t xml:space="preserve">. Forecast integration is essential for model-predictive control strategies and for day-ahead dispatch planning, a prediction horizon of 6 to 48 hours for solar and wind is needed. The accuracy of these forecasts directly impacts </w:t>
      </w:r>
      <w:r w:rsidRPr="00AA52FF">
        <w:lastRenderedPageBreak/>
        <w:t>the performance of optimization-based dispatch, with day-ahead solar forecast errors of 10</w:t>
      </w:r>
      <w:r>
        <w:t>-15%</w:t>
      </w:r>
      <w:r w:rsidRPr="00AA52FF">
        <w:t xml:space="preserve"> MAPE and intra-day errors of </w:t>
      </w:r>
      <w:r>
        <w:t>5-10%</w:t>
      </w:r>
      <w:r w:rsidRPr="00AA52FF">
        <w:t xml:space="preserve"> MAPE being typical of state-of-the-art systems</w:t>
      </w:r>
      <w:r>
        <w:fldChar w:fldCharType="begin"/>
      </w:r>
      <w:r w:rsidR="001B74A6">
        <w:instrText xml:space="preserve"> ADDIN ZOTERO_ITEM CSL_CITATION {"citationID":"ExCX3b0d","properties":{"unsorted":false,"formattedCitation":"[143]","plainCitation":"[143]","noteIndex":0},"citationItems":[{"id":2112,"uris":["http://zotero.org/users/9870935/items/YCQ57T5E"],"itemData":{"id":2112,"type":"article-journal","container-title":"Progress in Energy and Combustion Science","DOI":"10.1016/j.pecs.2013.06.002","ISSN":"03601285","issue":"6","journalAbbreviation":"Progress in Energy and Combustion Science","language":"en","page":"535-576","source":"DOI.org (Crossref)","title":"Solar forecasting methods for renewable energy integration","volume":"39","author":[{"family":"Inman","given":"Rich H."},{"family":"Pedro","given":"Hugo T.C."},{"family":"Coimbra","given":"Carlos F.M."}],"issued":{"date-parts":[["2013",12]]}}}],"schema":"https://github.com/citation-style-language/schema/raw/master/csl-citation.json"} </w:instrText>
      </w:r>
      <w:r>
        <w:fldChar w:fldCharType="separate"/>
      </w:r>
      <w:r w:rsidR="001B74A6" w:rsidRPr="001B74A6">
        <w:t>[143]</w:t>
      </w:r>
      <w:r>
        <w:fldChar w:fldCharType="end"/>
      </w:r>
      <w:r w:rsidRPr="00AA52FF">
        <w:t>.</w:t>
      </w:r>
    </w:p>
    <w:p w14:paraId="7F2F5E26" w14:textId="77777777" w:rsidR="00FE013C" w:rsidRDefault="00FE013C" w:rsidP="004C16FF">
      <w:pPr>
        <w:pStyle w:val="Heading20"/>
        <w:jc w:val="both"/>
        <w:rPr>
          <w:color w:val="auto"/>
        </w:rPr>
      </w:pPr>
      <w:r>
        <w:rPr>
          <w:color w:val="auto"/>
        </w:rPr>
        <w:t>6.6. Machine Learning for Control and Forecasting</w:t>
      </w:r>
    </w:p>
    <w:p w14:paraId="573BE006" w14:textId="4F6D24E1" w:rsidR="00FE013C" w:rsidRPr="00D67F5B" w:rsidRDefault="00FE013C" w:rsidP="001B74A6">
      <w:pPr>
        <w:spacing w:after="120"/>
        <w:ind w:firstLine="480"/>
      </w:pPr>
      <w:r w:rsidRPr="00D67F5B">
        <w:t>Machine learning techniques are increasingly being applied to both forecasting and control functions in renewable energy systems. Recent studies have shown that neural network architectures, such as long short-term memory (LSTM), convolutional neural networks (CNN), and attention-based transformer models, can enhance the accuracy of solar and wind power forecasts by 15–25</w:t>
      </w:r>
      <w:r>
        <w:t>%</w:t>
      </w:r>
      <w:r w:rsidRPr="00D67F5B">
        <w:t xml:space="preserve"> over traditional numerical weather prediction techniques</w:t>
      </w:r>
      <w:r>
        <w:fldChar w:fldCharType="begin"/>
      </w:r>
      <w:r w:rsidR="001B74A6">
        <w:instrText xml:space="preserve"> ADDIN ZOTERO_ITEM CSL_CITATION {"citationID":"aXxbu5p8","properties":{"unsorted":false,"formattedCitation":"[144]","plainCitation":"[144]","noteIndex":0},"citationItems":[{"id":2113,"uris":["http://zotero.org/users/9870935/items/SPP98TI7"],"itemData":{"id":2113,"type":"article-journal","container-title":"Artificial Intelligence Review","DOI":"10.1007/s10462-026-11545-2","ISSN":"1573-7462","journalAbbreviation":"Artif Intell Rev","language":"en","source":"DOI.org (Crossref)","title":"Generative AI and LLM applications in renewable energy and smart grids: a systematic review for the sustainable energy transition","title-short":"Generative AI and LLM applications in renewable energy and smart grids","URL":"https://link.springer.com/10.1007/s10462-026-11545-2","author":[{"family":"Cali","given":"Umit"},{"family":"Halden","given":"Ugur"},{"family":"Andoni","given":"Merlinda"},{"family":"Catak","given":"Ferhat Ozgur"},{"family":"Chen","given":"Si"},{"family":"Couraud","given":"Benoit"},{"family":"Kantar","given":"Emre"},{"family":"Knapper","given":"Samuel"},{"family":"Kucukdemiral","given":"Ibrahim"},{"family":"Kusetogullari","given":"Huseyin"},{"family":"Kuzlu","given":"Murat"},{"family":"Mousavi","given":"Yashar"},{"family":"Norbu","given":"Sonam"},{"family":"Ustun","given":"Taha Selim"},{"family":"Flynn","given":"David"}],"accessed":{"date-parts":[["2026",5,21]]},"issued":{"date-parts":[["2026",4,7]]}}}],"schema":"https://github.com/citation-style-language/schema/raw/master/csl-citation.json"} </w:instrText>
      </w:r>
      <w:r>
        <w:fldChar w:fldCharType="separate"/>
      </w:r>
      <w:r w:rsidR="001B74A6" w:rsidRPr="001B74A6">
        <w:t>[144]</w:t>
      </w:r>
      <w:r>
        <w:fldChar w:fldCharType="end"/>
      </w:r>
      <w:r w:rsidRPr="00D67F5B">
        <w:t xml:space="preserve">. Deep reinforcement learning (DRL) has been proposed as a viable method to </w:t>
      </w:r>
      <w:r w:rsidR="00580BAE" w:rsidRPr="00D67F5B">
        <w:t>optimize</w:t>
      </w:r>
      <w:r w:rsidRPr="00D67F5B">
        <w:t xml:space="preserve"> dispatching policies for controlling a microgrid, in which an agent learns from an interaction with a simulated environment to find the optimal dispatching policy</w:t>
      </w:r>
      <w:r>
        <w:fldChar w:fldCharType="begin"/>
      </w:r>
      <w:r w:rsidR="001B74A6">
        <w:instrText xml:space="preserve"> ADDIN ZOTERO_ITEM CSL_CITATION {"citationID":"PKZO0BUq","properties":{"unsorted":false,"formattedCitation":"[145]","plainCitation":"[145]","noteIndex":0},"citationItems":[{"id":2114,"uris":["http://zotero.org/users/9870935/items/QF2VR9S8"],"itemData":{"id":2114,"type":"article-journal","container-title":"Journal of Energy Storage","DOI":"10.1016/j.est.2024.115114","ISSN":"2352152X","journalAbbreviation":"Journal of Energy Storage","language":"en","page":"115114","source":"DOI.org (Crossref)","title":"Reinforcement learning-based energy management system for lithium-ion battery storage in multilevel microgrid","volume":"109","author":[{"family":"Hosseini","given":"Ehsan"},{"family":"Horrillo-Quintero","given":"Pablo"},{"family":"Carrasco-Gonzalez","given":"David"},{"family":"García-Triviño","given":"Pablo"},{"family":"Sarrias-Mena","given":"Raúl"},{"family":"García-Vázquez","given":"Carlos A."},{"family":"Fernández-Ramírez","given":"Luis M."}],"issued":{"date-parts":[["2025",2]]}}}],"schema":"https://github.com/citation-style-language/schema/raw/master/csl-citation.json"} </w:instrText>
      </w:r>
      <w:r>
        <w:fldChar w:fldCharType="separate"/>
      </w:r>
      <w:r w:rsidR="001B74A6" w:rsidRPr="001B74A6">
        <w:t>[145]</w:t>
      </w:r>
      <w:r>
        <w:fldChar w:fldCharType="end"/>
      </w:r>
      <w:r w:rsidRPr="00D67F5B">
        <w:t>.</w:t>
      </w:r>
    </w:p>
    <w:p w14:paraId="2F0E28B6" w14:textId="13D56F9C" w:rsidR="00FE013C" w:rsidRDefault="00FE013C" w:rsidP="001B74A6">
      <w:pPr>
        <w:spacing w:after="120"/>
        <w:ind w:firstLine="480"/>
      </w:pPr>
      <w:r w:rsidRPr="00D67F5B">
        <w:t xml:space="preserve">Digital twin concepts, which involve virtual copies of physical systems that are continuously updated with sensor data, can facilitate predictive control strategies that can anticipate and proactively adjust to varying conditions. A digital twin of a data </w:t>
      </w:r>
      <w:r w:rsidR="00580BAE">
        <w:t>center</w:t>
      </w:r>
      <w:r w:rsidRPr="00D67F5B">
        <w:t xml:space="preserve"> microgrid can simulate the effect of renewable generation prediction on battery dispatch, define the most suitable load scheduling periods, and predict equipment degradation</w:t>
      </w:r>
      <w:r>
        <w:fldChar w:fldCharType="begin"/>
      </w:r>
      <w:r w:rsidR="001B74A6">
        <w:instrText xml:space="preserve"> ADDIN ZOTERO_ITEM CSL_CITATION {"citationID":"atzHcWL3","properties":{"unsorted":false,"formattedCitation":"[146]","plainCitation":"[146]","noteIndex":0},"citationItems":[{"id":2115,"uris":["http://zotero.org/users/9870935/items/6L86NR5W"],"itemData":{"id":2115,"type":"article-journal","container-title":"Energy Reports","DOI":"10.1016/j.egyr.2026.109218","ISSN":"23524847","journalAbbreviation":"Energy Reports","language":"en","page":"109218","source":"DOI.org (Crossref)","title":"Digital twin applications and case studies in modern power grid management","volume":"15","author":[{"family":"Subramanian","given":"N."},{"family":"Stonier","given":"Albert Alexander"}],"issued":{"date-parts":[["2026",6]]}}}],"schema":"https://github.com/citation-style-language/schema/raw/master/csl-citation.json"} </w:instrText>
      </w:r>
      <w:r>
        <w:fldChar w:fldCharType="separate"/>
      </w:r>
      <w:r w:rsidR="001B74A6" w:rsidRPr="001B74A6">
        <w:t>[146]</w:t>
      </w:r>
      <w:r>
        <w:fldChar w:fldCharType="end"/>
      </w:r>
      <w:r w:rsidRPr="00D67F5B">
        <w:t xml:space="preserve">. There are still difficulties in ensuring the </w:t>
      </w:r>
      <w:r w:rsidR="00580BAE" w:rsidRPr="00D67F5B">
        <w:t>generalizability</w:t>
      </w:r>
      <w:r w:rsidRPr="00D67F5B">
        <w:t xml:space="preserve"> of machine learning models beyond the boundaries of the training data, especially for edge cases and extreme weather conditions that may have been underrepresented in the historical datasets</w:t>
      </w:r>
      <w:r>
        <w:fldChar w:fldCharType="begin"/>
      </w:r>
      <w:r w:rsidR="001B74A6">
        <w:instrText xml:space="preserve"> ADDIN ZOTERO_ITEM CSL_CITATION {"citationID":"jbAPFFwd","properties":{"unsorted":false,"formattedCitation":"[147]","plainCitation":"[147]","noteIndex":0},"citationItems":[{"id":2116,"uris":["http://zotero.org/users/9870935/items/IUG6CTL8"],"itemData":{"id":2116,"type":"paper-conference","container-title":"2024 Boao New Power System International Forum - Power System and New Energy Technology Innovation Forum (NPSIF)","DOI":"10.1109/NPSIF64134.2024.10883453","event-title":"2024 Boao New Power System International Forum - Power System and New Energy Technology Innovation Forum (NPSIF)","ISBN":"979-8-3315-0455-7","license":"https://doi.org/10.15223/policy-029","page":"568-576","publisher":"IEEE","publisher-place":"Qionghai, China","source":"DOI.org (Crossref)","title":"The Application of Machine Learning in Power Grid","URL":"https://ieeexplore.ieee.org/document/10883453/","author":[{"family":"Chen","given":"Haonan"},{"family":"Feng","given":"Xing"},{"family":"Chen","given":"Quanjun"},{"family":"Han","given":"Renshuang"}],"accessed":{"date-parts":[["2026",5,21]]},"issued":{"date-parts":[["2024",12,8]]}}}],"schema":"https://github.com/citation-style-language/schema/raw/master/csl-citation.json"} </w:instrText>
      </w:r>
      <w:r>
        <w:fldChar w:fldCharType="separate"/>
      </w:r>
      <w:r w:rsidR="001B74A6" w:rsidRPr="001B74A6">
        <w:t>[147]</w:t>
      </w:r>
      <w:r>
        <w:fldChar w:fldCharType="end"/>
      </w:r>
      <w:r w:rsidRPr="00D67F5B">
        <w:t>.</w:t>
      </w:r>
    </w:p>
    <w:p w14:paraId="05522F7C" w14:textId="7C2AA669" w:rsidR="003A3C82" w:rsidRPr="003A3C82" w:rsidRDefault="003A3C82" w:rsidP="003A3C82">
      <w:pPr>
        <w:spacing w:after="120"/>
        <w:ind w:firstLine="480"/>
        <w:rPr>
          <w:lang w:val="en-CA"/>
        </w:rPr>
      </w:pPr>
      <w:r w:rsidRPr="00357DE5">
        <w:rPr>
          <w:highlight w:val="yellow"/>
          <w:lang w:val="en-CA"/>
        </w:rPr>
        <w:t>Because different engineering questions require different modelling approaches, no single method is sufficient to evaluate all aspects of renewable-powered AI data-center design and operation. Table 4 summarizes the recommended modelling approach, time resolution, input-data requirements, and primary limitations associated with the most common engineering and operational questions addressed in this review.</w:t>
      </w:r>
    </w:p>
    <w:p w14:paraId="7C1F80D4" w14:textId="2F056B62" w:rsidR="003A3C82" w:rsidRDefault="003A3C82" w:rsidP="003A3C82">
      <w:pPr>
        <w:pStyle w:val="Caption"/>
        <w:keepNext/>
      </w:pPr>
      <w:r w:rsidRPr="00357DE5">
        <w:rPr>
          <w:highlight w:val="yellow"/>
        </w:rPr>
        <w:t xml:space="preserve">Table </w:t>
      </w:r>
      <w:r w:rsidRPr="00357DE5">
        <w:rPr>
          <w:highlight w:val="yellow"/>
        </w:rPr>
        <w:fldChar w:fldCharType="begin"/>
      </w:r>
      <w:r w:rsidRPr="00357DE5">
        <w:rPr>
          <w:highlight w:val="yellow"/>
        </w:rPr>
        <w:instrText xml:space="preserve"> SEQ Table \* ARABIC </w:instrText>
      </w:r>
      <w:r w:rsidRPr="00357DE5">
        <w:rPr>
          <w:highlight w:val="yellow"/>
        </w:rPr>
        <w:fldChar w:fldCharType="separate"/>
      </w:r>
      <w:r w:rsidRPr="00357DE5">
        <w:rPr>
          <w:noProof/>
          <w:highlight w:val="yellow"/>
        </w:rPr>
        <w:t>4</w:t>
      </w:r>
      <w:r w:rsidRPr="00357DE5">
        <w:rPr>
          <w:highlight w:val="yellow"/>
        </w:rPr>
        <w:fldChar w:fldCharType="end"/>
      </w:r>
      <w:r w:rsidRPr="00357DE5">
        <w:rPr>
          <w:highlight w:val="yellow"/>
        </w:rPr>
        <w:t xml:space="preserve"> Recommended Modeling Approaches for Renewable-Powered AI Data Centers</w:t>
      </w:r>
    </w:p>
    <w:tbl>
      <w:tblPr>
        <w:tblStyle w:val="Mdeck5tablebodythreelines"/>
        <w:tblW w:w="5000" w:type="pct"/>
        <w:tblLook w:val="04A0" w:firstRow="1" w:lastRow="0" w:firstColumn="1" w:lastColumn="0" w:noHBand="0" w:noVBand="1"/>
      </w:tblPr>
      <w:tblGrid>
        <w:gridCol w:w="2180"/>
        <w:gridCol w:w="2161"/>
        <w:gridCol w:w="1831"/>
        <w:gridCol w:w="1910"/>
        <w:gridCol w:w="1670"/>
      </w:tblGrid>
      <w:tr w:rsidR="00C3472F" w:rsidRPr="00C3472F" w14:paraId="0A32EC07" w14:textId="77777777" w:rsidTr="00C3472F">
        <w:trPr>
          <w:cnfStyle w:val="100000000000" w:firstRow="1" w:lastRow="0" w:firstColumn="0" w:lastColumn="0" w:oddVBand="0" w:evenVBand="0" w:oddHBand="0" w:evenHBand="0" w:firstRowFirstColumn="0" w:firstRowLastColumn="0" w:lastRowFirstColumn="0" w:lastRowLastColumn="0"/>
        </w:trPr>
        <w:tc>
          <w:tcPr>
            <w:tcW w:w="0" w:type="auto"/>
            <w:hideMark/>
          </w:tcPr>
          <w:p w14:paraId="717BD62A" w14:textId="77777777" w:rsidR="00C3472F" w:rsidRPr="00C3472F" w:rsidRDefault="00C3472F" w:rsidP="00C3472F">
            <w:pPr>
              <w:spacing w:after="120"/>
              <w:ind w:firstLine="480"/>
              <w:rPr>
                <w:b/>
                <w:bCs/>
                <w:sz w:val="18"/>
                <w:szCs w:val="18"/>
                <w:lang w:val="en-CA"/>
              </w:rPr>
            </w:pPr>
            <w:r w:rsidRPr="00C3472F">
              <w:rPr>
                <w:b/>
                <w:bCs/>
                <w:sz w:val="18"/>
                <w:szCs w:val="18"/>
                <w:lang w:val="en-CA"/>
              </w:rPr>
              <w:t>Engineering Question</w:t>
            </w:r>
          </w:p>
        </w:tc>
        <w:tc>
          <w:tcPr>
            <w:tcW w:w="0" w:type="auto"/>
            <w:hideMark/>
          </w:tcPr>
          <w:p w14:paraId="36D40EC8" w14:textId="77777777" w:rsidR="00C3472F" w:rsidRPr="00C3472F" w:rsidRDefault="00C3472F" w:rsidP="00C3472F">
            <w:pPr>
              <w:spacing w:after="120"/>
              <w:ind w:firstLine="480"/>
              <w:rPr>
                <w:b/>
                <w:bCs/>
                <w:sz w:val="18"/>
                <w:szCs w:val="18"/>
                <w:lang w:val="en-CA"/>
              </w:rPr>
            </w:pPr>
            <w:r w:rsidRPr="00C3472F">
              <w:rPr>
                <w:b/>
                <w:bCs/>
                <w:sz w:val="18"/>
                <w:szCs w:val="18"/>
                <w:lang w:val="en-CA"/>
              </w:rPr>
              <w:t>Recommended Method</w:t>
            </w:r>
          </w:p>
        </w:tc>
        <w:tc>
          <w:tcPr>
            <w:tcW w:w="0" w:type="auto"/>
            <w:hideMark/>
          </w:tcPr>
          <w:p w14:paraId="0047DC83" w14:textId="77777777" w:rsidR="00C3472F" w:rsidRPr="00C3472F" w:rsidRDefault="00C3472F" w:rsidP="00C3472F">
            <w:pPr>
              <w:spacing w:after="120"/>
              <w:ind w:firstLine="480"/>
              <w:rPr>
                <w:b/>
                <w:bCs/>
                <w:sz w:val="18"/>
                <w:szCs w:val="18"/>
                <w:lang w:val="en-CA"/>
              </w:rPr>
            </w:pPr>
            <w:r w:rsidRPr="00C3472F">
              <w:rPr>
                <w:b/>
                <w:bCs/>
                <w:sz w:val="18"/>
                <w:szCs w:val="18"/>
                <w:lang w:val="en-CA"/>
              </w:rPr>
              <w:t>Typical Time Resolution</w:t>
            </w:r>
          </w:p>
        </w:tc>
        <w:tc>
          <w:tcPr>
            <w:tcW w:w="0" w:type="auto"/>
            <w:hideMark/>
          </w:tcPr>
          <w:p w14:paraId="5FE33680" w14:textId="77777777" w:rsidR="00C3472F" w:rsidRPr="00C3472F" w:rsidRDefault="00C3472F" w:rsidP="00C3472F">
            <w:pPr>
              <w:spacing w:after="120"/>
              <w:ind w:firstLine="480"/>
              <w:rPr>
                <w:b/>
                <w:bCs/>
                <w:sz w:val="18"/>
                <w:szCs w:val="18"/>
                <w:lang w:val="en-CA"/>
              </w:rPr>
            </w:pPr>
            <w:r w:rsidRPr="00C3472F">
              <w:rPr>
                <w:b/>
                <w:bCs/>
                <w:sz w:val="18"/>
                <w:szCs w:val="18"/>
                <w:lang w:val="en-CA"/>
              </w:rPr>
              <w:t>Required Inputs</w:t>
            </w:r>
          </w:p>
        </w:tc>
        <w:tc>
          <w:tcPr>
            <w:tcW w:w="0" w:type="auto"/>
            <w:hideMark/>
          </w:tcPr>
          <w:p w14:paraId="2AAEAD16" w14:textId="77777777" w:rsidR="00C3472F" w:rsidRPr="00C3472F" w:rsidRDefault="00C3472F" w:rsidP="00C3472F">
            <w:pPr>
              <w:spacing w:after="120"/>
              <w:ind w:firstLine="480"/>
              <w:rPr>
                <w:b/>
                <w:bCs/>
                <w:sz w:val="18"/>
                <w:szCs w:val="18"/>
                <w:lang w:val="en-CA"/>
              </w:rPr>
            </w:pPr>
            <w:r w:rsidRPr="00C3472F">
              <w:rPr>
                <w:b/>
                <w:bCs/>
                <w:sz w:val="18"/>
                <w:szCs w:val="18"/>
                <w:lang w:val="en-CA"/>
              </w:rPr>
              <w:t>Primary Limitation</w:t>
            </w:r>
          </w:p>
        </w:tc>
      </w:tr>
      <w:tr w:rsidR="00C3472F" w:rsidRPr="00C3472F" w14:paraId="0D2B9448" w14:textId="77777777" w:rsidTr="00C3472F">
        <w:tc>
          <w:tcPr>
            <w:tcW w:w="0" w:type="auto"/>
            <w:hideMark/>
          </w:tcPr>
          <w:p w14:paraId="5E958383" w14:textId="77777777" w:rsidR="00C3472F" w:rsidRPr="00C3472F" w:rsidRDefault="00C3472F" w:rsidP="00C3472F">
            <w:pPr>
              <w:spacing w:after="120"/>
              <w:ind w:firstLine="480"/>
              <w:rPr>
                <w:sz w:val="18"/>
                <w:szCs w:val="18"/>
                <w:lang w:val="en-CA"/>
              </w:rPr>
            </w:pPr>
            <w:r w:rsidRPr="00C3472F">
              <w:rPr>
                <w:sz w:val="18"/>
                <w:szCs w:val="18"/>
                <w:lang w:val="en-CA"/>
              </w:rPr>
              <w:t>Power-flow analysis, voltage profile assessment, line loading, and loss estimation</w:t>
            </w:r>
          </w:p>
        </w:tc>
        <w:tc>
          <w:tcPr>
            <w:tcW w:w="0" w:type="auto"/>
            <w:hideMark/>
          </w:tcPr>
          <w:p w14:paraId="28E3108F" w14:textId="77777777" w:rsidR="00C3472F" w:rsidRPr="00C3472F" w:rsidRDefault="00C3472F" w:rsidP="00C3472F">
            <w:pPr>
              <w:spacing w:after="120"/>
              <w:ind w:firstLine="480"/>
              <w:rPr>
                <w:sz w:val="18"/>
                <w:szCs w:val="18"/>
                <w:lang w:val="en-CA"/>
              </w:rPr>
            </w:pPr>
            <w:r w:rsidRPr="00C3472F">
              <w:rPr>
                <w:sz w:val="18"/>
                <w:szCs w:val="18"/>
                <w:lang w:val="en-CA"/>
              </w:rPr>
              <w:t>AC Power Flow</w:t>
            </w:r>
          </w:p>
        </w:tc>
        <w:tc>
          <w:tcPr>
            <w:tcW w:w="0" w:type="auto"/>
            <w:hideMark/>
          </w:tcPr>
          <w:p w14:paraId="29FEFADE" w14:textId="77777777" w:rsidR="00C3472F" w:rsidRPr="00C3472F" w:rsidRDefault="00C3472F" w:rsidP="00C3472F">
            <w:pPr>
              <w:spacing w:after="120"/>
              <w:ind w:firstLine="480"/>
              <w:rPr>
                <w:sz w:val="18"/>
                <w:szCs w:val="18"/>
                <w:lang w:val="en-CA"/>
              </w:rPr>
            </w:pPr>
            <w:proofErr w:type="gramStart"/>
            <w:r w:rsidRPr="00C3472F">
              <w:rPr>
                <w:sz w:val="18"/>
                <w:szCs w:val="18"/>
                <w:lang w:val="en-CA"/>
              </w:rPr>
              <w:t>Steady-state</w:t>
            </w:r>
            <w:proofErr w:type="gramEnd"/>
          </w:p>
        </w:tc>
        <w:tc>
          <w:tcPr>
            <w:tcW w:w="0" w:type="auto"/>
            <w:hideMark/>
          </w:tcPr>
          <w:p w14:paraId="35EAE3FA" w14:textId="77777777" w:rsidR="00C3472F" w:rsidRPr="00C3472F" w:rsidRDefault="00C3472F" w:rsidP="00C3472F">
            <w:pPr>
              <w:spacing w:after="120"/>
              <w:ind w:firstLine="480"/>
              <w:rPr>
                <w:sz w:val="18"/>
                <w:szCs w:val="18"/>
                <w:lang w:val="en-CA"/>
              </w:rPr>
            </w:pPr>
            <w:r w:rsidRPr="00C3472F">
              <w:rPr>
                <w:sz w:val="18"/>
                <w:szCs w:val="18"/>
                <w:lang w:val="en-CA"/>
              </w:rPr>
              <w:t>Network topology, line impedances, load data</w:t>
            </w:r>
          </w:p>
        </w:tc>
        <w:tc>
          <w:tcPr>
            <w:tcW w:w="0" w:type="auto"/>
            <w:hideMark/>
          </w:tcPr>
          <w:p w14:paraId="0F38B2AF" w14:textId="77777777" w:rsidR="00C3472F" w:rsidRPr="00C3472F" w:rsidRDefault="00C3472F" w:rsidP="00C3472F">
            <w:pPr>
              <w:spacing w:after="120"/>
              <w:ind w:firstLine="480"/>
              <w:rPr>
                <w:sz w:val="18"/>
                <w:szCs w:val="18"/>
                <w:lang w:val="en-CA"/>
              </w:rPr>
            </w:pPr>
            <w:r w:rsidRPr="00C3472F">
              <w:rPr>
                <w:sz w:val="18"/>
                <w:szCs w:val="18"/>
                <w:lang w:val="en-CA"/>
              </w:rPr>
              <w:t>Does not capture dynamic behaviour</w:t>
            </w:r>
          </w:p>
        </w:tc>
      </w:tr>
      <w:tr w:rsidR="00C3472F" w:rsidRPr="00C3472F" w14:paraId="6B9092CC" w14:textId="77777777" w:rsidTr="00C3472F">
        <w:tc>
          <w:tcPr>
            <w:tcW w:w="0" w:type="auto"/>
            <w:hideMark/>
          </w:tcPr>
          <w:p w14:paraId="5BE4442E" w14:textId="77777777" w:rsidR="00C3472F" w:rsidRPr="00C3472F" w:rsidRDefault="00C3472F" w:rsidP="00C3472F">
            <w:pPr>
              <w:spacing w:after="120"/>
              <w:ind w:firstLine="480"/>
              <w:rPr>
                <w:sz w:val="18"/>
                <w:szCs w:val="18"/>
                <w:lang w:val="en-CA"/>
              </w:rPr>
            </w:pPr>
            <w:r w:rsidRPr="00C3472F">
              <w:rPr>
                <w:sz w:val="18"/>
                <w:szCs w:val="18"/>
                <w:lang w:val="en-CA"/>
              </w:rPr>
              <w:t>Large-scale transmission screening studies</w:t>
            </w:r>
          </w:p>
        </w:tc>
        <w:tc>
          <w:tcPr>
            <w:tcW w:w="0" w:type="auto"/>
            <w:hideMark/>
          </w:tcPr>
          <w:p w14:paraId="5F187120" w14:textId="77777777" w:rsidR="00C3472F" w:rsidRPr="00C3472F" w:rsidRDefault="00C3472F" w:rsidP="00C3472F">
            <w:pPr>
              <w:spacing w:after="120"/>
              <w:ind w:firstLine="480"/>
              <w:rPr>
                <w:sz w:val="18"/>
                <w:szCs w:val="18"/>
                <w:lang w:val="en-CA"/>
              </w:rPr>
            </w:pPr>
            <w:r w:rsidRPr="00C3472F">
              <w:rPr>
                <w:sz w:val="18"/>
                <w:szCs w:val="18"/>
                <w:lang w:val="en-CA"/>
              </w:rPr>
              <w:t>DC Power Flow</w:t>
            </w:r>
          </w:p>
        </w:tc>
        <w:tc>
          <w:tcPr>
            <w:tcW w:w="0" w:type="auto"/>
            <w:hideMark/>
          </w:tcPr>
          <w:p w14:paraId="47B8BF5A" w14:textId="77777777" w:rsidR="00C3472F" w:rsidRPr="00C3472F" w:rsidRDefault="00C3472F" w:rsidP="00C3472F">
            <w:pPr>
              <w:spacing w:after="120"/>
              <w:ind w:firstLine="480"/>
              <w:rPr>
                <w:sz w:val="18"/>
                <w:szCs w:val="18"/>
                <w:lang w:val="en-CA"/>
              </w:rPr>
            </w:pPr>
            <w:proofErr w:type="gramStart"/>
            <w:r w:rsidRPr="00C3472F">
              <w:rPr>
                <w:sz w:val="18"/>
                <w:szCs w:val="18"/>
                <w:lang w:val="en-CA"/>
              </w:rPr>
              <w:t>Steady-state</w:t>
            </w:r>
            <w:proofErr w:type="gramEnd"/>
          </w:p>
        </w:tc>
        <w:tc>
          <w:tcPr>
            <w:tcW w:w="0" w:type="auto"/>
            <w:hideMark/>
          </w:tcPr>
          <w:p w14:paraId="1591BAA9" w14:textId="77777777" w:rsidR="00C3472F" w:rsidRPr="00C3472F" w:rsidRDefault="00C3472F" w:rsidP="00C3472F">
            <w:pPr>
              <w:spacing w:after="120"/>
              <w:ind w:firstLine="480"/>
              <w:rPr>
                <w:sz w:val="18"/>
                <w:szCs w:val="18"/>
                <w:lang w:val="en-CA"/>
              </w:rPr>
            </w:pPr>
            <w:r w:rsidRPr="00C3472F">
              <w:rPr>
                <w:sz w:val="18"/>
                <w:szCs w:val="18"/>
                <w:lang w:val="en-CA"/>
              </w:rPr>
              <w:t>Network topology and active-power data</w:t>
            </w:r>
          </w:p>
        </w:tc>
        <w:tc>
          <w:tcPr>
            <w:tcW w:w="0" w:type="auto"/>
            <w:hideMark/>
          </w:tcPr>
          <w:p w14:paraId="12B2AC81" w14:textId="77777777" w:rsidR="00C3472F" w:rsidRPr="00C3472F" w:rsidRDefault="00C3472F" w:rsidP="00C3472F">
            <w:pPr>
              <w:spacing w:after="120"/>
              <w:ind w:firstLine="480"/>
              <w:rPr>
                <w:sz w:val="18"/>
                <w:szCs w:val="18"/>
                <w:lang w:val="en-CA"/>
              </w:rPr>
            </w:pPr>
            <w:r w:rsidRPr="00C3472F">
              <w:rPr>
                <w:sz w:val="18"/>
                <w:szCs w:val="18"/>
                <w:lang w:val="en-CA"/>
              </w:rPr>
              <w:t>Ignores reactive power and voltage constraints</w:t>
            </w:r>
          </w:p>
        </w:tc>
      </w:tr>
      <w:tr w:rsidR="00C3472F" w:rsidRPr="00C3472F" w14:paraId="7EF239CA" w14:textId="77777777" w:rsidTr="00C3472F">
        <w:tc>
          <w:tcPr>
            <w:tcW w:w="0" w:type="auto"/>
            <w:hideMark/>
          </w:tcPr>
          <w:p w14:paraId="245C9652" w14:textId="77777777" w:rsidR="00C3472F" w:rsidRPr="00C3472F" w:rsidRDefault="00C3472F" w:rsidP="00C3472F">
            <w:pPr>
              <w:spacing w:after="120"/>
              <w:ind w:firstLine="480"/>
              <w:rPr>
                <w:sz w:val="18"/>
                <w:szCs w:val="18"/>
                <w:lang w:val="en-CA"/>
              </w:rPr>
            </w:pPr>
            <w:r w:rsidRPr="00C3472F">
              <w:rPr>
                <w:sz w:val="18"/>
                <w:szCs w:val="18"/>
                <w:lang w:val="en-CA"/>
              </w:rPr>
              <w:t>Harmonic compliance and filter design</w:t>
            </w:r>
          </w:p>
        </w:tc>
        <w:tc>
          <w:tcPr>
            <w:tcW w:w="0" w:type="auto"/>
            <w:hideMark/>
          </w:tcPr>
          <w:p w14:paraId="0EFF8529" w14:textId="77777777" w:rsidR="00C3472F" w:rsidRPr="00C3472F" w:rsidRDefault="00C3472F" w:rsidP="00C3472F">
            <w:pPr>
              <w:spacing w:after="120"/>
              <w:ind w:firstLine="480"/>
              <w:rPr>
                <w:sz w:val="18"/>
                <w:szCs w:val="18"/>
                <w:lang w:val="en-CA"/>
              </w:rPr>
            </w:pPr>
            <w:r w:rsidRPr="00C3472F">
              <w:rPr>
                <w:sz w:val="18"/>
                <w:szCs w:val="18"/>
                <w:lang w:val="en-CA"/>
              </w:rPr>
              <w:t>Harmonic Analysis / Frequency-Domain Simulation</w:t>
            </w:r>
          </w:p>
        </w:tc>
        <w:tc>
          <w:tcPr>
            <w:tcW w:w="0" w:type="auto"/>
            <w:hideMark/>
          </w:tcPr>
          <w:p w14:paraId="7BA4204D" w14:textId="77777777" w:rsidR="00C3472F" w:rsidRPr="00C3472F" w:rsidRDefault="00C3472F" w:rsidP="00C3472F">
            <w:pPr>
              <w:spacing w:after="120"/>
              <w:ind w:firstLine="480"/>
              <w:rPr>
                <w:sz w:val="18"/>
                <w:szCs w:val="18"/>
                <w:lang w:val="en-CA"/>
              </w:rPr>
            </w:pPr>
            <w:r w:rsidRPr="00C3472F">
              <w:rPr>
                <w:sz w:val="18"/>
                <w:szCs w:val="18"/>
                <w:lang w:val="en-CA"/>
              </w:rPr>
              <w:t>Frequency domain</w:t>
            </w:r>
          </w:p>
        </w:tc>
        <w:tc>
          <w:tcPr>
            <w:tcW w:w="0" w:type="auto"/>
            <w:hideMark/>
          </w:tcPr>
          <w:p w14:paraId="627822D5" w14:textId="77777777" w:rsidR="00C3472F" w:rsidRPr="00C3472F" w:rsidRDefault="00C3472F" w:rsidP="00C3472F">
            <w:pPr>
              <w:spacing w:after="120"/>
              <w:ind w:firstLine="480"/>
              <w:rPr>
                <w:sz w:val="18"/>
                <w:szCs w:val="18"/>
                <w:lang w:val="en-CA"/>
              </w:rPr>
            </w:pPr>
            <w:r w:rsidRPr="00C3472F">
              <w:rPr>
                <w:sz w:val="18"/>
                <w:szCs w:val="18"/>
                <w:lang w:val="en-CA"/>
              </w:rPr>
              <w:t>Harmonic spectra, network impedance data</w:t>
            </w:r>
          </w:p>
        </w:tc>
        <w:tc>
          <w:tcPr>
            <w:tcW w:w="0" w:type="auto"/>
            <w:hideMark/>
          </w:tcPr>
          <w:p w14:paraId="35DD1EC5" w14:textId="77777777" w:rsidR="00C3472F" w:rsidRPr="00C3472F" w:rsidRDefault="00C3472F" w:rsidP="00C3472F">
            <w:pPr>
              <w:spacing w:after="120"/>
              <w:ind w:firstLine="480"/>
              <w:rPr>
                <w:sz w:val="18"/>
                <w:szCs w:val="18"/>
                <w:lang w:val="en-CA"/>
              </w:rPr>
            </w:pPr>
            <w:r w:rsidRPr="00C3472F">
              <w:rPr>
                <w:sz w:val="18"/>
                <w:szCs w:val="18"/>
                <w:lang w:val="en-CA"/>
              </w:rPr>
              <w:t>Limited representation of transient behaviour</w:t>
            </w:r>
          </w:p>
        </w:tc>
      </w:tr>
      <w:tr w:rsidR="00C3472F" w:rsidRPr="00C3472F" w14:paraId="3685A29D" w14:textId="77777777" w:rsidTr="00C3472F">
        <w:tc>
          <w:tcPr>
            <w:tcW w:w="0" w:type="auto"/>
            <w:hideMark/>
          </w:tcPr>
          <w:p w14:paraId="2D9FEC80" w14:textId="77777777" w:rsidR="00C3472F" w:rsidRPr="00C3472F" w:rsidRDefault="00C3472F" w:rsidP="00C3472F">
            <w:pPr>
              <w:spacing w:after="120"/>
              <w:ind w:firstLine="480"/>
              <w:rPr>
                <w:sz w:val="18"/>
                <w:szCs w:val="18"/>
                <w:lang w:val="en-CA"/>
              </w:rPr>
            </w:pPr>
            <w:r w:rsidRPr="00C3472F">
              <w:rPr>
                <w:sz w:val="18"/>
                <w:szCs w:val="18"/>
                <w:lang w:val="en-CA"/>
              </w:rPr>
              <w:t>Inverter interactions, protection studies, and transient stability assessment</w:t>
            </w:r>
          </w:p>
        </w:tc>
        <w:tc>
          <w:tcPr>
            <w:tcW w:w="0" w:type="auto"/>
            <w:hideMark/>
          </w:tcPr>
          <w:p w14:paraId="6B40B68D" w14:textId="77777777" w:rsidR="00C3472F" w:rsidRPr="00C3472F" w:rsidRDefault="00C3472F" w:rsidP="00C3472F">
            <w:pPr>
              <w:spacing w:after="120"/>
              <w:ind w:firstLine="480"/>
              <w:rPr>
                <w:sz w:val="18"/>
                <w:szCs w:val="18"/>
                <w:lang w:val="en-CA"/>
              </w:rPr>
            </w:pPr>
            <w:r w:rsidRPr="00C3472F">
              <w:rPr>
                <w:sz w:val="18"/>
                <w:szCs w:val="18"/>
                <w:lang w:val="en-CA"/>
              </w:rPr>
              <w:t>Electromagnetic Transient (EMT) Simulation</w:t>
            </w:r>
          </w:p>
        </w:tc>
        <w:tc>
          <w:tcPr>
            <w:tcW w:w="0" w:type="auto"/>
            <w:hideMark/>
          </w:tcPr>
          <w:p w14:paraId="2CA82713" w14:textId="77777777" w:rsidR="00C3472F" w:rsidRPr="00C3472F" w:rsidRDefault="00C3472F" w:rsidP="00C3472F">
            <w:pPr>
              <w:spacing w:after="120"/>
              <w:ind w:firstLine="480"/>
              <w:rPr>
                <w:sz w:val="18"/>
                <w:szCs w:val="18"/>
                <w:lang w:val="en-CA"/>
              </w:rPr>
            </w:pPr>
            <w:r w:rsidRPr="00C3472F">
              <w:rPr>
                <w:sz w:val="18"/>
                <w:szCs w:val="18"/>
                <w:lang w:val="en-CA"/>
              </w:rPr>
              <w:t>Microseconds to milliseconds</w:t>
            </w:r>
          </w:p>
        </w:tc>
        <w:tc>
          <w:tcPr>
            <w:tcW w:w="0" w:type="auto"/>
            <w:hideMark/>
          </w:tcPr>
          <w:p w14:paraId="49EFD473" w14:textId="77777777" w:rsidR="00C3472F" w:rsidRPr="00C3472F" w:rsidRDefault="00C3472F" w:rsidP="00C3472F">
            <w:pPr>
              <w:spacing w:after="120"/>
              <w:ind w:firstLine="480"/>
              <w:rPr>
                <w:sz w:val="18"/>
                <w:szCs w:val="18"/>
                <w:lang w:val="en-CA"/>
              </w:rPr>
            </w:pPr>
            <w:r w:rsidRPr="00C3472F">
              <w:rPr>
                <w:sz w:val="18"/>
                <w:szCs w:val="18"/>
                <w:lang w:val="en-CA"/>
              </w:rPr>
              <w:t>Detailed inverter and controller models</w:t>
            </w:r>
          </w:p>
        </w:tc>
        <w:tc>
          <w:tcPr>
            <w:tcW w:w="0" w:type="auto"/>
            <w:hideMark/>
          </w:tcPr>
          <w:p w14:paraId="10B623BC" w14:textId="77777777" w:rsidR="00C3472F" w:rsidRPr="00C3472F" w:rsidRDefault="00C3472F" w:rsidP="00C3472F">
            <w:pPr>
              <w:spacing w:after="120"/>
              <w:ind w:firstLine="480"/>
              <w:rPr>
                <w:sz w:val="18"/>
                <w:szCs w:val="18"/>
                <w:lang w:val="en-CA"/>
              </w:rPr>
            </w:pPr>
            <w:r w:rsidRPr="00C3472F">
              <w:rPr>
                <w:sz w:val="18"/>
                <w:szCs w:val="18"/>
                <w:lang w:val="en-CA"/>
              </w:rPr>
              <w:t>High computational requirements</w:t>
            </w:r>
          </w:p>
        </w:tc>
      </w:tr>
      <w:tr w:rsidR="00C3472F" w:rsidRPr="00C3472F" w14:paraId="1D0C39FD" w14:textId="77777777" w:rsidTr="00C3472F">
        <w:tc>
          <w:tcPr>
            <w:tcW w:w="0" w:type="auto"/>
            <w:hideMark/>
          </w:tcPr>
          <w:p w14:paraId="3FBC272B" w14:textId="77777777" w:rsidR="00C3472F" w:rsidRPr="00C3472F" w:rsidRDefault="00C3472F" w:rsidP="00C3472F">
            <w:pPr>
              <w:spacing w:after="120"/>
              <w:ind w:firstLine="480"/>
              <w:rPr>
                <w:sz w:val="18"/>
                <w:szCs w:val="18"/>
                <w:lang w:val="en-CA"/>
              </w:rPr>
            </w:pPr>
            <w:r w:rsidRPr="00C3472F">
              <w:rPr>
                <w:sz w:val="18"/>
                <w:szCs w:val="18"/>
                <w:lang w:val="en-CA"/>
              </w:rPr>
              <w:lastRenderedPageBreak/>
              <w:t>Renewable-generation and energy-storage sizing</w:t>
            </w:r>
          </w:p>
        </w:tc>
        <w:tc>
          <w:tcPr>
            <w:tcW w:w="0" w:type="auto"/>
            <w:hideMark/>
          </w:tcPr>
          <w:p w14:paraId="30377710" w14:textId="77777777" w:rsidR="00C3472F" w:rsidRPr="00C3472F" w:rsidRDefault="00C3472F" w:rsidP="00C3472F">
            <w:pPr>
              <w:spacing w:after="120"/>
              <w:ind w:firstLine="480"/>
              <w:rPr>
                <w:sz w:val="18"/>
                <w:szCs w:val="18"/>
                <w:lang w:val="en-CA"/>
              </w:rPr>
            </w:pPr>
            <w:r w:rsidRPr="00C3472F">
              <w:rPr>
                <w:sz w:val="18"/>
                <w:szCs w:val="18"/>
                <w:lang w:val="en-CA"/>
              </w:rPr>
              <w:t>Chronological Time-Series Simulation</w:t>
            </w:r>
          </w:p>
        </w:tc>
        <w:tc>
          <w:tcPr>
            <w:tcW w:w="0" w:type="auto"/>
            <w:hideMark/>
          </w:tcPr>
          <w:p w14:paraId="5ADF5D81" w14:textId="77777777" w:rsidR="00C3472F" w:rsidRPr="00C3472F" w:rsidRDefault="00C3472F" w:rsidP="00C3472F">
            <w:pPr>
              <w:spacing w:after="120"/>
              <w:ind w:firstLine="480"/>
              <w:rPr>
                <w:sz w:val="18"/>
                <w:szCs w:val="18"/>
                <w:lang w:val="en-CA"/>
              </w:rPr>
            </w:pPr>
            <w:r w:rsidRPr="00C3472F">
              <w:rPr>
                <w:sz w:val="18"/>
                <w:szCs w:val="18"/>
                <w:lang w:val="en-CA"/>
              </w:rPr>
              <w:t>Hourly or sub-hourly</w:t>
            </w:r>
          </w:p>
        </w:tc>
        <w:tc>
          <w:tcPr>
            <w:tcW w:w="0" w:type="auto"/>
            <w:hideMark/>
          </w:tcPr>
          <w:p w14:paraId="4612FCA6" w14:textId="77777777" w:rsidR="00C3472F" w:rsidRPr="00C3472F" w:rsidRDefault="00C3472F" w:rsidP="00C3472F">
            <w:pPr>
              <w:spacing w:after="120"/>
              <w:ind w:firstLine="480"/>
              <w:rPr>
                <w:sz w:val="18"/>
                <w:szCs w:val="18"/>
                <w:lang w:val="en-CA"/>
              </w:rPr>
            </w:pPr>
            <w:r w:rsidRPr="00C3472F">
              <w:rPr>
                <w:sz w:val="18"/>
                <w:szCs w:val="18"/>
                <w:lang w:val="en-CA"/>
              </w:rPr>
              <w:t>Renewable resource and load profiles</w:t>
            </w:r>
          </w:p>
        </w:tc>
        <w:tc>
          <w:tcPr>
            <w:tcW w:w="0" w:type="auto"/>
            <w:hideMark/>
          </w:tcPr>
          <w:p w14:paraId="61733D86" w14:textId="77777777" w:rsidR="00C3472F" w:rsidRPr="00C3472F" w:rsidRDefault="00C3472F" w:rsidP="00C3472F">
            <w:pPr>
              <w:spacing w:after="120"/>
              <w:ind w:firstLine="480"/>
              <w:rPr>
                <w:sz w:val="18"/>
                <w:szCs w:val="18"/>
                <w:lang w:val="en-CA"/>
              </w:rPr>
            </w:pPr>
            <w:r w:rsidRPr="00C3472F">
              <w:rPr>
                <w:sz w:val="18"/>
                <w:szCs w:val="18"/>
                <w:lang w:val="en-CA"/>
              </w:rPr>
              <w:t>Requires extensive historical data</w:t>
            </w:r>
          </w:p>
        </w:tc>
      </w:tr>
      <w:tr w:rsidR="00C3472F" w:rsidRPr="00C3472F" w14:paraId="35CBFB7D" w14:textId="77777777" w:rsidTr="00C3472F">
        <w:tc>
          <w:tcPr>
            <w:tcW w:w="0" w:type="auto"/>
            <w:hideMark/>
          </w:tcPr>
          <w:p w14:paraId="79195F7F" w14:textId="77777777" w:rsidR="00C3472F" w:rsidRPr="00C3472F" w:rsidRDefault="00C3472F" w:rsidP="00C3472F">
            <w:pPr>
              <w:spacing w:after="120"/>
              <w:ind w:firstLine="480"/>
              <w:rPr>
                <w:sz w:val="18"/>
                <w:szCs w:val="18"/>
                <w:lang w:val="en-CA"/>
              </w:rPr>
            </w:pPr>
            <w:r w:rsidRPr="00C3472F">
              <w:rPr>
                <w:sz w:val="18"/>
                <w:szCs w:val="18"/>
                <w:lang w:val="en-CA"/>
              </w:rPr>
              <w:t>Technology selection and financial assessment</w:t>
            </w:r>
          </w:p>
        </w:tc>
        <w:tc>
          <w:tcPr>
            <w:tcW w:w="0" w:type="auto"/>
            <w:hideMark/>
          </w:tcPr>
          <w:p w14:paraId="5D717B01" w14:textId="77777777" w:rsidR="00C3472F" w:rsidRPr="00C3472F" w:rsidRDefault="00C3472F" w:rsidP="00C3472F">
            <w:pPr>
              <w:spacing w:after="120"/>
              <w:ind w:firstLine="480"/>
              <w:rPr>
                <w:sz w:val="18"/>
                <w:szCs w:val="18"/>
                <w:lang w:val="en-CA"/>
              </w:rPr>
            </w:pPr>
            <w:r w:rsidRPr="00C3472F">
              <w:rPr>
                <w:sz w:val="18"/>
                <w:szCs w:val="18"/>
                <w:lang w:val="en-CA"/>
              </w:rPr>
              <w:t>Lifecycle Cost Analysis / MILP Optimization</w:t>
            </w:r>
          </w:p>
        </w:tc>
        <w:tc>
          <w:tcPr>
            <w:tcW w:w="0" w:type="auto"/>
            <w:hideMark/>
          </w:tcPr>
          <w:p w14:paraId="6588B68B" w14:textId="77777777" w:rsidR="00C3472F" w:rsidRPr="00C3472F" w:rsidRDefault="00C3472F" w:rsidP="00C3472F">
            <w:pPr>
              <w:spacing w:after="120"/>
              <w:ind w:firstLine="480"/>
              <w:rPr>
                <w:sz w:val="18"/>
                <w:szCs w:val="18"/>
                <w:lang w:val="en-CA"/>
              </w:rPr>
            </w:pPr>
            <w:r w:rsidRPr="00C3472F">
              <w:rPr>
                <w:sz w:val="18"/>
                <w:szCs w:val="18"/>
                <w:lang w:val="en-CA"/>
              </w:rPr>
              <w:t>Hourly to annual</w:t>
            </w:r>
          </w:p>
        </w:tc>
        <w:tc>
          <w:tcPr>
            <w:tcW w:w="0" w:type="auto"/>
            <w:hideMark/>
          </w:tcPr>
          <w:p w14:paraId="48CFE2E3" w14:textId="77777777" w:rsidR="00C3472F" w:rsidRPr="00C3472F" w:rsidRDefault="00C3472F" w:rsidP="00C3472F">
            <w:pPr>
              <w:spacing w:after="120"/>
              <w:ind w:firstLine="480"/>
              <w:rPr>
                <w:sz w:val="18"/>
                <w:szCs w:val="18"/>
                <w:lang w:val="en-CA"/>
              </w:rPr>
            </w:pPr>
            <w:r w:rsidRPr="00C3472F">
              <w:rPr>
                <w:sz w:val="18"/>
                <w:szCs w:val="18"/>
                <w:lang w:val="en-CA"/>
              </w:rPr>
              <w:t>Cost, tariff, technology, and resource data</w:t>
            </w:r>
          </w:p>
        </w:tc>
        <w:tc>
          <w:tcPr>
            <w:tcW w:w="0" w:type="auto"/>
            <w:hideMark/>
          </w:tcPr>
          <w:p w14:paraId="6A4009FC" w14:textId="77777777" w:rsidR="00C3472F" w:rsidRPr="00C3472F" w:rsidRDefault="00C3472F" w:rsidP="00C3472F">
            <w:pPr>
              <w:spacing w:after="120"/>
              <w:ind w:firstLine="480"/>
              <w:rPr>
                <w:sz w:val="18"/>
                <w:szCs w:val="18"/>
                <w:lang w:val="en-CA"/>
              </w:rPr>
            </w:pPr>
            <w:r w:rsidRPr="00C3472F">
              <w:rPr>
                <w:sz w:val="18"/>
                <w:szCs w:val="18"/>
                <w:lang w:val="en-CA"/>
              </w:rPr>
              <w:t>Results are sensitive to assumptions</w:t>
            </w:r>
          </w:p>
        </w:tc>
      </w:tr>
      <w:tr w:rsidR="00C3472F" w:rsidRPr="00C3472F" w14:paraId="264307A9" w14:textId="77777777" w:rsidTr="00C3472F">
        <w:tc>
          <w:tcPr>
            <w:tcW w:w="0" w:type="auto"/>
            <w:hideMark/>
          </w:tcPr>
          <w:p w14:paraId="6D7BB64F" w14:textId="77777777" w:rsidR="00C3472F" w:rsidRPr="00C3472F" w:rsidRDefault="00C3472F" w:rsidP="00C3472F">
            <w:pPr>
              <w:spacing w:after="120"/>
              <w:ind w:firstLine="480"/>
              <w:rPr>
                <w:sz w:val="18"/>
                <w:szCs w:val="18"/>
                <w:lang w:val="en-CA"/>
              </w:rPr>
            </w:pPr>
            <w:r w:rsidRPr="00C3472F">
              <w:rPr>
                <w:sz w:val="18"/>
                <w:szCs w:val="18"/>
                <w:lang w:val="en-CA"/>
              </w:rPr>
              <w:t>Real-time operation and dispatch optimization</w:t>
            </w:r>
          </w:p>
        </w:tc>
        <w:tc>
          <w:tcPr>
            <w:tcW w:w="0" w:type="auto"/>
            <w:hideMark/>
          </w:tcPr>
          <w:p w14:paraId="3E0DF4FA" w14:textId="77777777" w:rsidR="00C3472F" w:rsidRPr="00C3472F" w:rsidRDefault="00C3472F" w:rsidP="00C3472F">
            <w:pPr>
              <w:spacing w:after="120"/>
              <w:ind w:firstLine="480"/>
              <w:rPr>
                <w:sz w:val="18"/>
                <w:szCs w:val="18"/>
                <w:lang w:val="en-CA"/>
              </w:rPr>
            </w:pPr>
            <w:r w:rsidRPr="00C3472F">
              <w:rPr>
                <w:sz w:val="18"/>
                <w:szCs w:val="18"/>
                <w:lang w:val="en-CA"/>
              </w:rPr>
              <w:t>Model Predictive Control (MPC)</w:t>
            </w:r>
          </w:p>
        </w:tc>
        <w:tc>
          <w:tcPr>
            <w:tcW w:w="0" w:type="auto"/>
            <w:hideMark/>
          </w:tcPr>
          <w:p w14:paraId="387BF376" w14:textId="77777777" w:rsidR="00C3472F" w:rsidRPr="00C3472F" w:rsidRDefault="00C3472F" w:rsidP="00C3472F">
            <w:pPr>
              <w:spacing w:after="120"/>
              <w:ind w:firstLine="480"/>
              <w:rPr>
                <w:sz w:val="18"/>
                <w:szCs w:val="18"/>
                <w:lang w:val="en-CA"/>
              </w:rPr>
            </w:pPr>
            <w:r w:rsidRPr="00C3472F">
              <w:rPr>
                <w:sz w:val="18"/>
                <w:szCs w:val="18"/>
                <w:lang w:val="en-CA"/>
              </w:rPr>
              <w:t>Minutes to hours</w:t>
            </w:r>
          </w:p>
        </w:tc>
        <w:tc>
          <w:tcPr>
            <w:tcW w:w="0" w:type="auto"/>
            <w:hideMark/>
          </w:tcPr>
          <w:p w14:paraId="0637CB24" w14:textId="77777777" w:rsidR="00C3472F" w:rsidRPr="00C3472F" w:rsidRDefault="00C3472F" w:rsidP="00C3472F">
            <w:pPr>
              <w:spacing w:after="120"/>
              <w:ind w:firstLine="480"/>
              <w:rPr>
                <w:sz w:val="18"/>
                <w:szCs w:val="18"/>
                <w:lang w:val="en-CA"/>
              </w:rPr>
            </w:pPr>
            <w:r w:rsidRPr="00C3472F">
              <w:rPr>
                <w:sz w:val="18"/>
                <w:szCs w:val="18"/>
                <w:lang w:val="en-CA"/>
              </w:rPr>
              <w:t>Forecasts, state variables, operating constraints</w:t>
            </w:r>
          </w:p>
        </w:tc>
        <w:tc>
          <w:tcPr>
            <w:tcW w:w="0" w:type="auto"/>
            <w:hideMark/>
          </w:tcPr>
          <w:p w14:paraId="2578CC51" w14:textId="77777777" w:rsidR="00C3472F" w:rsidRPr="00C3472F" w:rsidRDefault="00C3472F" w:rsidP="00C3472F">
            <w:pPr>
              <w:spacing w:after="120"/>
              <w:ind w:firstLine="480"/>
              <w:rPr>
                <w:sz w:val="18"/>
                <w:szCs w:val="18"/>
                <w:lang w:val="en-CA"/>
              </w:rPr>
            </w:pPr>
            <w:r w:rsidRPr="00C3472F">
              <w:rPr>
                <w:sz w:val="18"/>
                <w:szCs w:val="18"/>
                <w:lang w:val="en-CA"/>
              </w:rPr>
              <w:t>Depends on forecast accuracy</w:t>
            </w:r>
          </w:p>
        </w:tc>
      </w:tr>
      <w:tr w:rsidR="00C3472F" w:rsidRPr="00C3472F" w14:paraId="47CDBBCF" w14:textId="77777777" w:rsidTr="00C3472F">
        <w:tc>
          <w:tcPr>
            <w:tcW w:w="0" w:type="auto"/>
            <w:hideMark/>
          </w:tcPr>
          <w:p w14:paraId="748995C3" w14:textId="77777777" w:rsidR="00C3472F" w:rsidRPr="00C3472F" w:rsidRDefault="00C3472F" w:rsidP="00C3472F">
            <w:pPr>
              <w:spacing w:after="120"/>
              <w:ind w:firstLine="480"/>
              <w:rPr>
                <w:sz w:val="18"/>
                <w:szCs w:val="18"/>
                <w:lang w:val="en-CA"/>
              </w:rPr>
            </w:pPr>
            <w:r w:rsidRPr="00C3472F">
              <w:rPr>
                <w:sz w:val="18"/>
                <w:szCs w:val="18"/>
                <w:lang w:val="en-CA"/>
              </w:rPr>
              <w:t>Workload scheduling and carbon-aware computing</w:t>
            </w:r>
          </w:p>
        </w:tc>
        <w:tc>
          <w:tcPr>
            <w:tcW w:w="0" w:type="auto"/>
            <w:hideMark/>
          </w:tcPr>
          <w:p w14:paraId="5D4362F5" w14:textId="77777777" w:rsidR="00C3472F" w:rsidRPr="00C3472F" w:rsidRDefault="00C3472F" w:rsidP="00C3472F">
            <w:pPr>
              <w:spacing w:after="120"/>
              <w:ind w:firstLine="480"/>
              <w:rPr>
                <w:sz w:val="18"/>
                <w:szCs w:val="18"/>
                <w:lang w:val="en-CA"/>
              </w:rPr>
            </w:pPr>
            <w:r w:rsidRPr="00C3472F">
              <w:rPr>
                <w:sz w:val="18"/>
                <w:szCs w:val="18"/>
                <w:lang w:val="en-CA"/>
              </w:rPr>
              <w:t>Optimization and Scheduling Algorithms</w:t>
            </w:r>
          </w:p>
        </w:tc>
        <w:tc>
          <w:tcPr>
            <w:tcW w:w="0" w:type="auto"/>
            <w:hideMark/>
          </w:tcPr>
          <w:p w14:paraId="7D383A6D" w14:textId="77777777" w:rsidR="00C3472F" w:rsidRPr="00C3472F" w:rsidRDefault="00C3472F" w:rsidP="00C3472F">
            <w:pPr>
              <w:spacing w:after="120"/>
              <w:ind w:firstLine="480"/>
              <w:rPr>
                <w:sz w:val="18"/>
                <w:szCs w:val="18"/>
                <w:lang w:val="en-CA"/>
              </w:rPr>
            </w:pPr>
            <w:r w:rsidRPr="00C3472F">
              <w:rPr>
                <w:sz w:val="18"/>
                <w:szCs w:val="18"/>
                <w:lang w:val="en-CA"/>
              </w:rPr>
              <w:t>Minutes to days</w:t>
            </w:r>
          </w:p>
        </w:tc>
        <w:tc>
          <w:tcPr>
            <w:tcW w:w="0" w:type="auto"/>
            <w:hideMark/>
          </w:tcPr>
          <w:p w14:paraId="7126573D" w14:textId="77777777" w:rsidR="00C3472F" w:rsidRPr="00C3472F" w:rsidRDefault="00C3472F" w:rsidP="00C3472F">
            <w:pPr>
              <w:spacing w:after="120"/>
              <w:ind w:firstLine="480"/>
              <w:rPr>
                <w:sz w:val="18"/>
                <w:szCs w:val="18"/>
                <w:lang w:val="en-CA"/>
              </w:rPr>
            </w:pPr>
            <w:r w:rsidRPr="00C3472F">
              <w:rPr>
                <w:sz w:val="18"/>
                <w:szCs w:val="18"/>
                <w:lang w:val="en-CA"/>
              </w:rPr>
              <w:t>Workload characteristics, renewable forecasts, SLA constraints</w:t>
            </w:r>
          </w:p>
        </w:tc>
        <w:tc>
          <w:tcPr>
            <w:tcW w:w="0" w:type="auto"/>
            <w:hideMark/>
          </w:tcPr>
          <w:p w14:paraId="66EDB1E0" w14:textId="77777777" w:rsidR="00C3472F" w:rsidRPr="00C3472F" w:rsidRDefault="00C3472F" w:rsidP="00C3472F">
            <w:pPr>
              <w:spacing w:after="120"/>
              <w:ind w:firstLine="480"/>
              <w:rPr>
                <w:sz w:val="18"/>
                <w:szCs w:val="18"/>
                <w:lang w:val="en-CA"/>
              </w:rPr>
            </w:pPr>
            <w:r w:rsidRPr="00C3472F">
              <w:rPr>
                <w:sz w:val="18"/>
                <w:szCs w:val="18"/>
                <w:lang w:val="en-CA"/>
              </w:rPr>
              <w:t>Limited by operational and business requirements</w:t>
            </w:r>
          </w:p>
        </w:tc>
      </w:tr>
    </w:tbl>
    <w:p w14:paraId="43030986" w14:textId="0150FF15" w:rsidR="00C3472F" w:rsidRPr="00C3472F" w:rsidRDefault="00C3472F" w:rsidP="00357DE5">
      <w:pPr>
        <w:spacing w:after="120"/>
        <w:ind w:firstLine="480"/>
        <w:rPr>
          <w:lang w:val="en-CA"/>
        </w:rPr>
      </w:pPr>
      <w:r w:rsidRPr="00C3472F">
        <w:rPr>
          <w:lang w:val="en-CA"/>
        </w:rPr>
        <w:br/>
      </w:r>
      <w:r w:rsidR="00357DE5" w:rsidRPr="00357DE5">
        <w:rPr>
          <w:highlight w:val="yellow"/>
          <w:lang w:val="en-CA"/>
        </w:rPr>
        <w:t>The recommended workflow is to begin with site assessment and resource characterization, followed by power-flow and interconnection studies, chronological renewable-generation and storage analysis, lifecycle-cost evaluation, and finally real-time operational optimization. More detailed EMT and harmonic studies should be reserved for final design stages where equipment models and protection requirements are available.</w:t>
      </w:r>
    </w:p>
    <w:p w14:paraId="4D3CA27C" w14:textId="77777777" w:rsidR="00FE013C" w:rsidRDefault="00FE013C" w:rsidP="004C16FF">
      <w:pPr>
        <w:pStyle w:val="Heading10"/>
        <w:jc w:val="both"/>
        <w:rPr>
          <w:color w:val="auto"/>
        </w:rPr>
      </w:pPr>
      <w:r>
        <w:rPr>
          <w:color w:val="auto"/>
          <w:lang w:eastAsia="zh-CN"/>
        </w:rPr>
        <w:t xml:space="preserve">7. </w:t>
      </w:r>
      <w:r>
        <w:rPr>
          <w:color w:val="auto"/>
        </w:rPr>
        <w:t>Framework for Renewable-Powered AI Data Centers</w:t>
      </w:r>
    </w:p>
    <w:p w14:paraId="1B37DF74" w14:textId="5CB56853" w:rsidR="00357DE5" w:rsidRDefault="00357DE5" w:rsidP="00357DE5">
      <w:pPr>
        <w:spacing w:after="120"/>
        <w:ind w:firstLine="480"/>
      </w:pPr>
      <w:r w:rsidRPr="00357DE5">
        <w:t>This section presents the core contribution of this study: a comprehensive seven-component framework for designing, deploying, and operating AI data centers powered predominantly by renewable energy. The framework integrates site assessment, technology selection, electrical integration, control strategy, workload flexibility modeling, economic viability, and sustainability compliance into a unified decision-making methodology.</w:t>
      </w:r>
    </w:p>
    <w:p w14:paraId="692B1B37" w14:textId="77777777" w:rsidR="00FE013C" w:rsidRDefault="00FE013C" w:rsidP="004C16FF">
      <w:pPr>
        <w:pStyle w:val="Heading20"/>
        <w:jc w:val="both"/>
        <w:rPr>
          <w:color w:val="auto"/>
        </w:rPr>
      </w:pPr>
      <w:r>
        <w:rPr>
          <w:color w:val="auto"/>
        </w:rPr>
        <w:t xml:space="preserve">7.1. </w:t>
      </w:r>
      <w:r w:rsidRPr="00EA2FA4">
        <w:rPr>
          <w:color w:val="auto"/>
        </w:rPr>
        <w:t>Seven-Component Framework Overview</w:t>
      </w:r>
    </w:p>
    <w:p w14:paraId="35C00C96" w14:textId="216BCFD3" w:rsidR="00FE013C" w:rsidRPr="003110B3" w:rsidRDefault="00FE013C" w:rsidP="004C16FF">
      <w:pPr>
        <w:spacing w:after="120"/>
        <w:ind w:firstLine="480"/>
      </w:pPr>
      <w:r w:rsidRPr="00B4497F">
        <w:t xml:space="preserve">The framework consists of seven interrelated elements that cover key aspects of renewable-based data </w:t>
      </w:r>
      <w:r w:rsidR="00580BAE">
        <w:t>center</w:t>
      </w:r>
      <w:r w:rsidRPr="00B4497F">
        <w:t xml:space="preserve"> design and operation. These components are not separate, but rather are interdependent, with decisions made in one component affecting and limiting choices in another component. </w:t>
      </w:r>
      <w:r w:rsidRPr="003D7C63">
        <w:t>The framework is modular and scalable and adaptable to facilities ranging from mid-scale colocation nodes (10–50 MW)</w:t>
      </w:r>
      <w:r>
        <w:t xml:space="preserve"> </w:t>
      </w:r>
      <w:r w:rsidRPr="00B4497F">
        <w:t xml:space="preserve">to hyperscale cloud data </w:t>
      </w:r>
      <w:r w:rsidR="00580BAE">
        <w:t>center</w:t>
      </w:r>
      <w:r w:rsidRPr="00B4497F">
        <w:t>s (100+ MW) located in different geographic and climatic conditions.</w:t>
      </w:r>
    </w:p>
    <w:p w14:paraId="23AF96C8" w14:textId="356D30DB" w:rsidR="00FE013C" w:rsidRPr="00B4497F" w:rsidRDefault="00FE013C" w:rsidP="004C16FF">
      <w:pPr>
        <w:spacing w:after="120"/>
        <w:ind w:firstLine="480"/>
      </w:pPr>
      <w:r w:rsidRPr="00B4497F">
        <w:t xml:space="preserve">Site Assessment (Component 1) covers renewable resource availability, grid interconnection feasibility, water and land availability, and climate resilience. Component 2 is called Technology Selection and covers </w:t>
      </w:r>
      <w:r w:rsidR="00580BAE" w:rsidRPr="00B4497F">
        <w:t>optimizing</w:t>
      </w:r>
      <w:r w:rsidRPr="00B4497F">
        <w:t xml:space="preserve"> the renewable capacity, storage time, and backup power type according to site-specific conditions. Component 3, Electrical Integration, specifies the voltage ranges, topology, redundancy, and power quality mitigation. Control Strategy relates to dispatch algorithms, forecasting integration, and demand response mechanisms (component 4). Workload Flexibility (</w:t>
      </w:r>
      <w:r>
        <w:t>c</w:t>
      </w:r>
      <w:r w:rsidRPr="00B4497F">
        <w:t xml:space="preserve">omponent 5) measures the extent to which the load can be shifted, deferred, or </w:t>
      </w:r>
      <w:r w:rsidR="00580BAE" w:rsidRPr="00B4497F">
        <w:t>prioritized</w:t>
      </w:r>
      <w:r w:rsidRPr="00B4497F">
        <w:t xml:space="preserve">. The financial performance is modelled in Component 6, Economic Viability, using LCOE, NPV, and IRR </w:t>
      </w:r>
      <w:r w:rsidRPr="00B4497F">
        <w:lastRenderedPageBreak/>
        <w:t xml:space="preserve">analysis. Component 7: Resilience and Sustainability </w:t>
      </w:r>
      <w:r w:rsidR="00580BAE" w:rsidRPr="00B4497F">
        <w:t>focus</w:t>
      </w:r>
      <w:r w:rsidRPr="00B4497F">
        <w:t xml:space="preserve"> on reliability measures, carbon </w:t>
      </w:r>
      <w:proofErr w:type="spellStart"/>
      <w:r w:rsidRPr="00B4497F">
        <w:t>footprinting</w:t>
      </w:r>
      <w:proofErr w:type="spellEnd"/>
      <w:r w:rsidRPr="00B4497F">
        <w:t>, and regulatory adherence.</w:t>
      </w:r>
    </w:p>
    <w:p w14:paraId="22384AA7" w14:textId="32FB0B77" w:rsidR="00FE013C" w:rsidRDefault="00FE013C" w:rsidP="004C16FF">
      <w:pPr>
        <w:spacing w:after="120"/>
        <w:ind w:firstLine="480"/>
      </w:pPr>
      <w:r w:rsidRPr="00B4497F">
        <w:t xml:space="preserve">The three main quantitative goals of the framework are: (1) cost of delivered energy (dollar per MWh, $/MWh), (2) system reliability (percent uptime, &gt;99.99 percent), and (3) carbon emissions (gCO2 per kWh). The objectives are also frequently conflicting and must be balanced by means of multi-objective </w:t>
      </w:r>
      <w:r w:rsidR="000B7BFE" w:rsidRPr="00B4497F">
        <w:t>optimization</w:t>
      </w:r>
      <w:r w:rsidRPr="00B4497F">
        <w:t xml:space="preserve"> techniques. The main variables are the capacity factor of renewables, the duration of storage (in hours), the type of backup power, interconnection capacity of the grid, and flexibility parameters of the demand.</w:t>
      </w:r>
      <w:r>
        <w:t xml:space="preserve"> </w:t>
      </w:r>
      <w:r w:rsidRPr="0073470D">
        <w:t xml:space="preserve">Fig. 6 illustrates the seven-component framework architecture, showing how each component connects to the others through feedback loops: site characteristics constrain technology selection, technology selection drives electrical architecture, and economic outcomes </w:t>
      </w:r>
      <w:r w:rsidR="000B7BFE" w:rsidRPr="0073470D">
        <w:t>feedback</w:t>
      </w:r>
      <w:r w:rsidRPr="0073470D">
        <w:t xml:space="preserve"> to revise technology choices iteratively</w:t>
      </w:r>
      <w:r>
        <w:t>.</w:t>
      </w:r>
    </w:p>
    <w:p w14:paraId="6494B3E5" w14:textId="77777777" w:rsidR="00FE013C" w:rsidRDefault="00FE013C" w:rsidP="004A620F">
      <w:pPr>
        <w:keepNext/>
        <w:jc w:val="center"/>
      </w:pPr>
      <w:r>
        <w:rPr>
          <w:noProof/>
        </w:rPr>
        <w:drawing>
          <wp:inline distT="0" distB="0" distL="0" distR="0" wp14:anchorId="6A32FCF3" wp14:editId="411EF009">
            <wp:extent cx="4197350" cy="2514993"/>
            <wp:effectExtent l="0" t="0" r="0" b="0"/>
            <wp:docPr id="54520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10091"/>
                    <a:stretch>
                      <a:fillRect/>
                    </a:stretch>
                  </pic:blipFill>
                  <pic:spPr bwMode="auto">
                    <a:xfrm>
                      <a:off x="0" y="0"/>
                      <a:ext cx="4197350" cy="2514993"/>
                    </a:xfrm>
                    <a:prstGeom prst="rect">
                      <a:avLst/>
                    </a:prstGeom>
                    <a:noFill/>
                    <a:ln>
                      <a:noFill/>
                    </a:ln>
                    <a:extLst>
                      <a:ext uri="{53640926-AAD7-44D8-BBD7-CCE9431645EC}">
                        <a14:shadowObscured xmlns:a14="http://schemas.microsoft.com/office/drawing/2010/main"/>
                      </a:ext>
                    </a:extLst>
                  </pic:spPr>
                </pic:pic>
              </a:graphicData>
            </a:graphic>
          </wp:inline>
        </w:drawing>
      </w:r>
    </w:p>
    <w:p w14:paraId="37C6401E" w14:textId="62AD6699" w:rsidR="00FE013C" w:rsidRDefault="00FE013C" w:rsidP="004A620F">
      <w:pPr>
        <w:pStyle w:val="Caption"/>
        <w:jc w:val="center"/>
      </w:pPr>
      <w:r>
        <w:t xml:space="preserve">Figure </w:t>
      </w:r>
      <w:r>
        <w:fldChar w:fldCharType="begin"/>
      </w:r>
      <w:r>
        <w:instrText xml:space="preserve"> SEQ Figure \* ARABIC </w:instrText>
      </w:r>
      <w:r>
        <w:fldChar w:fldCharType="separate"/>
      </w:r>
      <w:r w:rsidR="00807110">
        <w:rPr>
          <w:noProof/>
        </w:rPr>
        <w:t>7</w:t>
      </w:r>
      <w:r>
        <w:rPr>
          <w:noProof/>
        </w:rPr>
        <w:fldChar w:fldCharType="end"/>
      </w:r>
      <w:r>
        <w:t xml:space="preserve"> Seven-component framework architecture for renewable-powered AI data</w:t>
      </w:r>
    </w:p>
    <w:p w14:paraId="4B969644" w14:textId="77777777" w:rsidR="00FE013C" w:rsidRDefault="00FE013C" w:rsidP="004C16FF">
      <w:pPr>
        <w:pStyle w:val="Heading20"/>
        <w:jc w:val="both"/>
        <w:rPr>
          <w:color w:val="auto"/>
        </w:rPr>
      </w:pPr>
      <w:r>
        <w:rPr>
          <w:color w:val="auto"/>
        </w:rPr>
        <w:t>7.2. Site Selection and Resource Assessment</w:t>
      </w:r>
    </w:p>
    <w:p w14:paraId="1D28CBF0" w14:textId="39E2354C" w:rsidR="00957B20" w:rsidRPr="00CA1249" w:rsidRDefault="00957B20" w:rsidP="007D29E8">
      <w:pPr>
        <w:spacing w:after="120"/>
        <w:ind w:firstLine="480"/>
        <w:rPr>
          <w:highlight w:val="yellow"/>
          <w:lang w:val="en-CA"/>
        </w:rPr>
      </w:pPr>
      <w:r w:rsidRPr="009F5B51">
        <w:rPr>
          <w:highlight w:val="yellow"/>
        </w:rPr>
        <w:t>Site selection is undertaken using multi-criteria decision analysis (MCDA), incorporating renewable-resource quality, infrastructure access, economic conditions, environmental and climate exposure, and regulatory feasibility. The Analytic Hierarchy Process (AHP) is used to structure the criteria, derive their relative weights, and evaluate candidate sites</w:t>
      </w:r>
      <w:r w:rsidRPr="009F5B51">
        <w:rPr>
          <w:highlight w:val="yellow"/>
        </w:rPr>
        <w:fldChar w:fldCharType="begin"/>
      </w:r>
      <w:r w:rsidR="007D29E8">
        <w:rPr>
          <w:highlight w:val="yellow"/>
        </w:rPr>
        <w:instrText xml:space="preserve"> ADDIN ZOTERO_ITEM CSL_CITATION {"citationID":"gfAWXcqd","properties":{"unsorted":false,"formattedCitation":"[106]","plainCitation":"[106]","noteIndex":0},"citationItems":[{"id":2063,"uris":["http://zotero.org/users/9870935/items/47PEXHYC"],"itemData":{"id":2063,"type":"article-journal","container-title":"Communications Earth &amp; Environment","DOI":"10.1038/s43247-024-01850-5","ISSN":"2662-4435","issue":"1","journalAbbreviation":"Commun Earth Environ","language":"en","page":"661","source":"DOI.org (Crossref)","title":"Renewable energy quality trilemma and coincident wind and solar droughts","volume":"5","author":[{"family":"Li","given":"Mingquan"},{"family":"Ma","given":"Qingyuan"},{"family":"Shan","given":"Rui"},{"family":"Abdulla","given":"Ahmed"},{"family":"Virguez","given":"Edgar"},{"family":"Gao","given":"Shuo"},{"family":"Patiño-Echeverri","given":"Dalia"}],"issued":{"date-parts":[["2024",11,6]]}}}],"schema":"https://github.com/citation-style-language/schema/raw/master/csl-citation.json"} </w:instrText>
      </w:r>
      <w:r w:rsidRPr="009F5B51">
        <w:rPr>
          <w:highlight w:val="yellow"/>
        </w:rPr>
        <w:fldChar w:fldCharType="separate"/>
      </w:r>
      <w:r w:rsidR="007D29E8" w:rsidRPr="007D29E8">
        <w:rPr>
          <w:highlight w:val="yellow"/>
        </w:rPr>
        <w:t>[106]</w:t>
      </w:r>
      <w:r w:rsidRPr="009F5B51">
        <w:rPr>
          <w:highlight w:val="yellow"/>
        </w:rPr>
        <w:fldChar w:fldCharType="end"/>
      </w:r>
      <w:r w:rsidRPr="009F5B51">
        <w:rPr>
          <w:highlight w:val="yellow"/>
        </w:rPr>
        <w:t>.</w:t>
      </w:r>
      <w:r w:rsidR="00AB2F5A" w:rsidRPr="00AB2F5A">
        <w:rPr>
          <w:rFonts w:ascii="Segoe UI" w:hAnsi="Segoe UI" w:cs="Segoe UI"/>
          <w:color w:val="auto"/>
          <w:sz w:val="21"/>
          <w:szCs w:val="21"/>
          <w:lang w:val="en-CA" w:eastAsia="en-CA"/>
        </w:rPr>
        <w:t xml:space="preserve"> </w:t>
      </w:r>
      <w:r w:rsidR="00AB2F5A" w:rsidRPr="00AB2F5A">
        <w:rPr>
          <w:highlight w:val="yellow"/>
          <w:lang w:val="en-CA"/>
        </w:rPr>
        <w:t>Pairwise comparisons are used to derive the criterion weights, and consistency is evaluated using the AHP consistency ratio.</w:t>
      </w:r>
    </w:p>
    <w:p w14:paraId="412469AA" w14:textId="77777777" w:rsidR="00957B20" w:rsidRPr="009F5B51" w:rsidRDefault="00957B20" w:rsidP="00957B20">
      <w:pPr>
        <w:spacing w:after="120"/>
        <w:ind w:firstLine="480"/>
        <w:rPr>
          <w:highlight w:val="yellow"/>
        </w:rPr>
      </w:pPr>
      <w:r w:rsidRPr="009F5B51">
        <w:rPr>
          <w:highlight w:val="yellow"/>
        </w:rPr>
        <w:t>The proposed criteria and illustrative weights are:</w:t>
      </w:r>
    </w:p>
    <w:p w14:paraId="17492423" w14:textId="5FD406B0" w:rsidR="006953CF" w:rsidRDefault="006953CF" w:rsidP="006953CF">
      <w:pPr>
        <w:pStyle w:val="Caption"/>
        <w:keepNext/>
      </w:pPr>
      <w:r>
        <w:t xml:space="preserve">Table </w:t>
      </w:r>
      <w:r>
        <w:fldChar w:fldCharType="begin"/>
      </w:r>
      <w:r>
        <w:instrText xml:space="preserve"> SEQ Table \* ARABIC </w:instrText>
      </w:r>
      <w:r>
        <w:fldChar w:fldCharType="separate"/>
      </w:r>
      <w:r w:rsidR="003A3C82">
        <w:rPr>
          <w:noProof/>
        </w:rPr>
        <w:t>5</w:t>
      </w:r>
      <w:r>
        <w:fldChar w:fldCharType="end"/>
      </w:r>
      <w:r>
        <w:t xml:space="preserve"> Proposed weights for each component</w:t>
      </w:r>
    </w:p>
    <w:tbl>
      <w:tblPr>
        <w:tblStyle w:val="Mdeck5tablebodythreelines"/>
        <w:tblW w:w="4947" w:type="pct"/>
        <w:jc w:val="left"/>
        <w:tblLook w:val="04A0" w:firstRow="1" w:lastRow="0" w:firstColumn="1" w:lastColumn="0" w:noHBand="0" w:noVBand="1"/>
      </w:tblPr>
      <w:tblGrid>
        <w:gridCol w:w="2634"/>
        <w:gridCol w:w="5164"/>
        <w:gridCol w:w="1851"/>
      </w:tblGrid>
      <w:tr w:rsidR="00957B20" w:rsidRPr="00957B20" w14:paraId="3E23FE8D" w14:textId="77777777" w:rsidTr="006953CF">
        <w:trPr>
          <w:cnfStyle w:val="100000000000" w:firstRow="1" w:lastRow="0" w:firstColumn="0" w:lastColumn="0" w:oddVBand="0" w:evenVBand="0" w:oddHBand="0" w:evenHBand="0" w:firstRowFirstColumn="0" w:firstRowLastColumn="0" w:lastRowFirstColumn="0" w:lastRowLastColumn="0"/>
          <w:jc w:val="left"/>
        </w:trPr>
        <w:tc>
          <w:tcPr>
            <w:tcW w:w="1365" w:type="pct"/>
            <w:hideMark/>
          </w:tcPr>
          <w:p w14:paraId="7AB758EF" w14:textId="77777777" w:rsidR="00957B20" w:rsidRPr="00957B20" w:rsidRDefault="00957B20" w:rsidP="006953CF">
            <w:pPr>
              <w:spacing w:after="120" w:line="240" w:lineRule="auto"/>
              <w:ind w:firstLine="480"/>
              <w:rPr>
                <w:b/>
                <w:bCs/>
                <w:sz w:val="18"/>
                <w:szCs w:val="18"/>
                <w:lang w:val="en-CA"/>
              </w:rPr>
            </w:pPr>
            <w:r w:rsidRPr="00957B20">
              <w:rPr>
                <w:b/>
                <w:bCs/>
                <w:sz w:val="18"/>
                <w:szCs w:val="18"/>
                <w:lang w:val="en-CA"/>
              </w:rPr>
              <w:t>Criterion</w:t>
            </w:r>
          </w:p>
        </w:tc>
        <w:tc>
          <w:tcPr>
            <w:tcW w:w="2676" w:type="pct"/>
            <w:hideMark/>
          </w:tcPr>
          <w:p w14:paraId="66DBC354" w14:textId="77777777" w:rsidR="00957B20" w:rsidRPr="00957B20" w:rsidRDefault="00957B20" w:rsidP="006953CF">
            <w:pPr>
              <w:spacing w:after="120" w:line="240" w:lineRule="auto"/>
              <w:ind w:firstLine="480"/>
              <w:rPr>
                <w:b/>
                <w:bCs/>
                <w:sz w:val="18"/>
                <w:szCs w:val="18"/>
                <w:lang w:val="en-CA"/>
              </w:rPr>
            </w:pPr>
            <w:r w:rsidRPr="00957B20">
              <w:rPr>
                <w:b/>
                <w:bCs/>
                <w:sz w:val="18"/>
                <w:szCs w:val="18"/>
                <w:lang w:val="en-CA"/>
              </w:rPr>
              <w:t>Main considerations</w:t>
            </w:r>
          </w:p>
        </w:tc>
        <w:tc>
          <w:tcPr>
            <w:tcW w:w="959" w:type="pct"/>
            <w:hideMark/>
          </w:tcPr>
          <w:p w14:paraId="17E16D1F" w14:textId="77777777" w:rsidR="00957B20" w:rsidRPr="00957B20" w:rsidRDefault="00957B20" w:rsidP="006953CF">
            <w:pPr>
              <w:spacing w:after="120" w:line="240" w:lineRule="auto"/>
              <w:rPr>
                <w:b/>
                <w:bCs/>
                <w:sz w:val="18"/>
                <w:szCs w:val="18"/>
                <w:lang w:val="en-CA"/>
              </w:rPr>
            </w:pPr>
            <w:r w:rsidRPr="00957B20">
              <w:rPr>
                <w:b/>
                <w:bCs/>
                <w:sz w:val="18"/>
                <w:szCs w:val="18"/>
                <w:lang w:val="en-CA"/>
              </w:rPr>
              <w:t>Illustrative weight</w:t>
            </w:r>
          </w:p>
        </w:tc>
      </w:tr>
      <w:tr w:rsidR="00957B20" w:rsidRPr="00957B20" w14:paraId="0D7F911A" w14:textId="77777777" w:rsidTr="006953CF">
        <w:trPr>
          <w:jc w:val="left"/>
        </w:trPr>
        <w:tc>
          <w:tcPr>
            <w:tcW w:w="1365" w:type="pct"/>
            <w:hideMark/>
          </w:tcPr>
          <w:p w14:paraId="05E93B39" w14:textId="77777777" w:rsidR="00957B20" w:rsidRPr="00957B20" w:rsidRDefault="00957B20" w:rsidP="006953CF">
            <w:pPr>
              <w:spacing w:after="120" w:line="240" w:lineRule="auto"/>
              <w:ind w:firstLine="480"/>
              <w:rPr>
                <w:sz w:val="18"/>
                <w:szCs w:val="18"/>
                <w:lang w:val="en-CA"/>
              </w:rPr>
            </w:pPr>
            <w:r w:rsidRPr="00957B20">
              <w:rPr>
                <w:sz w:val="18"/>
                <w:szCs w:val="18"/>
                <w:lang w:val="en-CA"/>
              </w:rPr>
              <w:t>Renewable-resource quality</w:t>
            </w:r>
          </w:p>
        </w:tc>
        <w:tc>
          <w:tcPr>
            <w:tcW w:w="2676" w:type="pct"/>
            <w:hideMark/>
          </w:tcPr>
          <w:p w14:paraId="5F919E92" w14:textId="77777777" w:rsidR="00957B20" w:rsidRPr="00957B20" w:rsidRDefault="00957B20" w:rsidP="006953CF">
            <w:pPr>
              <w:spacing w:after="120" w:line="240" w:lineRule="auto"/>
              <w:ind w:firstLine="480"/>
              <w:rPr>
                <w:sz w:val="18"/>
                <w:szCs w:val="18"/>
                <w:lang w:val="en-CA"/>
              </w:rPr>
            </w:pPr>
            <w:r w:rsidRPr="00957B20">
              <w:rPr>
                <w:sz w:val="18"/>
                <w:szCs w:val="18"/>
                <w:lang w:val="en-CA"/>
              </w:rPr>
              <w:t>Solar capacity factor, wind capacity factor, seasonal complementarity, forecast uncertainty</w:t>
            </w:r>
          </w:p>
        </w:tc>
        <w:tc>
          <w:tcPr>
            <w:tcW w:w="959" w:type="pct"/>
            <w:hideMark/>
          </w:tcPr>
          <w:p w14:paraId="707D2EF6" w14:textId="77777777" w:rsidR="00957B20" w:rsidRPr="00957B20" w:rsidRDefault="00957B20" w:rsidP="006953CF">
            <w:pPr>
              <w:spacing w:after="120" w:line="240" w:lineRule="auto"/>
              <w:ind w:firstLine="480"/>
              <w:rPr>
                <w:sz w:val="18"/>
                <w:szCs w:val="18"/>
                <w:lang w:val="en-CA"/>
              </w:rPr>
            </w:pPr>
            <w:r w:rsidRPr="00957B20">
              <w:rPr>
                <w:sz w:val="18"/>
                <w:szCs w:val="18"/>
                <w:lang w:val="en-CA"/>
              </w:rPr>
              <w:t>0.30</w:t>
            </w:r>
          </w:p>
        </w:tc>
      </w:tr>
      <w:tr w:rsidR="00957B20" w:rsidRPr="00957B20" w14:paraId="10FE23DE" w14:textId="77777777" w:rsidTr="006953CF">
        <w:trPr>
          <w:jc w:val="left"/>
        </w:trPr>
        <w:tc>
          <w:tcPr>
            <w:tcW w:w="1365" w:type="pct"/>
            <w:hideMark/>
          </w:tcPr>
          <w:p w14:paraId="71EE3E20" w14:textId="77777777" w:rsidR="00957B20" w:rsidRPr="00957B20" w:rsidRDefault="00957B20" w:rsidP="006953CF">
            <w:pPr>
              <w:spacing w:after="120" w:line="240" w:lineRule="auto"/>
              <w:ind w:firstLine="480"/>
              <w:rPr>
                <w:sz w:val="18"/>
                <w:szCs w:val="18"/>
                <w:lang w:val="en-CA"/>
              </w:rPr>
            </w:pPr>
            <w:r w:rsidRPr="00957B20">
              <w:rPr>
                <w:sz w:val="18"/>
                <w:szCs w:val="18"/>
                <w:lang w:val="en-CA"/>
              </w:rPr>
              <w:t>Infrastructure access</w:t>
            </w:r>
          </w:p>
        </w:tc>
        <w:tc>
          <w:tcPr>
            <w:tcW w:w="2676" w:type="pct"/>
            <w:hideMark/>
          </w:tcPr>
          <w:p w14:paraId="5BD24DDB" w14:textId="77777777" w:rsidR="00957B20" w:rsidRPr="00957B20" w:rsidRDefault="00957B20" w:rsidP="006953CF">
            <w:pPr>
              <w:spacing w:after="120" w:line="240" w:lineRule="auto"/>
              <w:ind w:firstLine="480"/>
              <w:rPr>
                <w:sz w:val="18"/>
                <w:szCs w:val="18"/>
                <w:lang w:val="en-CA"/>
              </w:rPr>
            </w:pPr>
            <w:r w:rsidRPr="00957B20">
              <w:rPr>
                <w:sz w:val="18"/>
                <w:szCs w:val="18"/>
                <w:lang w:val="en-CA"/>
              </w:rPr>
              <w:t>Interconnection availability, grid proximity, transmission capacity, water availability, communications</w:t>
            </w:r>
          </w:p>
        </w:tc>
        <w:tc>
          <w:tcPr>
            <w:tcW w:w="959" w:type="pct"/>
            <w:hideMark/>
          </w:tcPr>
          <w:p w14:paraId="2E01AAB1" w14:textId="77777777" w:rsidR="00957B20" w:rsidRPr="00957B20" w:rsidRDefault="00957B20" w:rsidP="006953CF">
            <w:pPr>
              <w:spacing w:after="120" w:line="240" w:lineRule="auto"/>
              <w:ind w:firstLine="480"/>
              <w:rPr>
                <w:sz w:val="18"/>
                <w:szCs w:val="18"/>
                <w:lang w:val="en-CA"/>
              </w:rPr>
            </w:pPr>
            <w:r w:rsidRPr="00957B20">
              <w:rPr>
                <w:sz w:val="18"/>
                <w:szCs w:val="18"/>
                <w:lang w:val="en-CA"/>
              </w:rPr>
              <w:t>0.25</w:t>
            </w:r>
          </w:p>
        </w:tc>
      </w:tr>
      <w:tr w:rsidR="00957B20" w:rsidRPr="00957B20" w14:paraId="0E7E0F0B" w14:textId="77777777" w:rsidTr="006953CF">
        <w:trPr>
          <w:jc w:val="left"/>
        </w:trPr>
        <w:tc>
          <w:tcPr>
            <w:tcW w:w="1365" w:type="pct"/>
            <w:hideMark/>
          </w:tcPr>
          <w:p w14:paraId="00B2ADC8" w14:textId="77777777" w:rsidR="00957B20" w:rsidRPr="00957B20" w:rsidRDefault="00957B20" w:rsidP="006953CF">
            <w:pPr>
              <w:spacing w:after="120" w:line="240" w:lineRule="auto"/>
              <w:ind w:firstLine="480"/>
              <w:rPr>
                <w:sz w:val="18"/>
                <w:szCs w:val="18"/>
                <w:lang w:val="en-CA"/>
              </w:rPr>
            </w:pPr>
            <w:r w:rsidRPr="00957B20">
              <w:rPr>
                <w:sz w:val="18"/>
                <w:szCs w:val="18"/>
                <w:lang w:val="en-CA"/>
              </w:rPr>
              <w:t>Economic conditions</w:t>
            </w:r>
          </w:p>
        </w:tc>
        <w:tc>
          <w:tcPr>
            <w:tcW w:w="2676" w:type="pct"/>
            <w:hideMark/>
          </w:tcPr>
          <w:p w14:paraId="61C1729F" w14:textId="77777777" w:rsidR="00957B20" w:rsidRPr="00957B20" w:rsidRDefault="00957B20" w:rsidP="006953CF">
            <w:pPr>
              <w:spacing w:after="120" w:line="240" w:lineRule="auto"/>
              <w:ind w:firstLine="480"/>
              <w:rPr>
                <w:sz w:val="18"/>
                <w:szCs w:val="18"/>
                <w:lang w:val="en-CA"/>
              </w:rPr>
            </w:pPr>
            <w:r w:rsidRPr="00957B20">
              <w:rPr>
                <w:sz w:val="18"/>
                <w:szCs w:val="18"/>
                <w:lang w:val="en-CA"/>
              </w:rPr>
              <w:t>Land cost, electricity tariffs, development cost, incentives, PPA availability</w:t>
            </w:r>
          </w:p>
        </w:tc>
        <w:tc>
          <w:tcPr>
            <w:tcW w:w="959" w:type="pct"/>
            <w:hideMark/>
          </w:tcPr>
          <w:p w14:paraId="55573AF8" w14:textId="77777777" w:rsidR="00957B20" w:rsidRPr="00957B20" w:rsidRDefault="00957B20" w:rsidP="006953CF">
            <w:pPr>
              <w:spacing w:after="120" w:line="240" w:lineRule="auto"/>
              <w:ind w:firstLine="480"/>
              <w:rPr>
                <w:sz w:val="18"/>
                <w:szCs w:val="18"/>
                <w:lang w:val="en-CA"/>
              </w:rPr>
            </w:pPr>
            <w:r w:rsidRPr="00957B20">
              <w:rPr>
                <w:sz w:val="18"/>
                <w:szCs w:val="18"/>
                <w:lang w:val="en-CA"/>
              </w:rPr>
              <w:t>0.20</w:t>
            </w:r>
          </w:p>
        </w:tc>
      </w:tr>
      <w:tr w:rsidR="00957B20" w:rsidRPr="00957B20" w14:paraId="6BA9F9DE" w14:textId="77777777" w:rsidTr="006953CF">
        <w:trPr>
          <w:jc w:val="left"/>
        </w:trPr>
        <w:tc>
          <w:tcPr>
            <w:tcW w:w="1365" w:type="pct"/>
            <w:hideMark/>
          </w:tcPr>
          <w:p w14:paraId="1513CF66" w14:textId="77777777" w:rsidR="00957B20" w:rsidRPr="00957B20" w:rsidRDefault="00957B20" w:rsidP="006953CF">
            <w:pPr>
              <w:spacing w:after="120" w:line="240" w:lineRule="auto"/>
              <w:ind w:firstLine="480"/>
              <w:rPr>
                <w:sz w:val="18"/>
                <w:szCs w:val="18"/>
                <w:lang w:val="en-CA"/>
              </w:rPr>
            </w:pPr>
            <w:r w:rsidRPr="00957B20">
              <w:rPr>
                <w:sz w:val="18"/>
                <w:szCs w:val="18"/>
                <w:lang w:val="en-CA"/>
              </w:rPr>
              <w:t>Environmental and climate exposure</w:t>
            </w:r>
          </w:p>
        </w:tc>
        <w:tc>
          <w:tcPr>
            <w:tcW w:w="2676" w:type="pct"/>
            <w:hideMark/>
          </w:tcPr>
          <w:p w14:paraId="34082A96" w14:textId="77777777" w:rsidR="00957B20" w:rsidRPr="00957B20" w:rsidRDefault="00957B20" w:rsidP="006953CF">
            <w:pPr>
              <w:spacing w:after="120" w:line="240" w:lineRule="auto"/>
              <w:ind w:firstLine="480"/>
              <w:rPr>
                <w:sz w:val="18"/>
                <w:szCs w:val="18"/>
                <w:lang w:val="en-CA"/>
              </w:rPr>
            </w:pPr>
            <w:r w:rsidRPr="00957B20">
              <w:rPr>
                <w:sz w:val="18"/>
                <w:szCs w:val="18"/>
                <w:lang w:val="en-CA"/>
              </w:rPr>
              <w:t>Flooding, wildfire, hurricanes, ice, extreme heat, water stress</w:t>
            </w:r>
          </w:p>
        </w:tc>
        <w:tc>
          <w:tcPr>
            <w:tcW w:w="959" w:type="pct"/>
            <w:hideMark/>
          </w:tcPr>
          <w:p w14:paraId="38568E9D" w14:textId="77777777" w:rsidR="00957B20" w:rsidRPr="00957B20" w:rsidRDefault="00957B20" w:rsidP="006953CF">
            <w:pPr>
              <w:spacing w:after="120" w:line="240" w:lineRule="auto"/>
              <w:ind w:firstLine="480"/>
              <w:rPr>
                <w:sz w:val="18"/>
                <w:szCs w:val="18"/>
                <w:lang w:val="en-CA"/>
              </w:rPr>
            </w:pPr>
            <w:r w:rsidRPr="00957B20">
              <w:rPr>
                <w:sz w:val="18"/>
                <w:szCs w:val="18"/>
                <w:lang w:val="en-CA"/>
              </w:rPr>
              <w:t>0.15</w:t>
            </w:r>
          </w:p>
        </w:tc>
      </w:tr>
      <w:tr w:rsidR="00957B20" w:rsidRPr="00957B20" w14:paraId="1A1C55FD" w14:textId="77777777" w:rsidTr="006953CF">
        <w:trPr>
          <w:jc w:val="left"/>
        </w:trPr>
        <w:tc>
          <w:tcPr>
            <w:tcW w:w="1365" w:type="pct"/>
            <w:hideMark/>
          </w:tcPr>
          <w:p w14:paraId="72E3BBDF" w14:textId="77777777" w:rsidR="00957B20" w:rsidRPr="00957B20" w:rsidRDefault="00957B20" w:rsidP="006953CF">
            <w:pPr>
              <w:spacing w:after="120" w:line="240" w:lineRule="auto"/>
              <w:ind w:firstLine="480"/>
              <w:rPr>
                <w:sz w:val="18"/>
                <w:szCs w:val="18"/>
                <w:lang w:val="en-CA"/>
              </w:rPr>
            </w:pPr>
            <w:r w:rsidRPr="00957B20">
              <w:rPr>
                <w:sz w:val="18"/>
                <w:szCs w:val="18"/>
                <w:lang w:val="en-CA"/>
              </w:rPr>
              <w:lastRenderedPageBreak/>
              <w:t>Regulatory feasibility</w:t>
            </w:r>
          </w:p>
        </w:tc>
        <w:tc>
          <w:tcPr>
            <w:tcW w:w="2676" w:type="pct"/>
            <w:hideMark/>
          </w:tcPr>
          <w:p w14:paraId="25AB4E87" w14:textId="77777777" w:rsidR="00957B20" w:rsidRPr="00957B20" w:rsidRDefault="00957B20" w:rsidP="006953CF">
            <w:pPr>
              <w:spacing w:after="120" w:line="240" w:lineRule="auto"/>
              <w:ind w:firstLine="480"/>
              <w:rPr>
                <w:sz w:val="18"/>
                <w:szCs w:val="18"/>
                <w:lang w:val="en-CA"/>
              </w:rPr>
            </w:pPr>
            <w:r w:rsidRPr="00957B20">
              <w:rPr>
                <w:sz w:val="18"/>
                <w:szCs w:val="18"/>
                <w:lang w:val="en-CA"/>
              </w:rPr>
              <w:t>Permitting requirements, grid codes, zoning, renewable-energy policy, approval times</w:t>
            </w:r>
          </w:p>
        </w:tc>
        <w:tc>
          <w:tcPr>
            <w:tcW w:w="959" w:type="pct"/>
            <w:hideMark/>
          </w:tcPr>
          <w:p w14:paraId="37F055E7" w14:textId="77777777" w:rsidR="00957B20" w:rsidRPr="00957B20" w:rsidRDefault="00957B20" w:rsidP="006953CF">
            <w:pPr>
              <w:spacing w:after="120" w:line="240" w:lineRule="auto"/>
              <w:ind w:firstLine="480"/>
              <w:rPr>
                <w:sz w:val="18"/>
                <w:szCs w:val="18"/>
                <w:lang w:val="en-CA"/>
              </w:rPr>
            </w:pPr>
            <w:r w:rsidRPr="00957B20">
              <w:rPr>
                <w:sz w:val="18"/>
                <w:szCs w:val="18"/>
                <w:lang w:val="en-CA"/>
              </w:rPr>
              <w:t>0.10</w:t>
            </w:r>
          </w:p>
        </w:tc>
      </w:tr>
    </w:tbl>
    <w:p w14:paraId="0FEB30AF" w14:textId="50F928A5" w:rsidR="00FA09B8" w:rsidRDefault="00FA09B8" w:rsidP="00FA09B8">
      <w:pPr>
        <w:spacing w:after="120"/>
        <w:ind w:firstLine="480"/>
        <w:rPr>
          <w:highlight w:val="yellow"/>
        </w:rPr>
      </w:pPr>
      <w:r w:rsidRPr="009F5B51">
        <w:rPr>
          <w:highlight w:val="yellow"/>
        </w:rPr>
        <w:t xml:space="preserve">The weights should be established through project-stakeholder pairwise comparisons rather than treated as universally applicable values. The AHP consistency ratio should be evaluated, and a ratio below 0.10 should normally be targeted. Each candidate site is assigned a normalized score </w:t>
      </w:r>
      <m:oMath>
        <m:sSub>
          <m:sSubPr>
            <m:ctrlPr>
              <w:rPr>
                <w:rFonts w:ascii="Cambria Math" w:hAnsi="Cambria Math"/>
                <w:highlight w:val="yellow"/>
              </w:rPr>
            </m:ctrlPr>
          </m:sSubPr>
          <m:e>
            <m:r>
              <w:rPr>
                <w:rFonts w:ascii="Cambria Math" w:hAnsi="Cambria Math"/>
                <w:highlight w:val="yellow"/>
              </w:rPr>
              <m:t>s</m:t>
            </m:r>
          </m:e>
          <m:sub>
            <m:r>
              <w:rPr>
                <w:rFonts w:ascii="Cambria Math" w:hAnsi="Cambria Math"/>
                <w:highlight w:val="yellow"/>
              </w:rPr>
              <m:t>ij</m:t>
            </m:r>
          </m:sub>
        </m:sSub>
      </m:oMath>
      <w:r w:rsidRPr="009F5B51">
        <w:rPr>
          <w:highlight w:val="yellow"/>
        </w:rPr>
        <w:t xml:space="preserve">between 0 and 1 for each criterion. The total score for candidate site </w:t>
      </w:r>
      <m:oMath>
        <m:r>
          <w:rPr>
            <w:rFonts w:ascii="Cambria Math" w:hAnsi="Cambria Math"/>
            <w:highlight w:val="yellow"/>
          </w:rPr>
          <m:t>j</m:t>
        </m:r>
      </m:oMath>
      <w:r w:rsidRPr="009F5B51">
        <w:rPr>
          <w:highlight w:val="yellow"/>
        </w:rPr>
        <w:t>is calculated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3C6158" w14:paraId="63848827" w14:textId="77777777" w:rsidTr="001D13F4">
        <w:tc>
          <w:tcPr>
            <w:tcW w:w="421" w:type="dxa"/>
          </w:tcPr>
          <w:p w14:paraId="0D0C3B07" w14:textId="77777777" w:rsidR="003C6158" w:rsidRDefault="003C6158" w:rsidP="001E5821">
            <w:pPr>
              <w:rPr>
                <w:color w:val="auto"/>
                <w:szCs w:val="24"/>
                <w:lang w:val="en-CA" w:eastAsia="en-CA"/>
              </w:rPr>
            </w:pPr>
          </w:p>
        </w:tc>
        <w:tc>
          <w:tcPr>
            <w:tcW w:w="7908" w:type="dxa"/>
          </w:tcPr>
          <w:p w14:paraId="294142A7" w14:textId="72BBFA4A" w:rsidR="003C6158" w:rsidRPr="00225E6D" w:rsidRDefault="00000000" w:rsidP="001E5821">
            <w:pPr>
              <w:rPr>
                <w:rFonts w:asciiTheme="majorBidi" w:hAnsiTheme="majorBidi" w:cstheme="majorBidi"/>
                <w:color w:val="auto"/>
                <w:sz w:val="22"/>
                <w:szCs w:val="22"/>
                <w:lang w:val="en-CA" w:eastAsia="en-CA"/>
              </w:rPr>
            </w:pPr>
            <m:oMathPara>
              <m:oMath>
                <m:sSub>
                  <m:sSubPr>
                    <m:ctrlPr>
                      <w:rPr>
                        <w:rFonts w:ascii="Cambria Math" w:hAnsi="Cambria Math"/>
                        <w:color w:val="auto"/>
                        <w:szCs w:val="24"/>
                      </w:rPr>
                    </m:ctrlPr>
                  </m:sSubPr>
                  <m:e>
                    <m:r>
                      <w:rPr>
                        <w:rFonts w:ascii="Cambria Math" w:hAnsi="Cambria Math"/>
                        <w:color w:val="auto"/>
                        <w:szCs w:val="24"/>
                      </w:rPr>
                      <m:t>S</m:t>
                    </m:r>
                  </m:e>
                  <m:sub>
                    <m:r>
                      <w:rPr>
                        <w:rFonts w:ascii="Cambria Math" w:hAnsi="Cambria Math"/>
                        <w:color w:val="auto"/>
                        <w:szCs w:val="24"/>
                      </w:rPr>
                      <m:t>j</m:t>
                    </m:r>
                  </m:sub>
                </m:sSub>
                <m:r>
                  <w:rPr>
                    <w:rFonts w:ascii="Cambria Math" w:hAnsi="Cambria Math"/>
                    <w:color w:val="auto"/>
                    <w:szCs w:val="24"/>
                  </w:rPr>
                  <m:t>=</m:t>
                </m:r>
                <m:nary>
                  <m:naryPr>
                    <m:chr m:val="∑"/>
                    <m:limLoc m:val="undOvr"/>
                    <m:ctrlPr>
                      <w:rPr>
                        <w:rFonts w:ascii="Cambria Math" w:hAnsi="Cambria Math"/>
                        <w:color w:val="auto"/>
                        <w:szCs w:val="24"/>
                      </w:rPr>
                    </m:ctrlPr>
                  </m:naryPr>
                  <m:sub>
                    <m:r>
                      <w:rPr>
                        <w:rFonts w:ascii="Cambria Math" w:hAnsi="Cambria Math"/>
                        <w:color w:val="auto"/>
                        <w:szCs w:val="24"/>
                      </w:rPr>
                      <m:t>i=1</m:t>
                    </m:r>
                  </m:sub>
                  <m:sup>
                    <m:r>
                      <w:rPr>
                        <w:rFonts w:ascii="Cambria Math" w:hAnsi="Cambria Math"/>
                        <w:color w:val="auto"/>
                        <w:szCs w:val="24"/>
                      </w:rPr>
                      <m:t>m</m:t>
                    </m:r>
                  </m:sup>
                  <m:e>
                    <m:sSub>
                      <m:sSubPr>
                        <m:ctrlPr>
                          <w:rPr>
                            <w:rFonts w:ascii="Cambria Math" w:hAnsi="Cambria Math"/>
                            <w:color w:val="auto"/>
                            <w:szCs w:val="24"/>
                          </w:rPr>
                        </m:ctrlPr>
                      </m:sSubPr>
                      <m:e>
                        <m:r>
                          <w:rPr>
                            <w:rFonts w:ascii="Cambria Math" w:hAnsi="Cambria Math"/>
                            <w:color w:val="auto"/>
                            <w:szCs w:val="24"/>
                          </w:rPr>
                          <m:t>w</m:t>
                        </m:r>
                      </m:e>
                      <m:sub>
                        <m:r>
                          <w:rPr>
                            <w:rFonts w:ascii="Cambria Math" w:hAnsi="Cambria Math"/>
                            <w:color w:val="auto"/>
                            <w:szCs w:val="24"/>
                          </w:rPr>
                          <m:t>i</m:t>
                        </m:r>
                      </m:sub>
                    </m:sSub>
                  </m:e>
                </m:nary>
                <m:sSub>
                  <m:sSubPr>
                    <m:ctrlPr>
                      <w:rPr>
                        <w:rFonts w:ascii="Cambria Math" w:hAnsi="Cambria Math"/>
                        <w:color w:val="auto"/>
                        <w:szCs w:val="24"/>
                      </w:rPr>
                    </m:ctrlPr>
                  </m:sSubPr>
                  <m:e>
                    <m:r>
                      <w:rPr>
                        <w:rFonts w:ascii="Cambria Math" w:hAnsi="Cambria Math"/>
                        <w:color w:val="auto"/>
                        <w:szCs w:val="24"/>
                      </w:rPr>
                      <m:t>s</m:t>
                    </m:r>
                  </m:e>
                  <m:sub>
                    <m:r>
                      <w:rPr>
                        <w:rFonts w:ascii="Cambria Math" w:hAnsi="Cambria Math"/>
                        <w:color w:val="auto"/>
                        <w:szCs w:val="24"/>
                      </w:rPr>
                      <m:t>ij</m:t>
                    </m:r>
                  </m:sub>
                </m:sSub>
              </m:oMath>
            </m:oMathPara>
          </w:p>
        </w:tc>
        <w:tc>
          <w:tcPr>
            <w:tcW w:w="616" w:type="dxa"/>
            <w:vAlign w:val="center"/>
          </w:tcPr>
          <w:p w14:paraId="47A6C29B" w14:textId="1AAA70E9" w:rsidR="003C6158" w:rsidRDefault="003C6158" w:rsidP="001E5821">
            <w:pPr>
              <w:rPr>
                <w:color w:val="auto"/>
                <w:szCs w:val="24"/>
                <w:lang w:val="en-CA" w:eastAsia="en-CA"/>
              </w:rPr>
            </w:pPr>
            <w:r>
              <w:rPr>
                <w:color w:val="auto"/>
                <w:szCs w:val="24"/>
                <w:lang w:val="en-CA" w:eastAsia="en-CA"/>
              </w:rPr>
              <w:t>(1</w:t>
            </w:r>
            <w:r w:rsidR="00500091">
              <w:rPr>
                <w:color w:val="auto"/>
                <w:szCs w:val="24"/>
                <w:lang w:val="en-CA" w:eastAsia="en-CA"/>
              </w:rPr>
              <w:t>2</w:t>
            </w:r>
            <w:r>
              <w:rPr>
                <w:color w:val="auto"/>
                <w:szCs w:val="24"/>
                <w:lang w:val="en-CA" w:eastAsia="en-CA"/>
              </w:rPr>
              <w:t>)</w:t>
            </w:r>
          </w:p>
        </w:tc>
      </w:tr>
    </w:tbl>
    <w:p w14:paraId="5CCBF018" w14:textId="18CB8D4B" w:rsidR="001D13F4" w:rsidRPr="001D13F4" w:rsidRDefault="001D13F4" w:rsidP="001D13F4">
      <w:pPr>
        <w:spacing w:after="120"/>
        <w:ind w:firstLine="480"/>
        <w:rPr>
          <w:highlight w:val="yellow"/>
          <w:lang w:val="en-CA"/>
        </w:rPr>
      </w:pPr>
      <w:r w:rsidRPr="001D13F4">
        <w:rPr>
          <w:highlight w:val="yellow"/>
          <w:lang w:val="en-CA"/>
        </w:rPr>
        <w:t xml:space="preserve">where </w:t>
      </w:r>
      <m:oMath>
        <m:sSub>
          <m:sSubPr>
            <m:ctrlPr>
              <w:rPr>
                <w:rFonts w:ascii="Cambria Math" w:hAnsi="Cambria Math"/>
                <w:highlight w:val="yellow"/>
                <w:lang w:val="en-CA"/>
              </w:rPr>
            </m:ctrlPr>
          </m:sSubPr>
          <m:e>
            <m:r>
              <w:rPr>
                <w:rFonts w:ascii="Cambria Math" w:hAnsi="Cambria Math"/>
                <w:highlight w:val="yellow"/>
                <w:lang w:val="en-CA"/>
              </w:rPr>
              <m:t>w</m:t>
            </m:r>
          </m:e>
          <m:sub>
            <m:r>
              <w:rPr>
                <w:rFonts w:ascii="Cambria Math" w:hAnsi="Cambria Math"/>
                <w:highlight w:val="yellow"/>
                <w:lang w:val="en-CA"/>
              </w:rPr>
              <m:t>i</m:t>
            </m:r>
          </m:sub>
        </m:sSub>
      </m:oMath>
      <w:r w:rsidRPr="001D13F4">
        <w:rPr>
          <w:highlight w:val="yellow"/>
          <w:lang w:val="en-CA"/>
        </w:rPr>
        <w:t xml:space="preserve">is the weight assigned to criterion </w:t>
      </w:r>
      <m:oMath>
        <m:r>
          <w:rPr>
            <w:rFonts w:ascii="Cambria Math" w:hAnsi="Cambria Math"/>
            <w:highlight w:val="yellow"/>
            <w:lang w:val="en-CA"/>
          </w:rPr>
          <m:t>i</m:t>
        </m:r>
      </m:oMath>
      <w:r w:rsidRPr="001D13F4">
        <w:rPr>
          <w:highlight w:val="yellow"/>
          <w:lang w:val="en-CA"/>
        </w:rPr>
        <w:t xml:space="preserve">, </w:t>
      </w:r>
      <m:oMath>
        <m:sSub>
          <m:sSubPr>
            <m:ctrlPr>
              <w:rPr>
                <w:rFonts w:ascii="Cambria Math" w:hAnsi="Cambria Math"/>
                <w:highlight w:val="yellow"/>
                <w:lang w:val="en-CA"/>
              </w:rPr>
            </m:ctrlPr>
          </m:sSubPr>
          <m:e>
            <m:r>
              <w:rPr>
                <w:rFonts w:ascii="Cambria Math" w:hAnsi="Cambria Math"/>
                <w:highlight w:val="yellow"/>
                <w:lang w:val="en-CA"/>
              </w:rPr>
              <m:t>s</m:t>
            </m:r>
          </m:e>
          <m:sub>
            <m:r>
              <w:rPr>
                <w:rFonts w:ascii="Cambria Math" w:hAnsi="Cambria Math"/>
                <w:highlight w:val="yellow"/>
                <w:lang w:val="en-CA"/>
              </w:rPr>
              <m:t>ij</m:t>
            </m:r>
          </m:sub>
        </m:sSub>
      </m:oMath>
      <w:r w:rsidRPr="001D13F4">
        <w:rPr>
          <w:highlight w:val="yellow"/>
          <w:lang w:val="en-CA"/>
        </w:rPr>
        <w:t xml:space="preserve">is the normalized performance of candidate site </w:t>
      </w:r>
      <m:oMath>
        <m:r>
          <w:rPr>
            <w:rFonts w:ascii="Cambria Math" w:hAnsi="Cambria Math"/>
            <w:highlight w:val="yellow"/>
            <w:lang w:val="en-CA"/>
          </w:rPr>
          <m:t>j</m:t>
        </m:r>
      </m:oMath>
      <w:r w:rsidRPr="001D13F4">
        <w:rPr>
          <w:highlight w:val="yellow"/>
          <w:lang w:val="en-CA"/>
        </w:rPr>
        <w:t xml:space="preserve">under criterion </w:t>
      </w:r>
      <m:oMath>
        <m:r>
          <w:rPr>
            <w:rFonts w:ascii="Cambria Math" w:hAnsi="Cambria Math"/>
            <w:highlight w:val="yellow"/>
            <w:lang w:val="en-CA"/>
          </w:rPr>
          <m:t>i</m:t>
        </m:r>
      </m:oMath>
      <w:r w:rsidRPr="001D13F4">
        <w:rPr>
          <w:highlight w:val="yellow"/>
          <w:lang w:val="en-CA"/>
        </w:rPr>
        <w:t xml:space="preserve">, and </w:t>
      </w:r>
      <m:oMath>
        <m:r>
          <w:rPr>
            <w:rFonts w:ascii="Cambria Math" w:hAnsi="Cambria Math"/>
            <w:highlight w:val="yellow"/>
            <w:lang w:val="en-CA"/>
          </w:rPr>
          <m:t>m</m:t>
        </m:r>
      </m:oMath>
      <w:r w:rsidRPr="001D13F4">
        <w:rPr>
          <w:highlight w:val="yellow"/>
          <w:lang w:val="en-CA"/>
        </w:rPr>
        <w:t>is the number of criteria.</w:t>
      </w:r>
    </w:p>
    <w:p w14:paraId="61E14B35" w14:textId="6FB87A66" w:rsidR="000028D9" w:rsidRDefault="000028D9" w:rsidP="007D29E8">
      <w:pPr>
        <w:spacing w:after="120"/>
        <w:ind w:firstLine="480"/>
      </w:pPr>
      <w:r w:rsidRPr="009473CB">
        <w:rPr>
          <w:highlight w:val="yellow"/>
        </w:rPr>
        <w:t xml:space="preserve">The ranking of candidate sites should be repeated by changing the weightings assigned to the </w:t>
      </w:r>
      <w:proofErr w:type="gramStart"/>
      <w:r w:rsidRPr="009473CB">
        <w:rPr>
          <w:highlight w:val="yellow"/>
        </w:rPr>
        <w:t>principle</w:t>
      </w:r>
      <w:proofErr w:type="gramEnd"/>
      <w:r w:rsidRPr="009473CB">
        <w:rPr>
          <w:highlight w:val="yellow"/>
        </w:rPr>
        <w:t xml:space="preserve"> criterion, and the results should be recorded in a sensitivity analysis. Sites that move significantly with reasonable variations in weight should be marked for additional scrutiny. This step is required because MCDA outcomes may be prone to personal weighting presumptions. Satellite or ground-measured irradiance corrected for local terrain, shading, temperature, and system losses should be used for solar-resource evaluation. The minimum solar capacity factor is set as an annual value typically greater than 20%, which is a reasonable starting point, but should not be considered a generic project criterion. Likewise, even if a project is within the boundaries of an onshore wind capacity factor greater than ~25%, project development can be based on validated meteorological-mast or LiDAR measurements of sufficient duration</w:t>
      </w:r>
      <w:r w:rsidR="00F91991" w:rsidRPr="009473CB">
        <w:rPr>
          <w:highlight w:val="yellow"/>
        </w:rPr>
        <w:fldChar w:fldCharType="begin"/>
      </w:r>
      <w:r w:rsidR="007D29E8">
        <w:rPr>
          <w:highlight w:val="yellow"/>
        </w:rPr>
        <w:instrText xml:space="preserve"> ADDIN ZOTERO_ITEM CSL_CITATION {"citationID":"XVy3XeZ0","properties":{"unsorted":false,"formattedCitation":"[106]","plainCitation":"[106]","noteIndex":0},"citationItems":[{"id":2063,"uris":["http://zotero.org/users/9870935/items/47PEXHYC"],"itemData":{"id":2063,"type":"article-journal","container-title":"Communications Earth &amp; Environment","DOI":"10.1038/s43247-024-01850-5","ISSN":"2662-4435","issue":"1","journalAbbreviation":"Commun Earth Environ","language":"en","page":"661","source":"DOI.org (Crossref)","title":"Renewable energy quality trilemma and coincident wind and solar droughts","volume":"5","author":[{"family":"Li","given":"Mingquan"},{"family":"Ma","given":"Qingyuan"},{"family":"Shan","given":"Rui"},{"family":"Abdulla","given":"Ahmed"},{"family":"Virguez","given":"Edgar"},{"family":"Gao","given":"Shuo"},{"family":"Patiño-Echeverri","given":"Dalia"}],"issued":{"date-parts":[["2024",11,6]]}}}],"schema":"https://github.com/citation-style-language/schema/raw/master/csl-citation.json"} </w:instrText>
      </w:r>
      <w:r w:rsidR="00F91991" w:rsidRPr="009473CB">
        <w:rPr>
          <w:highlight w:val="yellow"/>
        </w:rPr>
        <w:fldChar w:fldCharType="separate"/>
      </w:r>
      <w:r w:rsidR="007D29E8" w:rsidRPr="007D29E8">
        <w:rPr>
          <w:highlight w:val="yellow"/>
        </w:rPr>
        <w:t>[106]</w:t>
      </w:r>
      <w:r w:rsidR="00F91991" w:rsidRPr="009473CB">
        <w:rPr>
          <w:highlight w:val="yellow"/>
        </w:rPr>
        <w:fldChar w:fldCharType="end"/>
      </w:r>
      <w:r w:rsidRPr="009473CB">
        <w:rPr>
          <w:highlight w:val="yellow"/>
        </w:rPr>
        <w:t>.</w:t>
      </w:r>
    </w:p>
    <w:p w14:paraId="083DA38F" w14:textId="3D96FC56" w:rsidR="00957B20" w:rsidRPr="002F6018" w:rsidRDefault="000028D9" w:rsidP="001B74A6">
      <w:pPr>
        <w:spacing w:after="120"/>
        <w:ind w:firstLine="480"/>
        <w:rPr>
          <w:highlight w:val="yellow"/>
          <w:lang w:val="en-CA"/>
        </w:rPr>
      </w:pPr>
      <w:r w:rsidRPr="009473CB">
        <w:rPr>
          <w:highlight w:val="yellow"/>
        </w:rPr>
        <w:t>The proposed site may be affected in a significant way by grid-interconnection feasibility. The costs for interconnection vary greatly depending on project size, voltage, network capacity, new protection and substation equipment, transmission reinforcement and utility procedures. Therefore, interconnection costs can be defined based on the study that is relevant to the specific utility or system-operator and not as a universal cost range.</w:t>
      </w:r>
      <w:r w:rsidR="00F73394" w:rsidRPr="009473CB">
        <w:rPr>
          <w:highlight w:val="yellow"/>
        </w:rPr>
        <w:t xml:space="preserve"> </w:t>
      </w:r>
      <w:r w:rsidRPr="009473CB">
        <w:rPr>
          <w:highlight w:val="yellow"/>
        </w:rPr>
        <w:t>Assessments for climate resilience should include hazards that could impact renewable generation, grid supply, cooling performance, or access to the facility</w:t>
      </w:r>
      <w:r w:rsidR="009473CB">
        <w:rPr>
          <w:highlight w:val="yellow"/>
        </w:rPr>
        <w:fldChar w:fldCharType="begin"/>
      </w:r>
      <w:r w:rsidR="001B74A6">
        <w:rPr>
          <w:highlight w:val="yellow"/>
        </w:rPr>
        <w:instrText xml:space="preserve"> ADDIN ZOTERO_ITEM CSL_CITATION {"citationID":"frkHKcY9","properties":{"unsorted":false,"formattedCitation":"[148]","plainCitation":"[148]","noteIndex":0},"citationItems":[{"id":2127,"uris":["http://zotero.org/users/9870935/items/TPD6JBT4"],"itemData":{"id":2127,"type":"article","abstract":"As machine learning workloads significantly increase energy consumption, sustainable data centers with low carbon emissions are becoming a top priority for governments and corporations worldwide. This requires a paradigm shift in optimizing power consumption in cooling and IT loads, shifting flexible loads based on the availability of renewable energy in the power grid, and leveraging battery storage from the uninterrupted power supply in data centers, using collaborative agents. The complex association between these optimization strategies and their dependencies on variable external factors like weather and the power grid carbon intensity makes this a hard problem. Currently, a real-time controller to optimize all these goals simultaneously in a dynamic real-world setting is lacking. We propose a Data Center Carbon Footprint Reduction (DC-CFR) multi-agent Reinforcement Learning (MARL) framework that optimizes data centers for the multiple objectives of carbon footprint reduction, energy consumption, and energy cost. The results show that the DC-CFR MARL agents effectively resolved the complex interdependencies in optimizing cooling, load shifting, and energy storage in real-time for various locations under real-world dynamic weather and grid carbon intensity conditions. DC-CFR significantly outperformed the industry standard ASHRAE controller with a considerable reduction in carbon emissions (14.5%), energy usage (14.4%), and energy cost (13.7%) when evaluated over one year across multiple geographical regions.","DOI":"10.48550/ARXIV.2403.14092","license":"arXiv.org perpetual, non-exclusive license","note":"version: 3","publisher":"arXiv","source":"DOI.org (Datacite)","title":"Carbon Footprint Reduction for Sustainable Data Centers in Real-Time","URL":"https://arxiv.org/abs/2403.14092","author":[{"family":"Sarkar","given":"Soumyendu"},{"family":"Naug","given":"Avisek"},{"family":"Luna","given":"Ricardo"},{"family":"Guillen","given":"Antonio"},{"family":"Gundecha","given":"Vineet"},{"family":"Ghorbanpour","given":"Sahand"},{"family":"Mousavi","given":"Sajad"},{"family":"Markovikj","given":"Dejan"},{"family":"Babu","given":"Ashwin Ramesh"}],"accessed":{"date-parts":[["2026",5,23]]},"issued":{"date-parts":[["2024"]]}}}],"schema":"https://github.com/citation-style-language/schema/raw/master/csl-citation.json"} </w:instrText>
      </w:r>
      <w:r w:rsidR="009473CB">
        <w:rPr>
          <w:highlight w:val="yellow"/>
        </w:rPr>
        <w:fldChar w:fldCharType="separate"/>
      </w:r>
      <w:r w:rsidR="001B74A6" w:rsidRPr="001B74A6">
        <w:rPr>
          <w:highlight w:val="yellow"/>
        </w:rPr>
        <w:t>[148]</w:t>
      </w:r>
      <w:r w:rsidR="009473CB">
        <w:rPr>
          <w:highlight w:val="yellow"/>
        </w:rPr>
        <w:fldChar w:fldCharType="end"/>
      </w:r>
      <w:r w:rsidRPr="009473CB">
        <w:rPr>
          <w:highlight w:val="yellow"/>
        </w:rPr>
        <w:t>. Higher-risk sites could benefit from raised equipment platforms, additional structural ratings, redundant utility connections, extra backup resources and/ or alternate cooling solutions.</w:t>
      </w:r>
      <w:r w:rsidR="00DF4B39">
        <w:rPr>
          <w:highlight w:val="yellow"/>
        </w:rPr>
        <w:t xml:space="preserve"> </w:t>
      </w:r>
      <w:r w:rsidR="00DF4B39" w:rsidRPr="00DF4B39">
        <w:rPr>
          <w:highlight w:val="yellow"/>
          <w:lang w:val="en-CA"/>
        </w:rPr>
        <w:t>The output of Component 1 is a ranked shortlist of candidate sites, together with supporting renewable-resource profiles, interconnection constraints, water and land limitations, environmental risks, regulatory considerations, and sensitivity results.</w:t>
      </w:r>
    </w:p>
    <w:p w14:paraId="134032C6" w14:textId="48BC6EE2" w:rsidR="00AF4131" w:rsidRPr="00AF4131" w:rsidRDefault="00FE013C" w:rsidP="00AF4131">
      <w:pPr>
        <w:pStyle w:val="Heading20"/>
        <w:jc w:val="both"/>
        <w:rPr>
          <w:color w:val="auto"/>
        </w:rPr>
      </w:pPr>
      <w:r>
        <w:rPr>
          <w:color w:val="auto"/>
        </w:rPr>
        <w:t>7.3. Technology Mix Optimization</w:t>
      </w:r>
    </w:p>
    <w:p w14:paraId="2563CF3F" w14:textId="216B6AAD" w:rsidR="002F6018" w:rsidRPr="002F6018" w:rsidRDefault="002F6018" w:rsidP="002F6018">
      <w:pPr>
        <w:spacing w:after="120"/>
        <w:ind w:firstLine="480"/>
        <w:rPr>
          <w:highlight w:val="yellow"/>
          <w:lang w:val="en-CA"/>
        </w:rPr>
      </w:pPr>
      <w:r w:rsidRPr="002F6018">
        <w:rPr>
          <w:highlight w:val="yellow"/>
          <w:lang w:val="en-CA"/>
        </w:rPr>
        <w:t>The required inputs include</w:t>
      </w:r>
      <w:r>
        <w:rPr>
          <w:highlight w:val="yellow"/>
          <w:lang w:val="en-CA"/>
        </w:rPr>
        <w:t xml:space="preserve"> for this component are</w:t>
      </w:r>
      <w:r w:rsidRPr="002F6018">
        <w:rPr>
          <w:highlight w:val="yellow"/>
          <w:lang w:val="en-CA"/>
        </w:rPr>
        <w:t>:</w:t>
      </w:r>
    </w:p>
    <w:p w14:paraId="01126946"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hourly or sub-hourly solar and wind resource profiles;</w:t>
      </w:r>
    </w:p>
    <w:p w14:paraId="3A5D5D8C"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total and critical-load profiles;</w:t>
      </w:r>
    </w:p>
    <w:p w14:paraId="2ADAA9C4"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workload-flexibility constraints;</w:t>
      </w:r>
    </w:p>
    <w:p w14:paraId="21AF8458"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renewable-generation capital and operating costs;</w:t>
      </w:r>
    </w:p>
    <w:p w14:paraId="6574EA06"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battery pack and installed BESS costs;</w:t>
      </w:r>
    </w:p>
    <w:p w14:paraId="5142E203"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storage efficiency, degradation, and operating limits;</w:t>
      </w:r>
    </w:p>
    <w:p w14:paraId="0DE57445"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grid-import and export limits;</w:t>
      </w:r>
    </w:p>
    <w:p w14:paraId="36AA331D"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lastRenderedPageBreak/>
        <w:t>electricity tariffs and demand charges;</w:t>
      </w:r>
    </w:p>
    <w:p w14:paraId="3A77B448"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backup-resource availability;</w:t>
      </w:r>
    </w:p>
    <w:p w14:paraId="1D4BF258"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reliability objectives;</w:t>
      </w:r>
    </w:p>
    <w:p w14:paraId="059CD8B0"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carbon-intensity data and emissions targets; and</w:t>
      </w:r>
    </w:p>
    <w:p w14:paraId="6D318CAF"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applicable regulatory and physical constraints.</w:t>
      </w:r>
    </w:p>
    <w:p w14:paraId="3746684A" w14:textId="31E45156" w:rsidR="002F6018" w:rsidRPr="00963ECF" w:rsidRDefault="002F6018" w:rsidP="00963ECF">
      <w:pPr>
        <w:spacing w:after="120"/>
        <w:ind w:firstLine="480"/>
        <w:rPr>
          <w:highlight w:val="yellow"/>
        </w:rPr>
      </w:pPr>
      <w:r w:rsidRPr="002F6018">
        <w:rPr>
          <w:highlight w:val="yellow"/>
        </w:rPr>
        <w:t xml:space="preserve">The technology-mix selection process assesses combinations of renewable energy generation, energy storage, grid services and backup resources among a list of competing technologies. Chronological energy-balance analysis and a unified lifecycle-cost framework are used to evaluate each </w:t>
      </w:r>
      <w:proofErr w:type="gramStart"/>
      <w:r w:rsidRPr="002F6018">
        <w:rPr>
          <w:highlight w:val="yellow"/>
        </w:rPr>
        <w:t>candidate</w:t>
      </w:r>
      <w:proofErr w:type="gramEnd"/>
      <w:r w:rsidRPr="002F6018">
        <w:rPr>
          <w:highlight w:val="yellow"/>
        </w:rPr>
        <w:t xml:space="preserve"> configuration. Configurations incompatible with reliability, interconnection, power, energy, or emissions requirements are not considered. The other options are evaluated using lifecycle cost, renewable energy use, emissions, flexibility, implementation risk, and reliance on grid or fuel supply.</w:t>
      </w:r>
      <w:r w:rsidRPr="00963ECF">
        <w:rPr>
          <w:highlight w:val="yellow"/>
        </w:rPr>
        <w:t xml:space="preserve"> If an optimization model is used, the model, data, solver, time resolution, model assumptions and the output of the model should be documented. The framework does not specify an optimum configuration in general.</w:t>
      </w:r>
    </w:p>
    <w:p w14:paraId="78DDEAA3" w14:textId="3D1AADBA" w:rsidR="002F6018" w:rsidRPr="00BF65C5" w:rsidRDefault="002F6018" w:rsidP="00BF65C5">
      <w:pPr>
        <w:spacing w:after="120"/>
        <w:ind w:firstLine="480"/>
        <w:rPr>
          <w:highlight w:val="yellow"/>
        </w:rPr>
      </w:pPr>
      <w:r w:rsidRPr="00963ECF">
        <w:rPr>
          <w:highlight w:val="yellow"/>
        </w:rPr>
        <w:t>The result is a shortlist of practicable technology options specific to the site, such as:</w:t>
      </w:r>
    </w:p>
    <w:p w14:paraId="747F59AF"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Renewable energy capacity, including solar power, wind power;</w:t>
      </w:r>
    </w:p>
    <w:p w14:paraId="54A0931F"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Useable energy capacity; and</w:t>
      </w:r>
    </w:p>
    <w:p w14:paraId="2F38F28A"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storage duration;</w:t>
      </w:r>
    </w:p>
    <w:p w14:paraId="36BD6FA6"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grid-Import/Export capacity;</w:t>
      </w:r>
    </w:p>
    <w:p w14:paraId="1C711324"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Backup-resource type and rating;</w:t>
      </w:r>
    </w:p>
    <w:p w14:paraId="38F80BC5"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anticipated renewable curtailment;</w:t>
      </w:r>
    </w:p>
    <w:p w14:paraId="1EE8472E"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financial costs and dependability factors; and</w:t>
      </w:r>
    </w:p>
    <w:p w14:paraId="164D3A6D" w14:textId="5D156D31"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important implementation risks.</w:t>
      </w:r>
    </w:p>
    <w:p w14:paraId="14406D38" w14:textId="4CE6197A" w:rsidR="002F6018" w:rsidRPr="003218A2" w:rsidRDefault="002F6018" w:rsidP="004F5508">
      <w:pPr>
        <w:spacing w:after="120"/>
        <w:ind w:firstLine="480"/>
        <w:rPr>
          <w:highlight w:val="yellow"/>
        </w:rPr>
      </w:pPr>
      <w:r w:rsidRPr="003218A2">
        <w:rPr>
          <w:highlight w:val="yellow"/>
        </w:rPr>
        <w:t>Various technology-mix selection criteria involve renewable generation, energy storage, grid-interconnection capacity, backup resources, reliability requirements, carbon goals, and lifecycle cost</w:t>
      </w:r>
      <w:r w:rsidR="004F5508" w:rsidRPr="003218A2">
        <w:rPr>
          <w:highlight w:val="yellow"/>
        </w:rPr>
        <w:fldChar w:fldCharType="begin"/>
      </w:r>
      <w:r w:rsidR="004F5508" w:rsidRPr="003218A2">
        <w:rPr>
          <w:highlight w:val="yellow"/>
        </w:rPr>
        <w:instrText xml:space="preserve"> ADDIN ZOTERO_ITEM CSL_CITATION {"citationID":"mWoqWmxf","properties":{"unsorted":false,"formattedCitation":"[48]","plainCitation":"[48]","noteIndex":0},"citationItems":[{"id":1989,"uris":["http://zotero.org/users/9870935/items/3AV4CVJ6"],"itemData":{"id":1989,"type":"article-journal","container-title":"Journal of Energy Storage","DOI":"10.1016/j.est.2025.119502","ISSN":"2352152X","journalAbbreviation":"Journal of Energy Storage","language":"en","page":"119502","source":"DOI.org (Crossref)","title":"Optimal sizing of battery storage for cost-effective peak shaving in regional distribution networks","volume":"141","author":[{"family":"Rana","given":"Md Masud"},{"family":"Mo","given":"Huadong"},{"family":"Shafiullah","given":"G.M."},{"family":"Qiao","given":"Li"},{"family":"Dong","given":"Daoyi"}],"issued":{"date-parts":[["2026",1]]}}}],"schema":"https://github.com/citation-style-language/schema/raw/master/csl-citation.json"} </w:instrText>
      </w:r>
      <w:r w:rsidR="004F5508" w:rsidRPr="003218A2">
        <w:rPr>
          <w:highlight w:val="yellow"/>
        </w:rPr>
        <w:fldChar w:fldCharType="separate"/>
      </w:r>
      <w:r w:rsidR="004F5508" w:rsidRPr="003218A2">
        <w:rPr>
          <w:highlight w:val="yellow"/>
        </w:rPr>
        <w:t>[48]</w:t>
      </w:r>
      <w:r w:rsidR="004F5508" w:rsidRPr="003218A2">
        <w:rPr>
          <w:highlight w:val="yellow"/>
        </w:rPr>
        <w:fldChar w:fldCharType="end"/>
      </w:r>
      <w:r w:rsidRPr="003218A2">
        <w:rPr>
          <w:highlight w:val="yellow"/>
        </w:rPr>
        <w:t xml:space="preserve">. </w:t>
      </w:r>
    </w:p>
    <w:p w14:paraId="5E201085" w14:textId="326C3330" w:rsidR="002F6018" w:rsidRPr="003218A2" w:rsidRDefault="002F6018" w:rsidP="004F5508">
      <w:pPr>
        <w:spacing w:after="120"/>
        <w:ind w:firstLine="480"/>
        <w:rPr>
          <w:highlight w:val="yellow"/>
        </w:rPr>
      </w:pPr>
      <w:r w:rsidRPr="003218A2">
        <w:rPr>
          <w:highlight w:val="yellow"/>
        </w:rPr>
        <w:t xml:space="preserve">Gaining greater insight into the economics of renewable resources is important as the quality of these resources, measured by the capacity factor of the solar, wind, and other renewable sources, greatly affects the project economics by increasing annual generation and capital utilization. Battery costs are also relevant, but the price of battery packs should be separated from BESS costs once the batteries are installed. </w:t>
      </w:r>
      <w:proofErr w:type="spellStart"/>
      <w:r w:rsidRPr="003218A2">
        <w:rPr>
          <w:highlight w:val="yellow"/>
        </w:rPr>
        <w:t>BloombergNEF</w:t>
      </w:r>
      <w:proofErr w:type="spellEnd"/>
      <w:r w:rsidRPr="003218A2">
        <w:rPr>
          <w:highlight w:val="yellow"/>
        </w:rPr>
        <w:t xml:space="preserve"> forecasted a volume-weighted average price of lithium-ion battery-packs at around USD 108/kWh for 2025 [17]. </w:t>
      </w:r>
      <w:proofErr w:type="gramStart"/>
      <w:r w:rsidRPr="003218A2">
        <w:rPr>
          <w:highlight w:val="yellow"/>
        </w:rPr>
        <w:t>Installed-system</w:t>
      </w:r>
      <w:proofErr w:type="gramEnd"/>
      <w:r w:rsidRPr="003218A2">
        <w:rPr>
          <w:highlight w:val="yellow"/>
        </w:rPr>
        <w:t xml:space="preserve"> costs are more expensive due to power-conversion equipment, thermal management, enclosures, controls, fire protection, engineering, procurement, construction, site development and grid integration.</w:t>
      </w:r>
    </w:p>
    <w:p w14:paraId="0920F398" w14:textId="28A0A88C" w:rsidR="002F6018" w:rsidRPr="003218A2" w:rsidRDefault="002F6018" w:rsidP="00BA07F6">
      <w:pPr>
        <w:spacing w:after="120"/>
        <w:ind w:firstLine="480"/>
        <w:rPr>
          <w:highlight w:val="yellow"/>
        </w:rPr>
      </w:pPr>
      <w:r w:rsidRPr="003218A2">
        <w:rPr>
          <w:highlight w:val="yellow"/>
        </w:rPr>
        <w:t>Electricity prices and tariffs are another factor in the choice of configuration. The economic attractiveness of renewable generation and storage may benefit from higher grid-electricity prices, depending on demand-charges, time-of-use rates, export-compensation, curtailment, storage-</w:t>
      </w:r>
      <w:proofErr w:type="gramStart"/>
      <w:r w:rsidRPr="003218A2">
        <w:rPr>
          <w:highlight w:val="yellow"/>
        </w:rPr>
        <w:t>losses</w:t>
      </w:r>
      <w:proofErr w:type="gramEnd"/>
      <w:r w:rsidRPr="003218A2">
        <w:rPr>
          <w:highlight w:val="yellow"/>
        </w:rPr>
        <w:t>, and financing-conditions [149].</w:t>
      </w:r>
      <w:r w:rsidR="004F5508" w:rsidRPr="003218A2">
        <w:rPr>
          <w:highlight w:val="yellow"/>
        </w:rPr>
        <w:t xml:space="preserve"> </w:t>
      </w:r>
      <w:r w:rsidRPr="003218A2">
        <w:rPr>
          <w:highlight w:val="yellow"/>
        </w:rPr>
        <w:t>Candidates should be ranked on the common reliability criteria outlined in Section 7.9 and project-specific lifecycle-cost, carbon-reduction and interconnection constraints.</w:t>
      </w:r>
    </w:p>
    <w:p w14:paraId="49599D4A" w14:textId="6F2BBAB6" w:rsidR="002F6018" w:rsidRPr="003218A2" w:rsidRDefault="002F6018" w:rsidP="002F6018">
      <w:pPr>
        <w:spacing w:after="120"/>
        <w:ind w:firstLine="480"/>
        <w:rPr>
          <w:highlight w:val="yellow"/>
        </w:rPr>
      </w:pPr>
      <w:r w:rsidRPr="003218A2">
        <w:rPr>
          <w:highlight w:val="yellow"/>
        </w:rPr>
        <w:lastRenderedPageBreak/>
        <w:t xml:space="preserve">Figure 8. Conceptual technology-mix selection framework illustrating the interactions among renewable capacity, storage duration, grid support, backup resources, lifecycle cost, carbon emissions, and reliability. The number is not a result from a </w:t>
      </w:r>
      <w:proofErr w:type="gramStart"/>
      <w:r w:rsidRPr="003218A2">
        <w:rPr>
          <w:highlight w:val="yellow"/>
        </w:rPr>
        <w:t>site specific</w:t>
      </w:r>
      <w:proofErr w:type="gramEnd"/>
      <w:r w:rsidRPr="003218A2">
        <w:rPr>
          <w:highlight w:val="yellow"/>
        </w:rPr>
        <w:t xml:space="preserve"> optimization model. </w:t>
      </w:r>
    </w:p>
    <w:p w14:paraId="5D775629" w14:textId="77777777" w:rsidR="00AF4131" w:rsidRDefault="00AF4131" w:rsidP="00722717">
      <w:pPr>
        <w:spacing w:after="120"/>
      </w:pPr>
    </w:p>
    <w:p w14:paraId="0CF3D9C2" w14:textId="60CA4AC0" w:rsidR="00C70768" w:rsidRPr="00C70768" w:rsidRDefault="00C70768" w:rsidP="00C70768">
      <w:pPr>
        <w:keepNext/>
        <w:spacing w:after="120"/>
        <w:ind w:firstLine="480"/>
        <w:jc w:val="center"/>
        <w:rPr>
          <w:lang w:val="en-CA"/>
        </w:rPr>
      </w:pPr>
      <w:r w:rsidRPr="00C70768">
        <w:rPr>
          <w:noProof/>
          <w:lang w:val="en-CA"/>
        </w:rPr>
        <w:drawing>
          <wp:inline distT="0" distB="0" distL="0" distR="0" wp14:anchorId="42B09FEB" wp14:editId="15F18276">
            <wp:extent cx="6192520" cy="3760000"/>
            <wp:effectExtent l="0" t="0" r="0" b="0"/>
            <wp:docPr id="5569519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8917"/>
                    <a:stretch>
                      <a:fillRect/>
                    </a:stretch>
                  </pic:blipFill>
                  <pic:spPr bwMode="auto">
                    <a:xfrm>
                      <a:off x="0" y="0"/>
                      <a:ext cx="6192520" cy="3760000"/>
                    </a:xfrm>
                    <a:prstGeom prst="rect">
                      <a:avLst/>
                    </a:prstGeom>
                    <a:noFill/>
                    <a:ln>
                      <a:noFill/>
                    </a:ln>
                    <a:extLst>
                      <a:ext uri="{53640926-AAD7-44D8-BBD7-CCE9431645EC}">
                        <a14:shadowObscured xmlns:a14="http://schemas.microsoft.com/office/drawing/2010/main"/>
                      </a:ext>
                    </a:extLst>
                  </pic:spPr>
                </pic:pic>
              </a:graphicData>
            </a:graphic>
          </wp:inline>
        </w:drawing>
      </w:r>
    </w:p>
    <w:p w14:paraId="0225BD9C" w14:textId="2B4F4E2D" w:rsidR="00FE013C" w:rsidRDefault="00FE013C" w:rsidP="00A01CCD">
      <w:pPr>
        <w:keepNext/>
        <w:spacing w:after="120"/>
        <w:ind w:firstLine="480"/>
        <w:jc w:val="center"/>
      </w:pPr>
    </w:p>
    <w:p w14:paraId="7CE7BD72" w14:textId="09A84916" w:rsidR="00FE013C" w:rsidRPr="00B4497F" w:rsidRDefault="00FE013C" w:rsidP="00A01CCD">
      <w:pPr>
        <w:pStyle w:val="Caption"/>
        <w:jc w:val="center"/>
      </w:pPr>
      <w:r w:rsidRPr="00905AA2">
        <w:rPr>
          <w:highlight w:val="yellow"/>
        </w:rPr>
        <w:t xml:space="preserve">Figure </w:t>
      </w:r>
      <w:r w:rsidRPr="00905AA2">
        <w:rPr>
          <w:highlight w:val="yellow"/>
        </w:rPr>
        <w:fldChar w:fldCharType="begin"/>
      </w:r>
      <w:r w:rsidRPr="00905AA2">
        <w:rPr>
          <w:highlight w:val="yellow"/>
        </w:rPr>
        <w:instrText xml:space="preserve"> SEQ Figure \* ARABIC </w:instrText>
      </w:r>
      <w:r w:rsidRPr="00905AA2">
        <w:rPr>
          <w:highlight w:val="yellow"/>
        </w:rPr>
        <w:fldChar w:fldCharType="separate"/>
      </w:r>
      <w:r w:rsidR="00807110" w:rsidRPr="00905AA2">
        <w:rPr>
          <w:noProof/>
          <w:highlight w:val="yellow"/>
        </w:rPr>
        <w:t>8</w:t>
      </w:r>
      <w:r w:rsidRPr="00905AA2">
        <w:rPr>
          <w:noProof/>
          <w:highlight w:val="yellow"/>
        </w:rPr>
        <w:fldChar w:fldCharType="end"/>
      </w:r>
      <w:r w:rsidRPr="00905AA2">
        <w:rPr>
          <w:highlight w:val="yellow"/>
        </w:rPr>
        <w:t xml:space="preserve"> </w:t>
      </w:r>
      <w:r w:rsidR="00AF4131" w:rsidRPr="00905AA2">
        <w:rPr>
          <w:highlight w:val="yellow"/>
        </w:rPr>
        <w:t>Technology-mix Selection Framework</w:t>
      </w:r>
    </w:p>
    <w:p w14:paraId="615BABF6" w14:textId="77777777" w:rsidR="00FE013C" w:rsidRDefault="00FE013C" w:rsidP="004C16FF">
      <w:pPr>
        <w:pStyle w:val="Heading20"/>
        <w:jc w:val="both"/>
        <w:rPr>
          <w:color w:val="auto"/>
        </w:rPr>
      </w:pPr>
      <w:r>
        <w:rPr>
          <w:color w:val="auto"/>
        </w:rPr>
        <w:t>7.4. Electrical Architecture and Integration</w:t>
      </w:r>
    </w:p>
    <w:p w14:paraId="1DB812FD" w14:textId="77777777" w:rsidR="000B7B56" w:rsidRPr="002F6018" w:rsidRDefault="000B7B56" w:rsidP="000B7B56">
      <w:pPr>
        <w:spacing w:after="120"/>
        <w:ind w:firstLine="480"/>
        <w:rPr>
          <w:highlight w:val="yellow"/>
          <w:lang w:val="en-CA"/>
        </w:rPr>
      </w:pPr>
      <w:r w:rsidRPr="002F6018">
        <w:rPr>
          <w:highlight w:val="yellow"/>
          <w:lang w:val="en-CA"/>
        </w:rPr>
        <w:t>The required inputs include</w:t>
      </w:r>
      <w:r>
        <w:rPr>
          <w:highlight w:val="yellow"/>
          <w:lang w:val="en-CA"/>
        </w:rPr>
        <w:t xml:space="preserve"> for this component are</w:t>
      </w:r>
      <w:r w:rsidRPr="002F6018">
        <w:rPr>
          <w:highlight w:val="yellow"/>
          <w:lang w:val="en-CA"/>
        </w:rPr>
        <w:t>:</w:t>
      </w:r>
    </w:p>
    <w:p w14:paraId="3D5E4F50" w14:textId="37C82A86" w:rsidR="000B7B56" w:rsidRPr="002C1117" w:rsidRDefault="00072A8F" w:rsidP="002C1117">
      <w:pPr>
        <w:pStyle w:val="ListParagraph"/>
        <w:numPr>
          <w:ilvl w:val="0"/>
          <w:numId w:val="26"/>
        </w:numPr>
        <w:spacing w:after="120"/>
        <w:rPr>
          <w:highlight w:val="yellow"/>
          <w:lang w:val="en-CA"/>
        </w:rPr>
      </w:pPr>
      <w:r w:rsidRPr="002C1117">
        <w:rPr>
          <w:highlight w:val="yellow"/>
          <w:lang w:val="en-CA"/>
        </w:rPr>
        <w:t xml:space="preserve">Capacities </w:t>
      </w:r>
      <w:r w:rsidR="000B7B56" w:rsidRPr="002C1117">
        <w:rPr>
          <w:highlight w:val="yellow"/>
          <w:lang w:val="en-CA"/>
        </w:rPr>
        <w:t xml:space="preserve">selected in Component 2; </w:t>
      </w:r>
    </w:p>
    <w:p w14:paraId="6615888D" w14:textId="3FD02FEF" w:rsidR="000B7B56" w:rsidRPr="002C1117" w:rsidRDefault="00072A8F" w:rsidP="002C1117">
      <w:pPr>
        <w:pStyle w:val="ListParagraph"/>
        <w:numPr>
          <w:ilvl w:val="0"/>
          <w:numId w:val="26"/>
        </w:numPr>
        <w:spacing w:after="120"/>
        <w:rPr>
          <w:highlight w:val="yellow"/>
          <w:lang w:val="en-CA"/>
        </w:rPr>
      </w:pPr>
      <w:r w:rsidRPr="002C1117">
        <w:rPr>
          <w:highlight w:val="yellow"/>
          <w:lang w:val="en-CA"/>
        </w:rPr>
        <w:t xml:space="preserve">Total </w:t>
      </w:r>
      <w:r w:rsidR="000B7B56" w:rsidRPr="002C1117">
        <w:rPr>
          <w:highlight w:val="yellow"/>
          <w:lang w:val="en-CA"/>
        </w:rPr>
        <w:t xml:space="preserve">peak and critical-load requirements; </w:t>
      </w:r>
    </w:p>
    <w:p w14:paraId="632476EA" w14:textId="1077B41E" w:rsidR="000B7B56" w:rsidRPr="002C1117" w:rsidRDefault="00072A8F" w:rsidP="002C1117">
      <w:pPr>
        <w:pStyle w:val="ListParagraph"/>
        <w:numPr>
          <w:ilvl w:val="0"/>
          <w:numId w:val="26"/>
        </w:numPr>
        <w:spacing w:after="120"/>
        <w:rPr>
          <w:highlight w:val="yellow"/>
          <w:lang w:val="en-CA"/>
        </w:rPr>
      </w:pPr>
      <w:r w:rsidRPr="002C1117">
        <w:rPr>
          <w:highlight w:val="yellow"/>
          <w:lang w:val="en-CA"/>
        </w:rPr>
        <w:t xml:space="preserve">Required </w:t>
      </w:r>
      <w:r w:rsidR="000B7B56" w:rsidRPr="002C1117">
        <w:rPr>
          <w:highlight w:val="yellow"/>
          <w:lang w:val="en-CA"/>
        </w:rPr>
        <w:t xml:space="preserve">redundancy classification; </w:t>
      </w:r>
    </w:p>
    <w:p w14:paraId="08F2EC37" w14:textId="1969FE3F" w:rsidR="000B7B56" w:rsidRPr="002C1117" w:rsidRDefault="00072A8F" w:rsidP="002C1117">
      <w:pPr>
        <w:pStyle w:val="ListParagraph"/>
        <w:numPr>
          <w:ilvl w:val="0"/>
          <w:numId w:val="26"/>
        </w:numPr>
        <w:spacing w:after="120"/>
        <w:rPr>
          <w:highlight w:val="yellow"/>
          <w:lang w:val="en-CA"/>
        </w:rPr>
      </w:pPr>
      <w:r w:rsidRPr="002C1117">
        <w:rPr>
          <w:highlight w:val="yellow"/>
          <w:lang w:val="en-CA"/>
        </w:rPr>
        <w:t xml:space="preserve">Utility </w:t>
      </w:r>
      <w:r w:rsidR="000B7B56" w:rsidRPr="002C1117">
        <w:rPr>
          <w:highlight w:val="yellow"/>
          <w:lang w:val="en-CA"/>
        </w:rPr>
        <w:t xml:space="preserve">point-of-connection voltage; </w:t>
      </w:r>
    </w:p>
    <w:p w14:paraId="6A5CC176" w14:textId="72F15B4F" w:rsidR="000B7B56" w:rsidRPr="002C1117" w:rsidRDefault="00072A8F" w:rsidP="002C1117">
      <w:pPr>
        <w:pStyle w:val="ListParagraph"/>
        <w:numPr>
          <w:ilvl w:val="0"/>
          <w:numId w:val="26"/>
        </w:numPr>
        <w:spacing w:after="120"/>
        <w:rPr>
          <w:highlight w:val="yellow"/>
          <w:lang w:val="en-CA"/>
        </w:rPr>
      </w:pPr>
      <w:r w:rsidRPr="002C1117">
        <w:rPr>
          <w:highlight w:val="yellow"/>
          <w:lang w:val="en-CA"/>
        </w:rPr>
        <w:t xml:space="preserve">Transformer </w:t>
      </w:r>
      <w:r w:rsidR="000B7B56" w:rsidRPr="002C1117">
        <w:rPr>
          <w:highlight w:val="yellow"/>
          <w:lang w:val="en-CA"/>
        </w:rPr>
        <w:t xml:space="preserve">and switchgear ratings; </w:t>
      </w:r>
    </w:p>
    <w:p w14:paraId="0376B0A6" w14:textId="732DB430" w:rsidR="000B7B56" w:rsidRPr="002C1117" w:rsidRDefault="00072A8F" w:rsidP="002C1117">
      <w:pPr>
        <w:pStyle w:val="ListParagraph"/>
        <w:numPr>
          <w:ilvl w:val="0"/>
          <w:numId w:val="26"/>
        </w:numPr>
        <w:spacing w:after="120"/>
        <w:rPr>
          <w:highlight w:val="yellow"/>
          <w:lang w:val="en-CA"/>
        </w:rPr>
      </w:pPr>
      <w:r w:rsidRPr="002C1117">
        <w:rPr>
          <w:highlight w:val="yellow"/>
          <w:lang w:val="en-CA"/>
        </w:rPr>
        <w:t xml:space="preserve">Equipment </w:t>
      </w:r>
      <w:r w:rsidR="000B7B56" w:rsidRPr="002C1117">
        <w:rPr>
          <w:highlight w:val="yellow"/>
          <w:lang w:val="en-CA"/>
        </w:rPr>
        <w:t xml:space="preserve">fault-current withstand limits; </w:t>
      </w:r>
    </w:p>
    <w:p w14:paraId="7B638F8A" w14:textId="68AA305B" w:rsidR="000B7B56" w:rsidRPr="002C1117" w:rsidRDefault="00072A8F" w:rsidP="002C1117">
      <w:pPr>
        <w:pStyle w:val="ListParagraph"/>
        <w:numPr>
          <w:ilvl w:val="0"/>
          <w:numId w:val="26"/>
        </w:numPr>
        <w:spacing w:after="120"/>
        <w:rPr>
          <w:highlight w:val="yellow"/>
          <w:lang w:val="en-CA"/>
        </w:rPr>
      </w:pPr>
      <w:r w:rsidRPr="002C1117">
        <w:rPr>
          <w:highlight w:val="yellow"/>
          <w:lang w:val="en-CA"/>
        </w:rPr>
        <w:t xml:space="preserve">Grounding </w:t>
      </w:r>
      <w:r w:rsidR="000B7B56" w:rsidRPr="002C1117">
        <w:rPr>
          <w:highlight w:val="yellow"/>
          <w:lang w:val="en-CA"/>
        </w:rPr>
        <w:t xml:space="preserve">requirements; </w:t>
      </w:r>
    </w:p>
    <w:p w14:paraId="3586AD06" w14:textId="08DAFBFA" w:rsidR="000B7B56" w:rsidRPr="002C1117" w:rsidRDefault="00072A8F" w:rsidP="002C1117">
      <w:pPr>
        <w:pStyle w:val="ListParagraph"/>
        <w:numPr>
          <w:ilvl w:val="0"/>
          <w:numId w:val="26"/>
        </w:numPr>
        <w:spacing w:after="120"/>
        <w:rPr>
          <w:highlight w:val="yellow"/>
          <w:lang w:val="en-CA"/>
        </w:rPr>
      </w:pPr>
      <w:r w:rsidRPr="002C1117">
        <w:rPr>
          <w:highlight w:val="yellow"/>
          <w:lang w:val="en-CA"/>
        </w:rPr>
        <w:t xml:space="preserve">Anticipated </w:t>
      </w:r>
      <w:r w:rsidR="000B7B56" w:rsidRPr="002C1117">
        <w:rPr>
          <w:highlight w:val="yellow"/>
          <w:lang w:val="en-CA"/>
        </w:rPr>
        <w:t xml:space="preserve">harmonic spectra; </w:t>
      </w:r>
    </w:p>
    <w:p w14:paraId="0AA89DD1" w14:textId="51307CC6" w:rsidR="000B7B56" w:rsidRPr="002C1117" w:rsidRDefault="00072A8F" w:rsidP="002C1117">
      <w:pPr>
        <w:pStyle w:val="ListParagraph"/>
        <w:numPr>
          <w:ilvl w:val="0"/>
          <w:numId w:val="26"/>
        </w:numPr>
        <w:spacing w:after="120"/>
        <w:rPr>
          <w:highlight w:val="yellow"/>
          <w:lang w:val="en-CA"/>
        </w:rPr>
      </w:pPr>
      <w:r w:rsidRPr="002C1117">
        <w:rPr>
          <w:highlight w:val="yellow"/>
          <w:lang w:val="en-CA"/>
        </w:rPr>
        <w:t xml:space="preserve">Protection </w:t>
      </w:r>
      <w:r w:rsidR="000B7B56" w:rsidRPr="002C1117">
        <w:rPr>
          <w:highlight w:val="yellow"/>
          <w:lang w:val="en-CA"/>
        </w:rPr>
        <w:t xml:space="preserve">requirements; and </w:t>
      </w:r>
    </w:p>
    <w:p w14:paraId="7C6A7F3F" w14:textId="7BAD34CD" w:rsidR="000B7B56" w:rsidRPr="00496175" w:rsidRDefault="00072A8F" w:rsidP="00496175">
      <w:pPr>
        <w:pStyle w:val="ListParagraph"/>
        <w:numPr>
          <w:ilvl w:val="0"/>
          <w:numId w:val="26"/>
        </w:numPr>
        <w:spacing w:after="120"/>
        <w:rPr>
          <w:highlight w:val="yellow"/>
          <w:lang w:val="en-CA"/>
        </w:rPr>
      </w:pPr>
      <w:r w:rsidRPr="002C1117">
        <w:rPr>
          <w:highlight w:val="yellow"/>
          <w:lang w:val="en-CA"/>
        </w:rPr>
        <w:t xml:space="preserve">Applicable </w:t>
      </w:r>
      <w:r w:rsidR="000B7B56" w:rsidRPr="002C1117">
        <w:rPr>
          <w:highlight w:val="yellow"/>
          <w:lang w:val="en-CA"/>
        </w:rPr>
        <w:t>IEEE, IEC, and utility interconnection standards.</w:t>
      </w:r>
    </w:p>
    <w:p w14:paraId="4EBF6459" w14:textId="3E3EA4A5" w:rsidR="006155BF" w:rsidRDefault="006155BF" w:rsidP="00496175">
      <w:pPr>
        <w:spacing w:after="120"/>
        <w:ind w:firstLine="480"/>
        <w:rPr>
          <w:highlight w:val="yellow"/>
        </w:rPr>
      </w:pPr>
      <w:proofErr w:type="gramStart"/>
      <w:r w:rsidRPr="00B54B37">
        <w:rPr>
          <w:highlight w:val="yellow"/>
        </w:rPr>
        <w:t>The electrical</w:t>
      </w:r>
      <w:proofErr w:type="gramEnd"/>
      <w:r w:rsidRPr="00B54B37">
        <w:rPr>
          <w:highlight w:val="yellow"/>
        </w:rPr>
        <w:t xml:space="preserve"> architecture is evaluated using power-flow, short-circuit, grounding, protection-coordination, reliability, and harmonic-compliance studies. Candidate designs that exceed equipment ratings or violate voltage, protection, grounding, or power-quality requirements are rejected.</w:t>
      </w:r>
      <w:r w:rsidR="00496175" w:rsidRPr="00B54B37">
        <w:rPr>
          <w:highlight w:val="yellow"/>
        </w:rPr>
        <w:t xml:space="preserve"> </w:t>
      </w:r>
      <w:r w:rsidRPr="00B54B37">
        <w:rPr>
          <w:highlight w:val="yellow"/>
        </w:rPr>
        <w:t xml:space="preserve">The </w:t>
      </w:r>
      <w:r w:rsidRPr="00B54B37">
        <w:rPr>
          <w:highlight w:val="yellow"/>
        </w:rPr>
        <w:lastRenderedPageBreak/>
        <w:t>selection between AC and DC distribution should be based on lifecycle efficiency, conversion losses, equipment availability, protection maturity, maintainability, and capital cost rather than on conversion efficiency alone.</w:t>
      </w:r>
    </w:p>
    <w:p w14:paraId="1F7DDE65" w14:textId="43C6A958" w:rsidR="00FF0674" w:rsidRPr="00FF0674" w:rsidRDefault="00FF0674" w:rsidP="00FF0674">
      <w:pPr>
        <w:spacing w:after="120"/>
        <w:ind w:firstLine="480"/>
        <w:rPr>
          <w:highlight w:val="yellow"/>
        </w:rPr>
      </w:pPr>
      <w:r w:rsidRPr="00FF0674">
        <w:rPr>
          <w:highlight w:val="yellow"/>
        </w:rPr>
        <w:t>The output is a preliminary single-line electrical design specifying:</w:t>
      </w:r>
    </w:p>
    <w:p w14:paraId="63F242BC" w14:textId="7EE14587" w:rsidR="00064826" w:rsidRPr="00064826" w:rsidRDefault="00B44A5B" w:rsidP="00847F9F">
      <w:pPr>
        <w:pStyle w:val="ListParagraph"/>
        <w:numPr>
          <w:ilvl w:val="0"/>
          <w:numId w:val="26"/>
        </w:numPr>
        <w:spacing w:after="120"/>
        <w:rPr>
          <w:highlight w:val="yellow"/>
          <w:lang w:val="en-CA"/>
        </w:rPr>
      </w:pPr>
      <w:r w:rsidRPr="00064826">
        <w:rPr>
          <w:highlight w:val="yellow"/>
          <w:lang w:val="en-CA"/>
        </w:rPr>
        <w:t xml:space="preserve">Interconnection and distribution voltage levels; </w:t>
      </w:r>
    </w:p>
    <w:p w14:paraId="5FF706E1" w14:textId="4E25655C" w:rsidR="00064826" w:rsidRPr="00064826" w:rsidRDefault="00B44A5B" w:rsidP="00847F9F">
      <w:pPr>
        <w:pStyle w:val="ListParagraph"/>
        <w:numPr>
          <w:ilvl w:val="0"/>
          <w:numId w:val="26"/>
        </w:numPr>
        <w:spacing w:after="120"/>
        <w:rPr>
          <w:highlight w:val="yellow"/>
          <w:lang w:val="en-CA"/>
        </w:rPr>
      </w:pPr>
      <w:r w:rsidRPr="00064826">
        <w:rPr>
          <w:highlight w:val="yellow"/>
          <w:lang w:val="en-CA"/>
        </w:rPr>
        <w:t xml:space="preserve">Transformer and switchgear ratings; </w:t>
      </w:r>
    </w:p>
    <w:p w14:paraId="22CFC4C0" w14:textId="387C102E" w:rsidR="00064826" w:rsidRPr="00064826" w:rsidRDefault="00B44A5B" w:rsidP="00847F9F">
      <w:pPr>
        <w:pStyle w:val="ListParagraph"/>
        <w:numPr>
          <w:ilvl w:val="0"/>
          <w:numId w:val="26"/>
        </w:numPr>
        <w:spacing w:after="120"/>
        <w:rPr>
          <w:highlight w:val="yellow"/>
          <w:lang w:val="en-CA"/>
        </w:rPr>
      </w:pPr>
      <w:r w:rsidRPr="00064826">
        <w:rPr>
          <w:highlight w:val="yellow"/>
          <w:lang w:val="en-CA"/>
        </w:rPr>
        <w:t xml:space="preserve">Ac or dc distribution topology; </w:t>
      </w:r>
    </w:p>
    <w:p w14:paraId="17BBB984" w14:textId="3D5F0F90" w:rsidR="00064826" w:rsidRPr="00064826" w:rsidRDefault="00B44A5B" w:rsidP="00847F9F">
      <w:pPr>
        <w:pStyle w:val="ListParagraph"/>
        <w:numPr>
          <w:ilvl w:val="0"/>
          <w:numId w:val="26"/>
        </w:numPr>
        <w:spacing w:after="120"/>
        <w:rPr>
          <w:highlight w:val="yellow"/>
          <w:lang w:val="en-CA"/>
        </w:rPr>
      </w:pPr>
      <w:r w:rsidRPr="00064826">
        <w:rPr>
          <w:highlight w:val="yellow"/>
          <w:lang w:val="en-CA"/>
        </w:rPr>
        <w:t xml:space="preserve">Renewable-generation and storage connection points; </w:t>
      </w:r>
    </w:p>
    <w:p w14:paraId="17C8C689" w14:textId="223C7FBB" w:rsidR="00064826" w:rsidRPr="00064826" w:rsidRDefault="00B44A5B" w:rsidP="00847F9F">
      <w:pPr>
        <w:pStyle w:val="ListParagraph"/>
        <w:numPr>
          <w:ilvl w:val="0"/>
          <w:numId w:val="26"/>
        </w:numPr>
        <w:spacing w:after="120"/>
        <w:rPr>
          <w:highlight w:val="yellow"/>
          <w:lang w:val="en-CA"/>
        </w:rPr>
      </w:pPr>
      <w:r w:rsidRPr="00064826">
        <w:rPr>
          <w:highlight w:val="yellow"/>
          <w:lang w:val="en-CA"/>
        </w:rPr>
        <w:t xml:space="preserve">Redundancy arrangement; </w:t>
      </w:r>
    </w:p>
    <w:p w14:paraId="0C75377C" w14:textId="51166B84" w:rsidR="00064826" w:rsidRPr="00064826" w:rsidRDefault="00B44A5B" w:rsidP="00847F9F">
      <w:pPr>
        <w:pStyle w:val="ListParagraph"/>
        <w:numPr>
          <w:ilvl w:val="0"/>
          <w:numId w:val="26"/>
        </w:numPr>
        <w:spacing w:after="120"/>
        <w:rPr>
          <w:highlight w:val="yellow"/>
          <w:lang w:val="en-CA"/>
        </w:rPr>
      </w:pPr>
      <w:r w:rsidRPr="00064826">
        <w:rPr>
          <w:highlight w:val="yellow"/>
          <w:lang w:val="en-CA"/>
        </w:rPr>
        <w:t xml:space="preserve">Protection zones and preliminary settings; </w:t>
      </w:r>
    </w:p>
    <w:p w14:paraId="07DE4EFE" w14:textId="5C846666" w:rsidR="00064826" w:rsidRPr="00064826" w:rsidRDefault="00B44A5B" w:rsidP="00847F9F">
      <w:pPr>
        <w:pStyle w:val="ListParagraph"/>
        <w:numPr>
          <w:ilvl w:val="0"/>
          <w:numId w:val="26"/>
        </w:numPr>
        <w:spacing w:after="120"/>
        <w:rPr>
          <w:highlight w:val="yellow"/>
          <w:lang w:val="en-CA"/>
        </w:rPr>
      </w:pPr>
      <w:r w:rsidRPr="00064826">
        <w:rPr>
          <w:highlight w:val="yellow"/>
          <w:lang w:val="en-CA"/>
        </w:rPr>
        <w:t xml:space="preserve">Grounding approach; and </w:t>
      </w:r>
    </w:p>
    <w:p w14:paraId="76890990" w14:textId="1DF21BA9" w:rsidR="00064826" w:rsidRPr="00064826" w:rsidRDefault="00B44A5B" w:rsidP="00847F9F">
      <w:pPr>
        <w:pStyle w:val="ListParagraph"/>
        <w:numPr>
          <w:ilvl w:val="0"/>
          <w:numId w:val="26"/>
        </w:numPr>
        <w:spacing w:after="120"/>
        <w:rPr>
          <w:highlight w:val="yellow"/>
          <w:lang w:val="en-CA"/>
        </w:rPr>
      </w:pPr>
      <w:r w:rsidRPr="00064826">
        <w:rPr>
          <w:highlight w:val="yellow"/>
          <w:lang w:val="en-CA"/>
        </w:rPr>
        <w:t>Harmonic and power-quality mitigation requirements.</w:t>
      </w:r>
    </w:p>
    <w:p w14:paraId="0BCF019F" w14:textId="333FB88B" w:rsidR="00FF0674" w:rsidRPr="00B80448" w:rsidRDefault="005321C4" w:rsidP="00D81A5B">
      <w:pPr>
        <w:spacing w:after="120"/>
        <w:ind w:firstLine="480"/>
        <w:rPr>
          <w:highlight w:val="yellow"/>
          <w:lang w:val="en-CA"/>
        </w:rPr>
      </w:pPr>
      <w:r w:rsidRPr="00B80448">
        <w:rPr>
          <w:highlight w:val="yellow"/>
          <w:lang w:val="en-CA"/>
        </w:rPr>
        <w:t>There is a compromise involved in the choice of the PRIMARY interconnection voltage, factors being power transfer capability, conductor losses, switchgear cost, utility requirements, fault currents, and complexity of protection</w:t>
      </w:r>
      <w:r w:rsidR="00C9792E" w:rsidRPr="00B80448">
        <w:rPr>
          <w:highlight w:val="yellow"/>
          <w:lang w:val="en-CA"/>
        </w:rPr>
        <w:fldChar w:fldCharType="begin"/>
      </w:r>
      <w:r w:rsidR="00C9792E" w:rsidRPr="00B80448">
        <w:rPr>
          <w:highlight w:val="yellow"/>
          <w:lang w:val="en-CA"/>
        </w:rPr>
        <w:instrText xml:space="preserve"> ADDIN ZOTERO_ITEM CSL_CITATION {"citationID":"AztEawaf","properties":{"unsorted":false,"formattedCitation":"[87]","plainCitation":"[87]","noteIndex":0},"citationItems":[{"id":2035,"uris":["http://zotero.org/users/9870935/items/QTGJSYMV"],"itemData":{"id":2035,"type":"article-journal","container-title":"Building and Environment","DOI":"10.1016/j.buildenv.2021.108741","ISSN":"03601323","journalAbbreviation":"Building and Environment","language":"en","page":"108741","source":"DOI.org (Crossref)","title":"Experimental and numerical study on the thermal environment of a data center","volume":"212","author":[{"family":"Tang","given":"Yu"},{"family":"Bai","given":"Xuelian"},{"family":"Jin","given":"Chaoqiang"},{"family":"Fu","given":"Yusen"},{"family":"Mao","given":"Wangxin"},{"family":"Xu","given":"Xin"}],"issued":{"date-parts":[["2022",3]]}}}],"schema":"https://github.com/citation-style-language/schema/raw/master/csl-citation.json"} </w:instrText>
      </w:r>
      <w:r w:rsidR="00C9792E" w:rsidRPr="00B80448">
        <w:rPr>
          <w:highlight w:val="yellow"/>
          <w:lang w:val="en-CA"/>
        </w:rPr>
        <w:fldChar w:fldCharType="separate"/>
      </w:r>
      <w:r w:rsidR="00C9792E" w:rsidRPr="00B80448">
        <w:rPr>
          <w:highlight w:val="yellow"/>
          <w:lang w:val="en-CA"/>
        </w:rPr>
        <w:t>[87]</w:t>
      </w:r>
      <w:r w:rsidR="00C9792E" w:rsidRPr="00B80448">
        <w:rPr>
          <w:highlight w:val="yellow"/>
          <w:lang w:val="en-CA"/>
        </w:rPr>
        <w:fldChar w:fldCharType="end"/>
      </w:r>
      <w:r w:rsidRPr="00B80448">
        <w:rPr>
          <w:highlight w:val="yellow"/>
          <w:lang w:val="en-CA"/>
        </w:rPr>
        <w:t xml:space="preserve">. While 13.8 kV and 25 kV medium voltage are </w:t>
      </w:r>
      <w:proofErr w:type="gramStart"/>
      <w:r w:rsidRPr="00B80448">
        <w:rPr>
          <w:highlight w:val="yellow"/>
          <w:lang w:val="en-CA"/>
        </w:rPr>
        <w:t>most commonly utilized</w:t>
      </w:r>
      <w:proofErr w:type="gramEnd"/>
      <w:r w:rsidRPr="00B80448">
        <w:rPr>
          <w:highlight w:val="yellow"/>
          <w:lang w:val="en-CA"/>
        </w:rPr>
        <w:t>, the suitable voltage for the 100 MW can be determined through utility requirements, load distribution, equipment rating, and lifecycle-cost analysis. There should not be a universal voltage configuration. By minimizing a portion of your AC-to-DC and DC-to-AC conversion, DC distribution can offer efficiency benefits when you have a significant amount of DC generation, storage and use in your facility, particularly within the IT sector. The advantages have to be weighed against the costs and availability of DC-rated switchgear, fault interruption, protection systems, maintenance practices, and equipment</w:t>
      </w:r>
      <w:r w:rsidR="00D81A5B" w:rsidRPr="00B80448">
        <w:rPr>
          <w:highlight w:val="yellow"/>
          <w:lang w:val="en-CA"/>
        </w:rPr>
        <w:fldChar w:fldCharType="begin"/>
      </w:r>
      <w:r w:rsidR="00D81A5B" w:rsidRPr="00B80448">
        <w:rPr>
          <w:highlight w:val="yellow"/>
          <w:lang w:val="en-CA"/>
        </w:rPr>
        <w:instrText xml:space="preserve"> ADDIN ZOTERO_ITEM CSL_CITATION {"citationID":"7TsMK3jb","properties":{"unsorted":false,"formattedCitation":"[76]","plainCitation":"[76]","noteIndex":0},"citationItems":[{"id":2013,"uris":["http://zotero.org/users/9870935/items/K8UPFZKD"],"itemData":{"id":2013,"type":"article-journal","DOI":"10.13140/RG.2.2.27710.75845","language":"en","publisher":"Unpublished","source":"DOI.org (Datacite)","title":"Data center energy assessment process and energy efficiency metrics","URL":"https://www.researchgate.net/doi/10.13140/RG.2.2.27710.75845","author":[{"literal":"Nguyen Anh Huy"},{"family":"Nguyen","given":"Xuan Truong"}],"accessed":{"date-parts":[["2026",5,16]]},"issued":{"date-parts":[["2025"]]}}}],"schema":"https://github.com/citation-style-language/schema/raw/master/csl-citation.json"} </w:instrText>
      </w:r>
      <w:r w:rsidR="00D81A5B" w:rsidRPr="00B80448">
        <w:rPr>
          <w:highlight w:val="yellow"/>
          <w:lang w:val="en-CA"/>
        </w:rPr>
        <w:fldChar w:fldCharType="separate"/>
      </w:r>
      <w:r w:rsidR="00D81A5B" w:rsidRPr="00B80448">
        <w:rPr>
          <w:highlight w:val="yellow"/>
          <w:lang w:val="en-CA"/>
        </w:rPr>
        <w:t>[76]</w:t>
      </w:r>
      <w:r w:rsidR="00D81A5B" w:rsidRPr="00B80448">
        <w:rPr>
          <w:highlight w:val="yellow"/>
          <w:lang w:val="en-CA"/>
        </w:rPr>
        <w:fldChar w:fldCharType="end"/>
      </w:r>
      <w:r w:rsidRPr="00B80448">
        <w:rPr>
          <w:highlight w:val="yellow"/>
          <w:lang w:val="en-CA"/>
        </w:rPr>
        <w:t>.</w:t>
      </w:r>
    </w:p>
    <w:p w14:paraId="178A00C2" w14:textId="71A85B0A" w:rsidR="00C70768" w:rsidRPr="00C70768" w:rsidRDefault="00FE013C" w:rsidP="00C70768">
      <w:pPr>
        <w:pStyle w:val="Heading20"/>
        <w:jc w:val="both"/>
        <w:rPr>
          <w:color w:val="auto"/>
        </w:rPr>
      </w:pPr>
      <w:r>
        <w:rPr>
          <w:color w:val="auto"/>
        </w:rPr>
        <w:t>7.5. Control and Dispatch Strategies</w:t>
      </w:r>
    </w:p>
    <w:p w14:paraId="0E14E3DA" w14:textId="11D0A287" w:rsidR="00C70768" w:rsidRDefault="00C70768" w:rsidP="00C70768">
      <w:pPr>
        <w:spacing w:after="120"/>
        <w:ind w:firstLine="480"/>
      </w:pPr>
      <w:r w:rsidRPr="00013085">
        <w:rPr>
          <w:highlight w:val="yellow"/>
        </w:rPr>
        <w:t>The necessary inputs are:</w:t>
      </w:r>
    </w:p>
    <w:p w14:paraId="5275EB53" w14:textId="77777777" w:rsidR="00C70768" w:rsidRPr="00C70768" w:rsidRDefault="00C70768" w:rsidP="00C70768">
      <w:pPr>
        <w:pStyle w:val="ListParagraph"/>
        <w:numPr>
          <w:ilvl w:val="0"/>
          <w:numId w:val="26"/>
        </w:numPr>
        <w:spacing w:after="120"/>
        <w:rPr>
          <w:highlight w:val="yellow"/>
          <w:lang w:val="en-CA"/>
        </w:rPr>
      </w:pPr>
      <w:r w:rsidRPr="00C70768">
        <w:rPr>
          <w:highlight w:val="yellow"/>
          <w:lang w:val="en-CA"/>
        </w:rPr>
        <w:t>renewable-generation forecasts;</w:t>
      </w:r>
    </w:p>
    <w:p w14:paraId="10D1B3C9" w14:textId="77777777" w:rsidR="00C70768" w:rsidRPr="00C70768" w:rsidRDefault="00C70768" w:rsidP="00C70768">
      <w:pPr>
        <w:pStyle w:val="ListParagraph"/>
        <w:numPr>
          <w:ilvl w:val="0"/>
          <w:numId w:val="26"/>
        </w:numPr>
        <w:spacing w:after="120"/>
        <w:rPr>
          <w:highlight w:val="yellow"/>
          <w:lang w:val="en-CA"/>
        </w:rPr>
      </w:pPr>
      <w:r w:rsidRPr="00C70768">
        <w:rPr>
          <w:highlight w:val="yellow"/>
          <w:lang w:val="en-CA"/>
        </w:rPr>
        <w:t>facility-load forecasts;</w:t>
      </w:r>
    </w:p>
    <w:p w14:paraId="57EAD752" w14:textId="77777777" w:rsidR="00C70768" w:rsidRPr="00C70768" w:rsidRDefault="00C70768" w:rsidP="00C70768">
      <w:pPr>
        <w:pStyle w:val="ListParagraph"/>
        <w:numPr>
          <w:ilvl w:val="0"/>
          <w:numId w:val="26"/>
        </w:numPr>
        <w:spacing w:after="120"/>
        <w:rPr>
          <w:highlight w:val="yellow"/>
          <w:lang w:val="en-CA"/>
        </w:rPr>
      </w:pPr>
      <w:r w:rsidRPr="00C70768">
        <w:rPr>
          <w:highlight w:val="yellow"/>
          <w:lang w:val="en-CA"/>
        </w:rPr>
        <w:t>battery state of charge, and battery operating limits;</w:t>
      </w:r>
    </w:p>
    <w:p w14:paraId="6753528F" w14:textId="77777777" w:rsidR="00C70768" w:rsidRPr="00C70768" w:rsidRDefault="00C70768" w:rsidP="00C70768">
      <w:pPr>
        <w:pStyle w:val="ListParagraph"/>
        <w:numPr>
          <w:ilvl w:val="0"/>
          <w:numId w:val="26"/>
        </w:numPr>
        <w:spacing w:after="120"/>
        <w:rPr>
          <w:highlight w:val="yellow"/>
          <w:lang w:val="en-CA"/>
        </w:rPr>
      </w:pPr>
      <w:r w:rsidRPr="00C70768">
        <w:rPr>
          <w:highlight w:val="yellow"/>
          <w:lang w:val="en-CA"/>
        </w:rPr>
        <w:t>backup-resource availability;</w:t>
      </w:r>
    </w:p>
    <w:p w14:paraId="029315C3" w14:textId="77777777" w:rsidR="00C70768" w:rsidRPr="00C70768" w:rsidRDefault="00C70768" w:rsidP="00C70768">
      <w:pPr>
        <w:pStyle w:val="ListParagraph"/>
        <w:numPr>
          <w:ilvl w:val="0"/>
          <w:numId w:val="26"/>
        </w:numPr>
        <w:spacing w:after="120"/>
        <w:rPr>
          <w:highlight w:val="yellow"/>
          <w:lang w:val="en-CA"/>
        </w:rPr>
      </w:pPr>
      <w:r w:rsidRPr="00C70768">
        <w:rPr>
          <w:highlight w:val="yellow"/>
          <w:lang w:val="en-CA"/>
        </w:rPr>
        <w:t>grid-energy prices and demand charges;</w:t>
      </w:r>
    </w:p>
    <w:p w14:paraId="5FB69D33" w14:textId="77777777" w:rsidR="00C70768" w:rsidRPr="00C70768" w:rsidRDefault="00C70768" w:rsidP="00C70768">
      <w:pPr>
        <w:pStyle w:val="ListParagraph"/>
        <w:numPr>
          <w:ilvl w:val="0"/>
          <w:numId w:val="26"/>
        </w:numPr>
        <w:spacing w:after="120"/>
        <w:rPr>
          <w:highlight w:val="yellow"/>
          <w:lang w:val="en-CA"/>
        </w:rPr>
      </w:pPr>
      <w:r w:rsidRPr="00C70768">
        <w:rPr>
          <w:highlight w:val="yellow"/>
          <w:lang w:val="en-CA"/>
        </w:rPr>
        <w:t>Restrictions on the import and export of grids;</w:t>
      </w:r>
    </w:p>
    <w:p w14:paraId="7BB992AE" w14:textId="77777777" w:rsidR="00C70768" w:rsidRPr="00C70768" w:rsidRDefault="00C70768" w:rsidP="00C70768">
      <w:pPr>
        <w:pStyle w:val="ListParagraph"/>
        <w:numPr>
          <w:ilvl w:val="0"/>
          <w:numId w:val="26"/>
        </w:numPr>
        <w:spacing w:after="120"/>
        <w:rPr>
          <w:highlight w:val="yellow"/>
          <w:lang w:val="en-CA"/>
        </w:rPr>
      </w:pPr>
      <w:r w:rsidRPr="00C70768">
        <w:rPr>
          <w:highlight w:val="yellow"/>
          <w:lang w:val="en-CA"/>
        </w:rPr>
        <w:t>emissions or carbon-intensity signals;</w:t>
      </w:r>
    </w:p>
    <w:p w14:paraId="193D164C" w14:textId="77777777" w:rsidR="00C70768" w:rsidRPr="00C70768" w:rsidRDefault="00C70768" w:rsidP="00C70768">
      <w:pPr>
        <w:pStyle w:val="ListParagraph"/>
        <w:numPr>
          <w:ilvl w:val="0"/>
          <w:numId w:val="26"/>
        </w:numPr>
        <w:spacing w:after="120"/>
        <w:rPr>
          <w:highlight w:val="yellow"/>
          <w:lang w:val="en-CA"/>
        </w:rPr>
      </w:pPr>
      <w:r w:rsidRPr="00C70768">
        <w:rPr>
          <w:highlight w:val="yellow"/>
          <w:lang w:val="en-CA"/>
        </w:rPr>
        <w:t>Reserve requirements for reliability; and</w:t>
      </w:r>
    </w:p>
    <w:p w14:paraId="1065DB69" w14:textId="6807FFE9" w:rsidR="00C70768" w:rsidRPr="00C70768" w:rsidRDefault="00C70768" w:rsidP="00C70768">
      <w:pPr>
        <w:pStyle w:val="ListParagraph"/>
        <w:numPr>
          <w:ilvl w:val="0"/>
          <w:numId w:val="26"/>
        </w:numPr>
        <w:spacing w:after="120"/>
        <w:rPr>
          <w:highlight w:val="yellow"/>
          <w:lang w:val="en-CA"/>
        </w:rPr>
      </w:pPr>
      <w:r w:rsidRPr="00C70768">
        <w:rPr>
          <w:highlight w:val="yellow"/>
          <w:lang w:val="en-CA"/>
        </w:rPr>
        <w:t>Latency, deferral, and data-residency restrictions at the workload level.</w:t>
      </w:r>
    </w:p>
    <w:p w14:paraId="68E9C044" w14:textId="17E4B034" w:rsidR="00C70768" w:rsidRPr="00013085" w:rsidRDefault="00C70768" w:rsidP="00013085">
      <w:pPr>
        <w:spacing w:after="120"/>
        <w:ind w:firstLine="480"/>
        <w:rPr>
          <w:highlight w:val="yellow"/>
          <w:lang w:val="en-CA"/>
        </w:rPr>
      </w:pPr>
      <w:r w:rsidRPr="008E212E">
        <w:rPr>
          <w:highlight w:val="yellow"/>
          <w:lang w:val="en-CA"/>
        </w:rPr>
        <w:t xml:space="preserve">A hierarchical controller coordinates resources through three scales of time. The device level controllers are used for responding to voltage and frequency conditions. The energy management system on the facility level manages the programming of renewable generation, storage, grid imports, back-up facilities, and reserves. The controller at the corporate level harmonizes eligible workloads across facilities while honoring latency, service-level, </w:t>
      </w:r>
      <w:proofErr w:type="spellStart"/>
      <w:r w:rsidRPr="008E212E">
        <w:rPr>
          <w:highlight w:val="yellow"/>
          <w:lang w:val="en-CA"/>
        </w:rPr>
        <w:t>cybersécurité</w:t>
      </w:r>
      <w:proofErr w:type="spellEnd"/>
      <w:r w:rsidRPr="008E212E">
        <w:rPr>
          <w:highlight w:val="yellow"/>
          <w:lang w:val="en-CA"/>
        </w:rPr>
        <w:t xml:space="preserve"> and data-residency boundaries.</w:t>
      </w:r>
      <w:r w:rsidR="008E212E">
        <w:rPr>
          <w:highlight w:val="yellow"/>
          <w:lang w:val="en-CA"/>
        </w:rPr>
        <w:t xml:space="preserve"> </w:t>
      </w:r>
      <w:r w:rsidRPr="008E212E">
        <w:rPr>
          <w:highlight w:val="yellow"/>
          <w:lang w:val="en-CA"/>
        </w:rPr>
        <w:t xml:space="preserve">A project defined objective (such as operating cost, emissions, or a weighted combination of both) should be minimized as reasonably as can be hardware and reliability, project storage, interconnection and workload </w:t>
      </w:r>
      <w:proofErr w:type="gramStart"/>
      <w:r w:rsidRPr="008E212E">
        <w:rPr>
          <w:highlight w:val="yellow"/>
          <w:lang w:val="en-CA"/>
        </w:rPr>
        <w:t>demands</w:t>
      </w:r>
      <w:proofErr w:type="gramEnd"/>
      <w:r w:rsidRPr="008E212E">
        <w:rPr>
          <w:highlight w:val="yellow"/>
          <w:lang w:val="en-CA"/>
        </w:rPr>
        <w:t>.</w:t>
      </w:r>
    </w:p>
    <w:p w14:paraId="16236489" w14:textId="722EAED8" w:rsidR="00C70768" w:rsidRDefault="00C70768" w:rsidP="00013085">
      <w:pPr>
        <w:spacing w:after="120"/>
        <w:ind w:firstLine="480"/>
      </w:pPr>
      <w:r w:rsidRPr="004426C6">
        <w:rPr>
          <w:highlight w:val="yellow"/>
        </w:rPr>
        <w:lastRenderedPageBreak/>
        <w:t>The result is an operating schedule that contains:</w:t>
      </w:r>
    </w:p>
    <w:p w14:paraId="66D487D3" w14:textId="77777777" w:rsidR="00C70768" w:rsidRPr="00013085" w:rsidRDefault="00C70768" w:rsidP="00013085">
      <w:pPr>
        <w:pStyle w:val="ListParagraph"/>
        <w:numPr>
          <w:ilvl w:val="0"/>
          <w:numId w:val="26"/>
        </w:numPr>
        <w:spacing w:after="120"/>
        <w:rPr>
          <w:highlight w:val="yellow"/>
          <w:lang w:val="en-CA"/>
        </w:rPr>
      </w:pPr>
      <w:r w:rsidRPr="00013085">
        <w:rPr>
          <w:highlight w:val="yellow"/>
          <w:lang w:val="en-CA"/>
        </w:rPr>
        <w:t>Signals for the charging and discharging command;</w:t>
      </w:r>
    </w:p>
    <w:p w14:paraId="026BA25E" w14:textId="26C64FD1" w:rsidR="00C70768" w:rsidRPr="00013085" w:rsidRDefault="00013085" w:rsidP="00013085">
      <w:pPr>
        <w:pStyle w:val="ListParagraph"/>
        <w:numPr>
          <w:ilvl w:val="0"/>
          <w:numId w:val="26"/>
        </w:numPr>
        <w:spacing w:after="120"/>
        <w:rPr>
          <w:highlight w:val="yellow"/>
          <w:lang w:val="en-CA"/>
        </w:rPr>
      </w:pPr>
      <w:r w:rsidRPr="00013085">
        <w:rPr>
          <w:highlight w:val="yellow"/>
          <w:lang w:val="en-CA"/>
        </w:rPr>
        <w:t xml:space="preserve">Minimum </w:t>
      </w:r>
      <w:r w:rsidR="00C70768" w:rsidRPr="00013085">
        <w:rPr>
          <w:highlight w:val="yellow"/>
          <w:lang w:val="en-CA"/>
        </w:rPr>
        <w:t>storage reserves;</w:t>
      </w:r>
    </w:p>
    <w:p w14:paraId="76409529" w14:textId="52CD0051" w:rsidR="00C70768" w:rsidRPr="00013085" w:rsidRDefault="00013085" w:rsidP="00013085">
      <w:pPr>
        <w:pStyle w:val="ListParagraph"/>
        <w:numPr>
          <w:ilvl w:val="0"/>
          <w:numId w:val="26"/>
        </w:numPr>
        <w:spacing w:after="120"/>
        <w:rPr>
          <w:highlight w:val="yellow"/>
          <w:lang w:val="en-CA"/>
        </w:rPr>
      </w:pPr>
      <w:r w:rsidRPr="00013085">
        <w:rPr>
          <w:highlight w:val="yellow"/>
          <w:lang w:val="en-CA"/>
        </w:rPr>
        <w:t xml:space="preserve">Grid </w:t>
      </w:r>
      <w:r w:rsidR="00C70768" w:rsidRPr="00013085">
        <w:rPr>
          <w:highlight w:val="yellow"/>
          <w:lang w:val="en-CA"/>
        </w:rPr>
        <w:t>imports and exports;</w:t>
      </w:r>
    </w:p>
    <w:p w14:paraId="26A73BC3" w14:textId="03B3D6A1" w:rsidR="00C70768" w:rsidRPr="00013085" w:rsidRDefault="00013085" w:rsidP="00013085">
      <w:pPr>
        <w:pStyle w:val="ListParagraph"/>
        <w:numPr>
          <w:ilvl w:val="0"/>
          <w:numId w:val="26"/>
        </w:numPr>
        <w:spacing w:after="120"/>
        <w:rPr>
          <w:highlight w:val="yellow"/>
          <w:lang w:val="en-CA"/>
        </w:rPr>
      </w:pPr>
      <w:r w:rsidRPr="00013085">
        <w:rPr>
          <w:highlight w:val="yellow"/>
          <w:lang w:val="en-CA"/>
        </w:rPr>
        <w:t>Backup</w:t>
      </w:r>
      <w:r w:rsidR="00C70768" w:rsidRPr="00013085">
        <w:rPr>
          <w:highlight w:val="yellow"/>
          <w:lang w:val="en-CA"/>
        </w:rPr>
        <w:t>-resource commitment;</w:t>
      </w:r>
    </w:p>
    <w:p w14:paraId="78AC679A" w14:textId="48010C4A" w:rsidR="00C70768" w:rsidRPr="00013085" w:rsidRDefault="00013085" w:rsidP="00013085">
      <w:pPr>
        <w:pStyle w:val="ListParagraph"/>
        <w:numPr>
          <w:ilvl w:val="0"/>
          <w:numId w:val="26"/>
        </w:numPr>
        <w:spacing w:after="120"/>
        <w:rPr>
          <w:highlight w:val="yellow"/>
          <w:lang w:val="en-CA"/>
        </w:rPr>
      </w:pPr>
      <w:r w:rsidRPr="00013085">
        <w:rPr>
          <w:highlight w:val="yellow"/>
          <w:lang w:val="en-CA"/>
        </w:rPr>
        <w:t xml:space="preserve">Renewable </w:t>
      </w:r>
      <w:r w:rsidR="00C70768" w:rsidRPr="00013085">
        <w:rPr>
          <w:highlight w:val="yellow"/>
          <w:lang w:val="en-CA"/>
        </w:rPr>
        <w:t>curtailment;</w:t>
      </w:r>
    </w:p>
    <w:p w14:paraId="090F6EE4" w14:textId="40F8A019" w:rsidR="00C70768" w:rsidRPr="00013085" w:rsidRDefault="00013085" w:rsidP="00013085">
      <w:pPr>
        <w:pStyle w:val="ListParagraph"/>
        <w:numPr>
          <w:ilvl w:val="0"/>
          <w:numId w:val="26"/>
        </w:numPr>
        <w:spacing w:after="120"/>
        <w:rPr>
          <w:highlight w:val="yellow"/>
          <w:lang w:val="en-CA"/>
        </w:rPr>
      </w:pPr>
      <w:r w:rsidRPr="00013085">
        <w:rPr>
          <w:highlight w:val="yellow"/>
          <w:lang w:val="en-CA"/>
        </w:rPr>
        <w:t>Demand</w:t>
      </w:r>
      <w:r w:rsidR="00C70768" w:rsidRPr="00013085">
        <w:rPr>
          <w:highlight w:val="yellow"/>
          <w:lang w:val="en-CA"/>
        </w:rPr>
        <w:t>-response participation; and</w:t>
      </w:r>
    </w:p>
    <w:p w14:paraId="058E6D2E" w14:textId="54E83605" w:rsidR="00C70768" w:rsidRPr="004426C6" w:rsidRDefault="00013085" w:rsidP="004426C6">
      <w:pPr>
        <w:pStyle w:val="ListParagraph"/>
        <w:numPr>
          <w:ilvl w:val="0"/>
          <w:numId w:val="26"/>
        </w:numPr>
        <w:spacing w:after="120"/>
        <w:rPr>
          <w:highlight w:val="yellow"/>
          <w:lang w:val="en-CA"/>
        </w:rPr>
      </w:pPr>
      <w:r w:rsidRPr="00013085">
        <w:rPr>
          <w:highlight w:val="yellow"/>
          <w:lang w:val="en-CA"/>
        </w:rPr>
        <w:t xml:space="preserve">Workload </w:t>
      </w:r>
      <w:r w:rsidR="00C70768" w:rsidRPr="00013085">
        <w:rPr>
          <w:highlight w:val="yellow"/>
          <w:lang w:val="en-CA"/>
        </w:rPr>
        <w:t>deferral or geographic-routing signals.</w:t>
      </w:r>
    </w:p>
    <w:p w14:paraId="36CC8660" w14:textId="0E455FF7" w:rsidR="00C70768" w:rsidRDefault="00C70768" w:rsidP="001B74A6">
      <w:pPr>
        <w:spacing w:after="120"/>
        <w:ind w:firstLine="480"/>
      </w:pPr>
      <w:r w:rsidRPr="004426C6">
        <w:rPr>
          <w:highlight w:val="yellow"/>
          <w:lang w:val="en-CA"/>
        </w:rPr>
        <w:t xml:space="preserve">The hierarchical control structure has three levels. At level 1, inverter voltage, frequency response, current limits and protection functions are controlled in a time range between millisecond and second. At Level 2 the timescales are minute hour, and the facility EMS is responsible for scheduling renewable generation, storage, grid exchange, and backup resources. The </w:t>
      </w:r>
      <w:r w:rsidR="003340E7" w:rsidRPr="004426C6">
        <w:rPr>
          <w:highlight w:val="yellow"/>
          <w:lang w:val="en-CA"/>
        </w:rPr>
        <w:t>model predictive</w:t>
      </w:r>
      <w:r w:rsidRPr="004426C6">
        <w:rPr>
          <w:highlight w:val="yellow"/>
          <w:lang w:val="en-CA"/>
        </w:rPr>
        <w:t xml:space="preserve"> control can be controlled with a roll-horizon of 24 to 48 hours. Level 3 provides support that spans the timescale of hours to several days and involves guiding the dispatch of work loads to different facilities, as well as coordinating energy procurement and usage</w:t>
      </w:r>
      <w:r w:rsidR="003340E7">
        <w:rPr>
          <w:highlight w:val="yellow"/>
          <w:lang w:val="en-CA"/>
        </w:rPr>
        <w:fldChar w:fldCharType="begin"/>
      </w:r>
      <w:r w:rsidR="003340E7">
        <w:rPr>
          <w:highlight w:val="yellow"/>
          <w:lang w:val="en-CA"/>
        </w:rPr>
        <w:instrText xml:space="preserve"> ADDIN ZOTERO_ITEM CSL_CITATION {"citationID":"n3D9iZyI","properties":{"unsorted":false,"formattedCitation":"[64]","plainCitation":"[64]","noteIndex":0},"citationItems":[{"id":2132,"uris":["http://zotero.org/users/9870935/items/786EAJKN"],"itemData":{"id":2132,"type":"document","title":"Levelized Cost of Energy","URL":"https://www.lazard.com/media/eijnqja3/lazards-lcoeplus-june-2025.pdf","author":[{"family":"Lazard","given":""}]}}],"schema":"https://github.com/citation-style-language/schema/raw/master/csl-citation.json"} </w:instrText>
      </w:r>
      <w:r w:rsidR="003340E7">
        <w:rPr>
          <w:highlight w:val="yellow"/>
          <w:lang w:val="en-CA"/>
        </w:rPr>
        <w:fldChar w:fldCharType="separate"/>
      </w:r>
      <w:r w:rsidR="003340E7" w:rsidRPr="003340E7">
        <w:rPr>
          <w:highlight w:val="yellow"/>
          <w:lang w:val="en-CA"/>
        </w:rPr>
        <w:t>[64]</w:t>
      </w:r>
      <w:r w:rsidR="003340E7">
        <w:rPr>
          <w:highlight w:val="yellow"/>
          <w:lang w:val="en-CA"/>
        </w:rPr>
        <w:fldChar w:fldCharType="end"/>
      </w:r>
      <w:r w:rsidRPr="004426C6">
        <w:rPr>
          <w:highlight w:val="yellow"/>
          <w:lang w:val="en-CA"/>
        </w:rPr>
        <w:t>.</w:t>
      </w:r>
      <w:r w:rsidR="005269FF">
        <w:rPr>
          <w:highlight w:val="yellow"/>
          <w:lang w:val="en-CA"/>
        </w:rPr>
        <w:t xml:space="preserve"> </w:t>
      </w:r>
      <w:r w:rsidRPr="00375D05">
        <w:rPr>
          <w:highlight w:val="yellow"/>
          <w:lang w:val="en-CA"/>
        </w:rPr>
        <w:t xml:space="preserve">AI workload scheduling </w:t>
      </w:r>
      <w:proofErr w:type="gramStart"/>
      <w:r w:rsidRPr="00375D05">
        <w:rPr>
          <w:highlight w:val="yellow"/>
          <w:lang w:val="en-CA"/>
        </w:rPr>
        <w:t>actually offers</w:t>
      </w:r>
      <w:proofErr w:type="gramEnd"/>
      <w:r w:rsidRPr="00375D05">
        <w:rPr>
          <w:highlight w:val="yellow"/>
          <w:lang w:val="en-CA"/>
        </w:rPr>
        <w:t xml:space="preserve"> a resource that isn't typically available to traditional workloads. Qualifying training, batch inference, analytics and background work can be run when electricity is relatively cheap, or during times of high renewable electricity generation. Real-time inference and critical services continue to be limited due to strict latency and reliability requirements. The advantages of carbon-aware scheduling as reported at the last study vary depending on workload properties, resource availability, network latency, and carbon intensity in the area</w:t>
      </w:r>
      <w:r w:rsidR="00F357B2">
        <w:rPr>
          <w:highlight w:val="yellow"/>
          <w:lang w:val="en-CA"/>
        </w:rPr>
        <w:fldChar w:fldCharType="begin"/>
      </w:r>
      <w:r w:rsidR="001B74A6">
        <w:rPr>
          <w:highlight w:val="yellow"/>
          <w:lang w:val="en-CA"/>
        </w:rPr>
        <w:instrText xml:space="preserve"> ADDIN ZOTERO_ITEM CSL_CITATION {"citationID":"vmqAwXXb","properties":{"unsorted":false,"formattedCitation":"[149]","plainCitation":"[149]","noteIndex":0},"citationItems":[{"id":2133,"uris":["http://zotero.org/users/9870935/items/DBM7MVTI"],"itemData":{"id":2133,"type":"post-weblog","title":"Summary of Inflation Reduction Act provisions related to renewable energy","URL":"https://www.epa.gov/green-power-markets/summary-inflation-reduction-act-provisions-related-renewable-energy","author":[{"family":"EPA","given":""}]}}],"schema":"https://github.com/citation-style-language/schema/raw/master/csl-citation.json"} </w:instrText>
      </w:r>
      <w:r w:rsidR="00F357B2">
        <w:rPr>
          <w:highlight w:val="yellow"/>
          <w:lang w:val="en-CA"/>
        </w:rPr>
        <w:fldChar w:fldCharType="separate"/>
      </w:r>
      <w:r w:rsidR="001B74A6" w:rsidRPr="001B74A6">
        <w:rPr>
          <w:highlight w:val="yellow"/>
          <w:lang w:val="en-CA"/>
        </w:rPr>
        <w:t>[149]</w:t>
      </w:r>
      <w:r w:rsidR="00F357B2">
        <w:rPr>
          <w:highlight w:val="yellow"/>
          <w:lang w:val="en-CA"/>
        </w:rPr>
        <w:fldChar w:fldCharType="end"/>
      </w:r>
      <w:r w:rsidRPr="00375D05">
        <w:rPr>
          <w:highlight w:val="yellow"/>
          <w:lang w:val="en-CA"/>
        </w:rPr>
        <w:t>.</w:t>
      </w:r>
      <w:r w:rsidR="008D6A66">
        <w:rPr>
          <w:lang w:val="en-CA"/>
        </w:rPr>
        <w:t xml:space="preserve"> </w:t>
      </w:r>
      <w:r w:rsidRPr="00F357B2">
        <w:rPr>
          <w:highlight w:val="yellow"/>
        </w:rPr>
        <w:t xml:space="preserve">Figure 9. Device-, facility-, and corporate-level control functions and timescales of a renewable powered data-center microgrid using a hierarchical control architecture. </w:t>
      </w:r>
    </w:p>
    <w:p w14:paraId="0B25BAEA" w14:textId="321EE07C" w:rsidR="00FE013C" w:rsidRPr="004F551C" w:rsidRDefault="004F551C" w:rsidP="004F551C">
      <w:pPr>
        <w:keepNext/>
        <w:spacing w:after="120"/>
        <w:ind w:firstLine="480"/>
        <w:jc w:val="center"/>
        <w:rPr>
          <w:lang w:val="en-CA"/>
        </w:rPr>
      </w:pPr>
      <w:r w:rsidRPr="004F551C">
        <w:rPr>
          <w:noProof/>
          <w:lang w:val="en-CA"/>
        </w:rPr>
        <w:drawing>
          <wp:inline distT="0" distB="0" distL="0" distR="0" wp14:anchorId="5B0CEAF4" wp14:editId="6596C97D">
            <wp:extent cx="6192520" cy="3700624"/>
            <wp:effectExtent l="0" t="0" r="0" b="0"/>
            <wp:docPr id="17098784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0356"/>
                    <a:stretch>
                      <a:fillRect/>
                    </a:stretch>
                  </pic:blipFill>
                  <pic:spPr bwMode="auto">
                    <a:xfrm>
                      <a:off x="0" y="0"/>
                      <a:ext cx="6192520" cy="3700624"/>
                    </a:xfrm>
                    <a:prstGeom prst="rect">
                      <a:avLst/>
                    </a:prstGeom>
                    <a:noFill/>
                    <a:ln>
                      <a:noFill/>
                    </a:ln>
                    <a:extLst>
                      <a:ext uri="{53640926-AAD7-44D8-BBD7-CCE9431645EC}">
                        <a14:shadowObscured xmlns:a14="http://schemas.microsoft.com/office/drawing/2010/main"/>
                      </a:ext>
                    </a:extLst>
                  </pic:spPr>
                </pic:pic>
              </a:graphicData>
            </a:graphic>
          </wp:inline>
        </w:drawing>
      </w:r>
    </w:p>
    <w:p w14:paraId="418051FD" w14:textId="7770C552" w:rsidR="00FE013C" w:rsidRPr="00757408" w:rsidRDefault="00FE013C" w:rsidP="00F722B9">
      <w:pPr>
        <w:pStyle w:val="Caption"/>
        <w:jc w:val="center"/>
        <w:rPr>
          <w:lang w:val="en-CA"/>
        </w:rPr>
      </w:pPr>
      <w:r>
        <w:t xml:space="preserve">Figure </w:t>
      </w:r>
      <w:r>
        <w:fldChar w:fldCharType="begin"/>
      </w:r>
      <w:r>
        <w:instrText xml:space="preserve"> SEQ Figure \* ARABIC </w:instrText>
      </w:r>
      <w:r>
        <w:fldChar w:fldCharType="separate"/>
      </w:r>
      <w:r w:rsidR="00807110">
        <w:rPr>
          <w:noProof/>
        </w:rPr>
        <w:t>9</w:t>
      </w:r>
      <w:r>
        <w:rPr>
          <w:noProof/>
        </w:rPr>
        <w:fldChar w:fldCharType="end"/>
      </w:r>
      <w:r>
        <w:t xml:space="preserve"> </w:t>
      </w:r>
      <w:r w:rsidRPr="00FA4103">
        <w:t xml:space="preserve">Hierarchical control architecture for operation of a data </w:t>
      </w:r>
      <w:r w:rsidR="00580BAE">
        <w:t>center</w:t>
      </w:r>
      <w:r w:rsidRPr="00FA4103">
        <w:t xml:space="preserve"> microgrid.</w:t>
      </w:r>
    </w:p>
    <w:p w14:paraId="72D62C7A" w14:textId="77777777" w:rsidR="00FE013C" w:rsidRDefault="00FE013C" w:rsidP="004C16FF">
      <w:pPr>
        <w:pStyle w:val="Heading20"/>
        <w:jc w:val="both"/>
        <w:rPr>
          <w:color w:val="auto"/>
        </w:rPr>
      </w:pPr>
      <w:r>
        <w:rPr>
          <w:color w:val="auto"/>
        </w:rPr>
        <w:t>7.6. Demand-Side Management and Load Flexibility</w:t>
      </w:r>
    </w:p>
    <w:p w14:paraId="0A781658" w14:textId="49699BBF" w:rsidR="00F357B2" w:rsidRPr="00F357B2" w:rsidRDefault="00F357B2" w:rsidP="001B74A6">
      <w:pPr>
        <w:spacing w:after="120"/>
        <w:ind w:firstLine="480"/>
        <w:rPr>
          <w:highlight w:val="yellow"/>
          <w:lang w:val="en-CA"/>
        </w:rPr>
      </w:pPr>
      <w:r w:rsidRPr="00F357B2">
        <w:rPr>
          <w:highlight w:val="yellow"/>
          <w:lang w:val="en-CA"/>
        </w:rPr>
        <w:lastRenderedPageBreak/>
        <w:t>There are number of ways data-center workloads can be segmented, such as latency requirement, interrupt ability, recovery ability, data-immutability requirements, and allowable delay. In summary, these are the key categories: model training, batch inference, analytics, real-time inference, background tasks, and critical real-time services</w:t>
      </w:r>
      <w:r w:rsidR="00A7261B">
        <w:rPr>
          <w:highlight w:val="yellow"/>
          <w:lang w:val="en-CA"/>
        </w:rPr>
        <w:fldChar w:fldCharType="begin"/>
      </w:r>
      <w:r w:rsidR="00A7261B">
        <w:rPr>
          <w:highlight w:val="yellow"/>
          <w:lang w:val="en-CA"/>
        </w:rPr>
        <w:instrText xml:space="preserve"> ADDIN ZOTERO_ITEM CSL_CITATION {"citationID":"wXhWP5IV","properties":{"unsorted":false,"formattedCitation":"[83]","plainCitation":"[83]","noteIndex":0},"citationItems":[{"id":2027,"uris":["http://zotero.org/users/9870935/items/84JHTAVB"],"itemData":{"id":2027,"type":"article-journal","abstract":"The rapid growth of digital services has intensified the energy demands of data centers, significantly impacting operational costs and global carbon footprints. This study leverages Machine Learning (ML) and Big Data to optimize energy management in data centers, addressing limitations in prior approaches that overlooked real-time variability. A predictive model utilizing the Random Forest algorithm was developed to reduce energy consumption based on dynamic factors, such as workload and environmental conditions like temperature. The research used a six-month dataset consisting of approximately 3 million data points from an operational data center. After preprocessing the data, the model achieved a high predictive accuracy, reflected by an R-squared value of 0.87. The findings demonstrate that the model reduces energy consumption by an average of 11.17% daily, with peak savings of up to 15.56% during off-peak hours. Key metrics, including a Mean Squared Error (MSE) of 0.034 and a Root Mean Squared Error (RMSE) of 0.184, validated the model's effectiveness and reliability. Statistical tests further confirmed its precision within a 95% confidence interval. This study contributes to the academic field by integrating real-time environmental data into predictive modeling, offering a scalable solution for energy-efficient data center operations. The outcomes support sustainability initiatives by mitigating carbon emissions and reducing operational costs. The findings also provide a framework for applying ML in broader industrial contexts requiring efficient energy management. Future research may explore incorporating additional variables, such as user behavior, to further refine predictive capabilities.","container-title":"Journal of Technology Informatics and Engineering","DOI":"10.51903/jtie.v3i3.202","ISSN":"2961-8215, 2961-9068","issue":"3","journalAbbreviation":"JTIE","license":"https://creativecommons.org/licenses/by-sa/4.0","page":"324-336","source":"DOI.org (Crossref)","title":"The Use of Machine Learning for Efficient Energy Management in Big Data-Based Computing Systems","volume":"3","author":[{"family":"Putra","given":"Toni Wijanarko Adi"},{"family":"Setiawan","given":"Nuris Dwi"},{"family":"Rusito","given":"Rusito"}],"issued":{"date-parts":[["2024",12,24]]}}}],"schema":"https://github.com/citation-style-language/schema/raw/master/csl-citation.json"} </w:instrText>
      </w:r>
      <w:r w:rsidR="00A7261B">
        <w:rPr>
          <w:highlight w:val="yellow"/>
          <w:lang w:val="en-CA"/>
        </w:rPr>
        <w:fldChar w:fldCharType="separate"/>
      </w:r>
      <w:r w:rsidR="00A7261B" w:rsidRPr="00A7261B">
        <w:rPr>
          <w:highlight w:val="yellow"/>
          <w:lang w:val="en-CA"/>
        </w:rPr>
        <w:t>[83]</w:t>
      </w:r>
      <w:r w:rsidR="00A7261B">
        <w:rPr>
          <w:highlight w:val="yellow"/>
          <w:lang w:val="en-CA"/>
        </w:rPr>
        <w:fldChar w:fldCharType="end"/>
      </w:r>
      <w:r w:rsidR="00A7261B" w:rsidRPr="00F357B2">
        <w:rPr>
          <w:highlight w:val="yellow"/>
          <w:lang w:val="en-CA"/>
        </w:rPr>
        <w:t>. Renewable</w:t>
      </w:r>
      <w:r w:rsidRPr="00F357B2">
        <w:rPr>
          <w:highlight w:val="yellow"/>
          <w:lang w:val="en-CA"/>
        </w:rPr>
        <w:t xml:space="preserve"> generation, electricity-price, and carbon-intensity forecasts can be used to implement workload scheduling either via Kubernetes extensions or via custom workload schedulers</w:t>
      </w:r>
      <w:r w:rsidR="00A7261B">
        <w:rPr>
          <w:highlight w:val="yellow"/>
          <w:lang w:val="en-CA"/>
        </w:rPr>
        <w:fldChar w:fldCharType="begin"/>
      </w:r>
      <w:r w:rsidR="001B74A6">
        <w:rPr>
          <w:highlight w:val="yellow"/>
          <w:lang w:val="en-CA"/>
        </w:rPr>
        <w:instrText xml:space="preserve"> ADDIN ZOTERO_ITEM CSL_CITATION {"citationID":"MOjRhLxV","properties":{"unsorted":false,"formattedCitation":"[150]","plainCitation":"[150]","noteIndex":0},"citationItems":[{"id":2138,"uris":["http://zotero.org/users/9870935/items/S7ZKHMNS"],"itemData":{"id":2138,"type":"document","title":"NFPA 110 Type 10 Requirements for Emergency Power Systems","URL":"https://www.cummins.com/sites/default/files/2019-03/PowerHour_NFPA110.pdf","author":[{"family":"NFPA","given":""}]}}],"schema":"https://github.com/citation-style-language/schema/raw/master/csl-citation.json"} </w:instrText>
      </w:r>
      <w:r w:rsidR="00A7261B">
        <w:rPr>
          <w:highlight w:val="yellow"/>
          <w:lang w:val="en-CA"/>
        </w:rPr>
        <w:fldChar w:fldCharType="separate"/>
      </w:r>
      <w:r w:rsidR="001B74A6" w:rsidRPr="001B74A6">
        <w:rPr>
          <w:highlight w:val="yellow"/>
          <w:lang w:val="en-CA"/>
        </w:rPr>
        <w:t>[150]</w:t>
      </w:r>
      <w:r w:rsidR="00A7261B">
        <w:rPr>
          <w:highlight w:val="yellow"/>
          <w:lang w:val="en-CA"/>
        </w:rPr>
        <w:fldChar w:fldCharType="end"/>
      </w:r>
      <w:r w:rsidRPr="00F357B2">
        <w:rPr>
          <w:highlight w:val="yellow"/>
          <w:lang w:val="en-CA"/>
        </w:rPr>
        <w:t>. A renewable-availability interface could allow the exchange of forecast information for a horizon between 24 and 48 h in cooperation with a workload enabling eligible workloads to be scheduled during favorable periods of operation.</w:t>
      </w:r>
    </w:p>
    <w:p w14:paraId="12D6DFCE" w14:textId="078AFAF6" w:rsidR="00294363" w:rsidRDefault="00F357B2" w:rsidP="00CA1249">
      <w:pPr>
        <w:spacing w:after="120"/>
        <w:ind w:firstLine="480"/>
        <w:rPr>
          <w:highlight w:val="yellow"/>
          <w:lang w:val="en-CA"/>
        </w:rPr>
      </w:pPr>
      <w:r w:rsidRPr="00F357B2">
        <w:rPr>
          <w:highlight w:val="yellow"/>
          <w:lang w:val="en-CA"/>
        </w:rPr>
        <w:t>But workload deferral isn't just technical – it should be seen as a resource, too. Training workloads run on high-value computing infrastructure, and model development schedules, contractual commitments, and asset productivity could be disrupted by delays or interruptions in GPU utilization. Therefore, technical deferral potential is to be considered as an upper bound, not as certainty of deferral flexibility. Check the project specific flexible share shall be validated with service level agreements, training deadlines, checkpointing, customer requirements, cyber security obligations and data-residency constraints</w:t>
      </w:r>
      <w:r w:rsidR="00CA1249">
        <w:rPr>
          <w:highlight w:val="yellow"/>
          <w:lang w:val="en-CA"/>
        </w:rPr>
        <w:fldChar w:fldCharType="begin"/>
      </w:r>
      <w:r w:rsidR="00CA1249">
        <w:rPr>
          <w:highlight w:val="yellow"/>
          <w:lang w:val="en-CA"/>
        </w:rPr>
        <w:instrText xml:space="preserve"> ADDIN ZOTERO_ITEM CSL_CITATION {"citationID":"fNfsoSAc","properties":{"unsorted":false,"formattedCitation":"[64], [70]","plainCitation":"[64], [70]","noteIndex":0},"citationItems":[{"id":2132,"uris":["http://zotero.org/users/9870935/items/786EAJKN"],"itemData":{"id":2132,"type":"document","title":"Levelized Cost of Energy","URL":"https://www.lazard.com/media/eijnqja3/lazards-lcoeplus-june-2025.pdf","author":[{"family":"Lazard","given":""}]}},{"id":2124,"uris":["http://zotero.org/users/9870935/items/7MUJEUDP"],"itemData":{"id":2124,"type":"paper-conference","container-title":"Proceedings of the Nineteenth European Conference on Computer Systems","DOI":"10.1145/3627703.3650079","event-title":"EuroSys '24: Nineteenth European Conference on Computer Systems","ISBN":"979-8-4007-0437-6","language":"en","page":"924-941","publisher":"ACM","publisher-place":"Athens Greece","source":"DOI.org (Crossref)","title":"On the Limitations of Carbon-Aware Temporal and Spatial Workload Shifting in the Cloud","URL":"https://dl.acm.org/doi/10.1145/3627703.3650079","author":[{"family":"Sukprasert","given":"Thanathorn"},{"family":"Souza","given":"Abel"},{"family":"Bashir","given":"Noman"},{"family":"Irwin","given":"David"},{"family":"Shenoy","given":"Prashant"}],"accessed":{"date-parts":[["2026",5,23]]},"issued":{"date-parts":[["2024",4,22]]}}}],"schema":"https://github.com/citation-style-language/schema/raw/master/csl-citation.json"} </w:instrText>
      </w:r>
      <w:r w:rsidR="00CA1249">
        <w:rPr>
          <w:highlight w:val="yellow"/>
          <w:lang w:val="en-CA"/>
        </w:rPr>
        <w:fldChar w:fldCharType="separate"/>
      </w:r>
      <w:r w:rsidR="00CA1249" w:rsidRPr="00CA1249">
        <w:rPr>
          <w:highlight w:val="yellow"/>
          <w:lang w:val="en-CA"/>
        </w:rPr>
        <w:t>[64], [70]</w:t>
      </w:r>
      <w:r w:rsidR="00CA1249">
        <w:rPr>
          <w:highlight w:val="yellow"/>
          <w:lang w:val="en-CA"/>
        </w:rPr>
        <w:fldChar w:fldCharType="end"/>
      </w:r>
      <w:r w:rsidRPr="00F357B2">
        <w:rPr>
          <w:highlight w:val="yellow"/>
          <w:lang w:val="en-CA"/>
        </w:rPr>
        <w:t>.</w:t>
      </w:r>
      <w:r>
        <w:rPr>
          <w:highlight w:val="yellow"/>
          <w:lang w:val="en-CA"/>
        </w:rPr>
        <w:t xml:space="preserve"> </w:t>
      </w:r>
    </w:p>
    <w:p w14:paraId="7789125A" w14:textId="3AEE1892" w:rsidR="00A7261B" w:rsidRDefault="00A7261B" w:rsidP="00A7261B">
      <w:pPr>
        <w:pStyle w:val="Caption"/>
        <w:keepNext/>
      </w:pPr>
      <w:r>
        <w:t xml:space="preserve">Table </w:t>
      </w:r>
      <w:r>
        <w:fldChar w:fldCharType="begin"/>
      </w:r>
      <w:r>
        <w:instrText xml:space="preserve"> SEQ Table \* ARABIC </w:instrText>
      </w:r>
      <w:r>
        <w:fldChar w:fldCharType="separate"/>
      </w:r>
      <w:r w:rsidR="003A3C82">
        <w:rPr>
          <w:noProof/>
        </w:rPr>
        <w:t>6</w:t>
      </w:r>
      <w:r>
        <w:fldChar w:fldCharType="end"/>
      </w:r>
      <w:r>
        <w:t xml:space="preserve"> </w:t>
      </w:r>
      <w:r w:rsidRPr="003B4DEC">
        <w:t>Workload-flexibility classification for energy-aware scheduling</w:t>
      </w:r>
    </w:p>
    <w:tbl>
      <w:tblPr>
        <w:tblStyle w:val="Mdeck5tablebodythreelines"/>
        <w:tblW w:w="0" w:type="auto"/>
        <w:tblLook w:val="04A0" w:firstRow="1" w:lastRow="0" w:firstColumn="1" w:lastColumn="0" w:noHBand="0" w:noVBand="1"/>
      </w:tblPr>
      <w:tblGrid>
        <w:gridCol w:w="1866"/>
        <w:gridCol w:w="1814"/>
        <w:gridCol w:w="1923"/>
        <w:gridCol w:w="1741"/>
        <w:gridCol w:w="2408"/>
      </w:tblGrid>
      <w:tr w:rsidR="00A7261B" w:rsidRPr="00A7261B" w14:paraId="0F5E935F" w14:textId="77777777" w:rsidTr="00A7261B">
        <w:trPr>
          <w:cnfStyle w:val="100000000000" w:firstRow="1" w:lastRow="0" w:firstColumn="0" w:lastColumn="0" w:oddVBand="0" w:evenVBand="0" w:oddHBand="0" w:evenHBand="0" w:firstRowFirstColumn="0" w:firstRowLastColumn="0" w:lastRowFirstColumn="0" w:lastRowLastColumn="0"/>
        </w:trPr>
        <w:tc>
          <w:tcPr>
            <w:tcW w:w="0" w:type="auto"/>
            <w:hideMark/>
          </w:tcPr>
          <w:p w14:paraId="53C61F95" w14:textId="77777777" w:rsidR="00A7261B" w:rsidRPr="00A7261B" w:rsidRDefault="00A7261B" w:rsidP="00A7261B">
            <w:pPr>
              <w:spacing w:after="120"/>
              <w:ind w:firstLine="480"/>
              <w:rPr>
                <w:b/>
                <w:bCs/>
                <w:sz w:val="18"/>
                <w:szCs w:val="18"/>
                <w:highlight w:val="yellow"/>
                <w:lang w:val="en-CA"/>
              </w:rPr>
            </w:pPr>
            <w:r w:rsidRPr="00A7261B">
              <w:rPr>
                <w:b/>
                <w:bCs/>
                <w:sz w:val="18"/>
                <w:szCs w:val="18"/>
                <w:highlight w:val="yellow"/>
                <w:lang w:val="en-CA"/>
              </w:rPr>
              <w:t>Workload type</w:t>
            </w:r>
          </w:p>
        </w:tc>
        <w:tc>
          <w:tcPr>
            <w:tcW w:w="0" w:type="auto"/>
            <w:hideMark/>
          </w:tcPr>
          <w:p w14:paraId="72B67E74" w14:textId="77777777" w:rsidR="00A7261B" w:rsidRPr="00A7261B" w:rsidRDefault="00A7261B" w:rsidP="00A7261B">
            <w:pPr>
              <w:spacing w:after="120"/>
              <w:ind w:firstLine="480"/>
              <w:rPr>
                <w:b/>
                <w:bCs/>
                <w:sz w:val="18"/>
                <w:szCs w:val="18"/>
                <w:highlight w:val="yellow"/>
                <w:lang w:val="en-CA"/>
              </w:rPr>
            </w:pPr>
            <w:r w:rsidRPr="00A7261B">
              <w:rPr>
                <w:b/>
                <w:bCs/>
                <w:sz w:val="18"/>
                <w:szCs w:val="18"/>
                <w:highlight w:val="yellow"/>
                <w:lang w:val="en-CA"/>
              </w:rPr>
              <w:t>Typical latency requirement</w:t>
            </w:r>
          </w:p>
        </w:tc>
        <w:tc>
          <w:tcPr>
            <w:tcW w:w="0" w:type="auto"/>
            <w:hideMark/>
          </w:tcPr>
          <w:p w14:paraId="5E1E147C" w14:textId="77777777" w:rsidR="00A7261B" w:rsidRPr="00A7261B" w:rsidRDefault="00A7261B" w:rsidP="00A7261B">
            <w:pPr>
              <w:spacing w:after="120"/>
              <w:ind w:firstLine="480"/>
              <w:rPr>
                <w:b/>
                <w:bCs/>
                <w:sz w:val="18"/>
                <w:szCs w:val="18"/>
                <w:highlight w:val="yellow"/>
                <w:lang w:val="en-CA"/>
              </w:rPr>
            </w:pPr>
            <w:r w:rsidRPr="00A7261B">
              <w:rPr>
                <w:b/>
                <w:bCs/>
                <w:sz w:val="18"/>
                <w:szCs w:val="18"/>
                <w:highlight w:val="yellow"/>
                <w:lang w:val="en-CA"/>
              </w:rPr>
              <w:t>Potential deferral window</w:t>
            </w:r>
          </w:p>
        </w:tc>
        <w:tc>
          <w:tcPr>
            <w:tcW w:w="0" w:type="auto"/>
            <w:hideMark/>
          </w:tcPr>
          <w:p w14:paraId="4304CC10" w14:textId="77777777" w:rsidR="00A7261B" w:rsidRPr="00A7261B" w:rsidRDefault="00A7261B" w:rsidP="00A7261B">
            <w:pPr>
              <w:spacing w:after="120"/>
              <w:ind w:firstLine="480"/>
              <w:rPr>
                <w:b/>
                <w:bCs/>
                <w:sz w:val="18"/>
                <w:szCs w:val="18"/>
                <w:highlight w:val="yellow"/>
                <w:lang w:val="en-CA"/>
              </w:rPr>
            </w:pPr>
            <w:r w:rsidRPr="00A7261B">
              <w:rPr>
                <w:b/>
                <w:bCs/>
                <w:sz w:val="18"/>
                <w:szCs w:val="18"/>
                <w:highlight w:val="yellow"/>
                <w:lang w:val="en-CA"/>
              </w:rPr>
              <w:t>Flexibility classification</w:t>
            </w:r>
          </w:p>
        </w:tc>
        <w:tc>
          <w:tcPr>
            <w:tcW w:w="0" w:type="auto"/>
            <w:hideMark/>
          </w:tcPr>
          <w:p w14:paraId="2A1554AF" w14:textId="77777777" w:rsidR="00A7261B" w:rsidRPr="00A7261B" w:rsidRDefault="00A7261B" w:rsidP="00A7261B">
            <w:pPr>
              <w:spacing w:after="120"/>
              <w:ind w:firstLine="480"/>
              <w:rPr>
                <w:b/>
                <w:bCs/>
                <w:sz w:val="18"/>
                <w:szCs w:val="18"/>
                <w:highlight w:val="yellow"/>
                <w:lang w:val="en-CA"/>
              </w:rPr>
            </w:pPr>
            <w:r w:rsidRPr="00A7261B">
              <w:rPr>
                <w:b/>
                <w:bCs/>
                <w:sz w:val="18"/>
                <w:szCs w:val="18"/>
                <w:highlight w:val="yellow"/>
                <w:lang w:val="en-CA"/>
              </w:rPr>
              <w:t>Potential system contribution</w:t>
            </w:r>
          </w:p>
        </w:tc>
      </w:tr>
      <w:tr w:rsidR="00A7261B" w:rsidRPr="00A7261B" w14:paraId="32C76942" w14:textId="77777777" w:rsidTr="00A7261B">
        <w:tc>
          <w:tcPr>
            <w:tcW w:w="0" w:type="auto"/>
            <w:hideMark/>
          </w:tcPr>
          <w:p w14:paraId="3A48562A" w14:textId="0960F0A7" w:rsidR="00A7261B" w:rsidRPr="00A7261B" w:rsidRDefault="00A7261B" w:rsidP="001B74A6">
            <w:pPr>
              <w:spacing w:after="120"/>
              <w:ind w:firstLine="480"/>
              <w:rPr>
                <w:sz w:val="18"/>
                <w:szCs w:val="18"/>
                <w:highlight w:val="yellow"/>
                <w:lang w:val="en-CA"/>
              </w:rPr>
            </w:pPr>
            <w:r w:rsidRPr="00A7261B">
              <w:rPr>
                <w:b/>
                <w:bCs/>
                <w:sz w:val="18"/>
                <w:szCs w:val="18"/>
                <w:highlight w:val="yellow"/>
                <w:lang w:val="en-CA"/>
              </w:rPr>
              <w:t>Model training</w:t>
            </w:r>
            <w:r w:rsidRPr="00A7261B">
              <w:rPr>
                <w:sz w:val="18"/>
                <w:szCs w:val="18"/>
                <w:highlight w:val="yellow"/>
                <w:lang w:val="en-CA"/>
              </w:rPr>
              <w:t xml:space="preserve"> </w:t>
            </w:r>
            <w:r w:rsidR="00294363">
              <w:rPr>
                <w:sz w:val="18"/>
                <w:szCs w:val="18"/>
                <w:highlight w:val="yellow"/>
                <w:lang w:val="en-CA"/>
              </w:rPr>
              <w:fldChar w:fldCharType="begin"/>
            </w:r>
            <w:r w:rsidR="001B74A6">
              <w:rPr>
                <w:sz w:val="18"/>
                <w:szCs w:val="18"/>
                <w:highlight w:val="yellow"/>
                <w:lang w:val="en-CA"/>
              </w:rPr>
              <w:instrText xml:space="preserve"> ADDIN ZOTERO_ITEM CSL_CITATION {"citationID":"6utEhtVd","properties":{"unsorted":false,"formattedCitation":"[151]","plainCitation":"[151]","noteIndex":0},"citationItems":[{"id":2725,"uris":["http://zotero.org/users/9870935/items/65J5QNPY"],"itemData":{"id":2725,"type":"paper-conference","container-title":"Proceedings of the 2026 ACM Sustainability Week","DOI":"10.1145/3765611.3815593","event-title":"ACM Sustainability Week '26: ACM Sustainability Week 2026","ISBN":"979-8-4007-2199-1","language":"en","page":"322-327","publisher":"ACM","publisher-place":"Banff , Alberta , Canada","source":"DOI.org (Crossref)","title":"To Defer or To Shift? The Role of AI Data Center Flexibility on Grid Interconnection","title-short":"To Defer or To Shift?","URL":"https://dl.acm.org/doi/10.1145/3765611.3815593","author":[{"family":"Chen","given":"Yize"},{"family":"Zheng","given":"Xiaogui"}],"accessed":{"date-parts":[["2026",8,30]]},"issued":{"date-parts":[["2026",6,22]]}}}],"schema":"https://github.com/citation-style-language/schema/raw/master/csl-citation.json"} </w:instrText>
            </w:r>
            <w:r w:rsidR="00294363">
              <w:rPr>
                <w:sz w:val="18"/>
                <w:szCs w:val="18"/>
                <w:highlight w:val="yellow"/>
                <w:lang w:val="en-CA"/>
              </w:rPr>
              <w:fldChar w:fldCharType="separate"/>
            </w:r>
            <w:r w:rsidR="001B74A6" w:rsidRPr="001B74A6">
              <w:rPr>
                <w:sz w:val="18"/>
                <w:highlight w:val="yellow"/>
                <w:lang w:val="en-CA"/>
              </w:rPr>
              <w:t>[151]</w:t>
            </w:r>
            <w:r w:rsidR="00294363">
              <w:rPr>
                <w:sz w:val="18"/>
                <w:szCs w:val="18"/>
                <w:highlight w:val="yellow"/>
                <w:lang w:val="en-CA"/>
              </w:rPr>
              <w:fldChar w:fldCharType="end"/>
            </w:r>
          </w:p>
        </w:tc>
        <w:tc>
          <w:tcPr>
            <w:tcW w:w="0" w:type="auto"/>
            <w:hideMark/>
          </w:tcPr>
          <w:p w14:paraId="041E5B02" w14:textId="77777777" w:rsidR="00A7261B" w:rsidRPr="00A7261B" w:rsidRDefault="00A7261B" w:rsidP="00A7261B">
            <w:pPr>
              <w:spacing w:after="120"/>
              <w:ind w:firstLine="480"/>
              <w:rPr>
                <w:sz w:val="18"/>
                <w:szCs w:val="18"/>
                <w:highlight w:val="yellow"/>
                <w:lang w:val="en-CA"/>
              </w:rPr>
            </w:pPr>
            <w:r w:rsidRPr="00A7261B">
              <w:rPr>
                <w:sz w:val="18"/>
                <w:szCs w:val="18"/>
                <w:highlight w:val="yellow"/>
                <w:lang w:val="en-CA"/>
              </w:rPr>
              <w:t>Hours to days</w:t>
            </w:r>
          </w:p>
        </w:tc>
        <w:tc>
          <w:tcPr>
            <w:tcW w:w="0" w:type="auto"/>
            <w:hideMark/>
          </w:tcPr>
          <w:p w14:paraId="1B9615B9" w14:textId="77777777" w:rsidR="00A7261B" w:rsidRPr="00A7261B" w:rsidRDefault="00A7261B" w:rsidP="00A7261B">
            <w:pPr>
              <w:spacing w:after="120"/>
              <w:ind w:firstLine="480"/>
              <w:rPr>
                <w:sz w:val="18"/>
                <w:szCs w:val="18"/>
                <w:highlight w:val="yellow"/>
                <w:lang w:val="en-CA"/>
              </w:rPr>
            </w:pPr>
            <w:r w:rsidRPr="00A7261B">
              <w:rPr>
                <w:sz w:val="18"/>
                <w:szCs w:val="18"/>
                <w:highlight w:val="yellow"/>
                <w:lang w:val="en-CA"/>
              </w:rPr>
              <w:t>Hours to days, subject to checkpoints and project deadlines</w:t>
            </w:r>
          </w:p>
        </w:tc>
        <w:tc>
          <w:tcPr>
            <w:tcW w:w="0" w:type="auto"/>
            <w:hideMark/>
          </w:tcPr>
          <w:p w14:paraId="67CC244F" w14:textId="77777777" w:rsidR="00A7261B" w:rsidRPr="00A7261B" w:rsidRDefault="00A7261B" w:rsidP="00A7261B">
            <w:pPr>
              <w:spacing w:after="120"/>
              <w:ind w:firstLine="480"/>
              <w:rPr>
                <w:sz w:val="18"/>
                <w:szCs w:val="18"/>
                <w:highlight w:val="yellow"/>
                <w:lang w:val="en-CA"/>
              </w:rPr>
            </w:pPr>
            <w:r w:rsidRPr="00A7261B">
              <w:rPr>
                <w:sz w:val="18"/>
                <w:szCs w:val="18"/>
                <w:highlight w:val="yellow"/>
                <w:lang w:val="en-CA"/>
              </w:rPr>
              <w:t>High but commercially constrained</w:t>
            </w:r>
          </w:p>
        </w:tc>
        <w:tc>
          <w:tcPr>
            <w:tcW w:w="0" w:type="auto"/>
            <w:hideMark/>
          </w:tcPr>
          <w:p w14:paraId="1D99DD31" w14:textId="77777777" w:rsidR="00A7261B" w:rsidRPr="00A7261B" w:rsidRDefault="00A7261B" w:rsidP="00A7261B">
            <w:pPr>
              <w:spacing w:after="120"/>
              <w:ind w:firstLine="480"/>
              <w:rPr>
                <w:sz w:val="18"/>
                <w:szCs w:val="18"/>
                <w:highlight w:val="yellow"/>
                <w:lang w:val="en-CA"/>
              </w:rPr>
            </w:pPr>
            <w:r w:rsidRPr="00A7261B">
              <w:rPr>
                <w:sz w:val="18"/>
                <w:szCs w:val="18"/>
                <w:highlight w:val="yellow"/>
                <w:lang w:val="en-CA"/>
              </w:rPr>
              <w:t>Renewable-energy alignment, peak-demand management, and possible geographic routing</w:t>
            </w:r>
          </w:p>
        </w:tc>
      </w:tr>
      <w:tr w:rsidR="00A7261B" w:rsidRPr="00A7261B" w14:paraId="115BFE4D" w14:textId="77777777" w:rsidTr="00A7261B">
        <w:tc>
          <w:tcPr>
            <w:tcW w:w="0" w:type="auto"/>
            <w:hideMark/>
          </w:tcPr>
          <w:p w14:paraId="271DD541" w14:textId="55CEB8BD" w:rsidR="00A7261B" w:rsidRPr="00A7261B" w:rsidRDefault="00A7261B" w:rsidP="001B74A6">
            <w:pPr>
              <w:spacing w:after="120"/>
              <w:ind w:firstLine="480"/>
              <w:rPr>
                <w:sz w:val="18"/>
                <w:szCs w:val="18"/>
                <w:highlight w:val="yellow"/>
                <w:lang w:val="en-CA"/>
              </w:rPr>
            </w:pPr>
            <w:r w:rsidRPr="00A7261B">
              <w:rPr>
                <w:b/>
                <w:bCs/>
                <w:sz w:val="18"/>
                <w:szCs w:val="18"/>
                <w:highlight w:val="yellow"/>
                <w:lang w:val="en-CA"/>
              </w:rPr>
              <w:t>Batch inference</w:t>
            </w:r>
            <w:r w:rsidRPr="00A7261B">
              <w:rPr>
                <w:sz w:val="18"/>
                <w:szCs w:val="18"/>
                <w:highlight w:val="yellow"/>
                <w:lang w:val="en-CA"/>
              </w:rPr>
              <w:t xml:space="preserve"> </w:t>
            </w:r>
            <w:r w:rsidR="00C44206">
              <w:rPr>
                <w:sz w:val="18"/>
                <w:szCs w:val="18"/>
                <w:highlight w:val="yellow"/>
                <w:lang w:val="en-CA"/>
              </w:rPr>
              <w:fldChar w:fldCharType="begin"/>
            </w:r>
            <w:r w:rsidR="001B74A6">
              <w:rPr>
                <w:sz w:val="18"/>
                <w:szCs w:val="18"/>
                <w:highlight w:val="yellow"/>
                <w:lang w:val="en-CA"/>
              </w:rPr>
              <w:instrText xml:space="preserve"> ADDIN ZOTERO_ITEM CSL_CITATION {"citationID":"DsJyIiBE","properties":{"unsorted":false,"formattedCitation":"[152]","plainCitation":"[152]","noteIndex":0},"citationItems":[{"id":2727,"uris":["http://zotero.org/users/9870935/items/4YPH2VDP"],"itemData":{"id":2727,"type":"post-weblog","title":"Batch Inference at Scale with Amazon SageMaker","URL":"https://aws.amazon.com/blogs/architecture/batch-inference-at-scale-with-amazon-sagemaker/","author":[{"literal":"AWS"}]}}],"schema":"https://github.com/citation-style-language/schema/raw/master/csl-citation.json"} </w:instrText>
            </w:r>
            <w:r w:rsidR="00C44206">
              <w:rPr>
                <w:sz w:val="18"/>
                <w:szCs w:val="18"/>
                <w:highlight w:val="yellow"/>
                <w:lang w:val="en-CA"/>
              </w:rPr>
              <w:fldChar w:fldCharType="separate"/>
            </w:r>
            <w:r w:rsidR="001B74A6" w:rsidRPr="001B74A6">
              <w:rPr>
                <w:sz w:val="18"/>
                <w:highlight w:val="yellow"/>
                <w:lang w:val="en-CA"/>
              </w:rPr>
              <w:t>[152]</w:t>
            </w:r>
            <w:r w:rsidR="00C44206">
              <w:rPr>
                <w:sz w:val="18"/>
                <w:szCs w:val="18"/>
                <w:highlight w:val="yellow"/>
                <w:lang w:val="en-CA"/>
              </w:rPr>
              <w:fldChar w:fldCharType="end"/>
            </w:r>
          </w:p>
        </w:tc>
        <w:tc>
          <w:tcPr>
            <w:tcW w:w="0" w:type="auto"/>
            <w:hideMark/>
          </w:tcPr>
          <w:p w14:paraId="3E8AF502" w14:textId="77777777" w:rsidR="00A7261B" w:rsidRPr="00A7261B" w:rsidRDefault="00A7261B" w:rsidP="00A7261B">
            <w:pPr>
              <w:spacing w:after="120"/>
              <w:ind w:firstLine="480"/>
              <w:rPr>
                <w:sz w:val="18"/>
                <w:szCs w:val="18"/>
                <w:highlight w:val="yellow"/>
                <w:lang w:val="en-CA"/>
              </w:rPr>
            </w:pPr>
            <w:r w:rsidRPr="00A7261B">
              <w:rPr>
                <w:sz w:val="18"/>
                <w:szCs w:val="18"/>
                <w:highlight w:val="yellow"/>
                <w:lang w:val="en-CA"/>
              </w:rPr>
              <w:t>Minutes to hours</w:t>
            </w:r>
          </w:p>
        </w:tc>
        <w:tc>
          <w:tcPr>
            <w:tcW w:w="0" w:type="auto"/>
            <w:hideMark/>
          </w:tcPr>
          <w:p w14:paraId="73E611C2" w14:textId="77777777" w:rsidR="00A7261B" w:rsidRPr="00A7261B" w:rsidRDefault="00A7261B" w:rsidP="00A7261B">
            <w:pPr>
              <w:spacing w:after="120"/>
              <w:ind w:firstLine="480"/>
              <w:rPr>
                <w:sz w:val="18"/>
                <w:szCs w:val="18"/>
                <w:highlight w:val="yellow"/>
                <w:lang w:val="en-CA"/>
              </w:rPr>
            </w:pPr>
            <w:r w:rsidRPr="00A7261B">
              <w:rPr>
                <w:sz w:val="18"/>
                <w:szCs w:val="18"/>
                <w:highlight w:val="yellow"/>
                <w:lang w:val="en-CA"/>
              </w:rPr>
              <w:t>Minutes to hours</w:t>
            </w:r>
          </w:p>
        </w:tc>
        <w:tc>
          <w:tcPr>
            <w:tcW w:w="0" w:type="auto"/>
            <w:hideMark/>
          </w:tcPr>
          <w:p w14:paraId="5C443CFB" w14:textId="77777777" w:rsidR="00A7261B" w:rsidRPr="00A7261B" w:rsidRDefault="00A7261B" w:rsidP="00A7261B">
            <w:pPr>
              <w:spacing w:after="120"/>
              <w:ind w:firstLine="480"/>
              <w:rPr>
                <w:sz w:val="18"/>
                <w:szCs w:val="18"/>
                <w:highlight w:val="yellow"/>
                <w:lang w:val="en-CA"/>
              </w:rPr>
            </w:pPr>
            <w:r w:rsidRPr="00A7261B">
              <w:rPr>
                <w:sz w:val="18"/>
                <w:szCs w:val="18"/>
                <w:highlight w:val="yellow"/>
                <w:lang w:val="en-CA"/>
              </w:rPr>
              <w:t>High</w:t>
            </w:r>
          </w:p>
        </w:tc>
        <w:tc>
          <w:tcPr>
            <w:tcW w:w="0" w:type="auto"/>
            <w:hideMark/>
          </w:tcPr>
          <w:p w14:paraId="40E44C9D" w14:textId="77777777" w:rsidR="00A7261B" w:rsidRPr="00A7261B" w:rsidRDefault="00A7261B" w:rsidP="00A7261B">
            <w:pPr>
              <w:spacing w:after="120"/>
              <w:ind w:firstLine="480"/>
              <w:rPr>
                <w:sz w:val="18"/>
                <w:szCs w:val="18"/>
                <w:highlight w:val="yellow"/>
                <w:lang w:val="en-CA"/>
              </w:rPr>
            </w:pPr>
            <w:r w:rsidRPr="00A7261B">
              <w:rPr>
                <w:sz w:val="18"/>
                <w:szCs w:val="18"/>
                <w:highlight w:val="yellow"/>
                <w:lang w:val="en-CA"/>
              </w:rPr>
              <w:t>Scheduling during lower-cost or lower-carbon periods</w:t>
            </w:r>
          </w:p>
        </w:tc>
      </w:tr>
      <w:tr w:rsidR="00A7261B" w:rsidRPr="00A7261B" w14:paraId="1E2EFD0F" w14:textId="77777777" w:rsidTr="00A7261B">
        <w:tc>
          <w:tcPr>
            <w:tcW w:w="0" w:type="auto"/>
            <w:hideMark/>
          </w:tcPr>
          <w:p w14:paraId="11378C98" w14:textId="460AC64B" w:rsidR="00A7261B" w:rsidRPr="00A7261B" w:rsidRDefault="00A7261B" w:rsidP="001B74A6">
            <w:pPr>
              <w:spacing w:after="120"/>
              <w:ind w:firstLine="480"/>
              <w:rPr>
                <w:sz w:val="18"/>
                <w:szCs w:val="18"/>
                <w:highlight w:val="yellow"/>
                <w:lang w:val="en-CA"/>
              </w:rPr>
            </w:pPr>
            <w:r w:rsidRPr="00A7261B">
              <w:rPr>
                <w:b/>
                <w:bCs/>
                <w:sz w:val="18"/>
                <w:szCs w:val="18"/>
                <w:highlight w:val="yellow"/>
                <w:lang w:val="en-CA"/>
              </w:rPr>
              <w:t>Analytics and reporting</w:t>
            </w:r>
            <w:r w:rsidRPr="00A7261B">
              <w:rPr>
                <w:sz w:val="18"/>
                <w:szCs w:val="18"/>
                <w:highlight w:val="yellow"/>
                <w:lang w:val="en-CA"/>
              </w:rPr>
              <w:t xml:space="preserve"> </w:t>
            </w:r>
            <w:r w:rsidR="0071235E">
              <w:rPr>
                <w:sz w:val="18"/>
                <w:szCs w:val="18"/>
                <w:highlight w:val="yellow"/>
                <w:lang w:val="en-CA"/>
              </w:rPr>
              <w:fldChar w:fldCharType="begin"/>
            </w:r>
            <w:r w:rsidR="001B74A6">
              <w:rPr>
                <w:sz w:val="18"/>
                <w:szCs w:val="18"/>
                <w:highlight w:val="yellow"/>
                <w:lang w:val="en-CA"/>
              </w:rPr>
              <w:instrText xml:space="preserve"> ADDIN ZOTERO_ITEM CSL_CITATION {"citationID":"o2ipWXYg","properties":{"unsorted":false,"formattedCitation":"[153]","plainCitation":"[153]","noteIndex":0},"citationItems":[{"id":2728,"uris":["http://zotero.org/users/9870935/items/8HCXCMG8"],"itemData":{"id":2728,"type":"post-weblog","title":"Grid-Interactive Design (Demand Flexibility)","URL":"https://www.ashrae.org/technical-resources/ai-data-center-framework/grid-interactive-design-demand-flexibility","author":[{"literal":"ASHARE"}]}}],"schema":"https://github.com/citation-style-language/schema/raw/master/csl-citation.json"} </w:instrText>
            </w:r>
            <w:r w:rsidR="0071235E">
              <w:rPr>
                <w:sz w:val="18"/>
                <w:szCs w:val="18"/>
                <w:highlight w:val="yellow"/>
                <w:lang w:val="en-CA"/>
              </w:rPr>
              <w:fldChar w:fldCharType="separate"/>
            </w:r>
            <w:r w:rsidR="001B74A6" w:rsidRPr="001B74A6">
              <w:rPr>
                <w:sz w:val="18"/>
                <w:highlight w:val="yellow"/>
                <w:lang w:val="en-CA"/>
              </w:rPr>
              <w:t>[153]</w:t>
            </w:r>
            <w:r w:rsidR="0071235E">
              <w:rPr>
                <w:sz w:val="18"/>
                <w:szCs w:val="18"/>
                <w:highlight w:val="yellow"/>
                <w:lang w:val="en-CA"/>
              </w:rPr>
              <w:fldChar w:fldCharType="end"/>
            </w:r>
          </w:p>
        </w:tc>
        <w:tc>
          <w:tcPr>
            <w:tcW w:w="0" w:type="auto"/>
            <w:hideMark/>
          </w:tcPr>
          <w:p w14:paraId="1B1954AD" w14:textId="77777777" w:rsidR="00A7261B" w:rsidRPr="00A7261B" w:rsidRDefault="00A7261B" w:rsidP="00A7261B">
            <w:pPr>
              <w:spacing w:after="120"/>
              <w:ind w:firstLine="480"/>
              <w:rPr>
                <w:sz w:val="18"/>
                <w:szCs w:val="18"/>
                <w:highlight w:val="yellow"/>
                <w:lang w:val="en-CA"/>
              </w:rPr>
            </w:pPr>
            <w:r w:rsidRPr="00A7261B">
              <w:rPr>
                <w:sz w:val="18"/>
                <w:szCs w:val="18"/>
                <w:highlight w:val="yellow"/>
                <w:lang w:val="en-CA"/>
              </w:rPr>
              <w:t>Hours to days</w:t>
            </w:r>
          </w:p>
        </w:tc>
        <w:tc>
          <w:tcPr>
            <w:tcW w:w="0" w:type="auto"/>
            <w:hideMark/>
          </w:tcPr>
          <w:p w14:paraId="35D21FD4" w14:textId="77777777" w:rsidR="00A7261B" w:rsidRPr="00A7261B" w:rsidRDefault="00A7261B" w:rsidP="00A7261B">
            <w:pPr>
              <w:spacing w:after="120"/>
              <w:ind w:firstLine="480"/>
              <w:rPr>
                <w:sz w:val="18"/>
                <w:szCs w:val="18"/>
                <w:highlight w:val="yellow"/>
                <w:lang w:val="en-CA"/>
              </w:rPr>
            </w:pPr>
            <w:r w:rsidRPr="00A7261B">
              <w:rPr>
                <w:sz w:val="18"/>
                <w:szCs w:val="18"/>
                <w:highlight w:val="yellow"/>
                <w:lang w:val="en-CA"/>
              </w:rPr>
              <w:t>Hours to days</w:t>
            </w:r>
          </w:p>
        </w:tc>
        <w:tc>
          <w:tcPr>
            <w:tcW w:w="0" w:type="auto"/>
            <w:hideMark/>
          </w:tcPr>
          <w:p w14:paraId="591BDD95" w14:textId="77777777" w:rsidR="00A7261B" w:rsidRPr="00A7261B" w:rsidRDefault="00A7261B" w:rsidP="00A7261B">
            <w:pPr>
              <w:spacing w:after="120"/>
              <w:ind w:firstLine="480"/>
              <w:rPr>
                <w:sz w:val="18"/>
                <w:szCs w:val="18"/>
                <w:highlight w:val="yellow"/>
                <w:lang w:val="en-CA"/>
              </w:rPr>
            </w:pPr>
            <w:r w:rsidRPr="00A7261B">
              <w:rPr>
                <w:sz w:val="18"/>
                <w:szCs w:val="18"/>
                <w:highlight w:val="yellow"/>
                <w:lang w:val="en-CA"/>
              </w:rPr>
              <w:t>High</w:t>
            </w:r>
          </w:p>
        </w:tc>
        <w:tc>
          <w:tcPr>
            <w:tcW w:w="0" w:type="auto"/>
            <w:hideMark/>
          </w:tcPr>
          <w:p w14:paraId="1D10879B" w14:textId="77777777" w:rsidR="00A7261B" w:rsidRPr="00A7261B" w:rsidRDefault="00A7261B" w:rsidP="00A7261B">
            <w:pPr>
              <w:spacing w:after="120"/>
              <w:ind w:firstLine="480"/>
              <w:rPr>
                <w:sz w:val="18"/>
                <w:szCs w:val="18"/>
                <w:highlight w:val="yellow"/>
                <w:lang w:val="en-CA"/>
              </w:rPr>
            </w:pPr>
            <w:r w:rsidRPr="00A7261B">
              <w:rPr>
                <w:sz w:val="18"/>
                <w:szCs w:val="18"/>
                <w:highlight w:val="yellow"/>
                <w:lang w:val="en-CA"/>
              </w:rPr>
              <w:t>Load shifting and renewable-energy utilization</w:t>
            </w:r>
          </w:p>
        </w:tc>
      </w:tr>
      <w:tr w:rsidR="00A7261B" w:rsidRPr="00A7261B" w14:paraId="1C986CC2" w14:textId="77777777" w:rsidTr="00A7261B">
        <w:tc>
          <w:tcPr>
            <w:tcW w:w="0" w:type="auto"/>
            <w:hideMark/>
          </w:tcPr>
          <w:p w14:paraId="0BAEE153" w14:textId="0002845E" w:rsidR="00A7261B" w:rsidRPr="00A7261B" w:rsidRDefault="00A7261B" w:rsidP="001B74A6">
            <w:pPr>
              <w:spacing w:after="120"/>
              <w:ind w:firstLine="480"/>
              <w:rPr>
                <w:sz w:val="18"/>
                <w:szCs w:val="18"/>
                <w:highlight w:val="yellow"/>
                <w:lang w:val="en-CA"/>
              </w:rPr>
            </w:pPr>
            <w:r w:rsidRPr="00A7261B">
              <w:rPr>
                <w:b/>
                <w:bCs/>
                <w:sz w:val="18"/>
                <w:szCs w:val="18"/>
                <w:highlight w:val="yellow"/>
                <w:lang w:val="en-CA"/>
              </w:rPr>
              <w:t>Real-time inference</w:t>
            </w:r>
            <w:r w:rsidRPr="00A7261B">
              <w:rPr>
                <w:sz w:val="18"/>
                <w:szCs w:val="18"/>
                <w:highlight w:val="yellow"/>
                <w:lang w:val="en-CA"/>
              </w:rPr>
              <w:t xml:space="preserve"> </w:t>
            </w:r>
            <w:r w:rsidR="0071235E">
              <w:rPr>
                <w:sz w:val="18"/>
                <w:szCs w:val="18"/>
                <w:highlight w:val="yellow"/>
                <w:lang w:val="en-CA"/>
              </w:rPr>
              <w:fldChar w:fldCharType="begin"/>
            </w:r>
            <w:r w:rsidR="001B74A6">
              <w:rPr>
                <w:sz w:val="18"/>
                <w:szCs w:val="18"/>
                <w:highlight w:val="yellow"/>
                <w:lang w:val="en-CA"/>
              </w:rPr>
              <w:instrText xml:space="preserve"> ADDIN ZOTERO_ITEM CSL_CITATION {"citationID":"MZSRDDhq","properties":{"unsorted":false,"formattedCitation":"[154]","plainCitation":"[154]","noteIndex":0},"citationItems":[{"id":2729,"uris":["http://zotero.org/users/9870935/items/HN3AX68I"],"itemData":{"id":2729,"type":"post-weblog","title":"Load Flexibility’s Breakthrough Moment—Driven by Data Centers","URL":"https://avanzaenergy.substack.com/p/load-flexibilitys-breakthrough-momentdriven","author":[{"literal":"Christopher Johnson"}]}}],"schema":"https://github.com/citation-style-language/schema/raw/master/csl-citation.json"} </w:instrText>
            </w:r>
            <w:r w:rsidR="0071235E">
              <w:rPr>
                <w:sz w:val="18"/>
                <w:szCs w:val="18"/>
                <w:highlight w:val="yellow"/>
                <w:lang w:val="en-CA"/>
              </w:rPr>
              <w:fldChar w:fldCharType="separate"/>
            </w:r>
            <w:r w:rsidR="001B74A6" w:rsidRPr="001B74A6">
              <w:rPr>
                <w:sz w:val="18"/>
                <w:highlight w:val="yellow"/>
                <w:lang w:val="en-CA"/>
              </w:rPr>
              <w:t>[154]</w:t>
            </w:r>
            <w:r w:rsidR="0071235E">
              <w:rPr>
                <w:sz w:val="18"/>
                <w:szCs w:val="18"/>
                <w:highlight w:val="yellow"/>
                <w:lang w:val="en-CA"/>
              </w:rPr>
              <w:fldChar w:fldCharType="end"/>
            </w:r>
          </w:p>
        </w:tc>
        <w:tc>
          <w:tcPr>
            <w:tcW w:w="0" w:type="auto"/>
            <w:hideMark/>
          </w:tcPr>
          <w:p w14:paraId="4F06DB75" w14:textId="77777777" w:rsidR="00A7261B" w:rsidRPr="00A7261B" w:rsidRDefault="00A7261B" w:rsidP="00A7261B">
            <w:pPr>
              <w:spacing w:after="120"/>
              <w:ind w:firstLine="480"/>
              <w:rPr>
                <w:sz w:val="18"/>
                <w:szCs w:val="18"/>
                <w:highlight w:val="yellow"/>
                <w:lang w:val="en-CA"/>
              </w:rPr>
            </w:pPr>
            <w:proofErr w:type="gramStart"/>
            <w:r w:rsidRPr="00A7261B">
              <w:rPr>
                <w:sz w:val="18"/>
                <w:szCs w:val="18"/>
                <w:highlight w:val="yellow"/>
                <w:lang w:val="en-CA"/>
              </w:rPr>
              <w:t>Typically</w:t>
            </w:r>
            <w:proofErr w:type="gramEnd"/>
            <w:r w:rsidRPr="00A7261B">
              <w:rPr>
                <w:sz w:val="18"/>
                <w:szCs w:val="18"/>
                <w:highlight w:val="yellow"/>
                <w:lang w:val="en-CA"/>
              </w:rPr>
              <w:t xml:space="preserve"> sub-second</w:t>
            </w:r>
          </w:p>
        </w:tc>
        <w:tc>
          <w:tcPr>
            <w:tcW w:w="0" w:type="auto"/>
            <w:hideMark/>
          </w:tcPr>
          <w:p w14:paraId="551DFB15" w14:textId="77777777" w:rsidR="00A7261B" w:rsidRPr="00A7261B" w:rsidRDefault="00A7261B" w:rsidP="00A7261B">
            <w:pPr>
              <w:spacing w:after="120"/>
              <w:ind w:firstLine="480"/>
              <w:rPr>
                <w:sz w:val="18"/>
                <w:szCs w:val="18"/>
                <w:highlight w:val="yellow"/>
                <w:lang w:val="en-CA"/>
              </w:rPr>
            </w:pPr>
            <w:r w:rsidRPr="00A7261B">
              <w:rPr>
                <w:sz w:val="18"/>
                <w:szCs w:val="18"/>
                <w:highlight w:val="yellow"/>
                <w:lang w:val="en-CA"/>
              </w:rPr>
              <w:t>Limited or none</w:t>
            </w:r>
          </w:p>
        </w:tc>
        <w:tc>
          <w:tcPr>
            <w:tcW w:w="0" w:type="auto"/>
            <w:hideMark/>
          </w:tcPr>
          <w:p w14:paraId="7A363DD3" w14:textId="77777777" w:rsidR="00A7261B" w:rsidRPr="00A7261B" w:rsidRDefault="00A7261B" w:rsidP="00A7261B">
            <w:pPr>
              <w:spacing w:after="120"/>
              <w:ind w:firstLine="480"/>
              <w:rPr>
                <w:sz w:val="18"/>
                <w:szCs w:val="18"/>
                <w:highlight w:val="yellow"/>
                <w:lang w:val="en-CA"/>
              </w:rPr>
            </w:pPr>
            <w:r w:rsidRPr="00A7261B">
              <w:rPr>
                <w:sz w:val="18"/>
                <w:szCs w:val="18"/>
                <w:highlight w:val="yellow"/>
                <w:lang w:val="en-CA"/>
              </w:rPr>
              <w:t>Low</w:t>
            </w:r>
          </w:p>
        </w:tc>
        <w:tc>
          <w:tcPr>
            <w:tcW w:w="0" w:type="auto"/>
            <w:hideMark/>
          </w:tcPr>
          <w:p w14:paraId="0DEEC8C2" w14:textId="77777777" w:rsidR="00A7261B" w:rsidRPr="00A7261B" w:rsidRDefault="00A7261B" w:rsidP="00A7261B">
            <w:pPr>
              <w:spacing w:after="120"/>
              <w:ind w:firstLine="480"/>
              <w:rPr>
                <w:sz w:val="18"/>
                <w:szCs w:val="18"/>
                <w:highlight w:val="yellow"/>
                <w:lang w:val="en-CA"/>
              </w:rPr>
            </w:pPr>
            <w:r w:rsidRPr="00A7261B">
              <w:rPr>
                <w:sz w:val="18"/>
                <w:szCs w:val="18"/>
                <w:highlight w:val="yellow"/>
                <w:lang w:val="en-CA"/>
              </w:rPr>
              <w:t>Limited rate shaping, power capping, or geographic routing where latency permits</w:t>
            </w:r>
          </w:p>
        </w:tc>
      </w:tr>
      <w:tr w:rsidR="00A7261B" w:rsidRPr="00A7261B" w14:paraId="2E8402C1" w14:textId="77777777" w:rsidTr="00A7261B">
        <w:tc>
          <w:tcPr>
            <w:tcW w:w="0" w:type="auto"/>
            <w:hideMark/>
          </w:tcPr>
          <w:p w14:paraId="1E90FD62" w14:textId="4F299190" w:rsidR="00A7261B" w:rsidRPr="00A7261B" w:rsidRDefault="00A7261B" w:rsidP="001B74A6">
            <w:pPr>
              <w:spacing w:after="120"/>
              <w:ind w:firstLine="480"/>
              <w:rPr>
                <w:sz w:val="18"/>
                <w:szCs w:val="18"/>
                <w:highlight w:val="yellow"/>
                <w:lang w:val="en-CA"/>
              </w:rPr>
            </w:pPr>
            <w:r w:rsidRPr="00A7261B">
              <w:rPr>
                <w:b/>
                <w:bCs/>
                <w:sz w:val="18"/>
                <w:szCs w:val="18"/>
                <w:highlight w:val="yellow"/>
                <w:lang w:val="en-CA"/>
              </w:rPr>
              <w:t>Background tasks</w:t>
            </w:r>
            <w:r w:rsidRPr="00A7261B">
              <w:rPr>
                <w:sz w:val="18"/>
                <w:szCs w:val="18"/>
                <w:highlight w:val="yellow"/>
                <w:lang w:val="en-CA"/>
              </w:rPr>
              <w:t xml:space="preserve"> </w:t>
            </w:r>
            <w:r w:rsidR="0071235E">
              <w:rPr>
                <w:sz w:val="18"/>
                <w:szCs w:val="18"/>
                <w:highlight w:val="yellow"/>
                <w:lang w:val="en-CA"/>
              </w:rPr>
              <w:fldChar w:fldCharType="begin"/>
            </w:r>
            <w:r w:rsidR="001B74A6">
              <w:rPr>
                <w:sz w:val="18"/>
                <w:szCs w:val="18"/>
                <w:highlight w:val="yellow"/>
                <w:lang w:val="en-CA"/>
              </w:rPr>
              <w:instrText xml:space="preserve"> ADDIN ZOTERO_ITEM CSL_CITATION {"citationID":"FgPBmEQU","properties":{"unsorted":false,"formattedCitation":"[155]","plainCitation":"[155]","noteIndex":0},"citationItems":[{"id":2730,"uris":["http://zotero.org/users/9870935/items/TYZUF6FI"],"itemData":{"id":2730,"type":"article-journal","container-title":"International Journal of Electrical Power &amp; Energy Systems","DOI":"10.1016/j.ijepes.2026.111940","ISSN":"01420615","journalAbbreviation":"International Journal of Electrical Power &amp; Energy Systems","language":"en","page":"111940","source":"DOI.org (Crossref)","title":"Data center workload flexibility for power system demand response: Evidence from Alibaba traces","title-short":"Data center workload flexibility for power system demand response","volume":"178","author":[{"family":"Caprara","given":"Adriano"},{"family":"Yu","given":"Ying"},{"family":"Teng","given":"Fei"},{"family":"Junyent-Ferré","given":"Adrià"},{"family":"Bullich-Massagué","given":"Eduard"},{"family":"Aragüés-Peñalba","given":"Mònica"}],"issued":{"date-parts":[["2026",5]]}}}],"schema":"https://github.com/citation-style-language/schema/raw/master/csl-citation.json"} </w:instrText>
            </w:r>
            <w:r w:rsidR="0071235E">
              <w:rPr>
                <w:sz w:val="18"/>
                <w:szCs w:val="18"/>
                <w:highlight w:val="yellow"/>
                <w:lang w:val="en-CA"/>
              </w:rPr>
              <w:fldChar w:fldCharType="separate"/>
            </w:r>
            <w:r w:rsidR="001B74A6" w:rsidRPr="001B74A6">
              <w:rPr>
                <w:sz w:val="18"/>
                <w:highlight w:val="yellow"/>
                <w:lang w:val="en-CA"/>
              </w:rPr>
              <w:t>[155]</w:t>
            </w:r>
            <w:r w:rsidR="0071235E">
              <w:rPr>
                <w:sz w:val="18"/>
                <w:szCs w:val="18"/>
                <w:highlight w:val="yellow"/>
                <w:lang w:val="en-CA"/>
              </w:rPr>
              <w:fldChar w:fldCharType="end"/>
            </w:r>
          </w:p>
        </w:tc>
        <w:tc>
          <w:tcPr>
            <w:tcW w:w="0" w:type="auto"/>
            <w:hideMark/>
          </w:tcPr>
          <w:p w14:paraId="3B556734" w14:textId="77777777" w:rsidR="00A7261B" w:rsidRPr="00A7261B" w:rsidRDefault="00A7261B" w:rsidP="00A7261B">
            <w:pPr>
              <w:spacing w:after="120"/>
              <w:ind w:firstLine="480"/>
              <w:rPr>
                <w:sz w:val="18"/>
                <w:szCs w:val="18"/>
                <w:highlight w:val="yellow"/>
                <w:lang w:val="en-CA"/>
              </w:rPr>
            </w:pPr>
            <w:r w:rsidRPr="00A7261B">
              <w:rPr>
                <w:sz w:val="18"/>
                <w:szCs w:val="18"/>
                <w:highlight w:val="yellow"/>
                <w:lang w:val="en-CA"/>
              </w:rPr>
              <w:t>Hours to days</w:t>
            </w:r>
          </w:p>
        </w:tc>
        <w:tc>
          <w:tcPr>
            <w:tcW w:w="0" w:type="auto"/>
            <w:hideMark/>
          </w:tcPr>
          <w:p w14:paraId="5664FE1F" w14:textId="77777777" w:rsidR="00A7261B" w:rsidRPr="00A7261B" w:rsidRDefault="00A7261B" w:rsidP="00A7261B">
            <w:pPr>
              <w:spacing w:after="120"/>
              <w:ind w:firstLine="480"/>
              <w:rPr>
                <w:sz w:val="18"/>
                <w:szCs w:val="18"/>
                <w:highlight w:val="yellow"/>
                <w:lang w:val="en-CA"/>
              </w:rPr>
            </w:pPr>
            <w:r w:rsidRPr="00A7261B">
              <w:rPr>
                <w:sz w:val="18"/>
                <w:szCs w:val="18"/>
                <w:highlight w:val="yellow"/>
                <w:lang w:val="en-CA"/>
              </w:rPr>
              <w:t>Highly flexible</w:t>
            </w:r>
          </w:p>
        </w:tc>
        <w:tc>
          <w:tcPr>
            <w:tcW w:w="0" w:type="auto"/>
            <w:hideMark/>
          </w:tcPr>
          <w:p w14:paraId="7B75C8FE" w14:textId="77777777" w:rsidR="00A7261B" w:rsidRPr="00A7261B" w:rsidRDefault="00A7261B" w:rsidP="00A7261B">
            <w:pPr>
              <w:spacing w:after="120"/>
              <w:ind w:firstLine="480"/>
              <w:rPr>
                <w:sz w:val="18"/>
                <w:szCs w:val="18"/>
                <w:highlight w:val="yellow"/>
                <w:lang w:val="en-CA"/>
              </w:rPr>
            </w:pPr>
            <w:r w:rsidRPr="00A7261B">
              <w:rPr>
                <w:sz w:val="18"/>
                <w:szCs w:val="18"/>
                <w:highlight w:val="yellow"/>
                <w:lang w:val="en-CA"/>
              </w:rPr>
              <w:t>High</w:t>
            </w:r>
          </w:p>
        </w:tc>
        <w:tc>
          <w:tcPr>
            <w:tcW w:w="0" w:type="auto"/>
            <w:hideMark/>
          </w:tcPr>
          <w:p w14:paraId="70ACC164" w14:textId="77777777" w:rsidR="00A7261B" w:rsidRPr="00A7261B" w:rsidRDefault="00A7261B" w:rsidP="00A7261B">
            <w:pPr>
              <w:spacing w:after="120"/>
              <w:ind w:firstLine="480"/>
              <w:rPr>
                <w:sz w:val="18"/>
                <w:szCs w:val="18"/>
                <w:highlight w:val="yellow"/>
                <w:lang w:val="en-CA"/>
              </w:rPr>
            </w:pPr>
            <w:r w:rsidRPr="00A7261B">
              <w:rPr>
                <w:sz w:val="18"/>
                <w:szCs w:val="18"/>
                <w:highlight w:val="yellow"/>
                <w:lang w:val="en-CA"/>
              </w:rPr>
              <w:t>Curtailment absorption and off-peak operation</w:t>
            </w:r>
          </w:p>
        </w:tc>
      </w:tr>
      <w:tr w:rsidR="00A7261B" w:rsidRPr="00A7261B" w14:paraId="4EE21A7A" w14:textId="77777777" w:rsidTr="00A7261B">
        <w:tc>
          <w:tcPr>
            <w:tcW w:w="0" w:type="auto"/>
            <w:hideMark/>
          </w:tcPr>
          <w:p w14:paraId="196A6F79" w14:textId="63B2E9D9" w:rsidR="00A7261B" w:rsidRPr="00A7261B" w:rsidRDefault="00A7261B" w:rsidP="001B74A6">
            <w:pPr>
              <w:spacing w:after="120"/>
              <w:ind w:firstLine="480"/>
              <w:rPr>
                <w:sz w:val="18"/>
                <w:szCs w:val="18"/>
                <w:highlight w:val="yellow"/>
                <w:lang w:val="en-CA"/>
              </w:rPr>
            </w:pPr>
            <w:r w:rsidRPr="00A7261B">
              <w:rPr>
                <w:b/>
                <w:bCs/>
                <w:sz w:val="18"/>
                <w:szCs w:val="18"/>
                <w:highlight w:val="yellow"/>
                <w:lang w:val="en-CA"/>
              </w:rPr>
              <w:t>Critical real-time services</w:t>
            </w:r>
            <w:r w:rsidRPr="00A7261B">
              <w:rPr>
                <w:sz w:val="18"/>
                <w:szCs w:val="18"/>
                <w:highlight w:val="yellow"/>
                <w:lang w:val="en-CA"/>
              </w:rPr>
              <w:t xml:space="preserve"> </w:t>
            </w:r>
            <w:r w:rsidR="0071235E">
              <w:rPr>
                <w:sz w:val="18"/>
                <w:szCs w:val="18"/>
                <w:highlight w:val="yellow"/>
                <w:lang w:val="en-CA"/>
              </w:rPr>
              <w:fldChar w:fldCharType="begin"/>
            </w:r>
            <w:r w:rsidR="001B74A6">
              <w:rPr>
                <w:sz w:val="18"/>
                <w:szCs w:val="18"/>
                <w:highlight w:val="yellow"/>
                <w:lang w:val="en-CA"/>
              </w:rPr>
              <w:instrText xml:space="preserve"> ADDIN ZOTERO_ITEM CSL_CITATION {"citationID":"EXgGMPVS","properties":{"unsorted":false,"formattedCitation":"[156]","plainCitation":"[156]","noteIndex":0},"citationItems":[{"id":2731,"uris":["http://zotero.org/users/9870935/items/T9BMLFD9"],"itemData":{"id":2731,"type":"article","abstract":"The rapid growth of data centres poses an evolving challenge for power systems with high variable renewable energy. Traditionally operated as passive electrical loads, data centres, have the potential to become active participants that provide flexibility to the grid. However, quantifying and utilising this flexibility have not yet been fully explored. This paper presents an integrated, whole facility optimisation model to investigate the least cost operating schedule of data centres and characterise the aggregate flexibility available from data centres to the power system. The model accounts for IT workload shifting, UPS energy storage, and cooling system. Motivated by the need to alleviate the increasing strain on power systems while leveraging their untapped flexibility potential, this study makes two primary contributions: (i) an operational optimisation model that integrates IT scheduling, UPS operation, and cooling dynamics to establish a cost optimal baseline operation, and (ii) a duration-aware flexibility assessment that, for any given start time and power deviation, computes the maximum feasible duration from this baseline while respecting all operational, thermal, and recovery constraints. This method characterises the aggregate flexibility envelope. Results reveal a clear temporal structure and a notable asymmetry in flexibility provision: upward flexibility (electricity load reduction) is driven by deferring IT workload, which allows for a secondary reduction in cooling power. Downward flexibility (electricity load increase) relies on increasing power consumption of the cooling system, supported by the TES buffer, and charging the UPS. This framework translates abstract flexibility potential into quantified flexibility magnitude and duration that system operators could investigate for use in services such as reserve, frequency response, and price responsive demand.","DOI":"10.48550/arXiv.2511.07159","note":"arXiv:2511.07159 [eess.SY]","number":"arXiv:2511.07159","publisher":"arXiv","source":"arXiv.org","title":"Characterisation and Quantification of Data Centre Flexibility for Power System Support","URL":"http://arxiv.org/abs/2511.07159","author":[{"family":"Takci","given":"Mehmet Turker"},{"family":"Day","given":"James"},{"family":"Qadrdan","given":"Meysam"}],"accessed":{"date-parts":[["2026",8,30]]},"issued":{"date-parts":[["2025",11,10]]}}}],"schema":"https://github.com/citation-style-language/schema/raw/master/csl-citation.json"} </w:instrText>
            </w:r>
            <w:r w:rsidR="0071235E">
              <w:rPr>
                <w:sz w:val="18"/>
                <w:szCs w:val="18"/>
                <w:highlight w:val="yellow"/>
                <w:lang w:val="en-CA"/>
              </w:rPr>
              <w:fldChar w:fldCharType="separate"/>
            </w:r>
            <w:r w:rsidR="001B74A6" w:rsidRPr="001B74A6">
              <w:rPr>
                <w:sz w:val="18"/>
                <w:highlight w:val="yellow"/>
                <w:lang w:val="en-CA"/>
              </w:rPr>
              <w:t>[156]</w:t>
            </w:r>
            <w:r w:rsidR="0071235E">
              <w:rPr>
                <w:sz w:val="18"/>
                <w:szCs w:val="18"/>
                <w:highlight w:val="yellow"/>
                <w:lang w:val="en-CA"/>
              </w:rPr>
              <w:fldChar w:fldCharType="end"/>
            </w:r>
          </w:p>
        </w:tc>
        <w:tc>
          <w:tcPr>
            <w:tcW w:w="0" w:type="auto"/>
            <w:hideMark/>
          </w:tcPr>
          <w:p w14:paraId="234321C4" w14:textId="77777777" w:rsidR="00A7261B" w:rsidRPr="00A7261B" w:rsidRDefault="00A7261B" w:rsidP="00A7261B">
            <w:pPr>
              <w:spacing w:after="120"/>
              <w:ind w:firstLine="480"/>
              <w:rPr>
                <w:sz w:val="18"/>
                <w:szCs w:val="18"/>
                <w:highlight w:val="yellow"/>
                <w:lang w:val="en-CA"/>
              </w:rPr>
            </w:pPr>
            <w:r w:rsidRPr="00A7261B">
              <w:rPr>
                <w:sz w:val="18"/>
                <w:szCs w:val="18"/>
                <w:highlight w:val="yellow"/>
                <w:lang w:val="en-CA"/>
              </w:rPr>
              <w:t>Milliseconds to seconds</w:t>
            </w:r>
          </w:p>
        </w:tc>
        <w:tc>
          <w:tcPr>
            <w:tcW w:w="0" w:type="auto"/>
            <w:hideMark/>
          </w:tcPr>
          <w:p w14:paraId="61732781" w14:textId="77777777" w:rsidR="00A7261B" w:rsidRPr="00A7261B" w:rsidRDefault="00A7261B" w:rsidP="00A7261B">
            <w:pPr>
              <w:spacing w:after="120"/>
              <w:ind w:firstLine="480"/>
              <w:rPr>
                <w:sz w:val="18"/>
                <w:szCs w:val="18"/>
                <w:highlight w:val="yellow"/>
                <w:lang w:val="en-CA"/>
              </w:rPr>
            </w:pPr>
            <w:r w:rsidRPr="00A7261B">
              <w:rPr>
                <w:sz w:val="18"/>
                <w:szCs w:val="18"/>
                <w:highlight w:val="yellow"/>
                <w:lang w:val="en-CA"/>
              </w:rPr>
              <w:t>None</w:t>
            </w:r>
          </w:p>
        </w:tc>
        <w:tc>
          <w:tcPr>
            <w:tcW w:w="0" w:type="auto"/>
            <w:hideMark/>
          </w:tcPr>
          <w:p w14:paraId="19BF6EC3" w14:textId="77777777" w:rsidR="00A7261B" w:rsidRPr="00A7261B" w:rsidRDefault="00A7261B" w:rsidP="00A7261B">
            <w:pPr>
              <w:spacing w:after="120"/>
              <w:ind w:firstLine="480"/>
              <w:rPr>
                <w:sz w:val="18"/>
                <w:szCs w:val="18"/>
                <w:highlight w:val="yellow"/>
                <w:lang w:val="en-CA"/>
              </w:rPr>
            </w:pPr>
            <w:r w:rsidRPr="00A7261B">
              <w:rPr>
                <w:sz w:val="18"/>
                <w:szCs w:val="18"/>
                <w:highlight w:val="yellow"/>
                <w:lang w:val="en-CA"/>
              </w:rPr>
              <w:t>None</w:t>
            </w:r>
          </w:p>
        </w:tc>
        <w:tc>
          <w:tcPr>
            <w:tcW w:w="0" w:type="auto"/>
            <w:hideMark/>
          </w:tcPr>
          <w:p w14:paraId="6008DBB8" w14:textId="77777777" w:rsidR="00A7261B" w:rsidRPr="00A7261B" w:rsidRDefault="00A7261B" w:rsidP="00A7261B">
            <w:pPr>
              <w:spacing w:after="120"/>
              <w:ind w:firstLine="480"/>
              <w:rPr>
                <w:sz w:val="18"/>
                <w:szCs w:val="18"/>
                <w:highlight w:val="yellow"/>
                <w:lang w:val="en-CA"/>
              </w:rPr>
            </w:pPr>
            <w:r w:rsidRPr="00A7261B">
              <w:rPr>
                <w:sz w:val="18"/>
                <w:szCs w:val="18"/>
                <w:highlight w:val="yellow"/>
                <w:lang w:val="en-CA"/>
              </w:rPr>
              <w:t>Must remain within the critical, non-deferrable load</w:t>
            </w:r>
          </w:p>
        </w:tc>
      </w:tr>
    </w:tbl>
    <w:p w14:paraId="3C3BD4BE" w14:textId="77777777" w:rsidR="00FE013C" w:rsidRDefault="00FE013C" w:rsidP="004C16FF">
      <w:pPr>
        <w:pStyle w:val="Heading20"/>
        <w:jc w:val="both"/>
        <w:rPr>
          <w:color w:val="auto"/>
        </w:rPr>
      </w:pPr>
      <w:r>
        <w:rPr>
          <w:color w:val="auto"/>
        </w:rPr>
        <w:t>7.7. Cooling System Coordination</w:t>
      </w:r>
    </w:p>
    <w:p w14:paraId="6180DAAA" w14:textId="1CE26DDB" w:rsidR="00FA7E58" w:rsidRPr="00966FBB" w:rsidRDefault="00FA7E58" w:rsidP="001B74A6">
      <w:pPr>
        <w:spacing w:after="120"/>
        <w:ind w:firstLine="480"/>
        <w:rPr>
          <w:highlight w:val="yellow"/>
          <w:lang w:val="en-CA"/>
        </w:rPr>
      </w:pPr>
      <w:r w:rsidRPr="00966FBB">
        <w:rPr>
          <w:highlight w:val="yellow"/>
          <w:lang w:val="en-CA"/>
        </w:rPr>
        <w:t>The coordination of cooling systems involves the coupling of thermal and electrical aspects for the reduction of the energy consumption of the facilities and to increase the flexibility of the system. However, thermal energy storage, such as chilled-water and ice-storage systems, can help reduce the need for cooling during peak electricity demand periods or when electricity is not available to cover the need from renewables</w:t>
      </w:r>
      <w:r w:rsidR="00966FBB">
        <w:rPr>
          <w:highlight w:val="yellow"/>
          <w:lang w:val="en-CA"/>
        </w:rPr>
        <w:fldChar w:fldCharType="begin"/>
      </w:r>
      <w:r w:rsidR="00966FBB">
        <w:rPr>
          <w:highlight w:val="yellow"/>
          <w:lang w:val="en-CA"/>
        </w:rPr>
        <w:instrText xml:space="preserve"> ADDIN ZOTERO_ITEM CSL_CITATION {"citationID":"Zrmw4dw0","properties":{"unsorted":false,"formattedCitation":"[101]","plainCitation":"[101]","noteIndex":0},"citationItems":[{"id":2056,"uris":["http://zotero.org/users/9870935/items/4AKN5FB8"],"itemData":{"id":2056,"type":"paper-conference","container-title":"2025 Brazilian Power Electronics Conference (COBEP)","DOI":"10.1109/COBEP66423.2025.11231587","event-title":"2025 Brazilian Power Electronics Conference (COBEP)","ISBN":"979-8-3315-5327-2","license":"https://doi.org/10.15223/policy-029","page":"1-6","publisher":"IEEE","publisher-place":"Vitoria, Brazil","source":"DOI.org (Crossref)","title":"A Two-Stage Methodology for Accurate PV Energy Yield Estimation Using Satellite Weather Data and PV Modeling Python Library","URL":"https://ieeexplore.ieee.org/document/11231587/","author":[{"family":"De Paula","given":"João Frederico Souza"},{"family":"De Souza Silva","given":"João Lucas"},{"family":"De Paula","given":"Marcelo Vinícius"},{"family":"Fraidenraich","given":"Gustavo"},{"family":"Dos Santos Barros","given":"Tárcio André"}],"accessed":{"date-parts":[["2026",5,17]]},"issued":{"date-parts":[["2025",10,5]]}}}],"schema":"https://github.com/citation-style-language/schema/raw/master/csl-citation.json"} </w:instrText>
      </w:r>
      <w:r w:rsidR="00966FBB">
        <w:rPr>
          <w:highlight w:val="yellow"/>
          <w:lang w:val="en-CA"/>
        </w:rPr>
        <w:fldChar w:fldCharType="separate"/>
      </w:r>
      <w:r w:rsidR="00966FBB" w:rsidRPr="00966FBB">
        <w:rPr>
          <w:highlight w:val="yellow"/>
          <w:lang w:val="en-CA"/>
        </w:rPr>
        <w:t>[101]</w:t>
      </w:r>
      <w:r w:rsidR="00966FBB">
        <w:rPr>
          <w:highlight w:val="yellow"/>
          <w:lang w:val="en-CA"/>
        </w:rPr>
        <w:fldChar w:fldCharType="end"/>
      </w:r>
      <w:r w:rsidRPr="00966FBB">
        <w:rPr>
          <w:highlight w:val="yellow"/>
          <w:lang w:val="en-CA"/>
        </w:rPr>
        <w:t xml:space="preserve">. Dynamic temperature and flow setpoints have also been seen to </w:t>
      </w:r>
      <w:r w:rsidRPr="00966FBB">
        <w:rPr>
          <w:highlight w:val="yellow"/>
          <w:lang w:val="en-CA"/>
        </w:rPr>
        <w:lastRenderedPageBreak/>
        <w:t>enhance efficiency while keeping equipment operating parameters within limits</w:t>
      </w:r>
      <w:r w:rsidR="00966FBB">
        <w:rPr>
          <w:highlight w:val="yellow"/>
          <w:lang w:val="en-CA"/>
        </w:rPr>
        <w:fldChar w:fldCharType="begin"/>
      </w:r>
      <w:r w:rsidR="001B74A6">
        <w:rPr>
          <w:highlight w:val="yellow"/>
          <w:lang w:val="en-CA"/>
        </w:rPr>
        <w:instrText xml:space="preserve"> ADDIN ZOTERO_ITEM CSL_CITATION {"citationID":"OOBfX6OB","properties":{"unsorted":false,"formattedCitation":"[157]","plainCitation":"[157]","noteIndex":0},"citationItems":[{"id":2136,"uris":["http://zotero.org/users/9870935/items/UMQBEY7U"],"itemData":{"id":2136,"type":"article-journal","container-title":"Circular Economy and Sustainability","DOI":"10.1007/s43615-022-00191-9","ISSN":"2730-597X, 2730-5988","issue":"1","journalAbbreviation":"Circ.Econ.Sust.","language":"en","page":"173-197","source":"DOI.org (Crossref)","title":"Tools Towards the Sustainability and Circularity of Data Centers","volume":"3","author":[{"family":"Hoosain","given":"Mohamed Sameer"},{"family":"Paul","given":"Babu Sena"},{"family":"Kass","given":"Susanna"},{"family":"Ramakrishna","given":"Seeram"}],"issued":{"date-parts":[["2023",3]]}}}],"schema":"https://github.com/citation-style-language/schema/raw/master/csl-citation.json"} </w:instrText>
      </w:r>
      <w:r w:rsidR="00966FBB">
        <w:rPr>
          <w:highlight w:val="yellow"/>
          <w:lang w:val="en-CA"/>
        </w:rPr>
        <w:fldChar w:fldCharType="separate"/>
      </w:r>
      <w:r w:rsidR="001B74A6" w:rsidRPr="001B74A6">
        <w:rPr>
          <w:highlight w:val="yellow"/>
          <w:lang w:val="en-CA"/>
        </w:rPr>
        <w:t>[157]</w:t>
      </w:r>
      <w:r w:rsidR="00966FBB">
        <w:rPr>
          <w:highlight w:val="yellow"/>
          <w:lang w:val="en-CA"/>
        </w:rPr>
        <w:fldChar w:fldCharType="end"/>
      </w:r>
      <w:r w:rsidRPr="00966FBB">
        <w:rPr>
          <w:highlight w:val="yellow"/>
          <w:lang w:val="en-CA"/>
        </w:rPr>
        <w:t>.</w:t>
      </w:r>
      <w:r w:rsidR="00342674" w:rsidRPr="00966FBB">
        <w:rPr>
          <w:highlight w:val="yellow"/>
          <w:lang w:val="en-CA"/>
        </w:rPr>
        <w:t xml:space="preserve"> </w:t>
      </w:r>
      <w:r w:rsidRPr="00966FBB">
        <w:rPr>
          <w:highlight w:val="yellow"/>
          <w:lang w:val="en-CA"/>
        </w:rPr>
        <w:t>Direct-to-chip liquid cooling can lower cooling electricity demand compared to traditional air cooling, especially for AI accelerators that are arranged in high density. Other energy-system benefits that can be derived from waste-heat recovery include district heating, use in a greenhouse and industrial process heat, but the economic benefit of these applications is a function of the waste-heat temperature, the distance to the receiving load, seasonality and required heat-pump infrastructure</w:t>
      </w:r>
      <w:r w:rsidR="00966FBB">
        <w:rPr>
          <w:highlight w:val="yellow"/>
          <w:lang w:val="en-CA"/>
        </w:rPr>
        <w:fldChar w:fldCharType="begin"/>
      </w:r>
      <w:r w:rsidR="001B74A6">
        <w:rPr>
          <w:highlight w:val="yellow"/>
          <w:lang w:val="en-CA"/>
        </w:rPr>
        <w:instrText xml:space="preserve"> ADDIN ZOTERO_ITEM CSL_CITATION {"citationID":"MfjSJAkp","properties":{"unsorted":false,"formattedCitation":"[158]","plainCitation":"[158]","noteIndex":0},"citationItems":[{"id":2139,"uris":["http://zotero.org/users/9870935/items/MZBJCIBN"],"itemData":{"id":2139,"type":"article-journal","abstract":"Climate-related reporting has become an integral part of firms’ disclosure. In this context, firms’ greenhouse gas (GHG) emissions are of major importance to stakeholders and management. For measuring GHG emissions, a global standard has been established with the GHG Protocol. This standard contains an important accounting policy option that significantly affects firms’ reported emissions by allowing them to use different consolidation approaches: the equity share, operational control, and financial control approach. However, there is limited evidence on firms’ use of these approaches, resulting in a lack of foundation for discussing the approaches’ sufficiency to support achieving environmental sustainability. Therefore, this paper aims to close this research gap by empirically investigating the approaches’ relevance using 16,604 firm-year observations between 2009 and 2019. We demonstrate that the operational control approach is used by most firms and that its predominance substantially increased during the last decade. However, the predominant use of the operational control approach is not fully compatible with societal and political sustainability goals as expressed in recent sustainability regulations. Therefore, policy makers need to critically assess whether current GHG reporting supports achieving their goals. Furthermore, we develop a research agenda to encourage future researchers to contribute to improvements in GHG reporting.","container-title":"Sustainability","DOI":"10.3390/su15020994","ISSN":"2071-1050","issue":"2","journalAbbreviation":"Sustainability","language":"en","page":"994","source":"DOI.org (Crossref)","title":"Accounting for Carbon Emissions—Current State of Sustainability Reporting Practice under the GHG Protocol","volume":"15","author":[{"family":"Kasperzak","given":"Rainer"},{"family":"Kureljusic","given":"Marko"},{"family":"Reisch","given":"Lucas"},{"family":"Thies","given":"Simon"}],"issued":{"date-parts":[["2023",1,5]]}}}],"schema":"https://github.com/citation-style-language/schema/raw/master/csl-citation.json"} </w:instrText>
      </w:r>
      <w:r w:rsidR="00966FBB">
        <w:rPr>
          <w:highlight w:val="yellow"/>
          <w:lang w:val="en-CA"/>
        </w:rPr>
        <w:fldChar w:fldCharType="separate"/>
      </w:r>
      <w:r w:rsidR="001B74A6" w:rsidRPr="001B74A6">
        <w:rPr>
          <w:highlight w:val="yellow"/>
          <w:lang w:val="en-CA"/>
        </w:rPr>
        <w:t>[158]</w:t>
      </w:r>
      <w:r w:rsidR="00966FBB">
        <w:rPr>
          <w:highlight w:val="yellow"/>
          <w:lang w:val="en-CA"/>
        </w:rPr>
        <w:fldChar w:fldCharType="end"/>
      </w:r>
      <w:r w:rsidRPr="00966FBB">
        <w:rPr>
          <w:highlight w:val="yellow"/>
          <w:lang w:val="en-CA"/>
        </w:rPr>
        <w:t>.</w:t>
      </w:r>
    </w:p>
    <w:p w14:paraId="1BDEBC15" w14:textId="1AFECA79" w:rsidR="00FA7E58" w:rsidRPr="00966FBB" w:rsidRDefault="00FA7E58" w:rsidP="00C6766B">
      <w:pPr>
        <w:spacing w:after="120"/>
        <w:ind w:firstLine="480"/>
        <w:rPr>
          <w:highlight w:val="yellow"/>
          <w:lang w:val="en-CA"/>
        </w:rPr>
      </w:pPr>
      <w:r w:rsidRPr="00966FBB">
        <w:rPr>
          <w:highlight w:val="yellow"/>
          <w:lang w:val="en-CA"/>
        </w:rPr>
        <w:t xml:space="preserve">The assessment of a cooling system should also account for Water Usage Effectiveness (WUE), usually measured in liters of water used per kilowatt-hour of IT energy. The air-cooled systems </w:t>
      </w:r>
      <w:proofErr w:type="gramStart"/>
      <w:r w:rsidRPr="00966FBB">
        <w:rPr>
          <w:highlight w:val="yellow"/>
          <w:lang w:val="en-CA"/>
        </w:rPr>
        <w:t>uses</w:t>
      </w:r>
      <w:proofErr w:type="gramEnd"/>
      <w:r w:rsidRPr="00966FBB">
        <w:rPr>
          <w:highlight w:val="yellow"/>
          <w:lang w:val="en-CA"/>
        </w:rPr>
        <w:t xml:space="preserve"> less direct water </w:t>
      </w:r>
      <w:proofErr w:type="gramStart"/>
      <w:r w:rsidRPr="00966FBB">
        <w:rPr>
          <w:highlight w:val="yellow"/>
          <w:lang w:val="en-CA"/>
        </w:rPr>
        <w:t>use, but</w:t>
      </w:r>
      <w:proofErr w:type="gramEnd"/>
      <w:r w:rsidRPr="00966FBB">
        <w:rPr>
          <w:highlight w:val="yellow"/>
          <w:lang w:val="en-CA"/>
        </w:rPr>
        <w:t xml:space="preserve"> might have higher electrical consumption when ambient temperature is high. Evaporative cooling may save the compressor's electricity consumption, but it also may require more water. Direct-to-chip and immersion systems can enhance the heat removal efficiency, subject to the water impact derived from the heat-rejection system and the local electricity availability.</w:t>
      </w:r>
      <w:r w:rsidR="00C6766B" w:rsidRPr="00966FBB">
        <w:rPr>
          <w:highlight w:val="yellow"/>
          <w:lang w:val="en-CA"/>
        </w:rPr>
        <w:t xml:space="preserve"> </w:t>
      </w:r>
      <w:r w:rsidRPr="00966FBB">
        <w:rPr>
          <w:highlight w:val="yellow"/>
          <w:lang w:val="en-CA"/>
        </w:rPr>
        <w:t xml:space="preserve">Combined PUE, WUE, climate, water-stress, electricity-price, reliability, and lifecycle-cost should thus be </w:t>
      </w:r>
      <w:proofErr w:type="gramStart"/>
      <w:r w:rsidRPr="00966FBB">
        <w:rPr>
          <w:highlight w:val="yellow"/>
          <w:lang w:val="en-CA"/>
        </w:rPr>
        <w:t>taken into account</w:t>
      </w:r>
      <w:proofErr w:type="gramEnd"/>
      <w:r w:rsidRPr="00966FBB">
        <w:rPr>
          <w:highlight w:val="yellow"/>
          <w:lang w:val="en-CA"/>
        </w:rPr>
        <w:t xml:space="preserve"> when selecting the preferred configuration for cooling. For the water-stressed area, a cooling configuration with a </w:t>
      </w:r>
      <w:r w:rsidR="00966FBB" w:rsidRPr="00966FBB">
        <w:rPr>
          <w:highlight w:val="yellow"/>
          <w:lang w:val="en-CA"/>
        </w:rPr>
        <w:t>lower electricity consumption</w:t>
      </w:r>
      <w:r w:rsidRPr="00966FBB">
        <w:rPr>
          <w:highlight w:val="yellow"/>
          <w:lang w:val="en-CA"/>
        </w:rPr>
        <w:t xml:space="preserve"> may not always be preferred if it results in unacceptable water demands.</w:t>
      </w:r>
    </w:p>
    <w:p w14:paraId="467ABB68" w14:textId="77777777" w:rsidR="00FE013C" w:rsidRDefault="00FE013C" w:rsidP="004C16FF">
      <w:pPr>
        <w:pStyle w:val="Heading20"/>
        <w:jc w:val="both"/>
        <w:rPr>
          <w:color w:val="auto"/>
        </w:rPr>
      </w:pPr>
      <w:r>
        <w:rPr>
          <w:color w:val="auto"/>
        </w:rPr>
        <w:t xml:space="preserve">7.8. </w:t>
      </w:r>
      <w:r w:rsidRPr="004D516A">
        <w:rPr>
          <w:color w:val="auto"/>
        </w:rPr>
        <w:t>Economic Model and Financial Viability</w:t>
      </w:r>
    </w:p>
    <w:p w14:paraId="4BDC7C35" w14:textId="0A33A617" w:rsidR="000F6695" w:rsidRPr="00037346" w:rsidRDefault="000F6695" w:rsidP="001B74A6">
      <w:pPr>
        <w:spacing w:after="120"/>
        <w:ind w:firstLine="480"/>
        <w:rPr>
          <w:highlight w:val="yellow"/>
          <w:lang w:val="en-CA"/>
        </w:rPr>
      </w:pPr>
      <w:r w:rsidRPr="00037346">
        <w:rPr>
          <w:highlight w:val="yellow"/>
          <w:lang w:val="en-CA"/>
        </w:rPr>
        <w:t>Additional economic evaluation should be based on LCOE, NPV, IRR, discounted payback, or sensitivity analysis as applicable. LCOE is the total discounted cost of building and running an energy asset divided by the total discounted electricity output generated by the asset over its use life [64]. LCOE does not, by itself, account for the value of firm delivery, temporal matching, reliability, or all network costs. Operating and capital assumptions should be based on a standardized technology set. It is important to note that battery-pack costs are different from full BESS installation costs. You should use the relevant grid electricity tariff and not refer to it as a generation LCOE. The central discount rate used for screening-level comparisons is a real WACC of 7.5%. Only a real range of 5% - 12% is kept for sensitivity analysis. Real cash flows should be discounted at a real discount rate, nominal cash flows should be discounted at a nominal discount rate, and an explicit inflation assumption is required for nominal rates</w:t>
      </w:r>
      <w:r w:rsidR="003336B9" w:rsidRPr="00037346">
        <w:rPr>
          <w:highlight w:val="yellow"/>
          <w:lang w:val="en-CA"/>
        </w:rPr>
        <w:fldChar w:fldCharType="begin"/>
      </w:r>
      <w:r w:rsidR="001B74A6">
        <w:rPr>
          <w:highlight w:val="yellow"/>
          <w:lang w:val="en-CA"/>
        </w:rPr>
        <w:instrText xml:space="preserve"> ADDIN ZOTERO_ITEM CSL_CITATION {"citationID":"4WnWsrD6","properties":{"unsorted":false,"formattedCitation":"[159]","plainCitation":"[159]","noteIndex":0},"citationItems":[{"id":2143,"uris":["http://zotero.org/users/9870935/items/QQ6IISPJ"],"itemData":{"id":2143,"type":"document","title":"U N L O C K I N G FUSION ENERGY","URL":"https://www.adlittle.com/sites/default/files/reports/ADL_Unlocking_fusion_energy_2025%20%281%29.pdf","author":[{"family":"Arthur D. Little","given":""}]}}],"schema":"https://github.com/citation-style-language/schema/raw/master/csl-citation.json"} </w:instrText>
      </w:r>
      <w:r w:rsidR="003336B9" w:rsidRPr="00037346">
        <w:rPr>
          <w:highlight w:val="yellow"/>
          <w:lang w:val="en-CA"/>
        </w:rPr>
        <w:fldChar w:fldCharType="separate"/>
      </w:r>
      <w:r w:rsidR="001B74A6" w:rsidRPr="001B74A6">
        <w:rPr>
          <w:highlight w:val="yellow"/>
          <w:lang w:val="en-CA"/>
        </w:rPr>
        <w:t>[159]</w:t>
      </w:r>
      <w:r w:rsidR="003336B9" w:rsidRPr="00037346">
        <w:rPr>
          <w:highlight w:val="yellow"/>
          <w:lang w:val="en-CA"/>
        </w:rPr>
        <w:fldChar w:fldCharType="end"/>
      </w:r>
      <w:r w:rsidRPr="00037346">
        <w:rPr>
          <w:highlight w:val="yellow"/>
          <w:lang w:val="en-CA"/>
        </w:rPr>
        <w:t>.</w:t>
      </w:r>
      <w:r w:rsidR="00F3432F" w:rsidRPr="00037346">
        <w:rPr>
          <w:highlight w:val="yellow"/>
          <w:lang w:val="en-CA"/>
        </w:rPr>
        <w:t xml:space="preserve"> </w:t>
      </w:r>
      <w:r w:rsidRPr="00037346">
        <w:rPr>
          <w:highlight w:val="yellow"/>
          <w:lang w:val="en-CA"/>
        </w:rPr>
        <w:t>Project-specific NPV/IRR/payback should be based upon auditable project cash flows with the following:</w:t>
      </w:r>
    </w:p>
    <w:p w14:paraId="6495D6CB" w14:textId="51195C7B" w:rsidR="000F6695" w:rsidRPr="003336B9" w:rsidRDefault="003336B9" w:rsidP="003336B9">
      <w:pPr>
        <w:pStyle w:val="ListParagraph"/>
        <w:numPr>
          <w:ilvl w:val="0"/>
          <w:numId w:val="26"/>
        </w:numPr>
        <w:spacing w:after="120"/>
        <w:rPr>
          <w:highlight w:val="yellow"/>
          <w:lang w:val="en-CA"/>
        </w:rPr>
      </w:pPr>
      <w:r w:rsidRPr="003336B9">
        <w:rPr>
          <w:highlight w:val="yellow"/>
          <w:lang w:val="en-CA"/>
        </w:rPr>
        <w:t>Initial capital expenditure;</w:t>
      </w:r>
    </w:p>
    <w:p w14:paraId="635E05E8" w14:textId="77777777" w:rsidR="000F6695" w:rsidRPr="003336B9" w:rsidRDefault="000F6695" w:rsidP="003336B9">
      <w:pPr>
        <w:pStyle w:val="ListParagraph"/>
        <w:numPr>
          <w:ilvl w:val="0"/>
          <w:numId w:val="26"/>
        </w:numPr>
        <w:spacing w:after="120"/>
        <w:rPr>
          <w:highlight w:val="yellow"/>
          <w:lang w:val="en-CA"/>
        </w:rPr>
      </w:pPr>
      <w:r w:rsidRPr="003336B9">
        <w:rPr>
          <w:highlight w:val="yellow"/>
          <w:lang w:val="en-CA"/>
        </w:rPr>
        <w:t>The upfront expenses of engineering, development and interconnection;</w:t>
      </w:r>
    </w:p>
    <w:p w14:paraId="29157F28" w14:textId="3B86A367" w:rsidR="000F6695" w:rsidRPr="003336B9" w:rsidRDefault="003336B9" w:rsidP="003336B9">
      <w:pPr>
        <w:pStyle w:val="ListParagraph"/>
        <w:numPr>
          <w:ilvl w:val="0"/>
          <w:numId w:val="26"/>
        </w:numPr>
        <w:spacing w:after="120"/>
        <w:rPr>
          <w:highlight w:val="yellow"/>
          <w:lang w:val="en-CA"/>
        </w:rPr>
      </w:pPr>
      <w:r w:rsidRPr="003336B9">
        <w:rPr>
          <w:highlight w:val="yellow"/>
          <w:lang w:val="en-CA"/>
        </w:rPr>
        <w:t xml:space="preserve">Fixed and variable </w:t>
      </w:r>
      <w:r w:rsidR="00037346">
        <w:rPr>
          <w:highlight w:val="yellow"/>
          <w:lang w:val="en-CA"/>
        </w:rPr>
        <w:t>O</w:t>
      </w:r>
      <w:r w:rsidRPr="003336B9">
        <w:rPr>
          <w:highlight w:val="yellow"/>
          <w:lang w:val="en-CA"/>
        </w:rPr>
        <w:t>&amp;</w:t>
      </w:r>
      <w:r w:rsidR="00037346">
        <w:rPr>
          <w:highlight w:val="yellow"/>
          <w:lang w:val="en-CA"/>
        </w:rPr>
        <w:t>M</w:t>
      </w:r>
      <w:r w:rsidRPr="003336B9">
        <w:rPr>
          <w:highlight w:val="yellow"/>
          <w:lang w:val="en-CA"/>
        </w:rPr>
        <w:t>;</w:t>
      </w:r>
    </w:p>
    <w:p w14:paraId="38BBEE42" w14:textId="77777777" w:rsidR="000F6695" w:rsidRPr="003336B9" w:rsidRDefault="000F6695" w:rsidP="003336B9">
      <w:pPr>
        <w:pStyle w:val="ListParagraph"/>
        <w:numPr>
          <w:ilvl w:val="0"/>
          <w:numId w:val="26"/>
        </w:numPr>
        <w:spacing w:after="120"/>
        <w:rPr>
          <w:highlight w:val="yellow"/>
          <w:lang w:val="en-CA"/>
        </w:rPr>
      </w:pPr>
      <w:r w:rsidRPr="003336B9">
        <w:rPr>
          <w:highlight w:val="yellow"/>
          <w:lang w:val="en-CA"/>
        </w:rPr>
        <w:t>Augmentation of batteries and component replacement; and</w:t>
      </w:r>
    </w:p>
    <w:p w14:paraId="1CB033D1" w14:textId="7B363CCC" w:rsidR="000F6695" w:rsidRPr="003336B9" w:rsidRDefault="003336B9" w:rsidP="003336B9">
      <w:pPr>
        <w:pStyle w:val="ListParagraph"/>
        <w:numPr>
          <w:ilvl w:val="0"/>
          <w:numId w:val="26"/>
        </w:numPr>
        <w:spacing w:after="120"/>
        <w:rPr>
          <w:highlight w:val="yellow"/>
          <w:lang w:val="en-CA"/>
        </w:rPr>
      </w:pPr>
      <w:r w:rsidRPr="003336B9">
        <w:rPr>
          <w:highlight w:val="yellow"/>
          <w:lang w:val="en-CA"/>
        </w:rPr>
        <w:t>Grid-energy and demand charges;</w:t>
      </w:r>
    </w:p>
    <w:p w14:paraId="2EC0AA99" w14:textId="77777777" w:rsidR="000F6695" w:rsidRPr="003336B9" w:rsidRDefault="000F6695" w:rsidP="003336B9">
      <w:pPr>
        <w:pStyle w:val="ListParagraph"/>
        <w:numPr>
          <w:ilvl w:val="0"/>
          <w:numId w:val="26"/>
        </w:numPr>
        <w:spacing w:after="120"/>
        <w:rPr>
          <w:highlight w:val="yellow"/>
          <w:lang w:val="en-CA"/>
        </w:rPr>
      </w:pPr>
      <w:r w:rsidRPr="003336B9">
        <w:rPr>
          <w:highlight w:val="yellow"/>
          <w:lang w:val="en-CA"/>
        </w:rPr>
        <w:t>Losses from curtailment and conversion;</w:t>
      </w:r>
    </w:p>
    <w:p w14:paraId="305D88F9" w14:textId="69216DC5" w:rsidR="000F6695" w:rsidRPr="003336B9" w:rsidRDefault="003336B9" w:rsidP="003336B9">
      <w:pPr>
        <w:pStyle w:val="ListParagraph"/>
        <w:numPr>
          <w:ilvl w:val="0"/>
          <w:numId w:val="26"/>
        </w:numPr>
        <w:spacing w:after="120"/>
        <w:rPr>
          <w:highlight w:val="yellow"/>
          <w:lang w:val="en-CA"/>
        </w:rPr>
      </w:pPr>
      <w:r w:rsidRPr="003336B9">
        <w:rPr>
          <w:highlight w:val="yellow"/>
          <w:lang w:val="en-CA"/>
        </w:rPr>
        <w:t>P</w:t>
      </w:r>
      <w:r>
        <w:rPr>
          <w:highlight w:val="yellow"/>
          <w:lang w:val="en-CA"/>
        </w:rPr>
        <w:t>PA</w:t>
      </w:r>
      <w:r w:rsidRPr="003336B9">
        <w:rPr>
          <w:highlight w:val="yellow"/>
          <w:lang w:val="en-CA"/>
        </w:rPr>
        <w:t xml:space="preserve"> payments;</w:t>
      </w:r>
    </w:p>
    <w:p w14:paraId="0F5C86AF" w14:textId="579A7A16" w:rsidR="000F6695" w:rsidRPr="003336B9" w:rsidRDefault="003336B9" w:rsidP="003336B9">
      <w:pPr>
        <w:pStyle w:val="ListParagraph"/>
        <w:numPr>
          <w:ilvl w:val="0"/>
          <w:numId w:val="26"/>
        </w:numPr>
        <w:spacing w:after="120"/>
        <w:rPr>
          <w:highlight w:val="yellow"/>
          <w:lang w:val="en-CA"/>
        </w:rPr>
      </w:pPr>
      <w:r w:rsidRPr="003336B9">
        <w:rPr>
          <w:highlight w:val="yellow"/>
          <w:lang w:val="en-CA"/>
        </w:rPr>
        <w:t>Applicable ancillary-service revenues;</w:t>
      </w:r>
    </w:p>
    <w:p w14:paraId="6BA7B353" w14:textId="2FF25768" w:rsidR="000F6695" w:rsidRPr="003336B9" w:rsidRDefault="003336B9" w:rsidP="003336B9">
      <w:pPr>
        <w:pStyle w:val="ListParagraph"/>
        <w:numPr>
          <w:ilvl w:val="0"/>
          <w:numId w:val="26"/>
        </w:numPr>
        <w:spacing w:after="120"/>
        <w:rPr>
          <w:highlight w:val="yellow"/>
          <w:lang w:val="en-CA"/>
        </w:rPr>
      </w:pPr>
      <w:r w:rsidRPr="003336B9">
        <w:rPr>
          <w:highlight w:val="yellow"/>
          <w:lang w:val="en-CA"/>
        </w:rPr>
        <w:t>Tax-credit eligibility;</w:t>
      </w:r>
    </w:p>
    <w:p w14:paraId="1B97697F" w14:textId="77777777" w:rsidR="000F6695" w:rsidRPr="003336B9" w:rsidRDefault="000F6695" w:rsidP="003336B9">
      <w:pPr>
        <w:pStyle w:val="ListParagraph"/>
        <w:numPr>
          <w:ilvl w:val="0"/>
          <w:numId w:val="26"/>
        </w:numPr>
        <w:spacing w:after="120"/>
        <w:rPr>
          <w:highlight w:val="yellow"/>
          <w:lang w:val="en-CA"/>
        </w:rPr>
      </w:pPr>
      <w:r w:rsidRPr="003336B9">
        <w:rPr>
          <w:highlight w:val="yellow"/>
          <w:lang w:val="en-CA"/>
        </w:rPr>
        <w:t>Taxes and depreciation; and</w:t>
      </w:r>
    </w:p>
    <w:p w14:paraId="1AB6E7CF" w14:textId="224C8BC7" w:rsidR="000F6695" w:rsidRPr="003336B9" w:rsidRDefault="003336B9" w:rsidP="003336B9">
      <w:pPr>
        <w:pStyle w:val="ListParagraph"/>
        <w:numPr>
          <w:ilvl w:val="0"/>
          <w:numId w:val="26"/>
        </w:numPr>
        <w:spacing w:after="120"/>
        <w:rPr>
          <w:highlight w:val="yellow"/>
          <w:lang w:val="en-CA"/>
        </w:rPr>
      </w:pPr>
      <w:r w:rsidRPr="003336B9">
        <w:rPr>
          <w:highlight w:val="yellow"/>
          <w:lang w:val="en-CA"/>
        </w:rPr>
        <w:t>Residual value.</w:t>
      </w:r>
    </w:p>
    <w:p w14:paraId="24562BD3" w14:textId="3D4D860D" w:rsidR="00FE013C" w:rsidRPr="00300D14" w:rsidRDefault="00FE013C" w:rsidP="00300D14">
      <w:pPr>
        <w:pStyle w:val="Caption"/>
        <w:keepNext/>
        <w:rPr>
          <w:lang w:val="en-CA"/>
        </w:rPr>
      </w:pPr>
      <w:r>
        <w:lastRenderedPageBreak/>
        <w:t xml:space="preserve">Table </w:t>
      </w:r>
      <w:r>
        <w:fldChar w:fldCharType="begin"/>
      </w:r>
      <w:r>
        <w:instrText xml:space="preserve"> SEQ Table \* ARABIC </w:instrText>
      </w:r>
      <w:r>
        <w:fldChar w:fldCharType="separate"/>
      </w:r>
      <w:r w:rsidR="003A3C82">
        <w:rPr>
          <w:noProof/>
        </w:rPr>
        <w:t>7</w:t>
      </w:r>
      <w:r>
        <w:rPr>
          <w:noProof/>
        </w:rPr>
        <w:fldChar w:fldCharType="end"/>
      </w:r>
      <w:r>
        <w:t xml:space="preserve"> </w:t>
      </w:r>
      <w:r w:rsidR="00300D14" w:rsidRPr="00300D14">
        <w:rPr>
          <w:lang w:val="en-CA"/>
        </w:rPr>
        <w:t>Literature-Based Technology Cost and Performance Benchmarks</w:t>
      </w:r>
    </w:p>
    <w:tbl>
      <w:tblPr>
        <w:tblStyle w:val="Mdeck5tablebodythreelines"/>
        <w:tblW w:w="0" w:type="auto"/>
        <w:tblLook w:val="04A0" w:firstRow="1" w:lastRow="0" w:firstColumn="1" w:lastColumn="0" w:noHBand="0" w:noVBand="1"/>
      </w:tblPr>
      <w:tblGrid>
        <w:gridCol w:w="2292"/>
        <w:gridCol w:w="1804"/>
        <w:gridCol w:w="2091"/>
        <w:gridCol w:w="1938"/>
        <w:gridCol w:w="1627"/>
      </w:tblGrid>
      <w:tr w:rsidR="006B6F7A" w:rsidRPr="00134CA9" w14:paraId="58A73791" w14:textId="77777777" w:rsidTr="006B6F7A">
        <w:trPr>
          <w:cnfStyle w:val="100000000000" w:firstRow="1" w:lastRow="0" w:firstColumn="0" w:lastColumn="0" w:oddVBand="0" w:evenVBand="0" w:oddHBand="0" w:evenHBand="0" w:firstRowFirstColumn="0" w:firstRowLastColumn="0" w:lastRowFirstColumn="0" w:lastRowLastColumn="0"/>
        </w:trPr>
        <w:tc>
          <w:tcPr>
            <w:tcW w:w="0" w:type="auto"/>
            <w:hideMark/>
          </w:tcPr>
          <w:p w14:paraId="2B71BABE" w14:textId="77777777" w:rsidR="006B6F7A" w:rsidRPr="00134CA9" w:rsidRDefault="006B6F7A" w:rsidP="006B6F7A">
            <w:pPr>
              <w:ind w:firstLine="480"/>
              <w:rPr>
                <w:b/>
                <w:bCs/>
                <w:sz w:val="18"/>
                <w:szCs w:val="18"/>
                <w:highlight w:val="yellow"/>
                <w:lang w:val="en-CA"/>
              </w:rPr>
            </w:pPr>
            <w:r w:rsidRPr="00134CA9">
              <w:rPr>
                <w:b/>
                <w:bCs/>
                <w:sz w:val="18"/>
                <w:szCs w:val="18"/>
                <w:highlight w:val="yellow"/>
                <w:lang w:val="en-CA"/>
              </w:rPr>
              <w:t>Technology</w:t>
            </w:r>
          </w:p>
        </w:tc>
        <w:tc>
          <w:tcPr>
            <w:tcW w:w="0" w:type="auto"/>
            <w:hideMark/>
          </w:tcPr>
          <w:p w14:paraId="4515E709" w14:textId="77777777" w:rsidR="006B6F7A" w:rsidRPr="00134CA9" w:rsidRDefault="006B6F7A" w:rsidP="006B6F7A">
            <w:pPr>
              <w:ind w:firstLine="480"/>
              <w:rPr>
                <w:b/>
                <w:bCs/>
                <w:sz w:val="18"/>
                <w:szCs w:val="18"/>
                <w:highlight w:val="yellow"/>
                <w:lang w:val="en-CA"/>
              </w:rPr>
            </w:pPr>
            <w:r w:rsidRPr="00134CA9">
              <w:rPr>
                <w:b/>
                <w:bCs/>
                <w:sz w:val="18"/>
                <w:szCs w:val="18"/>
                <w:highlight w:val="yellow"/>
                <w:lang w:val="en-CA"/>
              </w:rPr>
              <w:t>Cost Basis</w:t>
            </w:r>
          </w:p>
        </w:tc>
        <w:tc>
          <w:tcPr>
            <w:tcW w:w="0" w:type="auto"/>
            <w:hideMark/>
          </w:tcPr>
          <w:p w14:paraId="744D2034" w14:textId="77777777" w:rsidR="006B6F7A" w:rsidRPr="00134CA9" w:rsidRDefault="006B6F7A" w:rsidP="006B6F7A">
            <w:pPr>
              <w:ind w:firstLine="480"/>
              <w:rPr>
                <w:b/>
                <w:bCs/>
                <w:sz w:val="18"/>
                <w:szCs w:val="18"/>
                <w:highlight w:val="yellow"/>
                <w:lang w:val="en-CA"/>
              </w:rPr>
            </w:pPr>
            <w:r w:rsidRPr="00134CA9">
              <w:rPr>
                <w:b/>
                <w:bCs/>
                <w:sz w:val="18"/>
                <w:szCs w:val="18"/>
                <w:highlight w:val="yellow"/>
                <w:lang w:val="en-CA"/>
              </w:rPr>
              <w:t>Capital Cost / Installed Cost</w:t>
            </w:r>
          </w:p>
        </w:tc>
        <w:tc>
          <w:tcPr>
            <w:tcW w:w="0" w:type="auto"/>
            <w:hideMark/>
          </w:tcPr>
          <w:p w14:paraId="4DD96639" w14:textId="77777777" w:rsidR="006B6F7A" w:rsidRPr="00134CA9" w:rsidRDefault="006B6F7A" w:rsidP="006B6F7A">
            <w:pPr>
              <w:ind w:firstLine="480"/>
              <w:rPr>
                <w:b/>
                <w:bCs/>
                <w:sz w:val="18"/>
                <w:szCs w:val="18"/>
                <w:highlight w:val="yellow"/>
                <w:lang w:val="en-CA"/>
              </w:rPr>
            </w:pPr>
            <w:r w:rsidRPr="00134CA9">
              <w:rPr>
                <w:b/>
                <w:bCs/>
                <w:sz w:val="18"/>
                <w:szCs w:val="18"/>
                <w:highlight w:val="yellow"/>
                <w:lang w:val="en-CA"/>
              </w:rPr>
              <w:t>Typical LCOE ($/MWh)</w:t>
            </w:r>
          </w:p>
        </w:tc>
        <w:tc>
          <w:tcPr>
            <w:tcW w:w="0" w:type="auto"/>
            <w:hideMark/>
          </w:tcPr>
          <w:p w14:paraId="283371F3" w14:textId="77777777" w:rsidR="006B6F7A" w:rsidRPr="00134CA9" w:rsidRDefault="006B6F7A" w:rsidP="006B6F7A">
            <w:pPr>
              <w:ind w:firstLine="480"/>
              <w:rPr>
                <w:b/>
                <w:bCs/>
                <w:sz w:val="18"/>
                <w:szCs w:val="18"/>
                <w:highlight w:val="yellow"/>
                <w:lang w:val="en-CA"/>
              </w:rPr>
            </w:pPr>
            <w:r w:rsidRPr="00134CA9">
              <w:rPr>
                <w:b/>
                <w:bCs/>
                <w:sz w:val="18"/>
                <w:szCs w:val="18"/>
                <w:highlight w:val="yellow"/>
                <w:lang w:val="en-CA"/>
              </w:rPr>
              <w:t>Typical Lifetime</w:t>
            </w:r>
          </w:p>
        </w:tc>
      </w:tr>
      <w:tr w:rsidR="006B6F7A" w:rsidRPr="00134CA9" w14:paraId="60045F81" w14:textId="77777777" w:rsidTr="006B6F7A">
        <w:tc>
          <w:tcPr>
            <w:tcW w:w="0" w:type="auto"/>
            <w:hideMark/>
          </w:tcPr>
          <w:p w14:paraId="220B89AC" w14:textId="77777777" w:rsidR="006B6F7A" w:rsidRPr="00134CA9" w:rsidRDefault="006B6F7A" w:rsidP="006B6F7A">
            <w:pPr>
              <w:ind w:firstLine="480"/>
              <w:rPr>
                <w:sz w:val="18"/>
                <w:szCs w:val="18"/>
                <w:highlight w:val="yellow"/>
                <w:lang w:val="en-CA"/>
              </w:rPr>
            </w:pPr>
            <w:r w:rsidRPr="00134CA9">
              <w:rPr>
                <w:sz w:val="18"/>
                <w:szCs w:val="18"/>
                <w:highlight w:val="yellow"/>
                <w:lang w:val="en-CA"/>
              </w:rPr>
              <w:t>Utility-Scale Solar PV</w:t>
            </w:r>
          </w:p>
        </w:tc>
        <w:tc>
          <w:tcPr>
            <w:tcW w:w="0" w:type="auto"/>
            <w:hideMark/>
          </w:tcPr>
          <w:p w14:paraId="2FAD56B7" w14:textId="77777777" w:rsidR="006B6F7A" w:rsidRPr="00134CA9" w:rsidRDefault="006B6F7A" w:rsidP="006B6F7A">
            <w:pPr>
              <w:ind w:firstLine="480"/>
              <w:rPr>
                <w:sz w:val="18"/>
                <w:szCs w:val="18"/>
                <w:highlight w:val="yellow"/>
                <w:lang w:val="en-CA"/>
              </w:rPr>
            </w:pPr>
            <w:r w:rsidRPr="00134CA9">
              <w:rPr>
                <w:sz w:val="18"/>
                <w:szCs w:val="18"/>
                <w:highlight w:val="yellow"/>
                <w:lang w:val="en-CA"/>
              </w:rPr>
              <w:t>Installed project cost</w:t>
            </w:r>
          </w:p>
        </w:tc>
        <w:tc>
          <w:tcPr>
            <w:tcW w:w="0" w:type="auto"/>
            <w:hideMark/>
          </w:tcPr>
          <w:p w14:paraId="27E46C0B" w14:textId="77777777" w:rsidR="006B6F7A" w:rsidRPr="00134CA9" w:rsidRDefault="006B6F7A" w:rsidP="006B6F7A">
            <w:pPr>
              <w:ind w:firstLine="480"/>
              <w:rPr>
                <w:sz w:val="18"/>
                <w:szCs w:val="18"/>
                <w:highlight w:val="yellow"/>
                <w:lang w:val="en-CA"/>
              </w:rPr>
            </w:pPr>
            <w:r w:rsidRPr="00134CA9">
              <w:rPr>
                <w:sz w:val="18"/>
                <w:szCs w:val="18"/>
                <w:highlight w:val="yellow"/>
                <w:lang w:val="en-CA"/>
              </w:rPr>
              <w:t>USD 691–1,600/kW</w:t>
            </w:r>
          </w:p>
        </w:tc>
        <w:tc>
          <w:tcPr>
            <w:tcW w:w="0" w:type="auto"/>
            <w:hideMark/>
          </w:tcPr>
          <w:p w14:paraId="0111B95E" w14:textId="77777777" w:rsidR="006B6F7A" w:rsidRPr="00134CA9" w:rsidRDefault="006B6F7A" w:rsidP="006B6F7A">
            <w:pPr>
              <w:ind w:firstLine="480"/>
              <w:rPr>
                <w:sz w:val="18"/>
                <w:szCs w:val="18"/>
                <w:highlight w:val="yellow"/>
                <w:lang w:val="en-CA"/>
              </w:rPr>
            </w:pPr>
            <w:r w:rsidRPr="00134CA9">
              <w:rPr>
                <w:sz w:val="18"/>
                <w:szCs w:val="18"/>
                <w:highlight w:val="yellow"/>
                <w:lang w:val="en-CA"/>
              </w:rPr>
              <w:t>43–80</w:t>
            </w:r>
          </w:p>
        </w:tc>
        <w:tc>
          <w:tcPr>
            <w:tcW w:w="0" w:type="auto"/>
            <w:hideMark/>
          </w:tcPr>
          <w:p w14:paraId="2000F6AF" w14:textId="77777777" w:rsidR="006B6F7A" w:rsidRPr="00134CA9" w:rsidRDefault="006B6F7A" w:rsidP="006B6F7A">
            <w:pPr>
              <w:ind w:firstLine="480"/>
              <w:rPr>
                <w:sz w:val="18"/>
                <w:szCs w:val="18"/>
                <w:highlight w:val="yellow"/>
                <w:lang w:val="en-CA"/>
              </w:rPr>
            </w:pPr>
            <w:r w:rsidRPr="00134CA9">
              <w:rPr>
                <w:sz w:val="18"/>
                <w:szCs w:val="18"/>
                <w:highlight w:val="yellow"/>
                <w:lang w:val="en-CA"/>
              </w:rPr>
              <w:t>25–30 years</w:t>
            </w:r>
          </w:p>
        </w:tc>
      </w:tr>
      <w:tr w:rsidR="006B6F7A" w:rsidRPr="00134CA9" w14:paraId="10BC6082" w14:textId="77777777" w:rsidTr="006B6F7A">
        <w:tc>
          <w:tcPr>
            <w:tcW w:w="0" w:type="auto"/>
            <w:hideMark/>
          </w:tcPr>
          <w:p w14:paraId="22D0CB98" w14:textId="77777777" w:rsidR="006B6F7A" w:rsidRPr="00134CA9" w:rsidRDefault="006B6F7A" w:rsidP="006B6F7A">
            <w:pPr>
              <w:ind w:firstLine="480"/>
              <w:rPr>
                <w:sz w:val="18"/>
                <w:szCs w:val="18"/>
                <w:highlight w:val="yellow"/>
                <w:lang w:val="en-CA"/>
              </w:rPr>
            </w:pPr>
            <w:r w:rsidRPr="00134CA9">
              <w:rPr>
                <w:sz w:val="18"/>
                <w:szCs w:val="18"/>
                <w:highlight w:val="yellow"/>
                <w:lang w:val="en-CA"/>
              </w:rPr>
              <w:t>Onshore Wind</w:t>
            </w:r>
          </w:p>
        </w:tc>
        <w:tc>
          <w:tcPr>
            <w:tcW w:w="0" w:type="auto"/>
            <w:hideMark/>
          </w:tcPr>
          <w:p w14:paraId="3F1F3B6B" w14:textId="77777777" w:rsidR="006B6F7A" w:rsidRPr="00134CA9" w:rsidRDefault="006B6F7A" w:rsidP="006B6F7A">
            <w:pPr>
              <w:ind w:firstLine="480"/>
              <w:rPr>
                <w:sz w:val="18"/>
                <w:szCs w:val="18"/>
                <w:highlight w:val="yellow"/>
                <w:lang w:val="en-CA"/>
              </w:rPr>
            </w:pPr>
            <w:r w:rsidRPr="00134CA9">
              <w:rPr>
                <w:sz w:val="18"/>
                <w:szCs w:val="18"/>
                <w:highlight w:val="yellow"/>
                <w:lang w:val="en-CA"/>
              </w:rPr>
              <w:t>Installed project cost</w:t>
            </w:r>
          </w:p>
        </w:tc>
        <w:tc>
          <w:tcPr>
            <w:tcW w:w="0" w:type="auto"/>
            <w:hideMark/>
          </w:tcPr>
          <w:p w14:paraId="2C37505D" w14:textId="77777777" w:rsidR="006B6F7A" w:rsidRPr="00134CA9" w:rsidRDefault="006B6F7A" w:rsidP="006B6F7A">
            <w:pPr>
              <w:ind w:firstLine="480"/>
              <w:rPr>
                <w:sz w:val="18"/>
                <w:szCs w:val="18"/>
                <w:highlight w:val="yellow"/>
                <w:lang w:val="en-CA"/>
              </w:rPr>
            </w:pPr>
            <w:r w:rsidRPr="00134CA9">
              <w:rPr>
                <w:sz w:val="18"/>
                <w:szCs w:val="18"/>
                <w:highlight w:val="yellow"/>
                <w:lang w:val="en-CA"/>
              </w:rPr>
              <w:t>USD 1,041–2,600/kW</w:t>
            </w:r>
          </w:p>
        </w:tc>
        <w:tc>
          <w:tcPr>
            <w:tcW w:w="0" w:type="auto"/>
            <w:hideMark/>
          </w:tcPr>
          <w:p w14:paraId="6112C71D" w14:textId="77777777" w:rsidR="006B6F7A" w:rsidRPr="00134CA9" w:rsidRDefault="006B6F7A" w:rsidP="006B6F7A">
            <w:pPr>
              <w:ind w:firstLine="480"/>
              <w:rPr>
                <w:sz w:val="18"/>
                <w:szCs w:val="18"/>
                <w:highlight w:val="yellow"/>
                <w:lang w:val="en-CA"/>
              </w:rPr>
            </w:pPr>
            <w:r w:rsidRPr="00134CA9">
              <w:rPr>
                <w:sz w:val="18"/>
                <w:szCs w:val="18"/>
                <w:highlight w:val="yellow"/>
                <w:lang w:val="en-CA"/>
              </w:rPr>
              <w:t>34–70</w:t>
            </w:r>
          </w:p>
        </w:tc>
        <w:tc>
          <w:tcPr>
            <w:tcW w:w="0" w:type="auto"/>
            <w:hideMark/>
          </w:tcPr>
          <w:p w14:paraId="286DA0BE" w14:textId="77777777" w:rsidR="006B6F7A" w:rsidRPr="00134CA9" w:rsidRDefault="006B6F7A" w:rsidP="006B6F7A">
            <w:pPr>
              <w:ind w:firstLine="480"/>
              <w:rPr>
                <w:sz w:val="18"/>
                <w:szCs w:val="18"/>
                <w:highlight w:val="yellow"/>
                <w:lang w:val="en-CA"/>
              </w:rPr>
            </w:pPr>
            <w:r w:rsidRPr="00134CA9">
              <w:rPr>
                <w:sz w:val="18"/>
                <w:szCs w:val="18"/>
                <w:highlight w:val="yellow"/>
                <w:lang w:val="en-CA"/>
              </w:rPr>
              <w:t>20–25 years</w:t>
            </w:r>
          </w:p>
        </w:tc>
      </w:tr>
      <w:tr w:rsidR="006B6F7A" w:rsidRPr="00134CA9" w14:paraId="6982E9FC" w14:textId="77777777" w:rsidTr="006B6F7A">
        <w:tc>
          <w:tcPr>
            <w:tcW w:w="0" w:type="auto"/>
            <w:hideMark/>
          </w:tcPr>
          <w:p w14:paraId="25CF19A5" w14:textId="77777777" w:rsidR="006B6F7A" w:rsidRPr="00134CA9" w:rsidRDefault="006B6F7A" w:rsidP="006B6F7A">
            <w:pPr>
              <w:ind w:firstLine="480"/>
              <w:rPr>
                <w:sz w:val="18"/>
                <w:szCs w:val="18"/>
                <w:highlight w:val="yellow"/>
                <w:lang w:val="en-CA"/>
              </w:rPr>
            </w:pPr>
            <w:r w:rsidRPr="00134CA9">
              <w:rPr>
                <w:sz w:val="18"/>
                <w:szCs w:val="18"/>
                <w:highlight w:val="yellow"/>
                <w:lang w:val="en-CA"/>
              </w:rPr>
              <w:t>Lithium-Ion Battery Pack</w:t>
            </w:r>
          </w:p>
        </w:tc>
        <w:tc>
          <w:tcPr>
            <w:tcW w:w="0" w:type="auto"/>
            <w:hideMark/>
          </w:tcPr>
          <w:p w14:paraId="15178E2F" w14:textId="77777777" w:rsidR="006B6F7A" w:rsidRPr="00134CA9" w:rsidRDefault="006B6F7A" w:rsidP="006B6F7A">
            <w:pPr>
              <w:ind w:firstLine="480"/>
              <w:rPr>
                <w:sz w:val="18"/>
                <w:szCs w:val="18"/>
                <w:highlight w:val="yellow"/>
                <w:lang w:val="en-CA"/>
              </w:rPr>
            </w:pPr>
            <w:r w:rsidRPr="00134CA9">
              <w:rPr>
                <w:sz w:val="18"/>
                <w:szCs w:val="18"/>
                <w:highlight w:val="yellow"/>
                <w:lang w:val="en-CA"/>
              </w:rPr>
              <w:t>Pack cost only</w:t>
            </w:r>
          </w:p>
        </w:tc>
        <w:tc>
          <w:tcPr>
            <w:tcW w:w="0" w:type="auto"/>
            <w:hideMark/>
          </w:tcPr>
          <w:p w14:paraId="43B6603D" w14:textId="77777777" w:rsidR="006B6F7A" w:rsidRPr="00134CA9" w:rsidRDefault="006B6F7A" w:rsidP="006B6F7A">
            <w:pPr>
              <w:ind w:firstLine="480"/>
              <w:rPr>
                <w:sz w:val="18"/>
                <w:szCs w:val="18"/>
                <w:highlight w:val="yellow"/>
                <w:lang w:val="en-CA"/>
              </w:rPr>
            </w:pPr>
            <w:r w:rsidRPr="00134CA9">
              <w:rPr>
                <w:sz w:val="18"/>
                <w:szCs w:val="18"/>
                <w:highlight w:val="yellow"/>
                <w:lang w:val="en-CA"/>
              </w:rPr>
              <w:t>USD 108/kWh (2025 average)</w:t>
            </w:r>
          </w:p>
        </w:tc>
        <w:tc>
          <w:tcPr>
            <w:tcW w:w="0" w:type="auto"/>
            <w:hideMark/>
          </w:tcPr>
          <w:p w14:paraId="4696E2B8" w14:textId="77777777" w:rsidR="006B6F7A" w:rsidRPr="00134CA9" w:rsidRDefault="006B6F7A" w:rsidP="006B6F7A">
            <w:pPr>
              <w:ind w:firstLine="480"/>
              <w:rPr>
                <w:sz w:val="18"/>
                <w:szCs w:val="18"/>
                <w:highlight w:val="yellow"/>
                <w:lang w:val="en-CA"/>
              </w:rPr>
            </w:pPr>
            <w:r w:rsidRPr="00134CA9">
              <w:rPr>
                <w:sz w:val="18"/>
                <w:szCs w:val="18"/>
                <w:highlight w:val="yellow"/>
                <w:lang w:val="en-CA"/>
              </w:rPr>
              <w:t>N/A</w:t>
            </w:r>
          </w:p>
        </w:tc>
        <w:tc>
          <w:tcPr>
            <w:tcW w:w="0" w:type="auto"/>
            <w:hideMark/>
          </w:tcPr>
          <w:p w14:paraId="25848F87" w14:textId="77777777" w:rsidR="006B6F7A" w:rsidRPr="00134CA9" w:rsidRDefault="006B6F7A" w:rsidP="006B6F7A">
            <w:pPr>
              <w:ind w:firstLine="480"/>
              <w:rPr>
                <w:sz w:val="18"/>
                <w:szCs w:val="18"/>
                <w:highlight w:val="yellow"/>
                <w:lang w:val="en-CA"/>
              </w:rPr>
            </w:pPr>
            <w:r w:rsidRPr="00134CA9">
              <w:rPr>
                <w:sz w:val="18"/>
                <w:szCs w:val="18"/>
                <w:highlight w:val="yellow"/>
                <w:lang w:val="en-CA"/>
              </w:rPr>
              <w:t>N/A</w:t>
            </w:r>
          </w:p>
        </w:tc>
      </w:tr>
      <w:tr w:rsidR="006B6F7A" w:rsidRPr="00134CA9" w14:paraId="4B18EFB0" w14:textId="77777777" w:rsidTr="006B6F7A">
        <w:tc>
          <w:tcPr>
            <w:tcW w:w="0" w:type="auto"/>
            <w:hideMark/>
          </w:tcPr>
          <w:p w14:paraId="5E574E5F" w14:textId="77777777" w:rsidR="006B6F7A" w:rsidRPr="00134CA9" w:rsidRDefault="006B6F7A" w:rsidP="006B6F7A">
            <w:pPr>
              <w:ind w:firstLine="480"/>
              <w:rPr>
                <w:sz w:val="18"/>
                <w:szCs w:val="18"/>
                <w:highlight w:val="yellow"/>
                <w:lang w:val="en-CA"/>
              </w:rPr>
            </w:pPr>
            <w:r w:rsidRPr="00134CA9">
              <w:rPr>
                <w:sz w:val="18"/>
                <w:szCs w:val="18"/>
                <w:highlight w:val="yellow"/>
                <w:lang w:val="en-CA"/>
              </w:rPr>
              <w:t>Utility-Scale Li-Ion BESS (4 h)</w:t>
            </w:r>
          </w:p>
        </w:tc>
        <w:tc>
          <w:tcPr>
            <w:tcW w:w="0" w:type="auto"/>
            <w:hideMark/>
          </w:tcPr>
          <w:p w14:paraId="56668CF2" w14:textId="77777777" w:rsidR="006B6F7A" w:rsidRPr="00134CA9" w:rsidRDefault="006B6F7A" w:rsidP="006B6F7A">
            <w:pPr>
              <w:ind w:firstLine="480"/>
              <w:rPr>
                <w:sz w:val="18"/>
                <w:szCs w:val="18"/>
                <w:highlight w:val="yellow"/>
                <w:lang w:val="en-CA"/>
              </w:rPr>
            </w:pPr>
            <w:r w:rsidRPr="00134CA9">
              <w:rPr>
                <w:sz w:val="18"/>
                <w:szCs w:val="18"/>
                <w:highlight w:val="yellow"/>
                <w:lang w:val="en-CA"/>
              </w:rPr>
              <w:t>Installed system cost</w:t>
            </w:r>
          </w:p>
        </w:tc>
        <w:tc>
          <w:tcPr>
            <w:tcW w:w="0" w:type="auto"/>
            <w:hideMark/>
          </w:tcPr>
          <w:p w14:paraId="3739F21C" w14:textId="77777777" w:rsidR="006B6F7A" w:rsidRPr="00134CA9" w:rsidRDefault="006B6F7A" w:rsidP="006B6F7A">
            <w:pPr>
              <w:ind w:firstLine="480"/>
              <w:rPr>
                <w:sz w:val="18"/>
                <w:szCs w:val="18"/>
                <w:highlight w:val="yellow"/>
                <w:lang w:val="en-CA"/>
              </w:rPr>
            </w:pPr>
            <w:r w:rsidRPr="00134CA9">
              <w:rPr>
                <w:sz w:val="18"/>
                <w:szCs w:val="18"/>
                <w:highlight w:val="yellow"/>
                <w:lang w:val="en-CA"/>
              </w:rPr>
              <w:t>USD 180–320/kWh</w:t>
            </w:r>
          </w:p>
        </w:tc>
        <w:tc>
          <w:tcPr>
            <w:tcW w:w="0" w:type="auto"/>
            <w:hideMark/>
          </w:tcPr>
          <w:p w14:paraId="4509FFFA" w14:textId="77777777" w:rsidR="006B6F7A" w:rsidRPr="00134CA9" w:rsidRDefault="006B6F7A" w:rsidP="006B6F7A">
            <w:pPr>
              <w:ind w:firstLine="480"/>
              <w:rPr>
                <w:sz w:val="18"/>
                <w:szCs w:val="18"/>
                <w:highlight w:val="yellow"/>
                <w:lang w:val="en-CA"/>
              </w:rPr>
            </w:pPr>
            <w:r w:rsidRPr="00134CA9">
              <w:rPr>
                <w:sz w:val="18"/>
                <w:szCs w:val="18"/>
                <w:highlight w:val="yellow"/>
                <w:lang w:val="en-CA"/>
              </w:rPr>
              <w:t>80–130*</w:t>
            </w:r>
          </w:p>
        </w:tc>
        <w:tc>
          <w:tcPr>
            <w:tcW w:w="0" w:type="auto"/>
            <w:hideMark/>
          </w:tcPr>
          <w:p w14:paraId="2BADF190" w14:textId="77777777" w:rsidR="006B6F7A" w:rsidRPr="00134CA9" w:rsidRDefault="006B6F7A" w:rsidP="006B6F7A">
            <w:pPr>
              <w:ind w:firstLine="480"/>
              <w:rPr>
                <w:sz w:val="18"/>
                <w:szCs w:val="18"/>
                <w:highlight w:val="yellow"/>
                <w:lang w:val="en-CA"/>
              </w:rPr>
            </w:pPr>
            <w:r w:rsidRPr="00134CA9">
              <w:rPr>
                <w:sz w:val="18"/>
                <w:szCs w:val="18"/>
                <w:highlight w:val="yellow"/>
                <w:lang w:val="en-CA"/>
              </w:rPr>
              <w:t>15–20 years</w:t>
            </w:r>
          </w:p>
        </w:tc>
      </w:tr>
      <w:tr w:rsidR="006B6F7A" w:rsidRPr="00134CA9" w14:paraId="3B75D150" w14:textId="77777777" w:rsidTr="006B6F7A">
        <w:tc>
          <w:tcPr>
            <w:tcW w:w="0" w:type="auto"/>
            <w:hideMark/>
          </w:tcPr>
          <w:p w14:paraId="16B00CA1" w14:textId="77777777" w:rsidR="006B6F7A" w:rsidRPr="00134CA9" w:rsidRDefault="006B6F7A" w:rsidP="006B6F7A">
            <w:pPr>
              <w:ind w:firstLine="480"/>
              <w:rPr>
                <w:sz w:val="18"/>
                <w:szCs w:val="18"/>
                <w:highlight w:val="yellow"/>
                <w:lang w:val="en-CA"/>
              </w:rPr>
            </w:pPr>
            <w:r w:rsidRPr="00134CA9">
              <w:rPr>
                <w:sz w:val="18"/>
                <w:szCs w:val="18"/>
                <w:highlight w:val="yellow"/>
                <w:lang w:val="en-CA"/>
              </w:rPr>
              <w:t>Diesel Generator</w:t>
            </w:r>
          </w:p>
        </w:tc>
        <w:tc>
          <w:tcPr>
            <w:tcW w:w="0" w:type="auto"/>
            <w:hideMark/>
          </w:tcPr>
          <w:p w14:paraId="7AE14038" w14:textId="77777777" w:rsidR="006B6F7A" w:rsidRPr="00134CA9" w:rsidRDefault="006B6F7A" w:rsidP="006B6F7A">
            <w:pPr>
              <w:ind w:firstLine="480"/>
              <w:rPr>
                <w:sz w:val="18"/>
                <w:szCs w:val="18"/>
                <w:highlight w:val="yellow"/>
                <w:lang w:val="en-CA"/>
              </w:rPr>
            </w:pPr>
            <w:r w:rsidRPr="00134CA9">
              <w:rPr>
                <w:sz w:val="18"/>
                <w:szCs w:val="18"/>
                <w:highlight w:val="yellow"/>
                <w:lang w:val="en-CA"/>
              </w:rPr>
              <w:t>Installed project cost</w:t>
            </w:r>
          </w:p>
        </w:tc>
        <w:tc>
          <w:tcPr>
            <w:tcW w:w="0" w:type="auto"/>
            <w:hideMark/>
          </w:tcPr>
          <w:p w14:paraId="2E69AC57" w14:textId="77777777" w:rsidR="006B6F7A" w:rsidRPr="00134CA9" w:rsidRDefault="006B6F7A" w:rsidP="006B6F7A">
            <w:pPr>
              <w:ind w:firstLine="480"/>
              <w:rPr>
                <w:sz w:val="18"/>
                <w:szCs w:val="18"/>
                <w:highlight w:val="yellow"/>
                <w:lang w:val="en-CA"/>
              </w:rPr>
            </w:pPr>
            <w:r w:rsidRPr="00134CA9">
              <w:rPr>
                <w:sz w:val="18"/>
                <w:szCs w:val="18"/>
                <w:highlight w:val="yellow"/>
                <w:lang w:val="en-CA"/>
              </w:rPr>
              <w:t>USD 400–750/kW</w:t>
            </w:r>
          </w:p>
        </w:tc>
        <w:tc>
          <w:tcPr>
            <w:tcW w:w="0" w:type="auto"/>
            <w:hideMark/>
          </w:tcPr>
          <w:p w14:paraId="27055328" w14:textId="77777777" w:rsidR="006B6F7A" w:rsidRPr="00134CA9" w:rsidRDefault="006B6F7A" w:rsidP="006B6F7A">
            <w:pPr>
              <w:ind w:firstLine="480"/>
              <w:rPr>
                <w:sz w:val="18"/>
                <w:szCs w:val="18"/>
                <w:highlight w:val="yellow"/>
                <w:lang w:val="en-CA"/>
              </w:rPr>
            </w:pPr>
            <w:r w:rsidRPr="00134CA9">
              <w:rPr>
                <w:sz w:val="18"/>
                <w:szCs w:val="18"/>
                <w:highlight w:val="yellow"/>
                <w:lang w:val="en-CA"/>
              </w:rPr>
              <w:t>Fuel dependent</w:t>
            </w:r>
          </w:p>
        </w:tc>
        <w:tc>
          <w:tcPr>
            <w:tcW w:w="0" w:type="auto"/>
            <w:hideMark/>
          </w:tcPr>
          <w:p w14:paraId="1253FF4C" w14:textId="77777777" w:rsidR="006B6F7A" w:rsidRPr="00134CA9" w:rsidRDefault="006B6F7A" w:rsidP="006B6F7A">
            <w:pPr>
              <w:ind w:firstLine="480"/>
              <w:rPr>
                <w:sz w:val="18"/>
                <w:szCs w:val="18"/>
                <w:highlight w:val="yellow"/>
                <w:lang w:val="en-CA"/>
              </w:rPr>
            </w:pPr>
            <w:r w:rsidRPr="00134CA9">
              <w:rPr>
                <w:sz w:val="18"/>
                <w:szCs w:val="18"/>
                <w:highlight w:val="yellow"/>
                <w:lang w:val="en-CA"/>
              </w:rPr>
              <w:t>20–25 years</w:t>
            </w:r>
          </w:p>
        </w:tc>
      </w:tr>
      <w:tr w:rsidR="006B6F7A" w:rsidRPr="00134CA9" w14:paraId="6212C446" w14:textId="77777777" w:rsidTr="006B6F7A">
        <w:tc>
          <w:tcPr>
            <w:tcW w:w="0" w:type="auto"/>
            <w:hideMark/>
          </w:tcPr>
          <w:p w14:paraId="31EBC793" w14:textId="77777777" w:rsidR="006B6F7A" w:rsidRPr="00134CA9" w:rsidRDefault="006B6F7A" w:rsidP="006B6F7A">
            <w:pPr>
              <w:ind w:firstLine="480"/>
              <w:rPr>
                <w:sz w:val="18"/>
                <w:szCs w:val="18"/>
                <w:highlight w:val="yellow"/>
                <w:lang w:val="en-CA"/>
              </w:rPr>
            </w:pPr>
            <w:r w:rsidRPr="00134CA9">
              <w:rPr>
                <w:sz w:val="18"/>
                <w:szCs w:val="18"/>
                <w:highlight w:val="yellow"/>
                <w:lang w:val="en-CA"/>
              </w:rPr>
              <w:t>Hydrogen Fuel Cell</w:t>
            </w:r>
          </w:p>
        </w:tc>
        <w:tc>
          <w:tcPr>
            <w:tcW w:w="0" w:type="auto"/>
            <w:hideMark/>
          </w:tcPr>
          <w:p w14:paraId="3D542041" w14:textId="77777777" w:rsidR="006B6F7A" w:rsidRPr="00134CA9" w:rsidRDefault="006B6F7A" w:rsidP="006B6F7A">
            <w:pPr>
              <w:ind w:firstLine="480"/>
              <w:rPr>
                <w:sz w:val="18"/>
                <w:szCs w:val="18"/>
                <w:highlight w:val="yellow"/>
                <w:lang w:val="en-CA"/>
              </w:rPr>
            </w:pPr>
            <w:r w:rsidRPr="00134CA9">
              <w:rPr>
                <w:sz w:val="18"/>
                <w:szCs w:val="18"/>
                <w:highlight w:val="yellow"/>
                <w:lang w:val="en-CA"/>
              </w:rPr>
              <w:t>Installed project cost</w:t>
            </w:r>
          </w:p>
        </w:tc>
        <w:tc>
          <w:tcPr>
            <w:tcW w:w="0" w:type="auto"/>
            <w:hideMark/>
          </w:tcPr>
          <w:p w14:paraId="5F662CE3" w14:textId="77777777" w:rsidR="006B6F7A" w:rsidRPr="00134CA9" w:rsidRDefault="006B6F7A" w:rsidP="006B6F7A">
            <w:pPr>
              <w:ind w:firstLine="480"/>
              <w:rPr>
                <w:sz w:val="18"/>
                <w:szCs w:val="18"/>
                <w:highlight w:val="yellow"/>
                <w:lang w:val="en-CA"/>
              </w:rPr>
            </w:pPr>
            <w:r w:rsidRPr="00134CA9">
              <w:rPr>
                <w:sz w:val="18"/>
                <w:szCs w:val="18"/>
                <w:highlight w:val="yellow"/>
                <w:lang w:val="en-CA"/>
              </w:rPr>
              <w:t>USD 1,600–3,200/kW</w:t>
            </w:r>
          </w:p>
        </w:tc>
        <w:tc>
          <w:tcPr>
            <w:tcW w:w="0" w:type="auto"/>
            <w:hideMark/>
          </w:tcPr>
          <w:p w14:paraId="6DD4E10C" w14:textId="77777777" w:rsidR="006B6F7A" w:rsidRPr="00134CA9" w:rsidRDefault="006B6F7A" w:rsidP="006B6F7A">
            <w:pPr>
              <w:ind w:firstLine="480"/>
              <w:rPr>
                <w:sz w:val="18"/>
                <w:szCs w:val="18"/>
                <w:highlight w:val="yellow"/>
                <w:lang w:val="en-CA"/>
              </w:rPr>
            </w:pPr>
            <w:r w:rsidRPr="00134CA9">
              <w:rPr>
                <w:sz w:val="18"/>
                <w:szCs w:val="18"/>
                <w:highlight w:val="yellow"/>
                <w:lang w:val="en-CA"/>
              </w:rPr>
              <w:t>140–220</w:t>
            </w:r>
          </w:p>
        </w:tc>
        <w:tc>
          <w:tcPr>
            <w:tcW w:w="0" w:type="auto"/>
            <w:hideMark/>
          </w:tcPr>
          <w:p w14:paraId="1ACA685F" w14:textId="77777777" w:rsidR="006B6F7A" w:rsidRPr="00134CA9" w:rsidRDefault="006B6F7A" w:rsidP="006B6F7A">
            <w:pPr>
              <w:ind w:firstLine="480"/>
              <w:rPr>
                <w:sz w:val="18"/>
                <w:szCs w:val="18"/>
                <w:highlight w:val="yellow"/>
                <w:lang w:val="en-CA"/>
              </w:rPr>
            </w:pPr>
            <w:r w:rsidRPr="00134CA9">
              <w:rPr>
                <w:sz w:val="18"/>
                <w:szCs w:val="18"/>
                <w:highlight w:val="yellow"/>
                <w:lang w:val="en-CA"/>
              </w:rPr>
              <w:t>12–15 years</w:t>
            </w:r>
          </w:p>
        </w:tc>
      </w:tr>
      <w:tr w:rsidR="006B6F7A" w:rsidRPr="00134CA9" w14:paraId="00E38929" w14:textId="77777777" w:rsidTr="006B6F7A">
        <w:tc>
          <w:tcPr>
            <w:tcW w:w="0" w:type="auto"/>
            <w:hideMark/>
          </w:tcPr>
          <w:p w14:paraId="0500A160" w14:textId="77777777" w:rsidR="006B6F7A" w:rsidRPr="00134CA9" w:rsidRDefault="006B6F7A" w:rsidP="006B6F7A">
            <w:pPr>
              <w:ind w:firstLine="480"/>
              <w:rPr>
                <w:sz w:val="18"/>
                <w:szCs w:val="18"/>
                <w:highlight w:val="yellow"/>
                <w:lang w:val="en-CA"/>
              </w:rPr>
            </w:pPr>
            <w:r w:rsidRPr="00134CA9">
              <w:rPr>
                <w:sz w:val="18"/>
                <w:szCs w:val="18"/>
                <w:highlight w:val="yellow"/>
                <w:lang w:val="en-CA"/>
              </w:rPr>
              <w:t>Grid Electricity</w:t>
            </w:r>
          </w:p>
        </w:tc>
        <w:tc>
          <w:tcPr>
            <w:tcW w:w="0" w:type="auto"/>
            <w:hideMark/>
          </w:tcPr>
          <w:p w14:paraId="043BA197" w14:textId="77777777" w:rsidR="006B6F7A" w:rsidRPr="00134CA9" w:rsidRDefault="006B6F7A" w:rsidP="006B6F7A">
            <w:pPr>
              <w:ind w:firstLine="480"/>
              <w:rPr>
                <w:sz w:val="18"/>
                <w:szCs w:val="18"/>
                <w:highlight w:val="yellow"/>
                <w:lang w:val="en-CA"/>
              </w:rPr>
            </w:pPr>
            <w:r w:rsidRPr="00134CA9">
              <w:rPr>
                <w:sz w:val="18"/>
                <w:szCs w:val="18"/>
                <w:highlight w:val="yellow"/>
                <w:lang w:val="en-CA"/>
              </w:rPr>
              <w:t>Delivered service</w:t>
            </w:r>
          </w:p>
        </w:tc>
        <w:tc>
          <w:tcPr>
            <w:tcW w:w="0" w:type="auto"/>
            <w:hideMark/>
          </w:tcPr>
          <w:p w14:paraId="7EB2DCCB" w14:textId="77777777" w:rsidR="006B6F7A" w:rsidRPr="00134CA9" w:rsidRDefault="006B6F7A" w:rsidP="006B6F7A">
            <w:pPr>
              <w:ind w:firstLine="480"/>
              <w:rPr>
                <w:sz w:val="18"/>
                <w:szCs w:val="18"/>
                <w:highlight w:val="yellow"/>
                <w:lang w:val="en-CA"/>
              </w:rPr>
            </w:pPr>
            <w:r w:rsidRPr="00134CA9">
              <w:rPr>
                <w:sz w:val="18"/>
                <w:szCs w:val="18"/>
                <w:highlight w:val="yellow"/>
                <w:lang w:val="en-CA"/>
              </w:rPr>
              <w:t>Tariff dependent</w:t>
            </w:r>
          </w:p>
        </w:tc>
        <w:tc>
          <w:tcPr>
            <w:tcW w:w="0" w:type="auto"/>
            <w:hideMark/>
          </w:tcPr>
          <w:p w14:paraId="2ECD47C4" w14:textId="77777777" w:rsidR="006B6F7A" w:rsidRPr="00134CA9" w:rsidRDefault="006B6F7A" w:rsidP="006B6F7A">
            <w:pPr>
              <w:ind w:firstLine="480"/>
              <w:rPr>
                <w:sz w:val="18"/>
                <w:szCs w:val="18"/>
                <w:highlight w:val="yellow"/>
                <w:lang w:val="en-CA"/>
              </w:rPr>
            </w:pPr>
            <w:r w:rsidRPr="00134CA9">
              <w:rPr>
                <w:sz w:val="18"/>
                <w:szCs w:val="18"/>
                <w:highlight w:val="yellow"/>
                <w:lang w:val="en-CA"/>
              </w:rPr>
              <w:t>Region-specific</w:t>
            </w:r>
          </w:p>
        </w:tc>
        <w:tc>
          <w:tcPr>
            <w:tcW w:w="0" w:type="auto"/>
            <w:hideMark/>
          </w:tcPr>
          <w:p w14:paraId="1446F2F6" w14:textId="77777777" w:rsidR="006B6F7A" w:rsidRPr="00134CA9" w:rsidRDefault="006B6F7A" w:rsidP="006B6F7A">
            <w:pPr>
              <w:ind w:firstLine="480"/>
              <w:rPr>
                <w:sz w:val="18"/>
                <w:szCs w:val="18"/>
                <w:highlight w:val="yellow"/>
                <w:lang w:val="en-CA"/>
              </w:rPr>
            </w:pPr>
            <w:r w:rsidRPr="00134CA9">
              <w:rPr>
                <w:sz w:val="18"/>
                <w:szCs w:val="18"/>
                <w:highlight w:val="yellow"/>
                <w:lang w:val="en-CA"/>
              </w:rPr>
              <w:t>N/A</w:t>
            </w:r>
          </w:p>
        </w:tc>
      </w:tr>
    </w:tbl>
    <w:p w14:paraId="2D7BDC31" w14:textId="77777777" w:rsidR="006B6F7A" w:rsidRPr="00134CA9" w:rsidRDefault="006B6F7A" w:rsidP="00F357B2">
      <w:pPr>
        <w:ind w:firstLine="480"/>
        <w:rPr>
          <w:highlight w:val="yellow"/>
        </w:rPr>
      </w:pPr>
    </w:p>
    <w:p w14:paraId="140C8DC6" w14:textId="355E9108" w:rsidR="00D642FE" w:rsidRPr="00925F1B" w:rsidRDefault="00D642FE" w:rsidP="00F357B2">
      <w:pPr>
        <w:ind w:firstLine="480"/>
      </w:pPr>
      <w:r w:rsidRPr="00134CA9">
        <w:rPr>
          <w:highlight w:val="yellow"/>
        </w:rPr>
        <w:t xml:space="preserve">Please be aware that battery-pack prices are in no way interchangeable with the installed battery energy storage system (BESS) cost. Whilst battery-pack prices only account for the electrochemical storage component, installed BESS costs also incorporate power-conversion equipment, thermal management systems, controls, fire protection, engineering, procurement, construction, site development and grid-interconnection infrastructure. Likewise, the solar and wind LCOE values presented are the cost of generation only and do not represent the total cost of providing firm electric power to continuously operate an AI data center, because costs of storage, backup generation, curtailment, transmission, interconnection, reliability requirements, and operating reserve are not fully included in generation-only LCOE values. Likewise, grid electricity does not represent a generation LCOE because it is a delivered electricity service that contains energy charges (wholesale), capacity charges (if applicable), ancillary services, transmission and distribution costs, demand charges, taxes, and other tariff components unique to electricity utilities. Values in Table </w:t>
      </w:r>
      <w:r w:rsidR="00407B1F" w:rsidRPr="00134CA9">
        <w:rPr>
          <w:highlight w:val="yellow"/>
        </w:rPr>
        <w:t>7</w:t>
      </w:r>
      <w:r w:rsidRPr="00134CA9">
        <w:rPr>
          <w:highlight w:val="yellow"/>
        </w:rPr>
        <w:t xml:space="preserve"> are therefore provided as </w:t>
      </w:r>
      <w:proofErr w:type="gramStart"/>
      <w:r w:rsidRPr="00134CA9">
        <w:rPr>
          <w:highlight w:val="yellow"/>
        </w:rPr>
        <w:t>literature based</w:t>
      </w:r>
      <w:proofErr w:type="gramEnd"/>
      <w:r w:rsidRPr="00134CA9">
        <w:rPr>
          <w:highlight w:val="yellow"/>
        </w:rPr>
        <w:t xml:space="preserve"> screening level benchmarks, not as universal project costs. A project-specific evaluation should instead be done based on local renewable-resource conditions, electricity tariff, interconnection-study results, financing assumptions, and engineering estimates. Therefore, site-specific lifecycle-cost analysis needs to be used to determine the economic performance of a hybrid renewable system, rather than a universal cost benchmark.</w:t>
      </w:r>
    </w:p>
    <w:p w14:paraId="114556A8" w14:textId="6D670B1C" w:rsidR="00A42C11" w:rsidRPr="00A42C11" w:rsidRDefault="00FE013C" w:rsidP="00A42C11">
      <w:pPr>
        <w:pStyle w:val="Heading20"/>
        <w:jc w:val="both"/>
        <w:rPr>
          <w:color w:val="auto"/>
        </w:rPr>
      </w:pPr>
      <w:r>
        <w:rPr>
          <w:color w:val="auto"/>
        </w:rPr>
        <w:t>7.9. Reliability and Resilience Metrics</w:t>
      </w:r>
    </w:p>
    <w:p w14:paraId="3D9BCA5D" w14:textId="0B8846D4" w:rsidR="00A42C11" w:rsidRPr="00ED2CB2" w:rsidRDefault="00A42C11" w:rsidP="001B74A6">
      <w:pPr>
        <w:spacing w:after="120"/>
        <w:ind w:firstLine="480"/>
        <w:rPr>
          <w:highlight w:val="yellow"/>
        </w:rPr>
      </w:pPr>
      <w:r w:rsidRPr="00541971">
        <w:rPr>
          <w:highlight w:val="yellow"/>
        </w:rPr>
        <w:t xml:space="preserve">Availability indicates the percentage of the assessment period in which a power system </w:t>
      </w:r>
      <w:proofErr w:type="gramStart"/>
      <w:r w:rsidRPr="00541971">
        <w:rPr>
          <w:highlight w:val="yellow"/>
        </w:rPr>
        <w:t>is able to</w:t>
      </w:r>
      <w:proofErr w:type="gramEnd"/>
      <w:r w:rsidRPr="00541971">
        <w:rPr>
          <w:highlight w:val="yellow"/>
        </w:rPr>
        <w:t xml:space="preserve"> provide the required critical load. This review is based on planning </w:t>
      </w:r>
      <w:proofErr w:type="gramStart"/>
      <w:r w:rsidRPr="00541971">
        <w:rPr>
          <w:highlight w:val="yellow"/>
        </w:rPr>
        <w:t>criterion</w:t>
      </w:r>
      <w:proofErr w:type="gramEnd"/>
      <w:r w:rsidRPr="00541971">
        <w:rPr>
          <w:highlight w:val="yellow"/>
        </w:rPr>
        <w:t xml:space="preserve"> 99.99% annual availability. This is equal to 0.876hours/year or about 52.6 minutes of each hour of the year that available supply may not meet the critical load under a simplified annual-duration relationship. LOLE supports availability metrics by estimating the expected hours per year of supply shortfall. Here, LOLE is measured on the critical, non-deferrable facility load. This load should encompass real-time inference, critical networking functions, cooling control, safety, unstructured control and other services </w:t>
      </w:r>
      <w:r w:rsidRPr="00541971">
        <w:rPr>
          <w:highlight w:val="yellow"/>
        </w:rPr>
        <w:lastRenderedPageBreak/>
        <w:t>that cannot be disrupted. Eligible training, analytics and batch-processing loads may only be excluded if deferral is technically possible and allowed under the relevant service-level agreements.</w:t>
      </w:r>
      <w:r w:rsidR="00141971" w:rsidRPr="00541971">
        <w:rPr>
          <w:highlight w:val="yellow"/>
        </w:rPr>
        <w:t xml:space="preserve"> </w:t>
      </w:r>
      <w:r w:rsidRPr="00541971">
        <w:rPr>
          <w:highlight w:val="yellow"/>
        </w:rPr>
        <w:t xml:space="preserve">This 0.876 h/year value shall be a system level planning criterion and is not an indicator of facility availability. Real reliability is further dependent on equipment redundant; common mode fail; protection coordination; equipment maintenance; fuel availability; communication; weather; and </w:t>
      </w:r>
      <w:proofErr w:type="spellStart"/>
      <w:r w:rsidRPr="00541971">
        <w:rPr>
          <w:highlight w:val="yellow"/>
        </w:rPr>
        <w:t>equipments</w:t>
      </w:r>
      <w:proofErr w:type="spellEnd"/>
      <w:r w:rsidRPr="00541971">
        <w:rPr>
          <w:highlight w:val="yellow"/>
        </w:rPr>
        <w:t xml:space="preserve"> and backups operating</w:t>
      </w:r>
      <w:r w:rsidR="00ED2CB2">
        <w:rPr>
          <w:highlight w:val="yellow"/>
        </w:rPr>
        <w:fldChar w:fldCharType="begin"/>
      </w:r>
      <w:r w:rsidR="001B74A6">
        <w:rPr>
          <w:highlight w:val="yellow"/>
        </w:rPr>
        <w:instrText xml:space="preserve"> ADDIN ZOTERO_ITEM CSL_CITATION {"citationID":"atT0FGcb","properties":{"unsorted":false,"formattedCitation":"[159], [160]","plainCitation":"[159], [160]","noteIndex":0},"citationItems":[{"id":2143,"uris":["http://zotero.org/users/9870935/items/QQ6IISPJ"],"itemData":{"id":2143,"type":"document","title":"U N L O C K I N G FUSION ENERGY","URL":"https://www.adlittle.com/sites/default/files/reports/ADL_Unlocking_fusion_energy_2025%20%281%29.pdf","author":[{"family":"Arthur D. Little","given":""}]}},{"id":217,"uris":["http://zotero.org/users/9870935/items/MST8XCTD"],"itemData":{"id":217,"type":"article-journal","container-title":"IEEE Access","DOI":"10.1109/ACCESS.2023.3314742","ISSN":"2169-3536","journalAbbreviation":"IEEE Access","license":"https://creativecommons.org/licenses/by-nc-nd/4.0/","page":"100438-100457","source":"DOI.org (Crossref)","title":"Harmonics Forecasting of Wind and Solar Hybrid Model Based on Deep Machine Learning","volume":"11","author":[{"family":"Hadi","given":"Fawaz M. Al"},{"family":"Aly","given":"Hamed H."},{"family":"Little","given":"Timothy"}],"issued":{"date-parts":[["2023"]]}}}],"schema":"https://github.com/citation-style-language/schema/raw/master/csl-citation.json"} </w:instrText>
      </w:r>
      <w:r w:rsidR="00ED2CB2">
        <w:rPr>
          <w:highlight w:val="yellow"/>
        </w:rPr>
        <w:fldChar w:fldCharType="separate"/>
      </w:r>
      <w:r w:rsidR="001B74A6" w:rsidRPr="001B74A6">
        <w:rPr>
          <w:highlight w:val="yellow"/>
        </w:rPr>
        <w:t>[159], [160]</w:t>
      </w:r>
      <w:r w:rsidR="00ED2CB2">
        <w:rPr>
          <w:highlight w:val="yellow"/>
        </w:rPr>
        <w:fldChar w:fldCharType="end"/>
      </w:r>
      <w:r w:rsidRPr="00541971">
        <w:rPr>
          <w:highlight w:val="yellow"/>
        </w:rPr>
        <w:t xml:space="preserve">. </w:t>
      </w:r>
    </w:p>
    <w:p w14:paraId="03F90F88" w14:textId="69148602" w:rsidR="00A42C11" w:rsidRPr="004C74D2" w:rsidRDefault="00A42C11" w:rsidP="004C74D2">
      <w:pPr>
        <w:pStyle w:val="Heading20"/>
        <w:jc w:val="both"/>
        <w:rPr>
          <w:color w:val="auto"/>
        </w:rPr>
      </w:pPr>
      <w:r w:rsidRPr="004C74D2">
        <w:rPr>
          <w:color w:val="auto"/>
        </w:rPr>
        <w:t>7.10. Carbon Accounting and Sustainability</w:t>
      </w:r>
    </w:p>
    <w:p w14:paraId="49F8CE7D" w14:textId="0CE37AE5" w:rsidR="00A42C11" w:rsidRDefault="00A42C11" w:rsidP="001B74A6">
      <w:pPr>
        <w:spacing w:after="120"/>
        <w:ind w:firstLine="480"/>
        <w:rPr>
          <w:highlight w:val="yellow"/>
        </w:rPr>
      </w:pPr>
      <w:r w:rsidRPr="004C74D2">
        <w:rPr>
          <w:highlight w:val="yellow"/>
        </w:rPr>
        <w:t>Carbon accounting is designed to cover Scope 1, Scope 2, and relevant Scope 3 emissions. Direct combustion on site in generators and fuel cells is included in Scope 1. Purchase electricity emissions are included in Scope 2. Scope 3 encompasses any emissions generated in the lifecycle of the installations and upstream emissions that are significant in connection with the production of equipment, supply of fuel, building work, and treating the end-of-life.</w:t>
      </w:r>
      <w:r w:rsidR="00ED2CB2" w:rsidRPr="004C74D2">
        <w:rPr>
          <w:highlight w:val="yellow"/>
        </w:rPr>
        <w:t xml:space="preserve"> </w:t>
      </w:r>
      <w:r w:rsidRPr="004C74D2">
        <w:rPr>
          <w:highlight w:val="yellow"/>
        </w:rPr>
        <w:t>Where the contractual instruments meet relevant quality criteria, market-based Scope 2 emissions may be reduced by renewable electricity procurement. Annual renewable-energy matching is different from hourly physical delivery and from 24/7 carbon-free energy matching, though. In contrast to the 24/7 CFE approach, the electricity consumption matched with a carbon-free generation on an hour-by-hour basis instead of only fulfilling the yearly purchase.</w:t>
      </w:r>
      <w:r w:rsidR="00267BAF" w:rsidRPr="004C74D2">
        <w:rPr>
          <w:highlight w:val="yellow"/>
        </w:rPr>
        <w:t xml:space="preserve"> </w:t>
      </w:r>
      <w:r w:rsidRPr="004C74D2">
        <w:rPr>
          <w:highlight w:val="yellow"/>
        </w:rPr>
        <w:t xml:space="preserve">In addition to environmental life cycle analysis, the sustainability evaluation should consider greenhouse-gas emissions, PUE, WUE, embodied carbon, land use, biodiversity, equipment circularity, and the quality of renewable energy claims. If the information provided to the public in a corporate sustainability disclosure is not independently verified, it must be identified as self-reported. Temporal and geographical limits of the matching process should also be explained in hourly CFE </w:t>
      </w:r>
      <w:r w:rsidRPr="00A24736">
        <w:rPr>
          <w:highlight w:val="yellow"/>
        </w:rPr>
        <w:t>claims</w:t>
      </w:r>
      <w:r w:rsidR="004C74D2" w:rsidRPr="00A24736">
        <w:rPr>
          <w:highlight w:val="yellow"/>
        </w:rPr>
        <w:fldChar w:fldCharType="begin"/>
      </w:r>
      <w:r w:rsidR="001B74A6">
        <w:rPr>
          <w:highlight w:val="yellow"/>
        </w:rPr>
        <w:instrText xml:space="preserve"> ADDIN ZOTERO_ITEM CSL_CITATION {"citationID":"mW0ul4pI","properties":{"unsorted":false,"formattedCitation":"[124]","plainCitation":"[124]","noteIndex":0},"citationItems":[{"id":2141,"uris":["http://zotero.org/users/9870935/items/G3GVLHVX"],"itemData":{"id":2141,"type":"article-journal","container-title":"Renewable and Sustainable Energy Reviews","DOI":"10.1016/j.rser.2026.116861","ISSN":"13640321","journalAbbreviation":"Renewable and Sustainable Energy Reviews","language":"en","page":"116861","source":"DOI.org (Crossref)","title":"Reviewing the socio-technical dynamics of AI, data centers and digitalization on energy and the environment","volume":"234","author":[{"family":"Kim","given":"Jinsoo"},{"family":"Kim","given":"Jihyo"},{"family":"Sovacool","given":"Benjamin K."},{"family":"Griffiths","given":"Steve"},{"family":"Bazilian","given":"Morgan"},{"family":"Creutzig","given":"Felix"},{"family":"Furszyfer Del Rio","given":"Dylan D."},{"family":"Agrawala","given":"Matthew"},{"family":"Choi","given":"Minki"},{"family":"Debnath","given":"Ramit"}],"issued":{"date-parts":[["2026",7]]}}}],"schema":"https://github.com/citation-style-language/schema/raw/master/csl-citation.json"} </w:instrText>
      </w:r>
      <w:r w:rsidR="004C74D2" w:rsidRPr="00A24736">
        <w:rPr>
          <w:highlight w:val="yellow"/>
        </w:rPr>
        <w:fldChar w:fldCharType="separate"/>
      </w:r>
      <w:r w:rsidR="001B74A6" w:rsidRPr="001B74A6">
        <w:rPr>
          <w:highlight w:val="yellow"/>
        </w:rPr>
        <w:t>[124]</w:t>
      </w:r>
      <w:r w:rsidR="004C74D2" w:rsidRPr="00A24736">
        <w:rPr>
          <w:highlight w:val="yellow"/>
        </w:rPr>
        <w:fldChar w:fldCharType="end"/>
      </w:r>
      <w:r w:rsidRPr="00A24736">
        <w:rPr>
          <w:highlight w:val="yellow"/>
        </w:rPr>
        <w:t>.</w:t>
      </w:r>
    </w:p>
    <w:p w14:paraId="0F5C8534" w14:textId="77777777" w:rsidR="00FE013C" w:rsidRDefault="00FE013C" w:rsidP="004C16FF">
      <w:pPr>
        <w:pStyle w:val="Heading10"/>
        <w:jc w:val="both"/>
        <w:rPr>
          <w:color w:val="auto"/>
        </w:rPr>
      </w:pPr>
      <w:r>
        <w:rPr>
          <w:color w:val="auto"/>
          <w:lang w:eastAsia="zh-CN"/>
        </w:rPr>
        <w:t xml:space="preserve">8. </w:t>
      </w:r>
      <w:r>
        <w:rPr>
          <w:color w:val="auto"/>
        </w:rPr>
        <w:t>Case Studies: Real-World Deployments</w:t>
      </w:r>
    </w:p>
    <w:p w14:paraId="6B6ED835" w14:textId="77777777" w:rsidR="00FE013C" w:rsidRDefault="00FE013C" w:rsidP="004C16FF">
      <w:pPr>
        <w:spacing w:after="120"/>
        <w:ind w:firstLine="480"/>
      </w:pPr>
      <w:r>
        <w:t>This section examines the renewable energy strategies of five leading technology companies, extracting lessons learned, and validating the proposed framework against real-world implementations. Each case study provides detailed technical specifications, performance metrics, financial data and strategic insights.</w:t>
      </w:r>
    </w:p>
    <w:p w14:paraId="16694B90" w14:textId="77777777" w:rsidR="00FE013C" w:rsidRDefault="00FE013C" w:rsidP="004C16FF">
      <w:pPr>
        <w:pStyle w:val="Heading20"/>
        <w:jc w:val="both"/>
        <w:rPr>
          <w:color w:val="auto"/>
        </w:rPr>
      </w:pPr>
      <w:r>
        <w:rPr>
          <w:color w:val="auto"/>
        </w:rPr>
        <w:t>8.1. Google Data Centers: Renewable Energy Matching</w:t>
      </w:r>
    </w:p>
    <w:p w14:paraId="608492C6" w14:textId="3252D46F" w:rsidR="00FE013C" w:rsidRPr="00B40CF9" w:rsidRDefault="00FE013C" w:rsidP="00E11FE4">
      <w:pPr>
        <w:spacing w:after="120"/>
        <w:ind w:firstLine="480"/>
      </w:pPr>
      <w:r w:rsidRPr="00B40CF9">
        <w:t xml:space="preserve">Google has over 100 data </w:t>
      </w:r>
      <w:r w:rsidR="00580BAE">
        <w:t>center</w:t>
      </w:r>
      <w:r w:rsidRPr="00B40CF9">
        <w:t xml:space="preserve"> facilities worldwide and has set the most aggressive renewable energy goal in the technology industry: 24/7 carbon-free energy (CFE) for all local data </w:t>
      </w:r>
      <w:r w:rsidR="00580BAE">
        <w:t>center</w:t>
      </w:r>
      <w:r w:rsidRPr="00B40CF9">
        <w:t xml:space="preserve"> electricity grids where it operates by 2030. Google's aggressive purchasing approach has resulted in a growing clean energy portfolio, with the company now having </w:t>
      </w:r>
      <w:r w:rsidRPr="007715C4">
        <w:t xml:space="preserve">over 22 GW of contracted renewable energy — with a broader portfolio pipeline exceeding 30 GW — through more than 170 power purchase agreements </w:t>
      </w:r>
      <w:r w:rsidRPr="00B40CF9">
        <w:t>(PPAs) that include utility-scale solar power, onshore wind, geothermal, and battery storage solutions. Driven by the growing computational workload of the generative AI age, Google has met an important milestone in its operations, raising the hourly 24/7 CFE score for its entire facilities global footprint to 6</w:t>
      </w:r>
      <w:r w:rsidR="0043771C">
        <w:t>4%</w:t>
      </w:r>
      <w:r w:rsidRPr="00B40CF9">
        <w:t xml:space="preserve">, while 9 of 20 primary data </w:t>
      </w:r>
      <w:r w:rsidR="00580BAE">
        <w:t>center</w:t>
      </w:r>
      <w:r w:rsidRPr="00B40CF9">
        <w:t xml:space="preserve"> grid regions achieved an 80 percent, hourly CFE score </w:t>
      </w:r>
      <w:r>
        <w:fldChar w:fldCharType="begin"/>
      </w:r>
      <w:r w:rsidR="00E11FE4">
        <w:instrText xml:space="preserve"> ADDIN ZOTERO_ITEM CSL_CITATION {"citationID":"ic18cWPX","properties":{"unsorted":false,"formattedCitation":"[52]","plainCitation":"[52]","noteIndex":0},"citationItems":[{"id":1995,"uris":["http://zotero.org/users/9870935/items/ZZ4BDIPH"],"itemData":{"id":1995,"type":"post-weblog","title":"Google Environmental Report 2025","URL":"https://sustainability.google/reports/google-2025-environmental-report/","author":[{"family":"Google","given":""}]}}],"schema":"https://github.com/citation-style-language/schema/raw/master/csl-citation.json"} </w:instrText>
      </w:r>
      <w:r>
        <w:fldChar w:fldCharType="separate"/>
      </w:r>
      <w:r w:rsidR="00E11FE4" w:rsidRPr="00E11FE4">
        <w:t>[52]</w:t>
      </w:r>
      <w:r>
        <w:fldChar w:fldCharType="end"/>
      </w:r>
      <w:r w:rsidRPr="00B40CF9">
        <w:t>.</w:t>
      </w:r>
    </w:p>
    <w:p w14:paraId="58FFB05C" w14:textId="22807F44" w:rsidR="00FE013C" w:rsidRPr="00B40CF9" w:rsidRDefault="00FE013C" w:rsidP="00E11FE4">
      <w:pPr>
        <w:spacing w:after="120"/>
        <w:ind w:firstLine="480"/>
      </w:pPr>
      <w:r w:rsidRPr="0007532D">
        <w:lastRenderedPageBreak/>
        <w:t>Key installations underpinning this strategy include a 50 MW on-site wind generation array</w:t>
      </w:r>
      <w:r w:rsidRPr="00B40CF9">
        <w:t xml:space="preserve"> at the Council Bluffs facility in Iowa that directly connects with the data </w:t>
      </w:r>
      <w:r w:rsidR="00580BAE">
        <w:t>center</w:t>
      </w:r>
      <w:r w:rsidRPr="00B40CF9">
        <w:t xml:space="preserve"> 's electrical distribution system and exports excess peak capacity back to the regional transmission </w:t>
      </w:r>
      <w:proofErr w:type="spellStart"/>
      <w:r w:rsidRPr="00B40CF9">
        <w:t>organisation</w:t>
      </w:r>
      <w:proofErr w:type="spellEnd"/>
      <w:r w:rsidRPr="00B40CF9">
        <w:t xml:space="preserve">. Likewise, a portfolio of wind and solar combined PPA power plants greater than 200 MW installed in Chile's Atacama Desert takes advantage of complementary resource timing patterns, as the wind is found to occur in times of low solar irradiance, and the solar resource is found to occur in times of high wind speed in the </w:t>
      </w:r>
      <w:proofErr w:type="spellStart"/>
      <w:r w:rsidRPr="00B40CF9">
        <w:t>localised</w:t>
      </w:r>
      <w:proofErr w:type="spellEnd"/>
      <w:r w:rsidRPr="00B40CF9">
        <w:t xml:space="preserve"> thermal wind zones. </w:t>
      </w:r>
      <w:r w:rsidRPr="002A74E3">
        <w:t xml:space="preserve">Infrastructure design for Gemini-era AI workloads </w:t>
      </w:r>
      <w:proofErr w:type="spellStart"/>
      <w:r w:rsidRPr="002A74E3">
        <w:t>prioritises</w:t>
      </w:r>
      <w:proofErr w:type="spellEnd"/>
      <w:r w:rsidRPr="002A74E3">
        <w:t xml:space="preserve"> deep grid integration and spatial load shaping</w:t>
      </w:r>
      <w:r w:rsidRPr="00B40CF9">
        <w:t xml:space="preserve">. This includes </w:t>
      </w:r>
      <w:proofErr w:type="spellStart"/>
      <w:r w:rsidRPr="00B40CF9">
        <w:t>specialised</w:t>
      </w:r>
      <w:proofErr w:type="spellEnd"/>
      <w:r w:rsidRPr="00B40CF9">
        <w:t>, direct backlinks with utility-scale battery storage networks to enable facilities to shift flexible server demand from high-carbon time periods to when there is high local renewable generation</w:t>
      </w:r>
      <w:r>
        <w:fldChar w:fldCharType="begin"/>
      </w:r>
      <w:r w:rsidR="00E11FE4">
        <w:instrText xml:space="preserve"> ADDIN ZOTERO_ITEM CSL_CITATION {"citationID":"Q8pR1MCS","properties":{"unsorted":false,"formattedCitation":"[52]","plainCitation":"[52]","noteIndex":0},"citationItems":[{"id":1995,"uris":["http://zotero.org/users/9870935/items/ZZ4BDIPH"],"itemData":{"id":1995,"type":"post-weblog","title":"Google Environmental Report 2025","URL":"https://sustainability.google/reports/google-2025-environmental-report/","author":[{"family":"Google","given":""}]}}],"schema":"https://github.com/citation-style-language/schema/raw/master/csl-citation.json"} </w:instrText>
      </w:r>
      <w:r>
        <w:fldChar w:fldCharType="separate"/>
      </w:r>
      <w:r w:rsidR="00E11FE4" w:rsidRPr="00E11FE4">
        <w:t>[52]</w:t>
      </w:r>
      <w:r>
        <w:fldChar w:fldCharType="end"/>
      </w:r>
      <w:r w:rsidRPr="00B40CF9">
        <w:t>.</w:t>
      </w:r>
    </w:p>
    <w:p w14:paraId="641DB1FB" w14:textId="78F05347" w:rsidR="00FE013C" w:rsidRPr="00B40CF9" w:rsidRDefault="00FE013C" w:rsidP="00E11FE4">
      <w:pPr>
        <w:spacing w:after="120"/>
        <w:ind w:firstLine="480"/>
      </w:pPr>
      <w:r w:rsidRPr="00B40CF9">
        <w:t xml:space="preserve">Structured corporate PPAs have reliably proven their ability to protect against short-term fluctuations in wholesale grid electricity markets for 15–25-year contracts and energy cost metrics ranging from $30 to $50 per MWh – values that are more predictable than the $ 70–120 per MWh that can be found across main commercial markets </w:t>
      </w:r>
      <w:r>
        <w:fldChar w:fldCharType="begin"/>
      </w:r>
      <w:r w:rsidR="00E11FE4">
        <w:instrText xml:space="preserve"> ADDIN ZOTERO_ITEM CSL_CITATION {"citationID":"ovp4JwlY","properties":{"unsorted":false,"formattedCitation":"[52]","plainCitation":"[52]","noteIndex":0},"citationItems":[{"id":1995,"uris":["http://zotero.org/users/9870935/items/ZZ4BDIPH"],"itemData":{"id":1995,"type":"post-weblog","title":"Google Environmental Report 2025","URL":"https://sustainability.google/reports/google-2025-environmental-report/","author":[{"family":"Google","given":""}]}}],"schema":"https://github.com/citation-style-language/schema/raw/master/csl-citation.json"} </w:instrText>
      </w:r>
      <w:r>
        <w:fldChar w:fldCharType="separate"/>
      </w:r>
      <w:r w:rsidR="00E11FE4" w:rsidRPr="00E11FE4">
        <w:t>[52]</w:t>
      </w:r>
      <w:r>
        <w:fldChar w:fldCharType="end"/>
      </w:r>
      <w:r w:rsidRPr="00B40CF9">
        <w:t xml:space="preserve"> – across the board. The company's focus on geographic distribution and its use of carbon-aware software scheduling allows it to dynamically place non-interactive compute workloads to facilities that are in the best condition for generating clean energy. This distributed computing approach is a basic solution that eliminates the penalties associated with local over-provisioning in physical facilities and chemical storage that would otherwise burden individual facilities. Concrete industry validation for strict site assessment, multi-technology resource aggregation, carbon-aware control strategies, and long-term economic viability is provided by framework validation, which correlates Google's active portfolio to Components 1, 2, 4, and 6 of the proposed architecture.</w:t>
      </w:r>
    </w:p>
    <w:p w14:paraId="6241CDFC" w14:textId="77777777" w:rsidR="00FE013C" w:rsidRDefault="00FE013C" w:rsidP="004C16FF">
      <w:pPr>
        <w:pStyle w:val="Heading20"/>
        <w:jc w:val="both"/>
        <w:rPr>
          <w:color w:val="auto"/>
        </w:rPr>
      </w:pPr>
      <w:r>
        <w:rPr>
          <w:color w:val="auto"/>
        </w:rPr>
        <w:t xml:space="preserve">8.2. </w:t>
      </w:r>
      <w:r w:rsidRPr="008124C4">
        <w:rPr>
          <w:color w:val="auto"/>
        </w:rPr>
        <w:t>Meta: Fuel Cell Integration at Prineville</w:t>
      </w:r>
    </w:p>
    <w:p w14:paraId="11883AA8" w14:textId="6A55E58F" w:rsidR="00FE013C" w:rsidRPr="00D64775" w:rsidRDefault="00FE013C" w:rsidP="00E11FE4">
      <w:pPr>
        <w:spacing w:after="120"/>
        <w:ind w:firstLine="480"/>
      </w:pPr>
      <w:r w:rsidRPr="00D64775">
        <w:t xml:space="preserve">Meta (Facebook) has been following a unique path with its focus on fuel cell technology in its Prineville, OR data </w:t>
      </w:r>
      <w:r w:rsidR="00580BAE">
        <w:t>center</w:t>
      </w:r>
      <w:r w:rsidRPr="00D64775">
        <w:t xml:space="preserve"> campus. It has 5 MW of Bloom Energy solid oxide fuel cells (SOFCs) using natural gas as the main onsite generation resource, 1 MW of onsite solar canopy generation, and 50 MW of contracted wind energy through PPAs</w:t>
      </w:r>
      <w:r>
        <w:fldChar w:fldCharType="begin"/>
      </w:r>
      <w:r w:rsidR="00E11FE4">
        <w:instrText xml:space="preserve"> ADDIN ZOTERO_ITEM CSL_CITATION {"citationID":"bKFO0NJY","properties":{"unsorted":false,"formattedCitation":"[54]","plainCitation":"[54]","noteIndex":0},"citationItems":[{"id":1998,"uris":["http://zotero.org/users/9870935/items/3PR5HCM7"],"itemData":{"id":1998,"type":"post-weblog","title":"2025 Sustainability Report","URL":"https://sustainability.atmeta.com/wp-content/uploads/2025/08/Meta_2025-Sustainability-Report.pdf","author":[{"family":"Meta","given":""}]}}],"schema":"https://github.com/citation-style-language/schema/raw/master/csl-citation.json"} </w:instrText>
      </w:r>
      <w:r>
        <w:fldChar w:fldCharType="separate"/>
      </w:r>
      <w:r w:rsidR="00E11FE4" w:rsidRPr="00E11FE4">
        <w:t>[54]</w:t>
      </w:r>
      <w:r>
        <w:fldChar w:fldCharType="end"/>
      </w:r>
      <w:r w:rsidRPr="00D64775">
        <w:t>. When used as combined heat and power (CHP) systems, the fuel cells' electrical efficiency is approximately 60</w:t>
      </w:r>
      <w:r>
        <w:t xml:space="preserve">%, </w:t>
      </w:r>
      <w:r w:rsidRPr="00D64775">
        <w:t>and the waste heat is recovered for building heating, yielding an overall CHP efficiency of more than 80</w:t>
      </w:r>
      <w:r>
        <w:t>%</w:t>
      </w:r>
      <w:r>
        <w:fldChar w:fldCharType="begin"/>
      </w:r>
      <w:r w:rsidR="00E11FE4">
        <w:instrText xml:space="preserve"> ADDIN ZOTERO_ITEM CSL_CITATION {"citationID":"hobQYeKo","properties":{"unsorted":false,"formattedCitation":"[54]","plainCitation":"[54]","noteIndex":0},"citationItems":[{"id":1998,"uris":["http://zotero.org/users/9870935/items/3PR5HCM7"],"itemData":{"id":1998,"type":"post-weblog","title":"2025 Sustainability Report","URL":"https://sustainability.atmeta.com/wp-content/uploads/2025/08/Meta_2025-Sustainability-Report.pdf","author":[{"family":"Meta","given":""}]}}],"schema":"https://github.com/citation-style-language/schema/raw/master/csl-citation.json"} </w:instrText>
      </w:r>
      <w:r>
        <w:fldChar w:fldCharType="separate"/>
      </w:r>
      <w:r w:rsidR="00E11FE4" w:rsidRPr="00E11FE4">
        <w:t>[54]</w:t>
      </w:r>
      <w:r>
        <w:fldChar w:fldCharType="end"/>
      </w:r>
      <w:r w:rsidRPr="00D64775">
        <w:t>.</w:t>
      </w:r>
    </w:p>
    <w:p w14:paraId="323EE70B" w14:textId="404AAB1D" w:rsidR="00FE013C" w:rsidRPr="00D64775" w:rsidRDefault="00FE013C" w:rsidP="001B74A6">
      <w:pPr>
        <w:spacing w:after="120"/>
        <w:ind w:firstLine="480"/>
      </w:pPr>
      <w:r w:rsidRPr="00D64775">
        <w:t xml:space="preserve">Performance metrics show </w:t>
      </w:r>
      <w:r w:rsidR="00030122" w:rsidRPr="00D64775">
        <w:t>a</w:t>
      </w:r>
      <w:r w:rsidRPr="00D64775">
        <w:t xml:space="preserve"> PUE of ~1.10, which is one of the lowest in the industry, and fuel cell uptime in the high 90'</w:t>
      </w:r>
      <w:proofErr w:type="gramStart"/>
      <w:r w:rsidRPr="00D64775">
        <w:t>s percent</w:t>
      </w:r>
      <w:proofErr w:type="gramEnd"/>
      <w:r w:rsidRPr="00D64775">
        <w:t>. However, there are some problems that have arisen. The cost of replacing fuel cell stacks ($1 to $3 million every 5 to 8 years) is a large operating cost, and the use of the natural gas feedstock introduces a pathway for carbon emissions that is incompatible with net-zero commitments</w:t>
      </w:r>
      <w:r>
        <w:fldChar w:fldCharType="begin"/>
      </w:r>
      <w:r w:rsidR="001B74A6">
        <w:instrText xml:space="preserve"> ADDIN ZOTERO_ITEM CSL_CITATION {"citationID":"afh57Dbe","properties":{"unsorted":false,"formattedCitation":"[161]","plainCitation":"[161]","noteIndex":0},"citationItems":[{"id":2140,"uris":["http://zotero.org/users/9870935/items/ZUBI2HTD"],"itemData":{"id":2140,"type":"article-journal","container-title":"Energy Conversion and Management","DOI":"10.1016/j.enconman.2025.119762","ISSN":"01968904","journalAbbreviation":"Energy Conversion and Management","language":"en","page":"119762","source":"DOI.org (Crossref)","title":"Modeling and analysis of solid oxide fuel cell-based multigeneration system with supercritical and transcritical carbon dioxide power cycles, humidification-dehumidification system and hydrogen generation","volume":"332","author":[{"family":"Soyturk","given":"Gamze"},{"family":"Kizilkan","given":"Onder"}],"issued":{"date-parts":[["2025",5]]}}}],"schema":"https://github.com/citation-style-language/schema/raw/master/csl-citation.json"} </w:instrText>
      </w:r>
      <w:r>
        <w:fldChar w:fldCharType="separate"/>
      </w:r>
      <w:r w:rsidR="001B74A6" w:rsidRPr="001B74A6">
        <w:t>[161]</w:t>
      </w:r>
      <w:r>
        <w:fldChar w:fldCharType="end"/>
      </w:r>
      <w:r w:rsidRPr="00D64775">
        <w:t xml:space="preserve">. One of the factors with which Meta is working on </w:t>
      </w:r>
      <w:r w:rsidR="00030122" w:rsidRPr="00D64775">
        <w:t>decarbonizing</w:t>
      </w:r>
      <w:r w:rsidRPr="00D64775">
        <w:t xml:space="preserve"> its fuel usage is to shift from natural gas to green hydrogen as its fuel source; however, it is unclear when this shift will occur or if it will be a costly process owing to the lack of hydrogen production and distribution infrastructure. Fuel cells are shown to be </w:t>
      </w:r>
      <w:r w:rsidR="00030122" w:rsidRPr="00D64775">
        <w:t>suitable</w:t>
      </w:r>
      <w:r w:rsidRPr="00D64775">
        <w:t xml:space="preserve"> bridge technology (Component 2: Technology Selection); however, they are not necessarily the preferred solution as battery storage costs are decreasing.</w:t>
      </w:r>
    </w:p>
    <w:p w14:paraId="32326AB0" w14:textId="77777777" w:rsidR="00FE013C" w:rsidRDefault="00FE013C" w:rsidP="004C16FF">
      <w:pPr>
        <w:pStyle w:val="Heading20"/>
        <w:jc w:val="both"/>
        <w:rPr>
          <w:color w:val="auto"/>
        </w:rPr>
      </w:pPr>
      <w:r>
        <w:rPr>
          <w:color w:val="auto"/>
        </w:rPr>
        <w:t>8.3. Microsoft: Modular Design and Nuclear Partnership</w:t>
      </w:r>
    </w:p>
    <w:p w14:paraId="5333A5AC" w14:textId="74FD4249" w:rsidR="00FE013C" w:rsidRPr="000A408E" w:rsidRDefault="00FE013C" w:rsidP="00E11FE4">
      <w:pPr>
        <w:spacing w:after="120"/>
        <w:ind w:firstLine="480"/>
      </w:pPr>
      <w:r w:rsidRPr="000A408E">
        <w:lastRenderedPageBreak/>
        <w:t>Microsoft has been looking at two innovative solutions for sustainable data center infrastructure: the experimental Project Natick which is an underwater data center, and baseload power supply with nuclear energy. The 99.9</w:t>
      </w:r>
      <w:r>
        <w:t xml:space="preserve">% </w:t>
      </w:r>
      <w:r w:rsidRPr="000A408E">
        <w:t>reliability of Project Natick Phase 2, which was deployed off the coast of Scotland, was attributed to the less corrosive environment of the water and the nitrogen-filled sealed container preventing humidity-induced failures, and the results showed an eight-fold reduction in failure rates when compared with facilities of similar capacity on land</w:t>
      </w:r>
      <w:r>
        <w:fldChar w:fldCharType="begin"/>
      </w:r>
      <w:r w:rsidR="00E11FE4">
        <w:instrText xml:space="preserve"> ADDIN ZOTERO_ITEM CSL_CITATION {"citationID":"IW33EuXw","properties":{"unsorted":false,"formattedCitation":"[57]","plainCitation":"[57]","noteIndex":0},"citationItems":[{"id":2001,"uris":["http://zotero.org/users/9870935/items/2FD7ZXSC"],"itemData":{"id":2001,"type":"article-journal","language":"en","source":"Zotero","title":"Project Natick — Microsoft's Self-sufficient Underwater Datacenters","URL":"https://www.researchgate.net/publication/328214732_Project_Natick-Microsoft's_Self-sufficient_Underwater_Datacenters","author":[{"family":"Simon","given":"Kevin"}]}}],"schema":"https://github.com/citation-style-language/schema/raw/master/csl-citation.json"} </w:instrText>
      </w:r>
      <w:r>
        <w:fldChar w:fldCharType="separate"/>
      </w:r>
      <w:r w:rsidR="00E11FE4" w:rsidRPr="00E11FE4">
        <w:t>[57]</w:t>
      </w:r>
      <w:r>
        <w:fldChar w:fldCharType="end"/>
      </w:r>
      <w:r w:rsidRPr="000A408E">
        <w:t>.</w:t>
      </w:r>
    </w:p>
    <w:p w14:paraId="7F67991D" w14:textId="5C8BB663" w:rsidR="00FE013C" w:rsidRPr="000A408E" w:rsidRDefault="00FE013C" w:rsidP="001B74A6">
      <w:pPr>
        <w:spacing w:after="120"/>
        <w:ind w:firstLine="480"/>
      </w:pPr>
      <w:r w:rsidRPr="000A408E">
        <w:t>The most sizeable corporate nuclear energy pledge from Microsoft is a partnership to restart the Three Mile Island Unit 1 reactor (Crane Clean Energy Center) to supply 835 MW of baseload energy for its artificial intelligence operations</w:t>
      </w:r>
      <w:r>
        <w:fldChar w:fldCharType="begin"/>
      </w:r>
      <w:r w:rsidR="00E11FE4">
        <w:instrText xml:space="preserve"> ADDIN ZOTERO_ITEM CSL_CITATION {"citationID":"r6PHcJZZ","properties":{"unsorted":false,"formattedCitation":"[56]","plainCitation":"[56]","noteIndex":0},"citationItems":[{"id":2005,"uris":["http://zotero.org/users/9870935/items/GPXLWD7A"],"itemData":{"id":2005,"type":"article-journal","abstract":"This research investigates the future landscape of cloud computing, concentrating specifically on Microsoft's pioneering underwater data center initiative. With the global demand for cloud services on the rise, there is an urgent need for sustainable and efficient solutions to address the increasing requirements for data storage. Microsoft's underwater data centers, part of Project Natick, are designed to confront these challenges by leveraging the natural cooling capabilities of ocean water, which significantly lowers energy consumption in comparison to conventional land-based facilities. Beyond energy efficiency, these submerged data centers present an opportunity to lessen the environmental footprint associated with extensive data storage, thereby offering a distinctive method for promoting eco-friendly computing. This thorough study assesses the technological innovations, economic feasibility, and environmental consequences of underwater data centers, evaluating their capacity to fulfil the scalability and reliability needs of cloud infrastructure. The research also examines the practicality of large-scale deployment, the challenges of underwater connectivity, and maintenance, and the long-term resilience of the infrastructure. By analyzing findings from Microsoft's pilot projects, this study seeks to enhance understanding of how underwater data centers could transform the future of cloud computing, potentially revolutionizing digital data storage and management in a more sustainable and efficient manner.","issue":"3","language":"en","source":"Zotero","title":"Exploring the Future of Cloud Computing: A Comprehensive Study of Microsoft's Underwater Data Centers","URL":"https://www.taylorfrancis.com/chapters/edit/10.1201/9781003492160-7/exploring-cloud-computing-platforms-metrics-used-compare-cloud-service-providers-parul-dubey-arvind-kumar-tiwari","volume":"12","author":[{"family":"Panchal","given":"Yash"},{"family":"Dubey","given":"Shivam"},{"family":"Pathak","given":"Rashmi"}],"issued":{"date-parts":[["2025"]]}}}],"schema":"https://github.com/citation-style-language/schema/raw/master/csl-citation.json"} </w:instrText>
      </w:r>
      <w:r>
        <w:fldChar w:fldCharType="separate"/>
      </w:r>
      <w:r w:rsidR="00E11FE4" w:rsidRPr="00E11FE4">
        <w:t>[56]</w:t>
      </w:r>
      <w:r>
        <w:fldChar w:fldCharType="end"/>
      </w:r>
      <w:r w:rsidRPr="000A408E">
        <w:t>. In addition, Microsoft has backed Helion Energy, a fusion energy start-up with the goal of making it commercially viable by 2028 and has signed a deal to buy electricity generated by fusion</w:t>
      </w:r>
      <w:r>
        <w:fldChar w:fldCharType="begin"/>
      </w:r>
      <w:r w:rsidR="001B74A6">
        <w:instrText xml:space="preserve"> ADDIN ZOTERO_ITEM CSL_CITATION {"citationID":"8f2UmqPT","properties":{"unsorted":false,"formattedCitation":"[159]","plainCitation":"[159]","noteIndex":0},"citationItems":[{"id":2143,"uris":["http://zotero.org/users/9870935/items/QQ6IISPJ"],"itemData":{"id":2143,"type":"document","title":"U N L O C K I N G FUSION ENERGY","URL":"https://www.adlittle.com/sites/default/files/reports/ADL_Unlocking_fusion_energy_2025%20%281%29.pdf","author":[{"family":"Arthur D. Little","given":""}]}}],"schema":"https://github.com/citation-style-language/schema/raw/master/csl-citation.json"} </w:instrText>
      </w:r>
      <w:r>
        <w:fldChar w:fldCharType="separate"/>
      </w:r>
      <w:r w:rsidR="001B74A6" w:rsidRPr="001B74A6">
        <w:t>[159]</w:t>
      </w:r>
      <w:r>
        <w:fldChar w:fldCharType="end"/>
      </w:r>
      <w:r w:rsidRPr="000A408E">
        <w:t xml:space="preserve">. A second option for nuclear integration with data </w:t>
      </w:r>
      <w:r w:rsidR="00580BAE">
        <w:t>center</w:t>
      </w:r>
      <w:r w:rsidRPr="000A408E">
        <w:t xml:space="preserve">s is small modular reactors (SMRs), which can range in size from 50 to 300 MW and are not expected to be </w:t>
      </w:r>
      <w:r w:rsidR="00030122" w:rsidRPr="000A408E">
        <w:t>commercialized</w:t>
      </w:r>
      <w:r w:rsidRPr="000A408E">
        <w:t xml:space="preserve"> until the 20</w:t>
      </w:r>
      <w:r>
        <w:t>3</w:t>
      </w:r>
      <w:r w:rsidRPr="000A408E">
        <w:t>0s or beyond. Framework alignment: Microsoft's approach is aligned with and validates Component 7 (Resilience and Sustainability) and shows how next-generation technologies will augment renewable energy systems.</w:t>
      </w:r>
    </w:p>
    <w:p w14:paraId="4469E160" w14:textId="77777777" w:rsidR="00FE013C" w:rsidRPr="000A408E" w:rsidRDefault="00FE013C" w:rsidP="004C16FF">
      <w:pPr>
        <w:pStyle w:val="Heading20"/>
        <w:jc w:val="both"/>
        <w:rPr>
          <w:color w:val="auto"/>
        </w:rPr>
      </w:pPr>
      <w:r w:rsidRPr="000A408E">
        <w:rPr>
          <w:color w:val="auto"/>
        </w:rPr>
        <w:t>8.4 Equinix</w:t>
      </w:r>
      <w:r>
        <w:rPr>
          <w:color w:val="auto"/>
        </w:rPr>
        <w:t xml:space="preserve">: </w:t>
      </w:r>
      <w:r w:rsidRPr="000A408E">
        <w:rPr>
          <w:color w:val="auto"/>
        </w:rPr>
        <w:t>Distributed Solar PPAs</w:t>
      </w:r>
    </w:p>
    <w:p w14:paraId="2CF7F2D2" w14:textId="11075888" w:rsidR="00FE013C" w:rsidRPr="000A408E" w:rsidRDefault="00FE013C" w:rsidP="00E11FE4">
      <w:pPr>
        <w:spacing w:after="120"/>
        <w:ind w:firstLine="480"/>
      </w:pPr>
      <w:r w:rsidRPr="000A408E">
        <w:t xml:space="preserve">As a global provider of more than 260 data </w:t>
      </w:r>
      <w:r w:rsidR="00580BAE">
        <w:t>center</w:t>
      </w:r>
      <w:r w:rsidRPr="000A408E">
        <w:t>s in 33 countries, Equinix has taken a multi-location approach to renewable procurement, based on the geographic distribution of its locations. The company has signed more than 350 MW of solar and wind power through PPAs in California, Arizona, Texas, the Midwest U.S. and several European countries. Equinix has also published a sustainability report for 2024, which shows that 96 percent of its global portfolio is covered by renewable energy, and that Equinix will reach 100 percent by 2030</w:t>
      </w:r>
      <w:r>
        <w:fldChar w:fldCharType="begin"/>
      </w:r>
      <w:r w:rsidR="00E11FE4">
        <w:instrText xml:space="preserve"> ADDIN ZOTERO_ITEM CSL_CITATION {"citationID":"xSrZql8g","properties":{"unsorted":false,"formattedCitation":"[59]","plainCitation":"[59]","noteIndex":0},"citationItems":[{"id":2007,"uris":["http://zotero.org/users/9870935/items/KHWRQFNN"],"itemData":{"id":2007,"type":"post-weblog","title":"Sustainability Report 2025","URL":"https://delivery-p112322-e1154416.adobeaemcloud.com/adobe/assets/deliver/urn:aaid:aem:116e6fc1-6217-4132-8fcf-1dc7096396df/Equinix-Inc_2025_Sustainability-Report.pdf","author":[{"family":"Equinix","given":""}]}}],"schema":"https://github.com/citation-style-language/schema/raw/master/csl-citation.json"} </w:instrText>
      </w:r>
      <w:r>
        <w:fldChar w:fldCharType="separate"/>
      </w:r>
      <w:r w:rsidR="00E11FE4" w:rsidRPr="00E11FE4">
        <w:t>[59]</w:t>
      </w:r>
      <w:r>
        <w:fldChar w:fldCharType="end"/>
      </w:r>
      <w:r w:rsidRPr="000A408E">
        <w:t>.</w:t>
      </w:r>
    </w:p>
    <w:p w14:paraId="3F2B3F0D" w14:textId="16ED3163" w:rsidR="00FE013C" w:rsidRPr="000A408E" w:rsidRDefault="00FE013C" w:rsidP="004C16FF">
      <w:pPr>
        <w:spacing w:after="120"/>
        <w:ind w:firstLine="480"/>
      </w:pPr>
      <w:r w:rsidRPr="000A408E">
        <w:t xml:space="preserve">The financial model shows that PPA pricing in the markets at $40 to $60 per MWh, based on long-term (15 to 20 year) contracts, is lower than historical grid rates in most Equinix markets, which yields cost savings and price stability. The company's multi-facility </w:t>
      </w:r>
      <w:r w:rsidR="00030122" w:rsidRPr="000A408E">
        <w:t>loads</w:t>
      </w:r>
      <w:r w:rsidRPr="000A408E">
        <w:t xml:space="preserve"> balancing enables the routing of customer workloads to facilities with different renewable profiles, allowing for a virtual power plant that helps to balance the aggregate renewable variability. However, there are barriers to </w:t>
      </w:r>
      <w:r w:rsidR="00030122" w:rsidRPr="000A408E">
        <w:t>being</w:t>
      </w:r>
      <w:r w:rsidRPr="000A408E">
        <w:t xml:space="preserve"> faced in the part of the world where access to PPA is poor and in the markets where the cost of connecting to the grid is high compared to the savings from electricity. The distributed approach employed by Equinix is found to be a good solution to the two components – Workload Flexibility and Economic Viability – on validation of the framework.</w:t>
      </w:r>
    </w:p>
    <w:p w14:paraId="791EAA9D" w14:textId="77777777" w:rsidR="00FE013C" w:rsidRPr="000A408E" w:rsidRDefault="00FE013C" w:rsidP="004C16FF">
      <w:pPr>
        <w:pStyle w:val="Heading20"/>
        <w:jc w:val="both"/>
        <w:rPr>
          <w:color w:val="auto"/>
        </w:rPr>
      </w:pPr>
      <w:r w:rsidRPr="000A408E">
        <w:rPr>
          <w:color w:val="auto"/>
        </w:rPr>
        <w:t>8.5 Apple</w:t>
      </w:r>
      <w:r>
        <w:rPr>
          <w:color w:val="auto"/>
        </w:rPr>
        <w:t>:</w:t>
      </w:r>
      <w:r w:rsidRPr="000A408E">
        <w:rPr>
          <w:color w:val="auto"/>
        </w:rPr>
        <w:t xml:space="preserve">100 </w:t>
      </w:r>
      <w:r>
        <w:rPr>
          <w:color w:val="auto"/>
        </w:rPr>
        <w:t>P</w:t>
      </w:r>
      <w:r w:rsidRPr="000A408E">
        <w:rPr>
          <w:color w:val="auto"/>
        </w:rPr>
        <w:t xml:space="preserve">ercent </w:t>
      </w:r>
      <w:r>
        <w:rPr>
          <w:color w:val="auto"/>
        </w:rPr>
        <w:t>R</w:t>
      </w:r>
      <w:r w:rsidRPr="000A408E">
        <w:rPr>
          <w:color w:val="auto"/>
        </w:rPr>
        <w:t xml:space="preserve">enewable </w:t>
      </w:r>
      <w:r>
        <w:rPr>
          <w:color w:val="auto"/>
        </w:rPr>
        <w:t>C</w:t>
      </w:r>
      <w:r w:rsidRPr="000A408E">
        <w:rPr>
          <w:color w:val="auto"/>
        </w:rPr>
        <w:t>ommitment</w:t>
      </w:r>
    </w:p>
    <w:p w14:paraId="28844186" w14:textId="7F529451" w:rsidR="00FE013C" w:rsidRPr="000A408E" w:rsidRDefault="00FE013C" w:rsidP="00E11FE4">
      <w:pPr>
        <w:spacing w:after="120"/>
        <w:ind w:firstLine="480"/>
      </w:pPr>
      <w:r w:rsidRPr="000A408E">
        <w:t xml:space="preserve">Apple has now made a full 100% commitment to renewable energy powering </w:t>
      </w:r>
      <w:proofErr w:type="gramStart"/>
      <w:r w:rsidRPr="000A408E">
        <w:t>all of</w:t>
      </w:r>
      <w:proofErr w:type="gramEnd"/>
      <w:r w:rsidRPr="000A408E">
        <w:t xml:space="preserve"> its global operations, including data </w:t>
      </w:r>
      <w:r w:rsidR="00580BAE">
        <w:t>center</w:t>
      </w:r>
      <w:r w:rsidRPr="000A408E">
        <w:t xml:space="preserve">s, corporate buildings, retail stores, and its manufacturing supply chain. The Maiden, North Carolina data </w:t>
      </w:r>
      <w:r w:rsidR="00580BAE">
        <w:t>center</w:t>
      </w:r>
      <w:r w:rsidRPr="000A408E">
        <w:t xml:space="preserve"> is a flagship facility, using 10 MW of Bloom Energy fuel cells and a 100-acre solar array producing around 42 million kWh per year on site. Apple's strategy includes on-site generation (where possible), long-term PPAs, and renewable energy certificates to meet its goals</w:t>
      </w:r>
      <w:r>
        <w:fldChar w:fldCharType="begin"/>
      </w:r>
      <w:r w:rsidR="00E11FE4">
        <w:instrText xml:space="preserve"> ADDIN ZOTERO_ITEM CSL_CITATION {"citationID":"7UxY0Xko","properties":{"unsorted":false,"formattedCitation":"[60]","plainCitation":"[60]","noteIndex":0},"citationItems":[{"id":2010,"uris":["http://zotero.org/users/9870935/items/36ZP5SVZ"],"itemData":{"id":2010,"type":"post-weblog","title":"Environmental Progress Report","URL":"https://www.apple.com/environment/pdf/Apple_Environmental_Progress_Report_2025.pdf","author":[{"family":"Apple","given":""}]}}],"schema":"https://github.com/citation-style-language/schema/raw/master/csl-citation.json"} </w:instrText>
      </w:r>
      <w:r>
        <w:fldChar w:fldCharType="separate"/>
      </w:r>
      <w:r w:rsidR="00E11FE4" w:rsidRPr="00E11FE4">
        <w:t>[60]</w:t>
      </w:r>
      <w:r>
        <w:fldChar w:fldCharType="end"/>
      </w:r>
      <w:r w:rsidRPr="000A408E">
        <w:t>.</w:t>
      </w:r>
    </w:p>
    <w:p w14:paraId="74D26826" w14:textId="3388FC64" w:rsidR="00FE013C" w:rsidRDefault="00FE013C" w:rsidP="00E11FE4">
      <w:pPr>
        <w:spacing w:after="120"/>
        <w:ind w:firstLine="480"/>
      </w:pPr>
      <w:r w:rsidRPr="000A408E">
        <w:t>The price difference for a 100</w:t>
      </w:r>
      <w:r>
        <w:t xml:space="preserve">% </w:t>
      </w:r>
      <w:r w:rsidRPr="000A408E">
        <w:t>renewable power mix is estimated to be 10–20</w:t>
      </w:r>
      <w:r>
        <w:t>%</w:t>
      </w:r>
      <w:r w:rsidRPr="000A408E">
        <w:t xml:space="preserve"> higher than using conventional grid electricity, although Apple claims that efficiencies from self-generated power </w:t>
      </w:r>
      <w:r w:rsidRPr="000A408E">
        <w:lastRenderedPageBreak/>
        <w:t xml:space="preserve">and from the grid via revenue streams mitigate this cost </w:t>
      </w:r>
      <w:r>
        <w:fldChar w:fldCharType="begin"/>
      </w:r>
      <w:r w:rsidR="00E11FE4">
        <w:instrText xml:space="preserve"> ADDIN ZOTERO_ITEM CSL_CITATION {"citationID":"oiRUWADX","properties":{"unsorted":false,"formattedCitation":"[60]","plainCitation":"[60]","noteIndex":0},"citationItems":[{"id":2010,"uris":["http://zotero.org/users/9870935/items/36ZP5SVZ"],"itemData":{"id":2010,"type":"post-weblog","title":"Environmental Progress Report","URL":"https://www.apple.com/environment/pdf/Apple_Environmental_Progress_Report_2025.pdf","author":[{"family":"Apple","given":""}]}}],"schema":"https://github.com/citation-style-language/schema/raw/master/csl-citation.json"} </w:instrText>
      </w:r>
      <w:r>
        <w:fldChar w:fldCharType="separate"/>
      </w:r>
      <w:r w:rsidR="00E11FE4" w:rsidRPr="00E11FE4">
        <w:t>[60]</w:t>
      </w:r>
      <w:r>
        <w:fldChar w:fldCharType="end"/>
      </w:r>
      <w:r w:rsidRPr="000A408E">
        <w:t>. Some of the main issues are the high capital costs of building owned generation, supply chain limitations with renewable equipment, and saturated PPA markets in certain areas. The staged, portfolio approach is a lesson learned in the Apple story that reinforces Component 7 (Sustainability) and underscores the need for long-term strategic planning to meet comprehensive renewable energy goals.</w:t>
      </w:r>
    </w:p>
    <w:p w14:paraId="46F27C08" w14:textId="77777777" w:rsidR="00FE013C" w:rsidRDefault="00FE013C" w:rsidP="004C16FF">
      <w:pPr>
        <w:pStyle w:val="Heading20"/>
        <w:jc w:val="both"/>
        <w:rPr>
          <w:color w:val="auto"/>
        </w:rPr>
      </w:pPr>
      <w:r w:rsidRPr="000A408E">
        <w:rPr>
          <w:color w:val="auto"/>
        </w:rPr>
        <w:t>8.</w:t>
      </w:r>
      <w:r>
        <w:rPr>
          <w:color w:val="auto"/>
        </w:rPr>
        <w:t>6</w:t>
      </w:r>
      <w:r w:rsidRPr="000A408E">
        <w:rPr>
          <w:color w:val="auto"/>
        </w:rPr>
        <w:t xml:space="preserve"> </w:t>
      </w:r>
      <w:r>
        <w:rPr>
          <w:color w:val="auto"/>
        </w:rPr>
        <w:t>Comparative Analysis</w:t>
      </w:r>
    </w:p>
    <w:p w14:paraId="5F8D0D0E" w14:textId="69E7331B" w:rsidR="00FE013C" w:rsidRPr="00680F50" w:rsidRDefault="00FE013C" w:rsidP="004C16FF">
      <w:pPr>
        <w:spacing w:after="120"/>
        <w:ind w:firstLine="480"/>
      </w:pPr>
      <w:r w:rsidRPr="00680F50">
        <w:t xml:space="preserve">Table 6 consolidates the key renewable energy strategies, storage technologies, backup configurations, and estimated LCOE values for the five operators examined in Sections 8.1–8.5. Despite the diversity of approaches, all five companies demonstrate that reliable renewable-powered AI data </w:t>
      </w:r>
      <w:r w:rsidR="00580BAE">
        <w:t>center</w:t>
      </w:r>
      <w:r w:rsidRPr="00680F50">
        <w:t xml:space="preserve"> operations are technically feasible and economically competitive, thus validating the multi-component structure of the proposed framework.</w:t>
      </w:r>
    </w:p>
    <w:p w14:paraId="413ABD3C" w14:textId="6E2B8B66" w:rsidR="00FE013C" w:rsidRDefault="00FE013C" w:rsidP="004C16FF">
      <w:pPr>
        <w:pStyle w:val="Caption"/>
        <w:keepNext/>
      </w:pPr>
      <w:r>
        <w:t xml:space="preserve">Table </w:t>
      </w:r>
      <w:r>
        <w:fldChar w:fldCharType="begin"/>
      </w:r>
      <w:r>
        <w:instrText xml:space="preserve"> SEQ Table \* ARABIC </w:instrText>
      </w:r>
      <w:r>
        <w:fldChar w:fldCharType="separate"/>
      </w:r>
      <w:r w:rsidR="003A3C82">
        <w:rPr>
          <w:noProof/>
        </w:rPr>
        <w:t>8</w:t>
      </w:r>
      <w:r>
        <w:rPr>
          <w:noProof/>
        </w:rPr>
        <w:fldChar w:fldCharType="end"/>
      </w:r>
      <w:r>
        <w:t xml:space="preserve"> </w:t>
      </w:r>
      <w:r w:rsidRPr="0060176D">
        <w:t xml:space="preserve">Comparative </w:t>
      </w:r>
      <w:r>
        <w:t>a</w:t>
      </w:r>
      <w:r w:rsidRPr="0060176D">
        <w:t xml:space="preserve">nalysis of </w:t>
      </w:r>
      <w:r>
        <w:t>i</w:t>
      </w:r>
      <w:r w:rsidRPr="0060176D">
        <w:t xml:space="preserve">ndustry </w:t>
      </w:r>
      <w:r>
        <w:t>c</w:t>
      </w:r>
      <w:r w:rsidRPr="0060176D">
        <w:t xml:space="preserve">ase </w:t>
      </w:r>
      <w:r>
        <w:t>s</w:t>
      </w:r>
      <w:r w:rsidRPr="0060176D">
        <w:t>tudies</w:t>
      </w:r>
    </w:p>
    <w:tbl>
      <w:tblPr>
        <w:tblStyle w:val="Mdeck5tablebodythreelines"/>
        <w:tblW w:w="5000" w:type="pct"/>
        <w:tblLook w:val="04A0" w:firstRow="1" w:lastRow="0" w:firstColumn="1" w:lastColumn="0" w:noHBand="0" w:noVBand="1"/>
      </w:tblPr>
      <w:tblGrid>
        <w:gridCol w:w="1613"/>
        <w:gridCol w:w="1919"/>
        <w:gridCol w:w="1724"/>
        <w:gridCol w:w="1726"/>
        <w:gridCol w:w="1434"/>
        <w:gridCol w:w="1336"/>
      </w:tblGrid>
      <w:tr w:rsidR="00FE013C" w14:paraId="75737415" w14:textId="77777777" w:rsidTr="003C05F8">
        <w:trPr>
          <w:cnfStyle w:val="100000000000" w:firstRow="1" w:lastRow="0" w:firstColumn="0" w:lastColumn="0" w:oddVBand="0" w:evenVBand="0" w:oddHBand="0" w:evenHBand="0" w:firstRowFirstColumn="0" w:firstRowLastColumn="0" w:lastRowFirstColumn="0" w:lastRowLastColumn="0"/>
        </w:trPr>
        <w:tc>
          <w:tcPr>
            <w:tcW w:w="827" w:type="pct"/>
          </w:tcPr>
          <w:p w14:paraId="057A76E6" w14:textId="77777777" w:rsidR="00FE013C" w:rsidRPr="00612AA0" w:rsidRDefault="00FE013C" w:rsidP="004C16FF">
            <w:pPr>
              <w:pStyle w:val="TableBody"/>
              <w:spacing w:line="240" w:lineRule="auto"/>
              <w:jc w:val="both"/>
              <w:rPr>
                <w:b/>
                <w:bCs/>
                <w:snapToGrid w:val="0"/>
                <w:color w:val="auto"/>
                <w:lang w:val="en-US"/>
              </w:rPr>
            </w:pPr>
            <w:r w:rsidRPr="00612AA0">
              <w:rPr>
                <w:b/>
                <w:bCs/>
                <w:snapToGrid w:val="0"/>
                <w:color w:val="auto"/>
                <w:lang w:val="en-US"/>
              </w:rPr>
              <w:t>Organization</w:t>
            </w:r>
          </w:p>
        </w:tc>
        <w:tc>
          <w:tcPr>
            <w:tcW w:w="984" w:type="pct"/>
          </w:tcPr>
          <w:p w14:paraId="46300FB3" w14:textId="77777777" w:rsidR="00FE013C" w:rsidRPr="00612AA0" w:rsidRDefault="00FE013C" w:rsidP="004C16FF">
            <w:pPr>
              <w:pStyle w:val="TableBody"/>
              <w:spacing w:line="240" w:lineRule="auto"/>
              <w:jc w:val="both"/>
              <w:rPr>
                <w:b/>
                <w:bCs/>
                <w:snapToGrid w:val="0"/>
                <w:color w:val="auto"/>
                <w:lang w:val="en-US"/>
              </w:rPr>
            </w:pPr>
            <w:r w:rsidRPr="00612AA0">
              <w:rPr>
                <w:b/>
                <w:bCs/>
                <w:snapToGrid w:val="0"/>
                <w:color w:val="auto"/>
                <w:lang w:val="en-US"/>
              </w:rPr>
              <w:t>Approach</w:t>
            </w:r>
          </w:p>
        </w:tc>
        <w:tc>
          <w:tcPr>
            <w:tcW w:w="884" w:type="pct"/>
          </w:tcPr>
          <w:p w14:paraId="3CD71E12" w14:textId="77777777" w:rsidR="00FE013C" w:rsidRPr="00612AA0" w:rsidRDefault="00FE013C" w:rsidP="004C16FF">
            <w:pPr>
              <w:pStyle w:val="TableBody"/>
              <w:spacing w:line="240" w:lineRule="auto"/>
              <w:jc w:val="both"/>
              <w:rPr>
                <w:b/>
                <w:bCs/>
                <w:snapToGrid w:val="0"/>
                <w:color w:val="auto"/>
                <w:lang w:val="en-US"/>
              </w:rPr>
            </w:pPr>
            <w:r w:rsidRPr="00612AA0">
              <w:rPr>
                <w:b/>
                <w:bCs/>
                <w:snapToGrid w:val="0"/>
                <w:color w:val="auto"/>
                <w:lang w:val="en-US"/>
              </w:rPr>
              <w:t>Renewable %</w:t>
            </w:r>
          </w:p>
        </w:tc>
        <w:tc>
          <w:tcPr>
            <w:tcW w:w="885" w:type="pct"/>
          </w:tcPr>
          <w:p w14:paraId="23A95C6D" w14:textId="77777777" w:rsidR="00FE013C" w:rsidRPr="00612AA0" w:rsidRDefault="00FE013C" w:rsidP="004C16FF">
            <w:pPr>
              <w:pStyle w:val="TableBody"/>
              <w:spacing w:line="240" w:lineRule="auto"/>
              <w:jc w:val="both"/>
              <w:rPr>
                <w:b/>
                <w:bCs/>
                <w:snapToGrid w:val="0"/>
                <w:color w:val="auto"/>
                <w:lang w:val="en-US"/>
              </w:rPr>
            </w:pPr>
            <w:r w:rsidRPr="00612AA0">
              <w:rPr>
                <w:b/>
                <w:bCs/>
                <w:snapToGrid w:val="0"/>
                <w:color w:val="auto"/>
                <w:lang w:val="en-US"/>
              </w:rPr>
              <w:t>Storage</w:t>
            </w:r>
          </w:p>
        </w:tc>
        <w:tc>
          <w:tcPr>
            <w:tcW w:w="735" w:type="pct"/>
          </w:tcPr>
          <w:p w14:paraId="334B8ACE" w14:textId="77777777" w:rsidR="00FE013C" w:rsidRPr="00612AA0" w:rsidRDefault="00FE013C" w:rsidP="004C16FF">
            <w:pPr>
              <w:pStyle w:val="TableBody"/>
              <w:spacing w:line="240" w:lineRule="auto"/>
              <w:jc w:val="both"/>
              <w:rPr>
                <w:b/>
                <w:bCs/>
                <w:snapToGrid w:val="0"/>
                <w:color w:val="auto"/>
                <w:lang w:val="en-US"/>
              </w:rPr>
            </w:pPr>
            <w:r w:rsidRPr="00612AA0">
              <w:rPr>
                <w:b/>
                <w:bCs/>
                <w:snapToGrid w:val="0"/>
                <w:color w:val="auto"/>
                <w:lang w:val="en-US"/>
              </w:rPr>
              <w:t>Backup</w:t>
            </w:r>
          </w:p>
        </w:tc>
        <w:tc>
          <w:tcPr>
            <w:tcW w:w="685" w:type="pct"/>
          </w:tcPr>
          <w:p w14:paraId="7418C611" w14:textId="77777777" w:rsidR="00FE013C" w:rsidRPr="00612AA0" w:rsidRDefault="00FE013C" w:rsidP="004C16FF">
            <w:pPr>
              <w:pStyle w:val="TableBody"/>
              <w:spacing w:line="240" w:lineRule="auto"/>
              <w:jc w:val="both"/>
              <w:rPr>
                <w:b/>
                <w:bCs/>
                <w:snapToGrid w:val="0"/>
                <w:color w:val="auto"/>
                <w:lang w:val="en-US"/>
              </w:rPr>
            </w:pPr>
            <w:r w:rsidRPr="00612AA0">
              <w:rPr>
                <w:b/>
                <w:bCs/>
                <w:snapToGrid w:val="0"/>
                <w:color w:val="auto"/>
                <w:lang w:val="en-US"/>
              </w:rPr>
              <w:t>Est. LCOE</w:t>
            </w:r>
          </w:p>
        </w:tc>
      </w:tr>
      <w:tr w:rsidR="00FE013C" w14:paraId="7B036BF4" w14:textId="77777777" w:rsidTr="003C05F8">
        <w:tc>
          <w:tcPr>
            <w:tcW w:w="827" w:type="pct"/>
          </w:tcPr>
          <w:p w14:paraId="693937D9"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Google</w:t>
            </w:r>
          </w:p>
        </w:tc>
        <w:tc>
          <w:tcPr>
            <w:tcW w:w="984" w:type="pct"/>
          </w:tcPr>
          <w:p w14:paraId="5320612A"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PPAs + Load Shift</w:t>
            </w:r>
          </w:p>
        </w:tc>
        <w:tc>
          <w:tcPr>
            <w:tcW w:w="884" w:type="pct"/>
          </w:tcPr>
          <w:p w14:paraId="1C3C603A"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&gt;64% hourly</w:t>
            </w:r>
          </w:p>
        </w:tc>
        <w:tc>
          <w:tcPr>
            <w:tcW w:w="885" w:type="pct"/>
          </w:tcPr>
          <w:p w14:paraId="53444DFC"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Grid-scale BESS</w:t>
            </w:r>
          </w:p>
        </w:tc>
        <w:tc>
          <w:tcPr>
            <w:tcW w:w="735" w:type="pct"/>
          </w:tcPr>
          <w:p w14:paraId="7E70B03C"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Grid</w:t>
            </w:r>
          </w:p>
        </w:tc>
        <w:tc>
          <w:tcPr>
            <w:tcW w:w="685" w:type="pct"/>
          </w:tcPr>
          <w:p w14:paraId="4425D905"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$40-60/MWh</w:t>
            </w:r>
          </w:p>
        </w:tc>
      </w:tr>
      <w:tr w:rsidR="00FE013C" w14:paraId="3EF64DD8" w14:textId="77777777" w:rsidTr="003C05F8">
        <w:tc>
          <w:tcPr>
            <w:tcW w:w="827" w:type="pct"/>
          </w:tcPr>
          <w:p w14:paraId="4D51795C"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Meta</w:t>
            </w:r>
          </w:p>
        </w:tc>
        <w:tc>
          <w:tcPr>
            <w:tcW w:w="984" w:type="pct"/>
          </w:tcPr>
          <w:p w14:paraId="49A992DE"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Hybrid Fuel Cell</w:t>
            </w:r>
          </w:p>
        </w:tc>
        <w:tc>
          <w:tcPr>
            <w:tcW w:w="884" w:type="pct"/>
          </w:tcPr>
          <w:p w14:paraId="09741D54"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~100% (annual)</w:t>
            </w:r>
          </w:p>
        </w:tc>
        <w:tc>
          <w:tcPr>
            <w:tcW w:w="885" w:type="pct"/>
          </w:tcPr>
          <w:p w14:paraId="4695C85A"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Fuel Cell</w:t>
            </w:r>
          </w:p>
        </w:tc>
        <w:tc>
          <w:tcPr>
            <w:tcW w:w="735" w:type="pct"/>
          </w:tcPr>
          <w:p w14:paraId="7B33FE4E"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Nat Gas</w:t>
            </w:r>
          </w:p>
        </w:tc>
        <w:tc>
          <w:tcPr>
            <w:tcW w:w="685" w:type="pct"/>
          </w:tcPr>
          <w:p w14:paraId="14AFFFD5"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$50-80/MWh</w:t>
            </w:r>
          </w:p>
        </w:tc>
      </w:tr>
      <w:tr w:rsidR="00FE013C" w14:paraId="6CC7FCCE" w14:textId="77777777" w:rsidTr="003C05F8">
        <w:tc>
          <w:tcPr>
            <w:tcW w:w="827" w:type="pct"/>
          </w:tcPr>
          <w:p w14:paraId="0A152B8B"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Microsoft</w:t>
            </w:r>
          </w:p>
        </w:tc>
        <w:tc>
          <w:tcPr>
            <w:tcW w:w="984" w:type="pct"/>
          </w:tcPr>
          <w:p w14:paraId="69341F54"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Modular + Nuclear</w:t>
            </w:r>
          </w:p>
        </w:tc>
        <w:tc>
          <w:tcPr>
            <w:tcW w:w="884" w:type="pct"/>
          </w:tcPr>
          <w:p w14:paraId="0FA2BD53"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TBD</w:t>
            </w:r>
          </w:p>
        </w:tc>
        <w:tc>
          <w:tcPr>
            <w:tcW w:w="885" w:type="pct"/>
          </w:tcPr>
          <w:p w14:paraId="7145CA87"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Nuclear (future)</w:t>
            </w:r>
          </w:p>
        </w:tc>
        <w:tc>
          <w:tcPr>
            <w:tcW w:w="735" w:type="pct"/>
          </w:tcPr>
          <w:p w14:paraId="1D7791C9"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Grid</w:t>
            </w:r>
          </w:p>
        </w:tc>
        <w:tc>
          <w:tcPr>
            <w:tcW w:w="685" w:type="pct"/>
          </w:tcPr>
          <w:p w14:paraId="0F207F80"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TBD</w:t>
            </w:r>
          </w:p>
        </w:tc>
      </w:tr>
      <w:tr w:rsidR="00FE013C" w14:paraId="599B5E34" w14:textId="77777777" w:rsidTr="003C05F8">
        <w:tc>
          <w:tcPr>
            <w:tcW w:w="827" w:type="pct"/>
          </w:tcPr>
          <w:p w14:paraId="4F3A6A97"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Equinix</w:t>
            </w:r>
          </w:p>
        </w:tc>
        <w:tc>
          <w:tcPr>
            <w:tcW w:w="984" w:type="pct"/>
          </w:tcPr>
          <w:p w14:paraId="0F17F129"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Distributed PPAs</w:t>
            </w:r>
          </w:p>
        </w:tc>
        <w:tc>
          <w:tcPr>
            <w:tcW w:w="884" w:type="pct"/>
          </w:tcPr>
          <w:p w14:paraId="248B5E41"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96% (global)</w:t>
            </w:r>
          </w:p>
        </w:tc>
        <w:tc>
          <w:tcPr>
            <w:tcW w:w="885" w:type="pct"/>
          </w:tcPr>
          <w:p w14:paraId="11ABAB79"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Minimal</w:t>
            </w:r>
          </w:p>
        </w:tc>
        <w:tc>
          <w:tcPr>
            <w:tcW w:w="735" w:type="pct"/>
          </w:tcPr>
          <w:p w14:paraId="01DDFBDB"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Grid</w:t>
            </w:r>
          </w:p>
        </w:tc>
        <w:tc>
          <w:tcPr>
            <w:tcW w:w="685" w:type="pct"/>
          </w:tcPr>
          <w:p w14:paraId="3C13AB32"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$35-60/MWh</w:t>
            </w:r>
          </w:p>
        </w:tc>
      </w:tr>
      <w:tr w:rsidR="00FE013C" w14:paraId="6388196F" w14:textId="77777777" w:rsidTr="003C05F8">
        <w:tc>
          <w:tcPr>
            <w:tcW w:w="827" w:type="pct"/>
          </w:tcPr>
          <w:p w14:paraId="3879D4D9"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Apple</w:t>
            </w:r>
          </w:p>
        </w:tc>
        <w:tc>
          <w:tcPr>
            <w:tcW w:w="984" w:type="pct"/>
          </w:tcPr>
          <w:p w14:paraId="34E74826"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Owned + PPAs</w:t>
            </w:r>
          </w:p>
        </w:tc>
        <w:tc>
          <w:tcPr>
            <w:tcW w:w="884" w:type="pct"/>
          </w:tcPr>
          <w:p w14:paraId="27C79FF0"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100% (annual)</w:t>
            </w:r>
          </w:p>
        </w:tc>
        <w:tc>
          <w:tcPr>
            <w:tcW w:w="885" w:type="pct"/>
          </w:tcPr>
          <w:p w14:paraId="304F94A1"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On-site solar</w:t>
            </w:r>
          </w:p>
        </w:tc>
        <w:tc>
          <w:tcPr>
            <w:tcW w:w="735" w:type="pct"/>
          </w:tcPr>
          <w:p w14:paraId="7805A12D"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Rare</w:t>
            </w:r>
          </w:p>
        </w:tc>
        <w:tc>
          <w:tcPr>
            <w:tcW w:w="685" w:type="pct"/>
          </w:tcPr>
          <w:p w14:paraId="0B054080" w14:textId="77777777" w:rsidR="00FE013C" w:rsidRPr="00612AA0" w:rsidRDefault="00FE013C" w:rsidP="004C16FF">
            <w:pPr>
              <w:pStyle w:val="TableBody"/>
              <w:spacing w:line="240" w:lineRule="auto"/>
              <w:jc w:val="both"/>
              <w:rPr>
                <w:b/>
                <w:bCs/>
                <w:color w:val="auto"/>
                <w:lang w:val="en-US"/>
              </w:rPr>
            </w:pPr>
            <w:r w:rsidRPr="00612AA0">
              <w:rPr>
                <w:b/>
                <w:bCs/>
                <w:color w:val="auto"/>
                <w:lang w:val="en-US"/>
              </w:rPr>
              <w:t>$60-90/MWh</w:t>
            </w:r>
          </w:p>
        </w:tc>
      </w:tr>
    </w:tbl>
    <w:p w14:paraId="7744943B" w14:textId="65D60E89" w:rsidR="00FE013C" w:rsidRDefault="00FE013C" w:rsidP="004C16FF">
      <w:pPr>
        <w:spacing w:after="120"/>
        <w:ind w:firstLine="480"/>
      </w:pPr>
      <w:r>
        <w:t xml:space="preserve">The common success factors identified across all five case studies include the following: (1) long-term renewable procurement through PPAs or owned generation, providing price stability and supply certainty; (2) geographic diversification of data </w:t>
      </w:r>
      <w:r w:rsidR="00580BAE">
        <w:t>center</w:t>
      </w:r>
      <w:r>
        <w:t xml:space="preserve"> capacity across regions with complementary renewable resources; (3) active engagement in workload flexibility and load shifting to </w:t>
      </w:r>
      <w:r w:rsidR="00030122">
        <w:t>maximize</w:t>
      </w:r>
      <w:r>
        <w:t xml:space="preserve"> renewable </w:t>
      </w:r>
      <w:r w:rsidR="00030122">
        <w:t>utilization</w:t>
      </w:r>
      <w:r>
        <w:t>; (4) proactive regulatory engagement to shape supportive policy environments; and (5) investment in proprietary technology and control systems that enable sophisticated energy management. These factors collectively validate the multi-component approach proposed in this paper's framework.</w:t>
      </w:r>
    </w:p>
    <w:p w14:paraId="1CF7A4A1" w14:textId="77777777" w:rsidR="00FE013C" w:rsidRDefault="00FE013C" w:rsidP="004C16FF">
      <w:pPr>
        <w:pStyle w:val="Heading10"/>
        <w:jc w:val="both"/>
        <w:rPr>
          <w:color w:val="auto"/>
        </w:rPr>
      </w:pPr>
      <w:r>
        <w:rPr>
          <w:color w:val="auto"/>
          <w:lang w:eastAsia="zh-CN"/>
        </w:rPr>
        <w:t xml:space="preserve">9. </w:t>
      </w:r>
      <w:r>
        <w:rPr>
          <w:color w:val="auto"/>
        </w:rPr>
        <w:t>Technical Challenges and Solutions</w:t>
      </w:r>
    </w:p>
    <w:p w14:paraId="63737E71" w14:textId="77777777" w:rsidR="00FE013C" w:rsidRDefault="00FE013C" w:rsidP="004C16FF">
      <w:pPr>
        <w:spacing w:after="120"/>
        <w:ind w:firstLine="480"/>
      </w:pPr>
      <w:r>
        <w:t>This section provides a detailed examination of the principal technical barriers to high-renewable-penetration data center operation and presents state-of-the-art mitigation strategies. Each challenge is analyzed with respect to its physical basis, impact on system design and operation, and available or emerging solutions.</w:t>
      </w:r>
    </w:p>
    <w:p w14:paraId="60C6999A" w14:textId="77777777" w:rsidR="00FE013C" w:rsidRPr="003F24D0" w:rsidRDefault="00FE013C" w:rsidP="004C16FF">
      <w:pPr>
        <w:pStyle w:val="Heading20"/>
        <w:jc w:val="both"/>
        <w:rPr>
          <w:color w:val="auto"/>
        </w:rPr>
      </w:pPr>
      <w:r w:rsidRPr="003F24D0">
        <w:rPr>
          <w:color w:val="auto"/>
        </w:rPr>
        <w:t>9.1 Intermittency and Predictability</w:t>
      </w:r>
    </w:p>
    <w:p w14:paraId="3DFFA002" w14:textId="7EC5E3C6" w:rsidR="00FE013C" w:rsidRPr="003F24D0" w:rsidRDefault="00FE013C" w:rsidP="001B74A6">
      <w:pPr>
        <w:spacing w:after="120"/>
        <w:ind w:firstLine="480"/>
      </w:pPr>
      <w:r w:rsidRPr="003F24D0">
        <w:t>Solar and wind power are intermittent, and this intermittency can be seen on various timescales ranging from transients on the timescale of seconds or minutes to seasonal fluctuations in the resource. The high errors in day-ahead (10–15</w:t>
      </w:r>
      <w:r>
        <w:t xml:space="preserve">% </w:t>
      </w:r>
      <w:r w:rsidRPr="003F24D0">
        <w:t>MAPE) and intra-hour forecasts (5–10</w:t>
      </w:r>
      <w:r>
        <w:t xml:space="preserve">% </w:t>
      </w:r>
      <w:r w:rsidRPr="003F24D0">
        <w:t xml:space="preserve">MAPE) introduce uncertainty in dispatch planning, which must be addressed through the use of storage, demand </w:t>
      </w:r>
      <w:r w:rsidRPr="003F24D0">
        <w:lastRenderedPageBreak/>
        <w:t>response, and grid interconnection</w:t>
      </w:r>
      <w:r>
        <w:fldChar w:fldCharType="begin"/>
      </w:r>
      <w:r w:rsidR="001B74A6">
        <w:instrText xml:space="preserve"> ADDIN ZOTERO_ITEM CSL_CITATION {"citationID":"B5ImwyE7","properties":{"unsorted":false,"formattedCitation":"[143]","plainCitation":"[143]","noteIndex":0},"citationItems":[{"id":2112,"uris":["http://zotero.org/users/9870935/items/YCQ57T5E"],"itemData":{"id":2112,"type":"article-journal","container-title":"Progress in Energy and Combustion Science","DOI":"10.1016/j.pecs.2013.06.002","ISSN":"03601285","issue":"6","journalAbbreviation":"Progress in Energy and Combustion Science","language":"en","page":"535-576","source":"DOI.org (Crossref)","title":"Solar forecasting methods for renewable energy integration","volume":"39","author":[{"family":"Inman","given":"Rich H."},{"family":"Pedro","given":"Hugo T.C."},{"family":"Coimbra","given":"Carlos F.M."}],"issued":{"date-parts":[["2013",12]]}}}],"schema":"https://github.com/citation-style-language/schema/raw/master/csl-citation.json"} </w:instrText>
      </w:r>
      <w:r>
        <w:fldChar w:fldCharType="separate"/>
      </w:r>
      <w:r w:rsidR="001B74A6" w:rsidRPr="001B74A6">
        <w:t>[143]</w:t>
      </w:r>
      <w:r>
        <w:fldChar w:fldCharType="end"/>
      </w:r>
      <w:r w:rsidRPr="003F24D0">
        <w:t>. The storage duration needed to meet typical shortfalls in renewables varies with the resource profile, with solar-only systems needing 4 to 8 hours of storage to meet evening peak requirements, and wind-dominated systems in regions with 24 to 72 hours of storage lulls needing 24 to 72 hours of storage</w:t>
      </w:r>
      <w:r>
        <w:fldChar w:fldCharType="begin"/>
      </w:r>
      <w:r w:rsidR="00B73641">
        <w:instrText xml:space="preserve"> ADDIN ZOTERO_ITEM CSL_CITATION {"citationID":"AurF55j7","properties":{"unsorted":false,"formattedCitation":"[85]","plainCitation":"[85]","noteIndex":0},"citationItems":[{"id":2031,"uris":["http://zotero.org/users/9870935/items/AC53WR7L"],"itemData":{"id":2031,"type":"article-journal","abstract":"The demand for computing power has increased at a rate never seen before due to the quick development of artificial intelligence (AI) technologies and applications. Consequently, AI data centers, referring to computing facilities specifically designed for large-scale artificial intelligence workloads, have become one of the fastest-growing electricity consumers globally. Therefore, it is essential to understand the load characteristics of AI data centers and their impact on the grid. This paper provides a comprehensive review of the evolving energy landscape of AI data centers. Specifically, this paper (i) presents the energy consumption structure in AI data centers and analyzes the key workload features and patterns in four stages, emphasizing how high power density, temporal variability, and cooling requirements shape total energy use, (ii) examines the impacts of AI data centers for power systems, including impacts on grid stability, reliability and power quality, electricity markets and pricing, economic dispatch and reserve scheduling, and infrastructure planning and coordination, (iii) presents key technological, operational and sustainability challenges for AI data centers, including renewable energy integration, waste heat utilization, carbon-neutral operation, and water–energy nexus constraints, (iv) evaluates emerging solutions and opportunities, spanning grid-side measures, data-center-side strategies, and user-side demand-flexibility mechanisms, (v) identifies future research priorities and policy directions to enable the sustainable co-evolution of AI infrastructure and electric power systems. The review aims to support utilities, system operators, and researchers in maintaining reliable, resilient, and sustainable grid operation in the context of the rapid development of AI data centers.","container-title":"Energies","DOI":"10.3390/en19030722","ISSN":"1996-1073","issue":"3","journalAbbreviation":"Energies","language":"en","page":"722","source":"DOI.org (Crossref)","title":"Power for AI Data Centers: Energy Demand, Grid Impacts, Challenges and Perspectives","title-short":"Power for AI Data Centers","volume":"19","author":[{"family":"Sheng","given":"Yu"},{"family":"Zhang","given":"Chenxuan"},{"family":"Zhu","given":"Zixuan"},{"family":"Xu","given":"Hongyi"},{"family":"Wen","given":"Junqi"},{"family":"Wang","given":"Ruoheng"},{"family":"Yang","given":"Jianjun"},{"family":"Wang","given":"Qin"},{"family":"Bu","given":"Siqi"}],"issued":{"date-parts":[["2026",1,29]]}}}],"schema":"https://github.com/citation-style-language/schema/raw/master/csl-citation.json"} </w:instrText>
      </w:r>
      <w:r>
        <w:fldChar w:fldCharType="separate"/>
      </w:r>
      <w:r w:rsidR="00B73641" w:rsidRPr="00B73641">
        <w:t>[85]</w:t>
      </w:r>
      <w:r>
        <w:fldChar w:fldCharType="end"/>
      </w:r>
      <w:r w:rsidRPr="003F24D0">
        <w:t>.</w:t>
      </w:r>
    </w:p>
    <w:p w14:paraId="12AA3842" w14:textId="0C50A5DE" w:rsidR="00FE013C" w:rsidRPr="003F24D0" w:rsidRDefault="00FE013C" w:rsidP="007D29E8">
      <w:pPr>
        <w:spacing w:after="120"/>
        <w:ind w:firstLine="480"/>
      </w:pPr>
      <w:r w:rsidRPr="003F24D0">
        <w:t xml:space="preserve">The use of geographic diversity in dispersed facilities offers a strong tool for </w:t>
      </w:r>
      <w:r w:rsidR="00030122" w:rsidRPr="003F24D0">
        <w:t>minimizing</w:t>
      </w:r>
      <w:r w:rsidRPr="003F24D0">
        <w:t xml:space="preserve"> overall variability. Spatial smoothing from facilities with distances greater than 500 km can lower the coefficient of variation of combined renewable energy generation by 40–60</w:t>
      </w:r>
      <w:r>
        <w:t xml:space="preserve">% </w:t>
      </w:r>
      <w:r w:rsidRPr="003F24D0">
        <w:t>compared to a single-site deployment</w:t>
      </w:r>
      <w:r>
        <w:fldChar w:fldCharType="begin"/>
      </w:r>
      <w:r w:rsidR="007D29E8">
        <w:instrText xml:space="preserve"> ADDIN ZOTERO_ITEM CSL_CITATION {"citationID":"ntStXCHv","properties":{"unsorted":false,"formattedCitation":"[106]","plainCitation":"[106]","noteIndex":0},"citationItems":[{"id":2063,"uris":["http://zotero.org/users/9870935/items/47PEXHYC"],"itemData":{"id":2063,"type":"article-journal","container-title":"Communications Earth &amp; Environment","DOI":"10.1038/s43247-024-01850-5","ISSN":"2662-4435","issue":"1","journalAbbreviation":"Commun Earth Environ","language":"en","page":"661","source":"DOI.org (Crossref)","title":"Renewable energy quality trilemma and coincident wind and solar droughts","volume":"5","author":[{"family":"Li","given":"Mingquan"},{"family":"Ma","given":"Qingyuan"},{"family":"Shan","given":"Rui"},{"family":"Abdulla","given":"Ahmed"},{"family":"Virguez","given":"Edgar"},{"family":"Gao","given":"Shuo"},{"family":"Patiño-Echeverri","given":"Dalia"}],"issued":{"date-parts":[["2024",11,6]]}}}],"schema":"https://github.com/citation-style-language/schema/raw/master/csl-citation.json"} </w:instrText>
      </w:r>
      <w:r>
        <w:fldChar w:fldCharType="separate"/>
      </w:r>
      <w:r w:rsidR="007D29E8" w:rsidRPr="007D29E8">
        <w:t>[106]</w:t>
      </w:r>
      <w:r>
        <w:fldChar w:fldCharType="end"/>
      </w:r>
      <w:r w:rsidRPr="003F24D0">
        <w:t>. For multi-facility operators, this natural smoothing effect reduces the need for per-facility storage and allows for more efficient use of common grid interconnection capacity. The use of advanced forecasting techniques, such as ensemble numerical weather prediction and cloud tracking using satellites, has further enhanced the predictability of weather events, with machine learning post-processing reducing the MAPE by up to 15–25</w:t>
      </w:r>
      <w:r>
        <w:t>%</w:t>
      </w:r>
      <w:r>
        <w:fldChar w:fldCharType="begin"/>
      </w:r>
      <w:r w:rsidR="001B74A6">
        <w:instrText xml:space="preserve"> ADDIN ZOTERO_ITEM CSL_CITATION {"citationID":"0CGGN4om","properties":{"unsorted":false,"formattedCitation":"[160]","plainCitation":"[160]","noteIndex":0},"citationItems":[{"id":217,"uris":["http://zotero.org/users/9870935/items/MST8XCTD"],"itemData":{"id":217,"type":"article-journal","container-title":"IEEE Access","DOI":"10.1109/ACCESS.2023.3314742","ISSN":"2169-3536","journalAbbreviation":"IEEE Access","license":"https://creativecommons.org/licenses/by-nc-nd/4.0/","page":"100438-100457","source":"DOI.org (Crossref)","title":"Harmonics Forecasting of Wind and Solar Hybrid Model Based on Deep Machine Learning","volume":"11","author":[{"family":"Hadi","given":"Fawaz M. Al"},{"family":"Aly","given":"Hamed H."},{"family":"Little","given":"Timothy"}],"issued":{"date-parts":[["2023"]]}}}],"schema":"https://github.com/citation-style-language/schema/raw/master/csl-citation.json"} </w:instrText>
      </w:r>
      <w:r>
        <w:fldChar w:fldCharType="separate"/>
      </w:r>
      <w:r w:rsidR="001B74A6" w:rsidRPr="001B74A6">
        <w:t>[160]</w:t>
      </w:r>
      <w:r>
        <w:fldChar w:fldCharType="end"/>
      </w:r>
      <w:r w:rsidRPr="003F24D0">
        <w:t>.</w:t>
      </w:r>
    </w:p>
    <w:p w14:paraId="273CF30D" w14:textId="77777777" w:rsidR="00FE013C" w:rsidRPr="00820A59" w:rsidRDefault="00FE013C" w:rsidP="004C16FF">
      <w:pPr>
        <w:pStyle w:val="Heading20"/>
        <w:jc w:val="both"/>
        <w:rPr>
          <w:color w:val="auto"/>
        </w:rPr>
      </w:pPr>
      <w:r w:rsidRPr="00820A59">
        <w:rPr>
          <w:color w:val="auto"/>
        </w:rPr>
        <w:t>9.2 Grid Stability and Frequency Control</w:t>
      </w:r>
    </w:p>
    <w:p w14:paraId="6845009A" w14:textId="77777777" w:rsidR="00FE013C" w:rsidRPr="003F24D0" w:rsidRDefault="00FE013C" w:rsidP="004C16FF">
      <w:pPr>
        <w:spacing w:after="120"/>
        <w:ind w:firstLine="480"/>
      </w:pPr>
      <w:r w:rsidRPr="003F24D0">
        <w:t>Synchronous generators are being replaced by inverter-based resources, which diminishes the natural inertia that helps regulate grid frequency when disturbances occur, making it more difficult to maintain the frequency within acceptable limits. With high levels of renewable generation (above 50</w:t>
      </w:r>
      <w:r>
        <w:t>%</w:t>
      </w:r>
      <w:r w:rsidRPr="003F24D0">
        <w:t>), the rate of change of frequency (</w:t>
      </w:r>
      <w:proofErr w:type="spellStart"/>
      <w:r w:rsidRPr="003F24D0">
        <w:t>RoCoF</w:t>
      </w:r>
      <w:proofErr w:type="spellEnd"/>
      <w:r w:rsidRPr="003F24D0">
        <w:t>) after a generator trip or load change may be beyond traditional governor-based frequency response, which can lead to load shedding or cascading events. The response time of grid-forming inverters is milliseconds, as opposed to seconds, making them more responsive to the effects of inertia than synchronous machines, and can be achieved using control algorithms that replicate the inertial reaction of a synchronous machine</w:t>
      </w:r>
      <w:r>
        <w:fldChar w:fldCharType="begin"/>
      </w:r>
      <w:r>
        <w:instrText xml:space="preserve"> ADDIN ZOTERO_ITEM CSL_CITATION {"citationID":"Anw73x1P","properties":{"unsorted":false,"formattedCitation":"[18]","plainCitation":"[18]","noteIndex":0},"citationItems":[{"id":1927,"uris":["http://zotero.org/users/9870935/items/PZK7R79L"],"itemData":{"id":1927,"type":"article-journal","abstract":"The penetration of distributed energy resources in electrical grids has been steadily increasing in an effort to reduce greenhouse gas emissions. Inverters, as interfaces between distributed energy resources and grids, have become critical assets in modern power systems. In recent years, the development and application of grid-forming inverters have gained significant traction due to their capability of supporting power grid operations. A comprehensive review of grid-forming inverters is presented for power system applications. A comparison between grid-forming inverters and grid-following inverters is conducted in terms of their functionalities to highlight the potential of grid-forming inverter technologies in support of power system stability and resiliency. In addition, advanced control strategies integrated into grid-forming inverters under various operation conditions are presented through reviewing the innovations introduced in recent literature and in industrial applications. This paper is intended to provide an updated reference regarding grid-forming inverters for power system applications to researchers and practitioners in the field of power electronics.","container-title":"Chinese Journal of Electrical Engineering","DOI":"10.23919/CJEE.2022.000001","ISSN":"2096-1529","issue":"1","journalAbbreviation":"Chin. J. Electr. Eng.","language":"en","page":"1-15","source":"DOI.org (Crossref)","title":"Review of Grid-forming Inverters in Support of Power System Operation","volume":"8","author":[{"family":"Song","given":"Guanhong"},{"family":"Cao","given":"Bo"},{"family":"Chang","given":"Liuchen"}],"issued":{"date-parts":[["2022",3]]}}}],"schema":"https://github.com/citation-style-language/schema/raw/master/csl-citation.json"} </w:instrText>
      </w:r>
      <w:r>
        <w:fldChar w:fldCharType="separate"/>
      </w:r>
      <w:r w:rsidRPr="001A7127">
        <w:t>[18]</w:t>
      </w:r>
      <w:r>
        <w:fldChar w:fldCharType="end"/>
      </w:r>
      <w:r w:rsidRPr="003F24D0">
        <w:t>.</w:t>
      </w:r>
    </w:p>
    <w:p w14:paraId="3A350DB4" w14:textId="1C4A2085" w:rsidR="00FE013C" w:rsidRPr="003F24D0" w:rsidRDefault="00FE013C" w:rsidP="001B74A6">
      <w:pPr>
        <w:spacing w:after="120"/>
        <w:ind w:firstLine="480"/>
      </w:pPr>
      <w:r w:rsidRPr="003F24D0">
        <w:t xml:space="preserve">Weak grid conditions, where the short circuit ratio at the point of interconnection is low, also pose stability issues. In such cases, the voltage at the point of interconnection is significantly affected by the output of the renewable plant, and grid-following inverters with PLL control can display instability or oscillatory operation. These solutions involve the deployment of grid-forming inverters, synchronous condensers (rotating masses without generation capacity) that provide inertia and reactive power support, STATCOM devices for dynamic voltage regulation, and the fast frequency response of battery systems that can inject or absorb power in sub-second time </w:t>
      </w:r>
      <w:r>
        <w:fldChar w:fldCharType="begin"/>
      </w:r>
      <w:r w:rsidR="001B74A6">
        <w:instrText xml:space="preserve"> ADDIN ZOTERO_ITEM CSL_CITATION {"citationID":"MGfld3cH","properties":{"unsorted":false,"formattedCitation":"[162]","plainCitation":"[162]","noteIndex":0},"citationItems":[{"id":1100,"uris":["http://zotero.org/users/9870935/items/E7VUD4ZH"],"itemData":{"id":1100,"type":"article-journal","abstract":"Abstract\n            \n              The worldwide electricity network is undergoing a crucial transformation, shifting from traditional synchronous generators to inverter‐based renewable energy sources (IRESs). This shift is expected to reduce the grid's available fault level (AFL), potentially impacting grid functionality, particularly during the integration of IRESs into weak grids. This paper examines the challenges associated with weak grids, focusing on the steady‐state and dynamic stability of IRES when integrated into these systems. In the steady‐state analysis, the effects of AFL, injected power volume, and grid characteristics on the steady‐state voltage at the point of interconnection were explored. For dynamic stability, eigenvalue and\n              H\n              2\n              norm analyses are used for evaluation. Sensitivity analysis is conducted to assess the impact of these factors on the stability of IRESs connected to weak grids. A detailed case study using the IEEE 39 bus test power system is included to demonstrate our findings, where the steady‐state and dynamic stability of IRES connected to the test system are assessed using the proposed methods. The accuracy of these analyses is confirmed by extensive simulation studies on the OPAL‐RT real‐time digital simulator platform.","container-title":"IET Energy Systems Integration","DOI":"10.1049/esi2.12151","ISSN":"2516-8401, 2516-8401","issue":"4","journalAbbreviation":"IET Energy Syst Integration","language":"en","page":"525-544","source":"DOI.org (Crossref)","title":"Stability assessment of inverter‐based renewable energy sources integrated to weak grids","volume":"6","author":[{"family":"Saleem","given":"M. I."},{"family":"Saha","given":"S."},{"family":"Izhar","given":"U."},{"family":"Ang","given":"L."}],"issued":{"date-parts":[["2024",12]]}}}],"schema":"https://github.com/citation-style-language/schema/raw/master/csl-citation.json"} </w:instrText>
      </w:r>
      <w:r>
        <w:fldChar w:fldCharType="separate"/>
      </w:r>
      <w:r w:rsidR="001B74A6" w:rsidRPr="001B74A6">
        <w:t>[162]</w:t>
      </w:r>
      <w:r>
        <w:fldChar w:fldCharType="end"/>
      </w:r>
      <w:r w:rsidRPr="003F24D0">
        <w:t>.</w:t>
      </w:r>
    </w:p>
    <w:p w14:paraId="205B929A" w14:textId="77777777" w:rsidR="00FE013C" w:rsidRPr="00CD0542" w:rsidRDefault="00FE013C" w:rsidP="004C16FF">
      <w:pPr>
        <w:pStyle w:val="Heading20"/>
        <w:jc w:val="both"/>
        <w:rPr>
          <w:color w:val="auto"/>
        </w:rPr>
      </w:pPr>
      <w:r>
        <w:rPr>
          <w:color w:val="auto"/>
        </w:rPr>
        <w:t xml:space="preserve">9.3 </w:t>
      </w:r>
      <w:r w:rsidRPr="00CD0542">
        <w:rPr>
          <w:color w:val="auto"/>
        </w:rPr>
        <w:t>Power quality and Harmonic Distortion</w:t>
      </w:r>
    </w:p>
    <w:p w14:paraId="7413DA1C" w14:textId="63B80CAB" w:rsidR="00FE013C" w:rsidRPr="003F24D0" w:rsidRDefault="00FE013C" w:rsidP="00E11FE4">
      <w:pPr>
        <w:spacing w:after="120"/>
        <w:ind w:firstLine="480"/>
      </w:pPr>
      <w:r w:rsidRPr="003F24D0">
        <w:t xml:space="preserve">Data </w:t>
      </w:r>
      <w:r w:rsidR="00580BAE">
        <w:t>center</w:t>
      </w:r>
      <w:r w:rsidRPr="003F24D0">
        <w:t xml:space="preserve"> loads contribute harmonics in several ways: SMPSs consume non-sinusoidal current that includes harmonics of the third, fifth, and seventh orders; VFDs that are used for cooling systems introduce harmonics related to their switching frequency; and renewable inverters with pulse-width modulation (PWM) switching create harmonics linked to their switching patterns. The cumulative impact of many individual loads can cause THD to be greater than the IEEE 519 standard of 5</w:t>
      </w:r>
      <w:r>
        <w:t xml:space="preserve">% </w:t>
      </w:r>
      <w:r w:rsidRPr="003F24D0">
        <w:t>at the POC, especially when the load is light and the harmonic currents are significant portions of the total current</w:t>
      </w:r>
      <w:r>
        <w:fldChar w:fldCharType="begin"/>
      </w:r>
      <w:r w:rsidR="00E11FE4">
        <w:instrText xml:space="preserve"> ADDIN ZOTERO_ITEM CSL_CITATION {"citationID":"UtPmplxF","properties":{"unsorted":false,"formattedCitation":"[51]","plainCitation":"[51]","noteIndex":0},"citationItems":[{"id":1993,"uris":["http://zotero.org/users/9870935/items/2D54TKGT"],"itemData":{"id":1993,"type":"paper-conference","container-title":"2024 21st International Conference on Harmonics and Quality of Power (ICHQP)","DOI":"10.1109/ICHQP61174.2024.10768696","event-title":"2024 21st International Conference on Harmonics and Quality of Power (ICHQP)","ISBN":"979-8-3503-8256-3","license":"https://doi.org/10.15223/policy-029","page":"415-420","publisher":"IEEE","publisher-place":"Chengdu, China","source":"DOI.org (Crossref)","title":"Review of revisions of IEEE 519 Standard on Power System Harmonics (1981 to 2022)","URL":"https://ieeexplore.ieee.org/document/10768696/","author":[{"family":"Shelar","given":"Sachin"},{"family":"Bankar","given":"Deepak"},{"family":"Bakre","given":"Shashikant"}],"accessed":{"date-parts":[["2026",5,16]]},"issued":{"date-parts":[["2024",10,15]]}}}],"schema":"https://github.com/citation-style-language/schema/raw/master/csl-citation.json"} </w:instrText>
      </w:r>
      <w:r>
        <w:fldChar w:fldCharType="separate"/>
      </w:r>
      <w:r w:rsidR="00E11FE4" w:rsidRPr="00E11FE4">
        <w:t>[51]</w:t>
      </w:r>
      <w:r>
        <w:fldChar w:fldCharType="end"/>
      </w:r>
      <w:r w:rsidRPr="003F24D0">
        <w:t>.</w:t>
      </w:r>
    </w:p>
    <w:p w14:paraId="38A35EE8" w14:textId="79CA68F4" w:rsidR="00FE013C" w:rsidRPr="003F24D0" w:rsidRDefault="00FE013C" w:rsidP="000B0F03">
      <w:pPr>
        <w:spacing w:after="120"/>
        <w:ind w:firstLine="480"/>
      </w:pPr>
      <w:r w:rsidRPr="003F24D0">
        <w:t>Active power filters (APFs) continuously monitor harmonic currents and feed the compensating currents into the system, resulting in a reduction of THD down to less than 3</w:t>
      </w:r>
      <w:r>
        <w:t>%</w:t>
      </w:r>
      <w:r w:rsidRPr="003F24D0">
        <w:t xml:space="preserve">; multi-pulse rectifiers (12-pulse, 18-pulse, or 24-pulse) are a natural solution for cancellation of low-order harmonics through phase-shifting transformer configurations; passive LC filters tuned to the harmonic frequencies are </w:t>
      </w:r>
      <w:r w:rsidRPr="003F24D0">
        <w:lastRenderedPageBreak/>
        <w:t xml:space="preserve">other solutions that are available. In the case of renewable-powered data </w:t>
      </w:r>
      <w:r w:rsidR="00580BAE">
        <w:t>center</w:t>
      </w:r>
      <w:r w:rsidRPr="003F24D0">
        <w:t>s, a combination of inverter harmonics and load harmonics requires system-level analysis using harmonic impedance scanning and frequency-domain simulation to determine the resonance conditions that may amplify harmonics of interest</w:t>
      </w:r>
      <w:r>
        <w:fldChar w:fldCharType="begin"/>
      </w:r>
      <w:r w:rsidR="000B0F03">
        <w:instrText xml:space="preserve"> ADDIN ZOTERO_ITEM CSL_CITATION {"citationID":"NFe4OOQX","properties":{"unsorted":false,"formattedCitation":"[62]","plainCitation":"[62]","noteIndex":0},"citationItems":[{"id":2101,"uris":["http://zotero.org/users/9870935/items/VB4B8XL6"],"itemData":{"id":2101,"type":"book","DOI":"10.1002/9781118887059","edition":"1","ISBN":"978-1-118-86162-2","language":"en","publisher":"Wiley","source":"DOI.org (Crossref)","title":"Power System Harmonics and Passive Filter Designs","URL":"https://onlinelibrary.wiley.com/doi/book/10.1002/9781118887059","author":[{"family":"Das","given":"J. C."}],"accessed":{"date-parts":[["2026",5,18]]},"issued":{"date-parts":[["2015",3,16]]}}}],"schema":"https://github.com/citation-style-language/schema/raw/master/csl-citation.json"} </w:instrText>
      </w:r>
      <w:r>
        <w:fldChar w:fldCharType="separate"/>
      </w:r>
      <w:r w:rsidR="000B0F03" w:rsidRPr="000B0F03">
        <w:t>[62]</w:t>
      </w:r>
      <w:r>
        <w:fldChar w:fldCharType="end"/>
      </w:r>
      <w:r w:rsidRPr="003F24D0">
        <w:t>.</w:t>
      </w:r>
    </w:p>
    <w:p w14:paraId="6E7CB223" w14:textId="77777777" w:rsidR="00FE013C" w:rsidRPr="00FC528D" w:rsidRDefault="00FE013C" w:rsidP="004C16FF">
      <w:pPr>
        <w:pStyle w:val="Heading20"/>
        <w:jc w:val="both"/>
        <w:rPr>
          <w:color w:val="auto"/>
        </w:rPr>
      </w:pPr>
      <w:r w:rsidRPr="00FC528D">
        <w:rPr>
          <w:color w:val="auto"/>
        </w:rPr>
        <w:t>9.4 Grid Interconnection Complexity</w:t>
      </w:r>
    </w:p>
    <w:p w14:paraId="40CAC9F9" w14:textId="43A0DA5A" w:rsidR="00FE013C" w:rsidRPr="003F24D0" w:rsidRDefault="00FE013C" w:rsidP="004C16FF">
      <w:pPr>
        <w:spacing w:after="120"/>
        <w:ind w:firstLine="480"/>
      </w:pPr>
      <w:r w:rsidRPr="003F24D0">
        <w:t xml:space="preserve">Grid interconnection remains one of the biggest hurdles to the deployment of renewable energy at the scale of data </w:t>
      </w:r>
      <w:r w:rsidR="00580BAE">
        <w:t>center</w:t>
      </w:r>
      <w:r w:rsidRPr="003F24D0">
        <w:t>s. Interconnection queues have increased significantly in crowded grid areas; for example, the interconnection queue at CAISO has grown to over 2,000 projects representing more than 1,000 GW of proposed capacity, and the interconnection queue at PJM has grown to more than 3,000 projects. The general interconnection timeline is 2 to 4 years and involves feasibility study (3 to 6 months), system impact study (6 to 12 months), facilities study (6 to 12 months), and construction (12 to 24 months). Project costs may vary from $50,000 for simple distribution level interconnections to $500,000 or more for projects involving distribution or transmission-level grid upgrades</w:t>
      </w:r>
      <w:r>
        <w:fldChar w:fldCharType="begin"/>
      </w:r>
      <w:r>
        <w:instrText xml:space="preserve"> ADDIN ZOTERO_ITEM CSL_CITATION {"citationID":"RlODVJTM","properties":{"unsorted":false,"formattedCitation":"[24]","plainCitation":"[24]","noteIndex":0},"citationItems":[{"id":1948,"uris":["http://zotero.org/users/9870935/items/H8VJGQHI"],"itemData":{"id":1948,"type":"post-weblog","title":"Improvements to Generator Interconnection Procedures and Agreements","URL":"https://www.federalregister.gov/documents/2023/09/06/2023-16628/improvements-to-generator-interconnection-procedures-and-agreements","accessed":{"date-parts":[["2023",9,6]]}}}],"schema":"https://github.com/citation-style-language/schema/raw/master/csl-citation.json"} </w:instrText>
      </w:r>
      <w:r>
        <w:fldChar w:fldCharType="separate"/>
      </w:r>
      <w:r w:rsidRPr="009B3EC2">
        <w:t>[24]</w:t>
      </w:r>
      <w:r>
        <w:fldChar w:fldCharType="end"/>
      </w:r>
      <w:r w:rsidRPr="003F24D0">
        <w:t>.</w:t>
      </w:r>
    </w:p>
    <w:p w14:paraId="3EB3269B" w14:textId="5EAE7A84" w:rsidR="00FE013C" w:rsidRPr="003F24D0" w:rsidRDefault="00FE013C" w:rsidP="001B74A6">
      <w:pPr>
        <w:spacing w:after="120"/>
        <w:ind w:firstLine="480"/>
      </w:pPr>
      <w:r w:rsidRPr="003F24D0">
        <w:t>FERC Order 2023, issued in July 2023, is designed to resolve interconnection delays in several ways, including setting a uniform timeframe for the completion of studies (180 days for cluster studies), identifying pre-certified equipment categories that would be exempt from detailed individual studies, and making changes to how the costs of upgrades are shared, moving shared upgrade costs to the requesting parties</w:t>
      </w:r>
      <w:r>
        <w:fldChar w:fldCharType="begin"/>
      </w:r>
      <w:r w:rsidR="001B74A6">
        <w:instrText xml:space="preserve"> ADDIN ZOTERO_ITEM CSL_CITATION {"citationID":"kbAiY4Ky","properties":{"unsorted":false,"formattedCitation":"[163]","plainCitation":"[163]","noteIndex":0},"citationItems":[{"id":2146,"uris":["http://zotero.org/users/9870935/items/FR4FPZ9U"],"itemData":{"id":2146,"type":"article-journal","language":"en","source":"Zotero","title":"Beyond FERC Order 2023: Considerations on Deep Interconnection Reform","URL":"https://www.researchgate.net/publication/382074664_Beyond_FERC_Order_2023_Considerations_on_Deep_Interconnection_Reform","author":[{"family":"Institute","given":"Nicholas"}]}}],"schema":"https://github.com/citation-style-language/schema/raw/master/csl-citation.json"} </w:instrText>
      </w:r>
      <w:r>
        <w:fldChar w:fldCharType="separate"/>
      </w:r>
      <w:r w:rsidR="001B74A6" w:rsidRPr="001B74A6">
        <w:t>[163]</w:t>
      </w:r>
      <w:r>
        <w:fldChar w:fldCharType="end"/>
      </w:r>
      <w:r w:rsidRPr="003F24D0">
        <w:t>. IEEE 1547-2018 provides technical requirements for the interconnection of distributed energy resources (DERs), such as anti-islanding protection, voltage and frequency ride-through, and power quality limits, while IEEE 2800-2022 specifies the performance requirements for larger IBDERs at transmission voltage levels</w:t>
      </w:r>
      <w:r>
        <w:fldChar w:fldCharType="begin"/>
      </w:r>
      <w:r w:rsidR="00E11FE4">
        <w:instrText xml:space="preserve"> ADDIN ZOTERO_ITEM CSL_CITATION {"citationID":"aTXS1liU","properties":{"unsorted":false,"formattedCitation":"[50]","plainCitation":"[50]","noteIndex":0},"citationItems":[{"id":1990,"uris":["http://zotero.org/users/9870935/items/XCEZUJHB"],"itemData":{"id":1990,"type":"standard","DOI":"10.1109/IEEESTD.2022.9762253","ISBN":"978-1-5044-8462-6","license":"https://doi.org/10.15223/policy-029","publisher":"IEEE","source":"DOI.org (Crossref)","title":"IEEE Standard for Interconnection and Interoperability of Inverter-Based Resources (IBRs) Interconnecting with Associated Transmission Electric Power Systems","URL":"https://ieeexplore.ieee.org/document/9762253/","accessed":{"date-parts":[["2026",5,16]]}}}],"schema":"https://github.com/citation-style-language/schema/raw/master/csl-citation.json"} </w:instrText>
      </w:r>
      <w:r>
        <w:fldChar w:fldCharType="separate"/>
      </w:r>
      <w:r w:rsidR="00E11FE4" w:rsidRPr="00E11FE4">
        <w:t>[50]</w:t>
      </w:r>
      <w:r>
        <w:fldChar w:fldCharType="end"/>
      </w:r>
      <w:r w:rsidRPr="003F24D0">
        <w:t>.</w:t>
      </w:r>
    </w:p>
    <w:p w14:paraId="79DCD748" w14:textId="77777777" w:rsidR="00FE013C" w:rsidRPr="00FC528D" w:rsidRDefault="00FE013C" w:rsidP="004C16FF">
      <w:pPr>
        <w:pStyle w:val="Heading20"/>
        <w:jc w:val="both"/>
        <w:rPr>
          <w:color w:val="auto"/>
        </w:rPr>
      </w:pPr>
      <w:r w:rsidRPr="00FC528D">
        <w:rPr>
          <w:color w:val="auto"/>
        </w:rPr>
        <w:t>9.</w:t>
      </w:r>
      <w:r>
        <w:rPr>
          <w:color w:val="auto"/>
        </w:rPr>
        <w:t>5</w:t>
      </w:r>
      <w:r w:rsidRPr="00FC528D">
        <w:rPr>
          <w:color w:val="auto"/>
        </w:rPr>
        <w:t xml:space="preserve"> </w:t>
      </w:r>
      <w:r>
        <w:rPr>
          <w:color w:val="auto"/>
        </w:rPr>
        <w:t>Demand-side Management and AI Workload Flexibility</w:t>
      </w:r>
    </w:p>
    <w:p w14:paraId="283BD03B" w14:textId="04EC8AB2" w:rsidR="00FE013C" w:rsidRPr="003F24D0" w:rsidRDefault="00FE013C" w:rsidP="001B74A6">
      <w:pPr>
        <w:spacing w:after="120"/>
        <w:ind w:firstLine="480"/>
      </w:pPr>
      <w:r w:rsidRPr="003F24D0">
        <w:t>AI workload flexibility is a distinct and growing demand-side resource that can substantially decrease the cost and complexity of integrating renewable energy. Training workloads (often hours to weeks to complete, not latency-sensitive) can be deferred to times of low latency demand and high renewable generation</w:t>
      </w:r>
      <w:r>
        <w:fldChar w:fldCharType="begin"/>
      </w:r>
      <w:r w:rsidR="001B74A6">
        <w:instrText xml:space="preserve"> ADDIN ZOTERO_ITEM CSL_CITATION {"citationID":"SNAvsnwi","properties":{"unsorted":false,"formattedCitation":"[164]","plainCitation":"[164]","noteIndex":0},"citationItems":[{"id":2126,"uris":["http://zotero.org/users/9870935/items/5SGD5DQK"],"itemData":{"id":2126,"type":"paper-conference","container-title":"ICC 2025 - IEEE International Conference on Communications","DOI":"10.1109/ICC52391.2025.11160865","event-title":"ICC 2025 - IEEE International Conference on Communications","ISBN":"979-8-3315-0521-9","license":"https://doi.org/10.15223/policy-029","page":"1500-1505","publisher":"IEEE","publisher-place":"Montreal, QC, Canada","source":"DOI.org (Crossref)","title":"Enabling Power-Awareness for Kubernetes Scheduling Through Multi-Criteria Optimization","URL":"https://ieeexplore.ieee.org/document/11160865/","author":[{"family":"Gouaouri","given":"Mohammed Dhiya Eddine"},{"family":"Bagaa","given":"Miloud"},{"family":"Ouahouah","given":"Sihem"},{"family":"Ouameur","given":"Messaoud Ahmed"},{"family":"Ksentini","given":"Adlen"}],"accessed":{"date-parts":[["2026",5,23]]},"issued":{"date-parts":[["2025",6,8]]}}}],"schema":"https://github.com/citation-style-language/schema/raw/master/csl-citation.json"} </w:instrText>
      </w:r>
      <w:r>
        <w:fldChar w:fldCharType="separate"/>
      </w:r>
      <w:r w:rsidR="001B74A6" w:rsidRPr="001B74A6">
        <w:t>[164]</w:t>
      </w:r>
      <w:r>
        <w:fldChar w:fldCharType="end"/>
      </w:r>
      <w:r w:rsidRPr="003F24D0">
        <w:t>. Deferral windows of hours to days make batch processing workloads such as data preprocessing, model validation, and analytics even more flexible. Time-shift can be used for inference workloads that do not require a high latency requirement, such as batch image inference or non-interactive recommendations, within the SLA.</w:t>
      </w:r>
    </w:p>
    <w:p w14:paraId="19B030A4" w14:textId="5B2E8567" w:rsidR="00FE013C" w:rsidRPr="003F24D0" w:rsidRDefault="00FE013C" w:rsidP="001B74A6">
      <w:pPr>
        <w:spacing w:after="120"/>
        <w:ind w:firstLine="480"/>
      </w:pPr>
      <w:r w:rsidRPr="003F24D0">
        <w:t>Energy cost reduction of 10–20</w:t>
      </w:r>
      <w:r>
        <w:t>%</w:t>
      </w:r>
      <w:r w:rsidRPr="003F24D0">
        <w:t xml:space="preserve"> through time-of-use rate </w:t>
      </w:r>
      <w:r w:rsidR="00030122" w:rsidRPr="003F24D0">
        <w:t>optimization</w:t>
      </w:r>
      <w:r w:rsidRPr="003F24D0">
        <w:t xml:space="preserve"> and carbon reduction of 5</w:t>
      </w:r>
      <w:r>
        <w:t>–</w:t>
      </w:r>
      <w:r w:rsidRPr="003F24D0">
        <w:t>15</w:t>
      </w:r>
      <w:r>
        <w:t xml:space="preserve">% </w:t>
      </w:r>
      <w:r w:rsidRPr="003F24D0">
        <w:t>through increased use of on-site renewable generation are indicated by quantified benefits from industry deployments and simulation studies</w:t>
      </w:r>
      <w:r>
        <w:fldChar w:fldCharType="begin"/>
      </w:r>
      <w:r w:rsidR="001B74A6">
        <w:instrText xml:space="preserve"> ADDIN ZOTERO_ITEM CSL_CITATION {"citationID":"0JMNKF3g","properties":{"unsorted":false,"formattedCitation":"[165]","plainCitation":"[165]","noteIndex":0},"citationItems":[{"id":79,"uris":["http://zotero.org/users/9870935/items/FT42XEM5"],"itemData":{"id":79,"type":"article-journal","container-title":"IEEE Access","DOI":"10.1109/ACCESS.2025.3559725","ISSN":"2169-3536","journalAbbreviation":"IEEE Access","license":"https://creativecommons.org/licenses/by/4.0/legalcode","page":"63486-63503","source":"DOI.org (Crossref)","title":"Optimized Renewable Energy Integration: Advanced Modeling, Control, and Design of a Standalone Microgrid Using Hybrid FA-PSO","title-short":"Optimized Renewable Energy Integration","volume":"13","author":[{"family":"Talebi","given":"Shiva"},{"family":"Aly","given":"Hamed H."}],"issued":{"date-parts":[["2025"]]}}}],"schema":"https://github.com/citation-style-language/schema/raw/master/csl-citation.json"} </w:instrText>
      </w:r>
      <w:r>
        <w:fldChar w:fldCharType="separate"/>
      </w:r>
      <w:r w:rsidR="001B74A6" w:rsidRPr="001B74A6">
        <w:t>[165]</w:t>
      </w:r>
      <w:r>
        <w:fldChar w:fldCharType="end"/>
      </w:r>
      <w:r w:rsidRPr="003F24D0">
        <w:t xml:space="preserve">. This requires integration between the workload scheduler (usually Kubernetes-based) and the energy management system, and the renewable availability API delivers 24–48-hour forecasts of renewable generation as a portion of the total load </w:t>
      </w:r>
      <w:r>
        <w:fldChar w:fldCharType="begin"/>
      </w:r>
      <w:r w:rsidR="001B74A6">
        <w:instrText xml:space="preserve"> ADDIN ZOTERO_ITEM CSL_CITATION {"citationID":"LieaEasU","properties":{"unsorted":false,"formattedCitation":"[164]","plainCitation":"[164]","noteIndex":0},"citationItems":[{"id":2126,"uris":["http://zotero.org/users/9870935/items/5SGD5DQK"],"itemData":{"id":2126,"type":"paper-conference","container-title":"ICC 2025 - IEEE International Conference on Communications","DOI":"10.1109/ICC52391.2025.11160865","event-title":"ICC 2025 - IEEE International Conference on Communications","ISBN":"979-8-3315-0521-9","license":"https://doi.org/10.15223/policy-029","page":"1500-1505","publisher":"IEEE","publisher-place":"Montreal, QC, Canada","source":"DOI.org (Crossref)","title":"Enabling Power-Awareness for Kubernetes Scheduling Through Multi-Criteria Optimization","URL":"https://ieeexplore.ieee.org/document/11160865/","author":[{"family":"Gouaouri","given":"Mohammed Dhiya Eddine"},{"family":"Bagaa","given":"Miloud"},{"family":"Ouahouah","given":"Sihem"},{"family":"Ouameur","given":"Messaoud Ahmed"},{"family":"Ksentini","given":"Adlen"}],"accessed":{"date-parts":[["2026",5,23]]},"issued":{"date-parts":[["2025",6,8]]}}}],"schema":"https://github.com/citation-style-language/schema/raw/master/csl-citation.json"} </w:instrText>
      </w:r>
      <w:r>
        <w:fldChar w:fldCharType="separate"/>
      </w:r>
      <w:r w:rsidR="001B74A6" w:rsidRPr="001B74A6">
        <w:t>[164]</w:t>
      </w:r>
      <w:r>
        <w:fldChar w:fldCharType="end"/>
      </w:r>
      <w:r w:rsidRPr="003F24D0">
        <w:t>. Some of the major considerations are that the deferral may lead to an increase in latency as experienced by users, the risk of violating SLAs if deferral is performed too aggressively, and the operational complexity of coordinating workload scheduling across multiple facilities and time zones.</w:t>
      </w:r>
    </w:p>
    <w:p w14:paraId="1746C8D1" w14:textId="77777777" w:rsidR="00FE013C" w:rsidRPr="00BD4B33" w:rsidRDefault="00FE013C" w:rsidP="004C16FF">
      <w:pPr>
        <w:pStyle w:val="Heading20"/>
        <w:jc w:val="both"/>
        <w:rPr>
          <w:color w:val="auto"/>
        </w:rPr>
      </w:pPr>
      <w:r w:rsidRPr="00BD4B33">
        <w:rPr>
          <w:color w:val="auto"/>
        </w:rPr>
        <w:t>9.6 Energy Storage Control and Battery Management</w:t>
      </w:r>
    </w:p>
    <w:p w14:paraId="1192A71C" w14:textId="1E81FDED" w:rsidR="00FE013C" w:rsidRPr="00BD4B33" w:rsidRDefault="00FE013C" w:rsidP="001B74A6">
      <w:pPr>
        <w:spacing w:after="120"/>
        <w:ind w:firstLine="480"/>
      </w:pPr>
      <w:r w:rsidRPr="00BD4B33">
        <w:lastRenderedPageBreak/>
        <w:t xml:space="preserve">There are several criteria for optimal battery dispatch: most renewable usage, least energy cost, longest battery life, and sufficient reserve for emergency backup. The state-of-charge (SOC) setpoint </w:t>
      </w:r>
      <w:r w:rsidR="00030122" w:rsidRPr="00BD4B33">
        <w:t>optimization</w:t>
      </w:r>
      <w:r w:rsidRPr="00BD4B33">
        <w:t xml:space="preserve"> defines the charging and discharging timing according to the current state and future forecasting, where the most advanced approach is model-predictive control (MPC)</w:t>
      </w:r>
      <w:r>
        <w:fldChar w:fldCharType="begin"/>
      </w:r>
      <w:r w:rsidR="001B74A6">
        <w:instrText xml:space="preserve"> ADDIN ZOTERO_ITEM CSL_CITATION {"citationID":"qyaUl6tX","properties":{"unsorted":false,"formattedCitation":"[119]","plainCitation":"[119]","noteIndex":0},"citationItems":[{"id":2086,"uris":["http://zotero.org/users/9870935/items/PSX5T5NE"],"itemData":{"id":2086,"type":"article-journal","abstract":"Renewable energy sources (wind turbine and photovoltaic system) are connected to the smart grid to promote the grid power, but the output of these sources is changed due to the sunlight and wind speed variations. Power storage system has the ability to reduce variations in a power system. Battery energy storage system (BESS) and superconducting magnetic energy storage system (SMES) are good solutions for this problem. The storage unit is connected to a power system at the point of common coupling and is able to absorb/store both active and reactive powers from this system and inject them into the power system in the peak demand periods. A control strategy based on proportional–integrative–derivative (PID) and model predictive controller (MPC) are used to control (SMES/BESS) to enhance the transient performance of a smart grid. The proposed algorithm has been tested on standard IEEE 5‐bus system connected to wind turbine distributed generator, non‐linear loads, and storage device (BESS/SMES) to verify the superiority of the presented method. The simulation results show that the performance of SMES with PID is more efficient than BESS with PID, but they have nearly the same output when MPC control strategy is used.","container-title":"IET Renewable Power Generation","DOI":"10.1049/iet-rpg.2016.0892","ISSN":"1752-1416, 1752-1424","issue":"10","journalAbbreviation":"IET Renewable Power Gen","language":"en","page":"1316-1324","source":"DOI.org (Crossref)","title":"Enhancing smart grid transient performance using storage device‐based MPC controller","volume":"11","author":[{"family":"Sultan","given":"Yara A."},{"family":"Kaddah","given":"Sahar S."},{"family":"Elhosseini","given":"Mostafa A."}],"issued":{"date-parts":[["2017",8]]}}}],"schema":"https://github.com/citation-style-language/schema/raw/master/csl-citation.json"} </w:instrText>
      </w:r>
      <w:r>
        <w:fldChar w:fldCharType="separate"/>
      </w:r>
      <w:r w:rsidR="001B74A6" w:rsidRPr="001B74A6">
        <w:t>[119]</w:t>
      </w:r>
      <w:r>
        <w:fldChar w:fldCharType="end"/>
      </w:r>
      <w:r w:rsidRPr="00BD4B33">
        <w:t>. The economic factor of battery ageing: deep cycling (depth of discharge above 80</w:t>
      </w:r>
      <w:r>
        <w:t>%</w:t>
      </w:r>
      <w:r w:rsidRPr="00BD4B33">
        <w:t xml:space="preserve">) decreases battery life, while shallow cycling increases battery life, but at the cost of reduced energy capacity for renewable </w:t>
      </w:r>
      <w:proofErr w:type="gramStart"/>
      <w:r w:rsidRPr="00BD4B33">
        <w:t>time-shifting</w:t>
      </w:r>
      <w:proofErr w:type="gramEnd"/>
      <w:r w:rsidRPr="00BD4B33">
        <w:t>. Studies have shown that a maximum depth of discharge of 50</w:t>
      </w:r>
      <w:r>
        <w:t xml:space="preserve">% </w:t>
      </w:r>
      <w:r w:rsidRPr="00BD4B33">
        <w:t xml:space="preserve">can nearly double the cycle life, indicating that appropriately oversizing battery systems may provide better lifetime economics, albeit at higher initial capital costs </w:t>
      </w:r>
      <w:r>
        <w:fldChar w:fldCharType="begin"/>
      </w:r>
      <w:r w:rsidR="00B73641">
        <w:instrText xml:space="preserve"> ADDIN ZOTERO_ITEM CSL_CITATION {"citationID":"QHLWj7wZ","properties":{"unsorted":false,"formattedCitation":"[72]","plainCitation":"[72]","noteIndex":0},"citationItems":[{"id":2070,"uris":["http://zotero.org/users/9870935/items/YRGN99DK"],"itemData":{"id":2070,"type":"article-journal","container-title":"Journal of Energy Storage","DOI":"10.1016/j.est.2024.112941","ISSN":"2352152X","journalAbbreviation":"Journal of Energy Storage","language":"en","page":"112941","source":"DOI.org (Crossref)","title":"A case study of optimising energy storage dispatch: Convex optimisation approach with degradation considerations","title-short":"A case study of optimising energy storage dispatch","volume":"97","author":[{"family":"Vaičys","given":"Jonas"},{"family":"Gudžius","given":"Saulius"},{"family":"Jonaitis","given":"Audrius"},{"family":"Račkienė","given":"Roma"},{"family":"Blinov","given":"Andrei"},{"family":"Peftitsis","given":"Dimosthenis"}],"issued":{"date-parts":[["2024",9]]}}}],"schema":"https://github.com/citation-style-language/schema/raw/master/csl-citation.json"} </w:instrText>
      </w:r>
      <w:r>
        <w:fldChar w:fldCharType="separate"/>
      </w:r>
      <w:r w:rsidR="00B73641" w:rsidRPr="00B73641">
        <w:t>[72]</w:t>
      </w:r>
      <w:r>
        <w:fldChar w:fldCharType="end"/>
      </w:r>
      <w:r w:rsidRPr="00BD4B33">
        <w:t>.</w:t>
      </w:r>
    </w:p>
    <w:p w14:paraId="4221A4F4" w14:textId="067CB2EA" w:rsidR="00FE013C" w:rsidRPr="0038749B" w:rsidRDefault="0038749B" w:rsidP="007D29E8">
      <w:pPr>
        <w:spacing w:after="120"/>
        <w:ind w:firstLine="480"/>
        <w:rPr>
          <w:lang w:val="en-CA"/>
        </w:rPr>
      </w:pPr>
      <w:r w:rsidRPr="007D29E8">
        <w:rPr>
          <w:highlight w:val="yellow"/>
          <w:lang w:val="en-CA"/>
        </w:rPr>
        <w:t>Participation in frequency-regulation, capacity, and ancillary-service markets may provide additional revenue, but the achievable value depends on market qualification requirements, performance scores, local clearing prices, battery availability, degradation costs, and the facility’s primary reliability obligations. Project-specific market analysis is therefore required</w:t>
      </w:r>
      <w:r w:rsidR="00FE013C" w:rsidRPr="007D29E8">
        <w:rPr>
          <w:highlight w:val="yellow"/>
        </w:rPr>
        <w:t xml:space="preserve">. Remaining useful life (RUL) prediction and scheduling of maintenance tasks can be achieved by state-of-health (SOH) monitoring with machine-learning approaches trained on cycling data, which helps to </w:t>
      </w:r>
      <w:r w:rsidR="00030122" w:rsidRPr="007D29E8">
        <w:rPr>
          <w:highlight w:val="yellow"/>
        </w:rPr>
        <w:t>minimize</w:t>
      </w:r>
      <w:r w:rsidR="00FE013C" w:rsidRPr="007D29E8">
        <w:rPr>
          <w:highlight w:val="yellow"/>
        </w:rPr>
        <w:t xml:space="preserve"> the likelihood of unexpected capacity degradation</w:t>
      </w:r>
      <w:r w:rsidR="00FE013C" w:rsidRPr="007D29E8">
        <w:rPr>
          <w:highlight w:val="yellow"/>
        </w:rPr>
        <w:fldChar w:fldCharType="begin"/>
      </w:r>
      <w:r w:rsidR="007D29E8">
        <w:rPr>
          <w:highlight w:val="yellow"/>
        </w:rPr>
        <w:instrText xml:space="preserve"> ADDIN ZOTERO_ITEM CSL_CITATION {"citationID":"qxkXnTwN","properties":{"unsorted":false,"formattedCitation":"[166]","plainCitation":"[166]","noteIndex":0},"citationItems":[{"id":2149,"uris":["http://zotero.org/users/9870935/items/9CUAPP72"],"itemData":{"id":2149,"type":"article-journal","abstract":"Abstract\n            State of health is a critical state which evaluates the degradation level of batteries. However, it cannot be measured directly but requires estimation. While accurate state of health estimation has progressed markedly, the time- and resource-consuming degradation experiments to generate target battery labels hinder the development of state of health estimation methods. In this article, we design a deep-learning framework to enable the estimation of battery state of health in the absence of target battery labels. This framework integrates a swarm of deep neural networks equipped with domain adaptation to produce accurate estimation. We employ 65 commercial batteries from 5 different manufacturers to generate 71,588 samples for cross-validation. The validation results indicate that the proposed framework can ensure absolute errors of less than 3% for 89.4% of samples (less than 5% for 98.9% of samples), with a maximum absolute error of less than 8.87% in the absence of target labels. This work emphasizes the power of deep learning in precluding degradation experiments and highlights the promise of rapid development of battery management algorithms for new-generation batteries using only previous experimental data.","container-title":"Nature Communications","DOI":"10.1038/s41467-023-38458-w","ISSN":"2041-1723","issue":"1","journalAbbreviation":"Nat Commun","language":"en","page":"2760","source":"DOI.org (Crossref)","title":"Deep learning to estimate lithium-ion battery state of health without additional degradation experiments","volume":"14","author":[{"family":"Lu","given":"Jiahuan"},{"family":"Xiong","given":"Rui"},{"family":"Tian","given":"Jinpeng"},{"family":"Wang","given":"Chenxu"},{"family":"Sun","given":"Fengchun"}],"issued":{"date-parts":[["2023",5,13]]}}}],"schema":"https://github.com/citation-style-language/schema/raw/master/csl-citation.json"} </w:instrText>
      </w:r>
      <w:r w:rsidR="00FE013C" w:rsidRPr="007D29E8">
        <w:rPr>
          <w:highlight w:val="yellow"/>
        </w:rPr>
        <w:fldChar w:fldCharType="separate"/>
      </w:r>
      <w:r w:rsidR="007D29E8" w:rsidRPr="007D29E8">
        <w:rPr>
          <w:highlight w:val="yellow"/>
        </w:rPr>
        <w:t>[166]</w:t>
      </w:r>
      <w:r w:rsidR="00FE013C" w:rsidRPr="007D29E8">
        <w:rPr>
          <w:highlight w:val="yellow"/>
        </w:rPr>
        <w:fldChar w:fldCharType="end"/>
      </w:r>
      <w:r w:rsidR="00FE013C" w:rsidRPr="007D29E8">
        <w:rPr>
          <w:highlight w:val="yellow"/>
        </w:rPr>
        <w:t>.</w:t>
      </w:r>
    </w:p>
    <w:p w14:paraId="1FC1FEEE" w14:textId="77777777" w:rsidR="00FE013C" w:rsidRPr="00FD5E90" w:rsidRDefault="00FE013C" w:rsidP="004C16FF">
      <w:pPr>
        <w:pStyle w:val="Heading20"/>
        <w:jc w:val="both"/>
        <w:rPr>
          <w:color w:val="auto"/>
        </w:rPr>
      </w:pPr>
      <w:r w:rsidRPr="00FD5E90">
        <w:rPr>
          <w:color w:val="auto"/>
        </w:rPr>
        <w:t>9.7 Hydrogen and Fuel Cell Challenges</w:t>
      </w:r>
    </w:p>
    <w:p w14:paraId="705DC594" w14:textId="1E76FB6B" w:rsidR="00FE013C" w:rsidRPr="00BD4B33" w:rsidRDefault="00FE013C" w:rsidP="007D29E8">
      <w:pPr>
        <w:spacing w:after="120"/>
        <w:ind w:firstLine="480"/>
      </w:pPr>
      <w:r w:rsidRPr="00BD4B33">
        <w:t xml:space="preserve">Hydrogen fuel cells have the theoretical potential to deliver long-duration backup power (48+ hours proven) and produce zero direct emissions, but they are still costly, inefficient, and lack infrastructure. Microsoft's 3 MW demo project at their data </w:t>
      </w:r>
      <w:r w:rsidR="00580BAE">
        <w:t>center</w:t>
      </w:r>
      <w:r w:rsidRPr="00BD4B33">
        <w:t xml:space="preserve"> proved the technical viability, but also pointed to the cost problem: Fuel cell electricity currently costs $150 to $250/</w:t>
      </w:r>
      <w:r>
        <w:t>M</w:t>
      </w:r>
      <w:r w:rsidRPr="00BD4B33">
        <w:t>Wh, compared to grid electricity or battery storage, which cost $50 to $80/MWh at the same time</w:t>
      </w:r>
      <w:r>
        <w:fldChar w:fldCharType="begin"/>
      </w:r>
      <w:r w:rsidR="001B74A6">
        <w:instrText xml:space="preserve"> ADDIN ZOTERO_ITEM CSL_CITATION {"citationID":"ONo7xelO","properties":{"unsorted":false,"formattedCitation":"[161]","plainCitation":"[161]","noteIndex":0},"citationItems":[{"id":2140,"uris":["http://zotero.org/users/9870935/items/ZUBI2HTD"],"itemData":{"id":2140,"type":"article-journal","container-title":"Energy Conversion and Management","DOI":"10.1016/j.enconman.2025.119762","ISSN":"01968904","journalAbbreviation":"Energy Conversion and Management","language":"en","page":"119762","source":"DOI.org (Crossref)","title":"Modeling and analysis of solid oxide fuel cell-based multigeneration system with supercritical and transcritical carbon dioxide power cycles, humidification-dehumidification system and hydrogen generation","volume":"332","author":[{"family":"Soyturk","given":"Gamze"},{"family":"Kizilkan","given":"Onder"}],"issued":{"date-parts":[["2025",5]]}}}],"schema":"https://github.com/citation-style-language/schema/raw/master/csl-citation.json"} </w:instrText>
      </w:r>
      <w:r>
        <w:fldChar w:fldCharType="separate"/>
      </w:r>
      <w:r w:rsidR="001B74A6" w:rsidRPr="001B74A6">
        <w:t>[161]</w:t>
      </w:r>
      <w:r>
        <w:fldChar w:fldCharType="end"/>
      </w:r>
      <w:r w:rsidRPr="00BD4B33">
        <w:t xml:space="preserve">. The CAPEX of the </w:t>
      </w:r>
      <w:r w:rsidR="00030122" w:rsidRPr="00BD4B33">
        <w:t>electroly</w:t>
      </w:r>
      <w:r w:rsidR="00030122">
        <w:t>z</w:t>
      </w:r>
      <w:r w:rsidR="00030122" w:rsidRPr="00BD4B33">
        <w:t>e</w:t>
      </w:r>
      <w:r w:rsidRPr="00BD4B33">
        <w:t>, which ranges from $1,000-$2,000/kW, is another constraint for on-site GH production and is decreasing as the size of the plants increases</w:t>
      </w:r>
      <w:r>
        <w:fldChar w:fldCharType="begin"/>
      </w:r>
      <w:r w:rsidR="007D29E8">
        <w:instrText xml:space="preserve"> ADDIN ZOTERO_ITEM CSL_CITATION {"citationID":"EK3ZfdLP","properties":{"unsorted":false,"formattedCitation":"[114]","plainCitation":"[114]","noteIndex":0},"citationItems":[{"id":2076,"uris":["http://zotero.org/users/9870935/items/WSZ9BQJG"],"itemData":{"id":2076,"type":"article-journal","abstract":"Abstract\n            The Chinese government has set long-term carbon neutrality and variable renewable energy development goals for the power sector. The clean energy transition requires a co-evolution of innovation, investment, and deployment strategies for emerging energy storage technologies. Hydrogen could play a pivotal role as a long-duration energy storage in future low-carbon electricity systems, balancing inflexible or intermittent supply with demand. Cost projections are important for understanding this role, but data are scarce and uncertain. Here, we provide a techno-economic evaluation and uncertainty analysis of hydrogen as a long-duration energy storage, using a learning rate approach to estimate the long-term cost. We find that the levelized cost of hydrogen energy storage based on a modeled 25 MW system with proton exchange membranes technology is 3.981 yuan/kWh in 2025. Capital expenditure and equipment replacement costs are the top two contributors, accounting for 32.7% and 33.6%, respectively. Technological advancements and deployment scaling of electrolyzers and fuel cells are projected to drive the levelized cost of hydrogen energy storage down to 1.848 yuan/kWh by 2050 under an 18% learning rate trajectory. Although projections indicate that hydrogen energy storage remains less cost-competitive compared to mature technologies through 2050, like electrochemical storage and pumped hydro storage, its unique value proposition for long-duration storage and grid resilience sustains development potential in high variable renewable energy penetration scenarios.","container-title":"Clean Energy","DOI":"10.1093/ce/zkaf075","ISSN":"2515-4230, 2515-396X","issue":"2","language":"en","license":"https://creativecommons.org/licenses/by-nc/4.0/","page":"146-155","source":"DOI.org (Crossref)","title":"Estimating future costs of hydrogen as long-duration energy storage based on a learning rate approach","volume":"10","author":[{"family":"Yang","given":"Fuyuan"},{"family":"Wang","given":"Zhidong"},{"family":"Tian","given":"Xueqin"}],"issued":{"date-parts":[["2026",3,25]]}}}],"schema":"https://github.com/citation-style-language/schema/raw/master/csl-citation.json"} </w:instrText>
      </w:r>
      <w:r>
        <w:fldChar w:fldCharType="separate"/>
      </w:r>
      <w:r w:rsidR="007D29E8" w:rsidRPr="007D29E8">
        <w:t>[114]</w:t>
      </w:r>
      <w:r>
        <w:fldChar w:fldCharType="end"/>
      </w:r>
      <w:r w:rsidRPr="00BD4B33">
        <w:t>.</w:t>
      </w:r>
    </w:p>
    <w:p w14:paraId="5871A5CA" w14:textId="3B01B9C5" w:rsidR="00FE013C" w:rsidRPr="00BD4B33" w:rsidRDefault="00FE013C" w:rsidP="007D29E8">
      <w:pPr>
        <w:spacing w:after="120"/>
        <w:ind w:firstLine="480"/>
      </w:pPr>
      <w:r w:rsidRPr="00BD4B33">
        <w:t>Greater fuel cell efficiency occurs at full load (55–60</w:t>
      </w:r>
      <w:r>
        <w:t>%</w:t>
      </w:r>
      <w:r w:rsidRPr="00BD4B33">
        <w:t>) versus partial load (40–50</w:t>
      </w:r>
      <w:r>
        <w:t>%</w:t>
      </w:r>
      <w:r w:rsidRPr="00BD4B33">
        <w:t>), resulting in an operational compromise between backup duration and efficiency</w:t>
      </w:r>
      <w:r>
        <w:fldChar w:fldCharType="begin"/>
      </w:r>
      <w:r w:rsidR="001B74A6">
        <w:instrText xml:space="preserve"> ADDIN ZOTERO_ITEM CSL_CITATION {"citationID":"TVLyO4rw","properties":{"unsorted":false,"formattedCitation":"[124]","plainCitation":"[124]","noteIndex":0},"citationItems":[{"id":2141,"uris":["http://zotero.org/users/9870935/items/G3GVLHVX"],"itemData":{"id":2141,"type":"article-journal","container-title":"Renewable and Sustainable Energy Reviews","DOI":"10.1016/j.rser.2026.116861","ISSN":"13640321","journalAbbreviation":"Renewable and Sustainable Energy Reviews","language":"en","page":"116861","source":"DOI.org (Crossref)","title":"Reviewing the socio-technical dynamics of AI, data centers and digitalization on energy and the environment","volume":"234","author":[{"family":"Kim","given":"Jinsoo"},{"family":"Kim","given":"Jihyo"},{"family":"Sovacool","given":"Benjamin K."},{"family":"Griffiths","given":"Steve"},{"family":"Bazilian","given":"Morgan"},{"family":"Creutzig","given":"Felix"},{"family":"Furszyfer Del Rio","given":"Dylan D."},{"family":"Agrawala","given":"Matthew"},{"family":"Choi","given":"Minki"},{"family":"Debnath","given":"Ramit"}],"issued":{"date-parts":[["2026",7]]}}}],"schema":"https://github.com/citation-style-language/schema/raw/master/csl-citation.json"} </w:instrText>
      </w:r>
      <w:r>
        <w:fldChar w:fldCharType="separate"/>
      </w:r>
      <w:r w:rsidR="001B74A6" w:rsidRPr="001B74A6">
        <w:t>[124]</w:t>
      </w:r>
      <w:r>
        <w:fldChar w:fldCharType="end"/>
      </w:r>
      <w:r w:rsidRPr="00BD4B33">
        <w:t xml:space="preserve">. Safety requirements for hydrogen storage, including pressure vessel certification, leak detection, and ventilation systems, increase the complexity and cost of fuel cell installations. The IEA expects the cost of green hydrogen to drop to $2 per kg by 2030 and $1 per kg by 2040 under the best of conditions, putting fuel cells in economic competition with data </w:t>
      </w:r>
      <w:r w:rsidR="00580BAE">
        <w:t>center</w:t>
      </w:r>
      <w:r w:rsidRPr="00BD4B33">
        <w:t xml:space="preserve"> backup by the mid-2030s</w:t>
      </w:r>
      <w:r>
        <w:fldChar w:fldCharType="begin"/>
      </w:r>
      <w:r w:rsidR="007D29E8">
        <w:instrText xml:space="preserve"> ADDIN ZOTERO_ITEM CSL_CITATION {"citationID":"9bTL2YbA","properties":{"unsorted":false,"formattedCitation":"[113]","plainCitation":"[113]","noteIndex":0},"citationItems":[{"id":1987,"uris":["http://zotero.org/users/9870935/items/2TYM8STM"],"itemData":{"id":1987,"type":"article-journal","abstract":"The Global Hydrogen Review is an annual publication by the International Energy Agency that tracks hydrogen production and demand worldwide, shedding light on the latest developments on policy, infrastructure, trade, investments and innovation.","language":"en","source":"Zotero","title":"Global Hydrogen Review 2025","URL":"https://iea.blob.core.windows.net/assets/12d92ecc-e960-40f3-aff5-b2de6690ab6b/GlobalHydrogenReview2025.pdf","author":[{"family":"Remme","given":"Uwe"}],"issued":{"date-parts":[["2025"]]}}}],"schema":"https://github.com/citation-style-language/schema/raw/master/csl-citation.json"} </w:instrText>
      </w:r>
      <w:r>
        <w:fldChar w:fldCharType="separate"/>
      </w:r>
      <w:r w:rsidR="007D29E8" w:rsidRPr="007D29E8">
        <w:t>[113]</w:t>
      </w:r>
      <w:r>
        <w:fldChar w:fldCharType="end"/>
      </w:r>
      <w:r w:rsidRPr="00BD4B33">
        <w:t>.</w:t>
      </w:r>
    </w:p>
    <w:p w14:paraId="1AF22D4C" w14:textId="77777777" w:rsidR="00FE013C" w:rsidRPr="00901B3D" w:rsidRDefault="00FE013C" w:rsidP="004C16FF">
      <w:pPr>
        <w:pStyle w:val="Heading20"/>
        <w:jc w:val="both"/>
        <w:rPr>
          <w:color w:val="auto"/>
        </w:rPr>
      </w:pPr>
      <w:r w:rsidRPr="00901B3D">
        <w:rPr>
          <w:color w:val="auto"/>
        </w:rPr>
        <w:t>9.8 Cooling System Integration</w:t>
      </w:r>
    </w:p>
    <w:p w14:paraId="57C07A33" w14:textId="6C76588D" w:rsidR="00FE013C" w:rsidRPr="00BD4B33" w:rsidRDefault="00FE013C" w:rsidP="00B73641">
      <w:pPr>
        <w:spacing w:after="120"/>
        <w:ind w:firstLine="480"/>
      </w:pPr>
      <w:r w:rsidRPr="00BD4B33">
        <w:t xml:space="preserve">The coupling of cooling systems to renewable energy supply demands </w:t>
      </w:r>
      <w:r w:rsidR="00030122" w:rsidRPr="00BD4B33">
        <w:t>synchronized</w:t>
      </w:r>
      <w:r w:rsidRPr="00BD4B33">
        <w:t xml:space="preserve"> handling of thermal and electric energy flows. Thermal energy storage (TES) can help to defer cooling loads into hours when renewable energy is available in abundance or electricity is cheap, such as at night or during the summer. When power generation is not as high as needed, chillers freeze water into ice; when the renewable power output is less than needed, the ice is melted to provide cooling without chiller operation</w:t>
      </w:r>
      <w:r>
        <w:fldChar w:fldCharType="begin"/>
      </w:r>
      <w:r w:rsidR="00B73641">
        <w:instrText xml:space="preserve"> ADDIN ZOTERO_ITEM CSL_CITATION {"citationID":"9NU2Bjoq","properties":{"unsorted":false,"formattedCitation":"[95]","plainCitation":"[95]","noteIndex":0},"citationItems":[{"id":2046,"uris":["http://zotero.org/users/9870935/items/P4BXZMCV"],"itemData":{"id":2046,"type":"article","abstract":"Data center cooling systems consume significant auxiliary energy, yet optimization studies rarely quantify the gap between theoretically optimal and operationally deployable control strategies. This paper develops a digital twin of the liquid cooling infrastructure at the Frontier exascale supercomputer, in which a hot-temperature water system comprises three parallel subloops, each serving dedicated coolant distribution unit clusters through plate heat exchangers and variable-speed pumps. The surrogate model is built based on Modelica and validated through one full calendar year of 10-minute operational data following ASHRAE Guideline 14. The model achieves a subloop coefficient of variation of the root mean square error below 2.7% and a normalized mean bias error within 2.5%. Using this validated surrogate model, a layered optimization framework evaluates three progressively constrained strategies: an analytical flow-only optimization achieves 20.4% total energy saving, unconstrained joint optimization of flow rate and supply temperature demonstrates 30.1% total energy saving, and ramp-constrained optimization of flow rate and supply temperature, enforcing actuator rate limits, can reach total energy saving of 27.8%. The analysis reveals that the baseline system operates at 2.9 times the minimum thermally safe flow rate, and the co-optimizing supply temperature with flow rate nearly doubles the savings achievable by flow reduction alone.","DOI":"10.48550/ARXIV.2603.01198","license":"Creative Commons Attribution 4.0 International","note":"version: 3","publisher":"arXiv","source":"DOI.org (Datacite)","title":"Digital Twin-Based Cooling System Optimization for Data Center","URL":"https://arxiv.org/abs/2603.01198","author":[{"family":"Jadhav","given":"Shrenik"},{"family":"Liu","given":"Zheng"}],"accessed":{"date-parts":[["2026",5,17]]},"issued":{"date-parts":[["2026"]]}}}],"schema":"https://github.com/citation-style-language/schema/raw/master/csl-citation.json"} </w:instrText>
      </w:r>
      <w:r>
        <w:fldChar w:fldCharType="separate"/>
      </w:r>
      <w:r w:rsidR="00B73641" w:rsidRPr="00B73641">
        <w:t>[95]</w:t>
      </w:r>
      <w:r>
        <w:fldChar w:fldCharType="end"/>
      </w:r>
      <w:r w:rsidRPr="00BD4B33">
        <w:t xml:space="preserve">. This thermal-electrical coupling provides opportunities for </w:t>
      </w:r>
      <w:r w:rsidR="00030122" w:rsidRPr="00BD4B33">
        <w:t>optimization</w:t>
      </w:r>
      <w:r w:rsidRPr="00BD4B33">
        <w:t xml:space="preserve"> but also introduces complexity into the control system, as it must simultaneously control the electrical dispatch state and the thermal storage state.</w:t>
      </w:r>
    </w:p>
    <w:p w14:paraId="0E1CDC35" w14:textId="1739955E" w:rsidR="00FE013C" w:rsidRPr="00BD4B33" w:rsidRDefault="00FE013C" w:rsidP="001B74A6">
      <w:pPr>
        <w:spacing w:after="120"/>
        <w:ind w:firstLine="480"/>
      </w:pPr>
      <w:r w:rsidRPr="00BD4B33">
        <w:lastRenderedPageBreak/>
        <w:t xml:space="preserve">Another way to reduce cooling energy usage is when there are </w:t>
      </w:r>
      <w:r w:rsidR="00030122" w:rsidRPr="00BD4B33">
        <w:t>favorable</w:t>
      </w:r>
      <w:r w:rsidRPr="00BD4B33">
        <w:t xml:space="preserve"> conditions in the ambient environment, which is called free cooling. Free cooling can achieve 3,000 to 6,000 hours of cooling per year in temperate and cold climates, resulting in energy savings of 40 to 70 percent for chillers during this time</w:t>
      </w:r>
      <w:r>
        <w:fldChar w:fldCharType="begin"/>
      </w:r>
      <w:r w:rsidR="00B73641">
        <w:instrText xml:space="preserve"> ADDIN ZOTERO_ITEM CSL_CITATION {"citationID":"H9o0ZQVg","properties":{"unsorted":false,"formattedCitation":"[88]","plainCitation":"[88]","noteIndex":0},"citationItems":[{"id":2036,"uris":["http://zotero.org/users/9870935/items/2KMJ9H69"],"itemData":{"id":2036,"type":"paper-conference","container-title":"2011 IEEE Third International Conference on Cloud Computing Technology and Science","DOI":"10.1109/CloudCom.2011.100","event-title":"2011 IEEE 3rd International Conference on Cloud Computing Technology and Science (CloudCom)","ISBN":"978-1-4673-0090-2","page":"646-651","publisher":"IEEE","publisher-place":"Athens, Greece","source":"DOI.org (Crossref)","title":"Energy Efficient Free Cooling System for Data Centers","URL":"http://ieeexplore.ieee.org/document/6133209/","author":[{"family":"D.","given":"Christy Sujatha"},{"family":"Abimannan","given":"Satheesh"}],"accessed":{"date-parts":[["2026",5,16]]},"issued":{"date-parts":[["2011",11]]}}}],"schema":"https://github.com/citation-style-language/schema/raw/master/csl-citation.json"} </w:instrText>
      </w:r>
      <w:r>
        <w:fldChar w:fldCharType="separate"/>
      </w:r>
      <w:r w:rsidR="00B73641" w:rsidRPr="00B73641">
        <w:t>[88]</w:t>
      </w:r>
      <w:r>
        <w:fldChar w:fldCharType="end"/>
      </w:r>
      <w:r w:rsidRPr="00BD4B33">
        <w:t xml:space="preserve">. When renewable energy is limited and cooling demands energy-intensive, a slight increase in data </w:t>
      </w:r>
      <w:r w:rsidR="00580BAE">
        <w:t>center</w:t>
      </w:r>
      <w:r w:rsidRPr="00BD4B33">
        <w:t xml:space="preserve"> inlet temperature from the traditional 20–22 °C to 32-35 degrees Celsius can be used in dynamic setpoint management to save 15% to 25</w:t>
      </w:r>
      <w:r>
        <w:t xml:space="preserve">% </w:t>
      </w:r>
      <w:r w:rsidRPr="00BD4B33">
        <w:t>in cooling energy usage while slightly accelerating component aging</w:t>
      </w:r>
      <w:r w:rsidRPr="003F24D0">
        <w:t xml:space="preserve"> </w:t>
      </w:r>
      <w:r>
        <w:fldChar w:fldCharType="begin"/>
      </w:r>
      <w:r w:rsidR="001B74A6">
        <w:instrText xml:space="preserve"> ADDIN ZOTERO_ITEM CSL_CITATION {"citationID":"CuNn0HfJ","properties":{"unsorted":false,"formattedCitation":"[164]","plainCitation":"[164]","noteIndex":0},"citationItems":[{"id":2126,"uris":["http://zotero.org/users/9870935/items/5SGD5DQK"],"itemData":{"id":2126,"type":"paper-conference","container-title":"ICC 2025 - IEEE International Conference on Communications","DOI":"10.1109/ICC52391.2025.11160865","event-title":"ICC 2025 - IEEE International Conference on Communications","ISBN":"979-8-3315-0521-9","license":"https://doi.org/10.15223/policy-029","page":"1500-1505","publisher":"IEEE","publisher-place":"Montreal, QC, Canada","source":"DOI.org (Crossref)","title":"Enabling Power-Awareness for Kubernetes Scheduling Through Multi-Criteria Optimization","URL":"https://ieeexplore.ieee.org/document/11160865/","author":[{"family":"Gouaouri","given":"Mohammed Dhiya Eddine"},{"family":"Bagaa","given":"Miloud"},{"family":"Ouahouah","given":"Sihem"},{"family":"Ouameur","given":"Messaoud Ahmed"},{"family":"Ksentini","given":"Adlen"}],"accessed":{"date-parts":[["2026",5,23]]},"issued":{"date-parts":[["2025",6,8]]}}}],"schema":"https://github.com/citation-style-language/schema/raw/master/csl-citation.json"} </w:instrText>
      </w:r>
      <w:r>
        <w:fldChar w:fldCharType="separate"/>
      </w:r>
      <w:r w:rsidR="001B74A6" w:rsidRPr="001B74A6">
        <w:t>[164]</w:t>
      </w:r>
      <w:r>
        <w:fldChar w:fldCharType="end"/>
      </w:r>
      <w:r w:rsidRPr="00BD4B33">
        <w:t>.</w:t>
      </w:r>
    </w:p>
    <w:p w14:paraId="0438A364" w14:textId="77777777" w:rsidR="00FE013C" w:rsidRPr="0035074E" w:rsidRDefault="00FE013C" w:rsidP="004C16FF">
      <w:pPr>
        <w:pStyle w:val="Heading20"/>
        <w:jc w:val="both"/>
        <w:rPr>
          <w:color w:val="auto"/>
        </w:rPr>
      </w:pPr>
      <w:r w:rsidRPr="0035074E">
        <w:rPr>
          <w:color w:val="auto"/>
        </w:rPr>
        <w:t>9.9 Cybersecurity and Operational Technology</w:t>
      </w:r>
    </w:p>
    <w:p w14:paraId="0BE0E768" w14:textId="762C9A87" w:rsidR="00FE013C" w:rsidRPr="00BD4B33" w:rsidRDefault="00FE013C" w:rsidP="007D29E8">
      <w:pPr>
        <w:spacing w:after="120"/>
        <w:ind w:firstLine="480"/>
      </w:pPr>
      <w:r w:rsidRPr="00BD4B33">
        <w:t>The augmentation of the attack surface area due to the integration of renewable energy systems, such as energy management platforms, smart inverters, battery management systems, and renewable monitoring systems, creates cybersecurity challenges that should be considered during system design. The possible threats to the system include false data injection (providing corrupted sensor readings to the EMS), malicious control commands (causing equipment to operate outside safe parameters), and denial-of-service attacks (disrupting communication between components)</w:t>
      </w:r>
      <w:r>
        <w:fldChar w:fldCharType="begin"/>
      </w:r>
      <w:r w:rsidR="007D29E8">
        <w:instrText xml:space="preserve"> ADDIN ZOTERO_ITEM CSL_CITATION {"citationID":"oozQ5wwK","properties":{"unsorted":false,"formattedCitation":"[167]","plainCitation":"[167]","noteIndex":0},"citationItems":[{"id":2151,"uris":["http://zotero.org/users/9870935/items/G8D3K3TM"],"itemData":{"id":2151,"type":"article-journal","abstract":"The oil and gas industry, a cornerstone of critical infrastructure, faces an escalating threat landscape due to supply chain malware targeting Operational Technology (OT). These attacks exploit vulnerabilities introduced by third-party vendors and the convergence of legacy OT systems with modern IT networks, posing significant risks to industrial processes, national energy resilience, and environmental safety. This article examines the unique risks in OT systems, highlighting cascading operational, financial, and environmental consequences. Grounded in NERC CIP-013 standards, it proposes mitigation strategies such as supply chain mapping, sandbox testing, Zero Trust Architecture (ZTA), robust vendor audits, and cybersecurityintegrated project management practices. By analyzing high- impact scenarios and lessons learned, it provides actionable insights to empower stakeholders in safeguarding critical infrastructure.","language":"en","source":"Zotero","title":"Mitigating Supply Chain Malware Risks in Operational Technology: Challenges and Solutions for the Oil and Gas Industry","author":[{"family":"Chatterjee","given":"Suchismita"}]}}],"schema":"https://github.com/citation-style-language/schema/raw/master/csl-citation.json"} </w:instrText>
      </w:r>
      <w:r>
        <w:fldChar w:fldCharType="separate"/>
      </w:r>
      <w:r w:rsidR="007D29E8" w:rsidRPr="007D29E8">
        <w:t>[167]</w:t>
      </w:r>
      <w:r>
        <w:fldChar w:fldCharType="end"/>
      </w:r>
      <w:r w:rsidRPr="00BD4B33">
        <w:t xml:space="preserve">. As the IT and OT networks in modern data </w:t>
      </w:r>
      <w:r w:rsidR="00580BAE">
        <w:t>center</w:t>
      </w:r>
      <w:r w:rsidRPr="00BD4B33">
        <w:t>s converge, there are opportunities for cyber threats to spread from enterprise systems to critical power infrastructure.</w:t>
      </w:r>
    </w:p>
    <w:p w14:paraId="4E1A3D79" w14:textId="52C45352" w:rsidR="00FE013C" w:rsidRPr="00BD4B33" w:rsidRDefault="00FE013C" w:rsidP="007D29E8">
      <w:pPr>
        <w:spacing w:after="120"/>
        <w:ind w:firstLine="480"/>
      </w:pPr>
      <w:r w:rsidRPr="00BD4B33">
        <w:t xml:space="preserve">The following principles are followed to support best practices for OT cybersecurity: air-gapping or VPN-protected control networks, multi-factor authentication of all operator access, role-based access control that </w:t>
      </w:r>
      <w:r w:rsidR="00030122" w:rsidRPr="00BD4B33">
        <w:t>minimizes</w:t>
      </w:r>
      <w:r w:rsidRPr="00BD4B33">
        <w:t xml:space="preserve"> the permissions of each user, encrypted communications with TLS 1.3 or its higher versions, and redundant communication paths to ensure control capability for disruptions to the network</w:t>
      </w:r>
      <w:r>
        <w:fldChar w:fldCharType="begin"/>
      </w:r>
      <w:r w:rsidR="007D29E8">
        <w:instrText xml:space="preserve"> ADDIN ZOTERO_ITEM CSL_CITATION {"citationID":"Z3L6Q0Rb","properties":{"unsorted":false,"formattedCitation":"[168]","plainCitation":"[168]","noteIndex":0},"citationItems":[{"id":2153,"uris":["http://zotero.org/users/9870935/items/BM962LGX"],"itemData":{"id":2153,"type":"article-journal","abstract":"Power system is not exempt from the cyber security threats that threaten almost all digitalised society sectors and activities. Consequences of cyber-attacks to power control infrastructures can be extremely significant for operators’ core business, but also for most of the essential services of developed society, even potentially affecting safety of people. Fortunately countermeasures exist as there are international standard that specify which countermeasures have to be applied to raise the security level and to allow interoperability between operators’, vendors’, and customers’ devices. Cyber security countermeasures have an impact on performance that must be evaluated early enough to assess the adequacy of a solution, or to select the most appropriate configuration among multiple alternatives. This article describes a platform developed to measure the impact of cyber security measures indicated by the TLS profiles specified by IEC 62351 standard series. The experimental platform is described and the performances of different cypher suites supported by the standard are reported for communications using a IEC 61850 protocol stack.","language":"en","source":"Zotero","title":"IMPACT EVALUATION OF IEC 62351 CYBER SECURITY ON IEC 61850 COMMUNICATIONS PERFORMANCE","author":[{"family":"Todeschini","given":"Mauro G"},{"family":"Dondossola","given":"Giovanna"},{"family":"Terruggia","given":"Roberta"}],"issued":{"date-parts":[["2019"]]}}}],"schema":"https://github.com/citation-style-language/schema/raw/master/csl-citation.json"} </w:instrText>
      </w:r>
      <w:r>
        <w:fldChar w:fldCharType="separate"/>
      </w:r>
      <w:r w:rsidR="007D29E8" w:rsidRPr="007D29E8">
        <w:t>[168]</w:t>
      </w:r>
      <w:r>
        <w:fldChar w:fldCharType="end"/>
      </w:r>
      <w:r w:rsidRPr="00BD4B33">
        <w:t>. Relevant standards include NERC CIP (Critical Infrastructure Protection) for bulk power systems, IEC 62351 for power system communications security, and the NIST Cybersecurity Framework for overall risk management. Vulnerability scans and penetration tests should be performed at least once a year to determine and fix security weaknesses</w:t>
      </w:r>
      <w:r>
        <w:fldChar w:fldCharType="begin"/>
      </w:r>
      <w:r w:rsidR="007D29E8">
        <w:instrText xml:space="preserve"> ADDIN ZOTERO_ITEM CSL_CITATION {"citationID":"WrmxBe2a","properties":{"unsorted":false,"formattedCitation":"[169]","plainCitation":"[169]","noteIndex":0},"citationItems":[{"id":2154,"uris":["http://zotero.org/users/9870935/items/5WIYJKYR"],"itemData":{"id":2154,"type":"article-journal","abstract":"As technology advances and digitalization becomes more prevalent in the industry, the cyber threats to maritime systems and operations have significantly increased. The maritime sector relies heavily on interconnected networks, communication systems, and sophisticated technologies for its operations, making it an attractive target for cybercriminals, nation-states, and other threat actors. Safeguarding the maritime sector against cyber threats is crucial to ensuring the safety, integrity, and efficiency of maritime operations as well as for protecting sensitive information and global trade. The International Maritime Organization (IMO) has played a significant role in addressing cybersecurity issues, leading to the implementation of regulations aimed at risk reduction. This paper delves into the realm of cybersecurity within the maritime industry, offering an in-depth analysis of its various aspects through an extensive literature review based on the latest Version 2.0 of the National Institute of Standards and Technology’s (NIST) Cybersecurity Framework (CSF) functional areas. The primary objective is to establish a connection between research and NIST’s functions and categories, thereby presenting a nascent perspective and identifying existing security research gaps. Through the adoption of this strategic approach, the present paper aims to cultivate a forward-looking and proactive state of maturity in anticipation of future developments within the maritime industry. The outcomes of this research can provide valuable reference points in academic discourse, potentially leading to new hypotheses, and fuel innovation in developing advanced cybersecurity measures within the maritime industry.","container-title":"Journal of Marine Science and Engineering","DOI":"10.3390/jmse12060919","ISSN":"2077-1312","issue":"6","journalAbbreviation":"JMSE","language":"en","page":"919","source":"DOI.org (Crossref)","title":"Comprehensive Analysis of Maritime Cybersecurity Landscape Based on the NIST CSF v2.0","volume":"12","author":[{"family":"Dimakopoulou","given":"Anastasia"},{"family":"Rantos","given":"Konstantinos"}],"issued":{"date-parts":[["2024",5,30]]}}}],"schema":"https://github.com/citation-style-language/schema/raw/master/csl-citation.json"} </w:instrText>
      </w:r>
      <w:r>
        <w:fldChar w:fldCharType="separate"/>
      </w:r>
      <w:r w:rsidR="007D29E8" w:rsidRPr="007D29E8">
        <w:t>[169]</w:t>
      </w:r>
      <w:r>
        <w:fldChar w:fldCharType="end"/>
      </w:r>
      <w:r w:rsidRPr="00BD4B33">
        <w:t>.</w:t>
      </w:r>
    </w:p>
    <w:p w14:paraId="5FB529BD" w14:textId="77777777" w:rsidR="00FE013C" w:rsidRDefault="00FE013C" w:rsidP="004C16FF">
      <w:pPr>
        <w:pStyle w:val="Heading1"/>
        <w:keepNext/>
        <w:jc w:val="both"/>
      </w:pPr>
      <w:bookmarkStart w:id="4" w:name="_Toc100067"/>
      <w:r>
        <w:t>10. Economic Analysis and Financial Viability</w:t>
      </w:r>
      <w:bookmarkEnd w:id="4"/>
    </w:p>
    <w:p w14:paraId="5CAC49A2" w14:textId="4B2934CE" w:rsidR="00F77E8E" w:rsidRDefault="00F77E8E" w:rsidP="004C16FF">
      <w:pPr>
        <w:spacing w:after="120"/>
        <w:ind w:firstLine="480"/>
        <w:rPr>
          <w:color w:val="000000" w:themeColor="text1"/>
          <w:szCs w:val="24"/>
          <w:lang w:val="en-CA"/>
        </w:rPr>
      </w:pPr>
      <w:r w:rsidRPr="002D05E1">
        <w:rPr>
          <w:color w:val="000000" w:themeColor="text1"/>
          <w:szCs w:val="24"/>
          <w:highlight w:val="yellow"/>
          <w:lang w:val="en-CA"/>
        </w:rPr>
        <w:t xml:space="preserve">This section reviews the economic features of AI data centers powered by renewables, including capital cost of technologies, operating and maintenance costs, levelized generation costs, firming and grid-integration costs, power purchase agreements (PPAs), financial assumptions, tax incentives and methods for financial evaluation of projects. The comparison is divided into unfirmed renewable generation, firmed renewable systems, and delivered grid electricity, as these are not a like-for-like comparison as they are not the same product and availability is different. Values cited in this section are not the results of an independent project-specific financial </w:t>
      </w:r>
      <w:r w:rsidR="002D05E1" w:rsidRPr="002D05E1">
        <w:rPr>
          <w:color w:val="000000" w:themeColor="text1"/>
          <w:szCs w:val="24"/>
          <w:highlight w:val="yellow"/>
          <w:lang w:val="en-CA"/>
        </w:rPr>
        <w:t>model but</w:t>
      </w:r>
      <w:r w:rsidRPr="002D05E1">
        <w:rPr>
          <w:color w:val="000000" w:themeColor="text1"/>
          <w:szCs w:val="24"/>
          <w:highlight w:val="yellow"/>
          <w:lang w:val="en-CA"/>
        </w:rPr>
        <w:t xml:space="preserve"> are literature-based benchmarks.</w:t>
      </w:r>
    </w:p>
    <w:p w14:paraId="159459D5" w14:textId="77777777" w:rsidR="00FE013C" w:rsidRPr="00EB1FF0" w:rsidRDefault="00FE013C" w:rsidP="004C16FF">
      <w:pPr>
        <w:pStyle w:val="Heading20"/>
        <w:jc w:val="both"/>
        <w:rPr>
          <w:color w:val="auto"/>
        </w:rPr>
      </w:pPr>
      <w:bookmarkStart w:id="5" w:name="_Toc100068"/>
      <w:r w:rsidRPr="00EB1FF0">
        <w:rPr>
          <w:color w:val="auto"/>
        </w:rPr>
        <w:t>10.1 Capital</w:t>
      </w:r>
      <w:r>
        <w:rPr>
          <w:color w:val="auto"/>
        </w:rPr>
        <w:t xml:space="preserve"> and Operational</w:t>
      </w:r>
      <w:r w:rsidRPr="00EB1FF0">
        <w:rPr>
          <w:color w:val="auto"/>
        </w:rPr>
        <w:t xml:space="preserve"> Cost Analysis</w:t>
      </w:r>
      <w:bookmarkEnd w:id="5"/>
    </w:p>
    <w:p w14:paraId="76E4F47C" w14:textId="5ED348D8" w:rsidR="00D81E2E" w:rsidRPr="002814C1" w:rsidRDefault="00D81E2E" w:rsidP="00286292">
      <w:pPr>
        <w:spacing w:after="120"/>
        <w:ind w:firstLine="480"/>
        <w:rPr>
          <w:color w:val="000000" w:themeColor="text1"/>
          <w:szCs w:val="24"/>
          <w:highlight w:val="yellow"/>
          <w:lang w:val="en-CA"/>
        </w:rPr>
      </w:pPr>
      <w:r w:rsidRPr="002814C1">
        <w:rPr>
          <w:color w:val="000000" w:themeColor="text1"/>
          <w:szCs w:val="24"/>
          <w:highlight w:val="yellow"/>
          <w:lang w:val="en-CA"/>
        </w:rPr>
        <w:t xml:space="preserve">Costs for renewable-energy projects tend to be capital-intensive, and most of the cost is in developing and building the project. As a result, the reported capital costs range depending on the geographic location, quality of resources, labor and equipment markets, interconnection needs, permitting process, supply-chain limitations, and financing arrangement. The National Renewable </w:t>
      </w:r>
      <w:r w:rsidRPr="002814C1">
        <w:rPr>
          <w:color w:val="000000" w:themeColor="text1"/>
          <w:szCs w:val="24"/>
          <w:highlight w:val="yellow"/>
          <w:lang w:val="en-CA"/>
        </w:rPr>
        <w:lastRenderedPageBreak/>
        <w:t>Energy Laboratory (NREL) Annual Technology Baseline (ATB) deliver internally consistent estimates of technology costs and performance for electricity-sector analysis in the United States; observed costs for commissioned projects are reported by the International Renewable Energy Agency (IRENA)</w:t>
      </w:r>
      <w:r w:rsidR="002814C1">
        <w:rPr>
          <w:color w:val="000000" w:themeColor="text1"/>
          <w:szCs w:val="24"/>
          <w:highlight w:val="yellow"/>
          <w:lang w:val="en-CA"/>
        </w:rPr>
        <w:fldChar w:fldCharType="begin"/>
      </w:r>
      <w:r w:rsidR="00286292">
        <w:rPr>
          <w:color w:val="000000" w:themeColor="text1"/>
          <w:szCs w:val="24"/>
          <w:highlight w:val="yellow"/>
          <w:lang w:val="en-CA"/>
        </w:rPr>
        <w:instrText xml:space="preserve"> ADDIN ZOTERO_ITEM CSL_CITATION {"citationID":"TiaPh2yu","properties":{"unsorted":false,"formattedCitation":"[16], [118]","plainCitation":"[16], [118]","noteIndex":0},"citationItems":[{"id":1925,"uris":["http://zotero.org/users/9870935/items/ZT343IZI"],"itemData":{"id":1925,"type":"article-journal","language":"en","source":"Zotero","title":"Renewable power generation costs in 2024","URL":"https://www.rinnovabili.it/wp-content/uploads/2025/07/IRENA-RENEWABLE-POWER-GENERATION-COSTS-IN-2024.pdf"}},{"id":2715,"uris":["http://zotero.org/users/9870935/items/7394XZ5J"],"itemData":{"id":2715,"type":"post-weblog","title":"Annual Technoogy Baseline","URL":"https://atb-archive.nlr.gov/","author":[{"literal":"NREL"}]}}],"schema":"https://github.com/citation-style-language/schema/raw/master/csl-citation.json"} </w:instrText>
      </w:r>
      <w:r w:rsidR="002814C1">
        <w:rPr>
          <w:color w:val="000000" w:themeColor="text1"/>
          <w:szCs w:val="24"/>
          <w:highlight w:val="yellow"/>
          <w:lang w:val="en-CA"/>
        </w:rPr>
        <w:fldChar w:fldCharType="separate"/>
      </w:r>
      <w:r w:rsidR="00286292" w:rsidRPr="00286292">
        <w:rPr>
          <w:highlight w:val="yellow"/>
          <w:lang w:val="en-CA"/>
        </w:rPr>
        <w:t>[16], [118]</w:t>
      </w:r>
      <w:r w:rsidR="002814C1">
        <w:rPr>
          <w:color w:val="000000" w:themeColor="text1"/>
          <w:szCs w:val="24"/>
          <w:highlight w:val="yellow"/>
          <w:lang w:val="en-CA"/>
        </w:rPr>
        <w:fldChar w:fldCharType="end"/>
      </w:r>
      <w:r w:rsidRPr="002814C1">
        <w:rPr>
          <w:color w:val="000000" w:themeColor="text1"/>
          <w:szCs w:val="24"/>
          <w:highlight w:val="yellow"/>
          <w:lang w:val="en-CA"/>
        </w:rPr>
        <w:t>.</w:t>
      </w:r>
    </w:p>
    <w:p w14:paraId="10D1FDD0" w14:textId="24E412B3" w:rsidR="00D81E2E" w:rsidRPr="002814C1" w:rsidRDefault="00D81E2E" w:rsidP="002814C1">
      <w:pPr>
        <w:spacing w:after="120"/>
        <w:ind w:firstLine="480"/>
        <w:rPr>
          <w:color w:val="000000" w:themeColor="text1"/>
          <w:szCs w:val="24"/>
          <w:highlight w:val="yellow"/>
          <w:lang w:val="en-CA"/>
        </w:rPr>
      </w:pPr>
      <w:r w:rsidRPr="002814C1">
        <w:rPr>
          <w:color w:val="000000" w:themeColor="text1"/>
          <w:szCs w:val="24"/>
          <w:highlight w:val="yellow"/>
          <w:lang w:val="en-CA"/>
        </w:rPr>
        <w:t>In 2024, IRENA reported the global weighted-average total installed costs (TICs) of $691/kW for utility-scale solar photovoltaic (PV) systems and $1,041/kW for onshore wind. Such world averages should not be used as typical project costs for the United States, as permitting, labor and equipment costs, as well as BOS and interconnection delays may lead to higher costs in North America and Europe [186]. Additionally, IRENA published the total installed price for battery energy storage systems (BESS) at the utility scale cost at about $192/kWh in 2024</w:t>
      </w:r>
      <w:r w:rsidR="002814C1">
        <w:rPr>
          <w:color w:val="000000" w:themeColor="text1"/>
          <w:szCs w:val="24"/>
          <w:highlight w:val="yellow"/>
          <w:lang w:val="en-CA"/>
        </w:rPr>
        <w:fldChar w:fldCharType="begin"/>
      </w:r>
      <w:r w:rsidR="002814C1">
        <w:rPr>
          <w:color w:val="000000" w:themeColor="text1"/>
          <w:szCs w:val="24"/>
          <w:highlight w:val="yellow"/>
          <w:lang w:val="en-CA"/>
        </w:rPr>
        <w:instrText xml:space="preserve"> ADDIN ZOTERO_ITEM CSL_CITATION {"citationID":"1l15Jiku","properties":{"unsorted":false,"formattedCitation":"[16]","plainCitation":"[16]","noteIndex":0},"citationItems":[{"id":1925,"uris":["http://zotero.org/users/9870935/items/ZT343IZI"],"itemData":{"id":1925,"type":"article-journal","language":"en","source":"Zotero","title":"Renewable power generation costs in 2024","URL":"https://www.rinnovabili.it/wp-content/uploads/2025/07/IRENA-RENEWABLE-POWER-GENERATION-COSTS-IN-2024.pdf"}}],"schema":"https://github.com/citation-style-language/schema/raw/master/csl-citation.json"} </w:instrText>
      </w:r>
      <w:r w:rsidR="002814C1">
        <w:rPr>
          <w:color w:val="000000" w:themeColor="text1"/>
          <w:szCs w:val="24"/>
          <w:highlight w:val="yellow"/>
          <w:lang w:val="en-CA"/>
        </w:rPr>
        <w:fldChar w:fldCharType="separate"/>
      </w:r>
      <w:r w:rsidR="002814C1" w:rsidRPr="002814C1">
        <w:rPr>
          <w:highlight w:val="yellow"/>
          <w:lang w:val="en-CA"/>
        </w:rPr>
        <w:t>[16]</w:t>
      </w:r>
      <w:r w:rsidR="002814C1">
        <w:rPr>
          <w:color w:val="000000" w:themeColor="text1"/>
          <w:szCs w:val="24"/>
          <w:highlight w:val="yellow"/>
          <w:lang w:val="en-CA"/>
        </w:rPr>
        <w:fldChar w:fldCharType="end"/>
      </w:r>
      <w:r w:rsidRPr="002814C1">
        <w:rPr>
          <w:color w:val="000000" w:themeColor="text1"/>
          <w:szCs w:val="24"/>
          <w:highlight w:val="yellow"/>
          <w:lang w:val="en-CA"/>
        </w:rPr>
        <w:t>.</w:t>
      </w:r>
    </w:p>
    <w:p w14:paraId="002DB1DD" w14:textId="165714E9" w:rsidR="00D81E2E" w:rsidRPr="002814C1" w:rsidRDefault="00D81E2E" w:rsidP="002814C1">
      <w:pPr>
        <w:spacing w:after="120"/>
        <w:ind w:firstLine="480"/>
        <w:rPr>
          <w:color w:val="000000" w:themeColor="text1"/>
          <w:szCs w:val="24"/>
          <w:highlight w:val="yellow"/>
          <w:lang w:val="en-CA"/>
        </w:rPr>
      </w:pPr>
      <w:r w:rsidRPr="002814C1">
        <w:rPr>
          <w:color w:val="000000" w:themeColor="text1"/>
          <w:szCs w:val="24"/>
          <w:highlight w:val="yellow"/>
          <w:lang w:val="en-CA"/>
        </w:rPr>
        <w:t xml:space="preserve">The cost of batteries should be reported regularly. According to </w:t>
      </w:r>
      <w:proofErr w:type="spellStart"/>
      <w:r w:rsidRPr="002814C1">
        <w:rPr>
          <w:color w:val="000000" w:themeColor="text1"/>
          <w:szCs w:val="24"/>
          <w:highlight w:val="yellow"/>
          <w:lang w:val="en-CA"/>
        </w:rPr>
        <w:t>BloombergNEF's</w:t>
      </w:r>
      <w:proofErr w:type="spellEnd"/>
      <w:r w:rsidRPr="002814C1">
        <w:rPr>
          <w:color w:val="000000" w:themeColor="text1"/>
          <w:szCs w:val="24"/>
          <w:highlight w:val="yellow"/>
          <w:lang w:val="en-CA"/>
        </w:rPr>
        <w:t xml:space="preserve"> 2025 survey, the volume-weighted average price of lithium-ion battery-packs for applications dropped to $108/kWh. The average pack price for stationary-storage was about $70/kWh</w:t>
      </w:r>
      <w:r w:rsidR="002814C1">
        <w:rPr>
          <w:color w:val="000000" w:themeColor="text1"/>
          <w:szCs w:val="24"/>
          <w:highlight w:val="yellow"/>
          <w:lang w:val="en-CA"/>
        </w:rPr>
        <w:t xml:space="preserve"> </w:t>
      </w:r>
      <w:r w:rsidR="002814C1">
        <w:rPr>
          <w:color w:val="000000" w:themeColor="text1"/>
          <w:szCs w:val="24"/>
          <w:highlight w:val="yellow"/>
          <w:lang w:val="en-CA"/>
        </w:rPr>
        <w:fldChar w:fldCharType="begin"/>
      </w:r>
      <w:r w:rsidR="002814C1">
        <w:rPr>
          <w:color w:val="000000" w:themeColor="text1"/>
          <w:szCs w:val="24"/>
          <w:highlight w:val="yellow"/>
          <w:lang w:val="en-CA"/>
        </w:rPr>
        <w:instrText xml:space="preserve"> ADDIN ZOTERO_ITEM CSL_CITATION {"citationID":"cL5TvLm8","properties":{"unsorted":false,"formattedCitation":"[17]","plainCitation":"[17]","noteIndex":0},"citationItems":[{"id":1923,"uris":["http://zotero.org/users/9870935/items/K5N743Z5"],"itemData":{"id":1923,"type":"post-weblog","title":"BNEF: Lithium-ion battery pack prices fall to $108/kWh, stationary storage becomes lowest price segment","URL":"https://www.ess-news.com/2025/12/09/bnef-lithium-ion-battery-pack-prices-fall-to-108-kwh-stationary-storage-becomes-lowest-price-segment/","author":[{"family":"BNEF","given":""}],"accessed":{"date-parts":[["2025",12,9]]}}}],"schema":"https://github.com/citation-style-language/schema/raw/master/csl-citation.json"} </w:instrText>
      </w:r>
      <w:r w:rsidR="002814C1">
        <w:rPr>
          <w:color w:val="000000" w:themeColor="text1"/>
          <w:szCs w:val="24"/>
          <w:highlight w:val="yellow"/>
          <w:lang w:val="en-CA"/>
        </w:rPr>
        <w:fldChar w:fldCharType="separate"/>
      </w:r>
      <w:r w:rsidR="002814C1" w:rsidRPr="002814C1">
        <w:rPr>
          <w:highlight w:val="yellow"/>
          <w:lang w:val="en-CA"/>
        </w:rPr>
        <w:t>[17]</w:t>
      </w:r>
      <w:r w:rsidR="002814C1">
        <w:rPr>
          <w:color w:val="000000" w:themeColor="text1"/>
          <w:szCs w:val="24"/>
          <w:highlight w:val="yellow"/>
          <w:lang w:val="en-CA"/>
        </w:rPr>
        <w:fldChar w:fldCharType="end"/>
      </w:r>
      <w:r w:rsidRPr="002814C1">
        <w:rPr>
          <w:color w:val="000000" w:themeColor="text1"/>
          <w:szCs w:val="24"/>
          <w:highlight w:val="yellow"/>
          <w:lang w:val="en-CA"/>
        </w:rPr>
        <w:t xml:space="preserve">. These values are based on battery-packs and do not cover all costs needed to build an operational battery energy storage system. Other costs included in a complete </w:t>
      </w:r>
      <w:r w:rsidR="002814C1" w:rsidRPr="002814C1">
        <w:rPr>
          <w:color w:val="000000" w:themeColor="text1"/>
          <w:szCs w:val="24"/>
          <w:highlight w:val="yellow"/>
          <w:lang w:val="en-CA"/>
        </w:rPr>
        <w:t>installed system</w:t>
      </w:r>
      <w:r w:rsidRPr="002814C1">
        <w:rPr>
          <w:color w:val="000000" w:themeColor="text1"/>
          <w:szCs w:val="24"/>
          <w:highlight w:val="yellow"/>
          <w:lang w:val="en-CA"/>
        </w:rPr>
        <w:t xml:space="preserve"> include the power-conversion system, the thermal management, battery enclosures, controls, fire protection, engineering, procurement, construction, interconnection equipment and site-development costs. The price of the pack is thus not a viable alternative to the installed BESS cost.</w:t>
      </w:r>
    </w:p>
    <w:p w14:paraId="37AC81A4" w14:textId="25C9E738" w:rsidR="00D81E2E" w:rsidRPr="002814C1" w:rsidRDefault="00D81E2E" w:rsidP="002814C1">
      <w:pPr>
        <w:spacing w:after="120"/>
        <w:ind w:firstLine="480"/>
        <w:rPr>
          <w:color w:val="000000" w:themeColor="text1"/>
          <w:szCs w:val="24"/>
          <w:highlight w:val="yellow"/>
          <w:lang w:val="en-CA"/>
        </w:rPr>
      </w:pPr>
      <w:r w:rsidRPr="002814C1">
        <w:rPr>
          <w:color w:val="000000" w:themeColor="text1"/>
          <w:szCs w:val="24"/>
          <w:highlight w:val="yellow"/>
          <w:lang w:val="en-CA"/>
        </w:rPr>
        <w:t>The following cost categories are kept for screening-level analysis in this review:</w:t>
      </w:r>
    </w:p>
    <w:p w14:paraId="6FF64ADD" w14:textId="2DB5E5BD" w:rsidR="00D81E2E" w:rsidRPr="002814C1" w:rsidRDefault="00D81E2E" w:rsidP="00286292">
      <w:pPr>
        <w:pStyle w:val="ListParagraph"/>
        <w:numPr>
          <w:ilvl w:val="0"/>
          <w:numId w:val="23"/>
        </w:numPr>
        <w:spacing w:after="120"/>
        <w:rPr>
          <w:color w:val="000000" w:themeColor="text1"/>
          <w:szCs w:val="24"/>
          <w:highlight w:val="yellow"/>
          <w:lang w:val="en-CA"/>
        </w:rPr>
      </w:pPr>
      <w:r w:rsidRPr="002814C1">
        <w:rPr>
          <w:b/>
          <w:bCs/>
          <w:color w:val="000000" w:themeColor="text1"/>
          <w:szCs w:val="24"/>
          <w:highlight w:val="yellow"/>
          <w:lang w:val="en-CA"/>
        </w:rPr>
        <w:t>Capital cost of utility-scale solar PV:</w:t>
      </w:r>
      <w:r w:rsidRPr="002814C1">
        <w:rPr>
          <w:color w:val="000000" w:themeColor="text1"/>
          <w:szCs w:val="24"/>
          <w:highlight w:val="yellow"/>
          <w:lang w:val="en-CA"/>
        </w:rPr>
        <w:t xml:space="preserve"> project-specific capital cost from the NREL Annual Technology Baseline or a similar regional engineering estimate</w:t>
      </w:r>
      <w:r w:rsidR="008B3B48">
        <w:rPr>
          <w:color w:val="000000" w:themeColor="text1"/>
          <w:szCs w:val="24"/>
          <w:highlight w:val="yellow"/>
          <w:lang w:val="en-CA"/>
        </w:rPr>
        <w:fldChar w:fldCharType="begin"/>
      </w:r>
      <w:r w:rsidR="00286292">
        <w:rPr>
          <w:color w:val="000000" w:themeColor="text1"/>
          <w:szCs w:val="24"/>
          <w:highlight w:val="yellow"/>
          <w:lang w:val="en-CA"/>
        </w:rPr>
        <w:instrText xml:space="preserve"> ADDIN ZOTERO_ITEM CSL_CITATION {"citationID":"0JgMbJWx","properties":{"unsorted":false,"formattedCitation":"[118]","plainCitation":"[118]","noteIndex":0},"citationItems":[{"id":2715,"uris":["http://zotero.org/users/9870935/items/7394XZ5J"],"itemData":{"id":2715,"type":"post-weblog","title":"Annual Technoogy Baseline","URL":"https://atb-archive.nlr.gov/","author":[{"literal":"NREL"}]}}],"schema":"https://github.com/citation-style-language/schema/raw/master/csl-citation.json"} </w:instrText>
      </w:r>
      <w:r w:rsidR="008B3B48">
        <w:rPr>
          <w:color w:val="000000" w:themeColor="text1"/>
          <w:szCs w:val="24"/>
          <w:highlight w:val="yellow"/>
          <w:lang w:val="en-CA"/>
        </w:rPr>
        <w:fldChar w:fldCharType="separate"/>
      </w:r>
      <w:r w:rsidR="00286292" w:rsidRPr="00286292">
        <w:rPr>
          <w:highlight w:val="yellow"/>
          <w:lang w:val="en-CA"/>
        </w:rPr>
        <w:t>[118]</w:t>
      </w:r>
      <w:r w:rsidR="008B3B48">
        <w:rPr>
          <w:color w:val="000000" w:themeColor="text1"/>
          <w:szCs w:val="24"/>
          <w:highlight w:val="yellow"/>
          <w:lang w:val="en-CA"/>
        </w:rPr>
        <w:fldChar w:fldCharType="end"/>
      </w:r>
      <w:r w:rsidRPr="002814C1">
        <w:rPr>
          <w:color w:val="000000" w:themeColor="text1"/>
          <w:szCs w:val="24"/>
          <w:highlight w:val="yellow"/>
          <w:lang w:val="en-CA"/>
        </w:rPr>
        <w:t>.</w:t>
      </w:r>
    </w:p>
    <w:p w14:paraId="56A2FBC4" w14:textId="26C0BD98" w:rsidR="00D81E2E" w:rsidRPr="002814C1" w:rsidRDefault="00D81E2E" w:rsidP="00286292">
      <w:pPr>
        <w:pStyle w:val="ListParagraph"/>
        <w:numPr>
          <w:ilvl w:val="0"/>
          <w:numId w:val="23"/>
        </w:numPr>
        <w:spacing w:after="120"/>
        <w:rPr>
          <w:color w:val="000000" w:themeColor="text1"/>
          <w:szCs w:val="24"/>
          <w:highlight w:val="yellow"/>
          <w:lang w:val="en-CA"/>
        </w:rPr>
      </w:pPr>
      <w:r w:rsidRPr="002814C1">
        <w:rPr>
          <w:b/>
          <w:bCs/>
          <w:color w:val="000000" w:themeColor="text1"/>
          <w:szCs w:val="24"/>
          <w:highlight w:val="yellow"/>
          <w:lang w:val="en-CA"/>
        </w:rPr>
        <w:t>Onshore wind:</w:t>
      </w:r>
      <w:r w:rsidRPr="002814C1">
        <w:rPr>
          <w:color w:val="000000" w:themeColor="text1"/>
          <w:szCs w:val="24"/>
          <w:highlight w:val="yellow"/>
          <w:lang w:val="en-CA"/>
        </w:rPr>
        <w:t xml:space="preserve"> A project-specific capital cost from the NREL Annual Technology Baseline or other regionally available estimate </w:t>
      </w:r>
      <w:r w:rsidR="008B3B48">
        <w:rPr>
          <w:color w:val="000000" w:themeColor="text1"/>
          <w:szCs w:val="24"/>
          <w:highlight w:val="yellow"/>
          <w:lang w:val="en-CA"/>
        </w:rPr>
        <w:fldChar w:fldCharType="begin"/>
      </w:r>
      <w:r w:rsidR="00286292">
        <w:rPr>
          <w:color w:val="000000" w:themeColor="text1"/>
          <w:szCs w:val="24"/>
          <w:highlight w:val="yellow"/>
          <w:lang w:val="en-CA"/>
        </w:rPr>
        <w:instrText xml:space="preserve"> ADDIN ZOTERO_ITEM CSL_CITATION {"citationID":"QgPzQghO","properties":{"unsorted":false,"formattedCitation":"[118]","plainCitation":"[118]","noteIndex":0},"citationItems":[{"id":2715,"uris":["http://zotero.org/users/9870935/items/7394XZ5J"],"itemData":{"id":2715,"type":"post-weblog","title":"Annual Technoogy Baseline","URL":"https://atb-archive.nlr.gov/","author":[{"literal":"NREL"}]}}],"schema":"https://github.com/citation-style-language/schema/raw/master/csl-citation.json"} </w:instrText>
      </w:r>
      <w:r w:rsidR="008B3B48">
        <w:rPr>
          <w:color w:val="000000" w:themeColor="text1"/>
          <w:szCs w:val="24"/>
          <w:highlight w:val="yellow"/>
          <w:lang w:val="en-CA"/>
        </w:rPr>
        <w:fldChar w:fldCharType="separate"/>
      </w:r>
      <w:r w:rsidR="00286292" w:rsidRPr="00286292">
        <w:rPr>
          <w:highlight w:val="yellow"/>
          <w:lang w:val="en-CA"/>
        </w:rPr>
        <w:t>[118]</w:t>
      </w:r>
      <w:r w:rsidR="008B3B48">
        <w:rPr>
          <w:color w:val="000000" w:themeColor="text1"/>
          <w:szCs w:val="24"/>
          <w:highlight w:val="yellow"/>
          <w:lang w:val="en-CA"/>
        </w:rPr>
        <w:fldChar w:fldCharType="end"/>
      </w:r>
      <w:r w:rsidRPr="002814C1">
        <w:rPr>
          <w:color w:val="000000" w:themeColor="text1"/>
          <w:szCs w:val="24"/>
          <w:highlight w:val="yellow"/>
          <w:lang w:val="en-CA"/>
        </w:rPr>
        <w:t>.</w:t>
      </w:r>
    </w:p>
    <w:p w14:paraId="45A1753B" w14:textId="2104934A" w:rsidR="00D81E2E" w:rsidRPr="002814C1" w:rsidRDefault="00D81E2E" w:rsidP="000D42C3">
      <w:pPr>
        <w:pStyle w:val="ListParagraph"/>
        <w:numPr>
          <w:ilvl w:val="0"/>
          <w:numId w:val="23"/>
        </w:numPr>
        <w:spacing w:after="120"/>
        <w:rPr>
          <w:color w:val="000000" w:themeColor="text1"/>
          <w:szCs w:val="24"/>
          <w:highlight w:val="yellow"/>
          <w:lang w:val="en-CA"/>
        </w:rPr>
      </w:pPr>
      <w:r w:rsidRPr="002814C1">
        <w:rPr>
          <w:b/>
          <w:bCs/>
          <w:color w:val="000000" w:themeColor="text1"/>
          <w:szCs w:val="24"/>
          <w:highlight w:val="yellow"/>
          <w:lang w:val="en-CA"/>
        </w:rPr>
        <w:t>Lithium-ion battery pack:</w:t>
      </w:r>
      <w:r w:rsidRPr="002814C1">
        <w:rPr>
          <w:color w:val="000000" w:themeColor="text1"/>
          <w:szCs w:val="24"/>
          <w:highlight w:val="yellow"/>
          <w:lang w:val="en-CA"/>
        </w:rPr>
        <w:t xml:space="preserve"> $108/kWh as the 2025 volume-weighted average across applications, with stationary-storage packs averaging $70/kWh</w:t>
      </w:r>
      <w:r w:rsidR="000D42C3">
        <w:rPr>
          <w:color w:val="000000" w:themeColor="text1"/>
          <w:szCs w:val="24"/>
          <w:highlight w:val="yellow"/>
          <w:lang w:val="en-CA"/>
        </w:rPr>
        <w:fldChar w:fldCharType="begin"/>
      </w:r>
      <w:r w:rsidR="000D42C3">
        <w:rPr>
          <w:color w:val="000000" w:themeColor="text1"/>
          <w:szCs w:val="24"/>
          <w:highlight w:val="yellow"/>
          <w:lang w:val="en-CA"/>
        </w:rPr>
        <w:instrText xml:space="preserve"> ADDIN ZOTERO_ITEM CSL_CITATION {"citationID":"ly3sI2Ew","properties":{"unsorted":false,"formattedCitation":"[17]","plainCitation":"[17]","noteIndex":0},"citationItems":[{"id":1923,"uris":["http://zotero.org/users/9870935/items/K5N743Z5"],"itemData":{"id":1923,"type":"post-weblog","title":"BNEF: Lithium-ion battery pack prices fall to $108/kWh, stationary storage becomes lowest price segment","URL":"https://www.ess-news.com/2025/12/09/bnef-lithium-ion-battery-pack-prices-fall-to-108-kwh-stationary-storage-becomes-lowest-price-segment/","author":[{"family":"BNEF","given":""}],"accessed":{"date-parts":[["2025",12,9]]}}}],"schema":"https://github.com/citation-style-language/schema/raw/master/csl-citation.json"} </w:instrText>
      </w:r>
      <w:r w:rsidR="000D42C3">
        <w:rPr>
          <w:color w:val="000000" w:themeColor="text1"/>
          <w:szCs w:val="24"/>
          <w:highlight w:val="yellow"/>
          <w:lang w:val="en-CA"/>
        </w:rPr>
        <w:fldChar w:fldCharType="separate"/>
      </w:r>
      <w:r w:rsidR="000D42C3" w:rsidRPr="000D42C3">
        <w:rPr>
          <w:highlight w:val="yellow"/>
          <w:lang w:val="en-CA"/>
        </w:rPr>
        <w:t>[17]</w:t>
      </w:r>
      <w:r w:rsidR="000D42C3">
        <w:rPr>
          <w:color w:val="000000" w:themeColor="text1"/>
          <w:szCs w:val="24"/>
          <w:highlight w:val="yellow"/>
          <w:lang w:val="en-CA"/>
        </w:rPr>
        <w:fldChar w:fldCharType="end"/>
      </w:r>
      <w:r w:rsidRPr="002814C1">
        <w:rPr>
          <w:color w:val="000000" w:themeColor="text1"/>
          <w:szCs w:val="24"/>
          <w:highlight w:val="yellow"/>
          <w:lang w:val="en-CA"/>
        </w:rPr>
        <w:t>.</w:t>
      </w:r>
    </w:p>
    <w:p w14:paraId="52FD2944" w14:textId="617B56B8" w:rsidR="00D81E2E" w:rsidRPr="000D42C3" w:rsidRDefault="00D81E2E" w:rsidP="000D42C3">
      <w:pPr>
        <w:pStyle w:val="ListParagraph"/>
        <w:numPr>
          <w:ilvl w:val="0"/>
          <w:numId w:val="23"/>
        </w:numPr>
        <w:spacing w:after="120"/>
        <w:rPr>
          <w:color w:val="000000" w:themeColor="text1"/>
          <w:szCs w:val="24"/>
          <w:highlight w:val="yellow"/>
          <w:lang w:val="en-CA"/>
        </w:rPr>
      </w:pPr>
      <w:r w:rsidRPr="002814C1">
        <w:rPr>
          <w:b/>
          <w:bCs/>
          <w:color w:val="000000" w:themeColor="text1"/>
          <w:szCs w:val="24"/>
          <w:highlight w:val="yellow"/>
          <w:lang w:val="en-CA"/>
        </w:rPr>
        <w:t>Installed cost of utility-scale BESS:</w:t>
      </w:r>
      <w:r w:rsidRPr="002814C1">
        <w:rPr>
          <w:color w:val="000000" w:themeColor="text1"/>
          <w:szCs w:val="24"/>
          <w:highlight w:val="yellow"/>
          <w:lang w:val="en-CA"/>
        </w:rPr>
        <w:t xml:space="preserve"> global weighted-average 2024 installed cost from IRENA, which could vary across regions and projects, of approximately $192/kWh</w:t>
      </w:r>
      <w:r w:rsidR="000D42C3">
        <w:rPr>
          <w:color w:val="000000" w:themeColor="text1"/>
          <w:szCs w:val="24"/>
          <w:highlight w:val="yellow"/>
          <w:lang w:val="en-CA"/>
        </w:rPr>
        <w:fldChar w:fldCharType="begin"/>
      </w:r>
      <w:r w:rsidR="000D42C3">
        <w:rPr>
          <w:color w:val="000000" w:themeColor="text1"/>
          <w:szCs w:val="24"/>
          <w:highlight w:val="yellow"/>
          <w:lang w:val="en-CA"/>
        </w:rPr>
        <w:instrText xml:space="preserve"> ADDIN ZOTERO_ITEM CSL_CITATION {"citationID":"oeDt1TSW","properties":{"unsorted":false,"formattedCitation":"[16]","plainCitation":"[16]","noteIndex":0},"citationItems":[{"id":1925,"uris":["http://zotero.org/users/9870935/items/ZT343IZI"],"itemData":{"id":1925,"type":"article-journal","language":"en","source":"Zotero","title":"Renewable power generation costs in 2024","URL":"https://www.rinnovabili.it/wp-content/uploads/2025/07/IRENA-RENEWABLE-POWER-GENERATION-COSTS-IN-2024.pdf"}}],"schema":"https://github.com/citation-style-language/schema/raw/master/csl-citation.json"} </w:instrText>
      </w:r>
      <w:r w:rsidR="000D42C3">
        <w:rPr>
          <w:color w:val="000000" w:themeColor="text1"/>
          <w:szCs w:val="24"/>
          <w:highlight w:val="yellow"/>
          <w:lang w:val="en-CA"/>
        </w:rPr>
        <w:fldChar w:fldCharType="separate"/>
      </w:r>
      <w:r w:rsidR="000D42C3" w:rsidRPr="000D42C3">
        <w:rPr>
          <w:highlight w:val="yellow"/>
          <w:lang w:val="en-CA"/>
        </w:rPr>
        <w:t>[16]</w:t>
      </w:r>
      <w:r w:rsidR="000D42C3">
        <w:rPr>
          <w:color w:val="000000" w:themeColor="text1"/>
          <w:szCs w:val="24"/>
          <w:highlight w:val="yellow"/>
          <w:lang w:val="en-CA"/>
        </w:rPr>
        <w:fldChar w:fldCharType="end"/>
      </w:r>
      <w:r w:rsidRPr="002814C1">
        <w:rPr>
          <w:color w:val="000000" w:themeColor="text1"/>
          <w:szCs w:val="24"/>
          <w:highlight w:val="yellow"/>
          <w:lang w:val="en-CA"/>
        </w:rPr>
        <w:t>.</w:t>
      </w:r>
    </w:p>
    <w:p w14:paraId="076ABDA0" w14:textId="4B3FC9E2" w:rsidR="00D81E2E" w:rsidRPr="000D42C3" w:rsidRDefault="00D81E2E" w:rsidP="000D42C3">
      <w:pPr>
        <w:spacing w:after="120"/>
        <w:ind w:firstLine="480"/>
        <w:rPr>
          <w:color w:val="000000" w:themeColor="text1"/>
          <w:szCs w:val="24"/>
          <w:highlight w:val="yellow"/>
          <w:lang w:val="en-CA"/>
        </w:rPr>
      </w:pPr>
      <w:r w:rsidRPr="000D42C3">
        <w:rPr>
          <w:color w:val="000000" w:themeColor="text1"/>
          <w:szCs w:val="24"/>
          <w:highlight w:val="yellow"/>
          <w:lang w:val="en-CA"/>
        </w:rPr>
        <w:t xml:space="preserve">Fundamentally, the same technology data set should be used for fixed operation and maintenance costs. Annual fixed O&amp;M can be reported as a percent of initial capital cost for project </w:t>
      </w:r>
      <w:proofErr w:type="gramStart"/>
      <w:r w:rsidRPr="000D42C3">
        <w:rPr>
          <w:color w:val="000000" w:themeColor="text1"/>
          <w:szCs w:val="24"/>
          <w:highlight w:val="yellow"/>
          <w:lang w:val="en-CA"/>
        </w:rPr>
        <w:t>screening, but</w:t>
      </w:r>
      <w:proofErr w:type="gramEnd"/>
      <w:r w:rsidRPr="000D42C3">
        <w:rPr>
          <w:color w:val="000000" w:themeColor="text1"/>
          <w:szCs w:val="24"/>
          <w:highlight w:val="yellow"/>
          <w:lang w:val="en-CA"/>
        </w:rPr>
        <w:t xml:space="preserve"> should be reported as technology-specific dollar per kilowatt per year costs in investment-grade project analysis, and should separately report costs for land leases, insurance and asset management, inverter replacement, battery augmentation, property taxes, and planned component replacement</w:t>
      </w:r>
      <w:r w:rsidR="000D42C3">
        <w:rPr>
          <w:color w:val="000000" w:themeColor="text1"/>
          <w:szCs w:val="24"/>
          <w:highlight w:val="yellow"/>
          <w:lang w:val="en-CA"/>
        </w:rPr>
        <w:t>.</w:t>
      </w:r>
    </w:p>
    <w:p w14:paraId="69D594A0" w14:textId="6F61A66E" w:rsidR="00D81E2E" w:rsidRPr="000D42C3" w:rsidRDefault="00D81E2E" w:rsidP="000D42C3">
      <w:pPr>
        <w:spacing w:after="120"/>
        <w:ind w:firstLine="480"/>
        <w:rPr>
          <w:color w:val="000000" w:themeColor="text1"/>
          <w:szCs w:val="24"/>
          <w:highlight w:val="yellow"/>
          <w:lang w:val="en-CA"/>
        </w:rPr>
      </w:pPr>
      <w:r w:rsidRPr="000D42C3">
        <w:rPr>
          <w:color w:val="000000" w:themeColor="text1"/>
          <w:szCs w:val="24"/>
          <w:highlight w:val="yellow"/>
          <w:lang w:val="en-CA"/>
        </w:rPr>
        <w:t>The previous manuscript provided an overall range of capital costs for a representative 50</w:t>
      </w:r>
      <w:r w:rsidR="000D42C3">
        <w:rPr>
          <w:color w:val="000000" w:themeColor="text1"/>
          <w:szCs w:val="24"/>
          <w:highlight w:val="yellow"/>
          <w:lang w:val="en-CA"/>
        </w:rPr>
        <w:t xml:space="preserve">% </w:t>
      </w:r>
      <w:r w:rsidRPr="000D42C3">
        <w:rPr>
          <w:color w:val="000000" w:themeColor="text1"/>
          <w:szCs w:val="24"/>
          <w:highlight w:val="yellow"/>
          <w:lang w:val="en-CA"/>
        </w:rPr>
        <w:t>and 100</w:t>
      </w:r>
      <w:r w:rsidR="000D42C3">
        <w:rPr>
          <w:color w:val="000000" w:themeColor="text1"/>
          <w:szCs w:val="24"/>
          <w:highlight w:val="yellow"/>
          <w:lang w:val="en-CA"/>
        </w:rPr>
        <w:t xml:space="preserve">% </w:t>
      </w:r>
      <w:r w:rsidRPr="000D42C3">
        <w:rPr>
          <w:color w:val="000000" w:themeColor="text1"/>
          <w:szCs w:val="24"/>
          <w:highlight w:val="yellow"/>
          <w:lang w:val="en-CA"/>
        </w:rPr>
        <w:t>renewable systems for a 100 MW data center. Those totals have been deleted since the renewable capacity, battery power and energy ratings, scope of interconnection, backup capacity, development cost and financing assumptions to reproduce these totals were not fully specified. Instead, project-level capital expenditure should be computed based on the consistent unit cost of equipment capacities, engineering, procurement, construction, development, interconnection, contingency and financing costs.</w:t>
      </w:r>
    </w:p>
    <w:p w14:paraId="2E77E158" w14:textId="77777777" w:rsidR="00FE013C" w:rsidRDefault="00FE013C" w:rsidP="004C16FF">
      <w:pPr>
        <w:pStyle w:val="Heading20"/>
        <w:jc w:val="both"/>
        <w:rPr>
          <w:color w:val="auto"/>
        </w:rPr>
      </w:pPr>
      <w:r w:rsidRPr="00EB1FF0">
        <w:rPr>
          <w:color w:val="auto"/>
        </w:rPr>
        <w:t>10.</w:t>
      </w:r>
      <w:r>
        <w:rPr>
          <w:color w:val="auto"/>
        </w:rPr>
        <w:t>2</w:t>
      </w:r>
      <w:r w:rsidRPr="00EB1FF0">
        <w:rPr>
          <w:color w:val="auto"/>
        </w:rPr>
        <w:t xml:space="preserve"> </w:t>
      </w:r>
      <w:r>
        <w:rPr>
          <w:color w:val="auto"/>
        </w:rPr>
        <w:t>Levelized Cost of Energy (LCOE) Comparison</w:t>
      </w:r>
    </w:p>
    <w:p w14:paraId="655178C0" w14:textId="0AFEAA73" w:rsidR="00044E2C" w:rsidRPr="00044E2C" w:rsidRDefault="00044E2C" w:rsidP="00286292">
      <w:pPr>
        <w:spacing w:after="120"/>
        <w:ind w:firstLine="480"/>
        <w:rPr>
          <w:color w:val="000000" w:themeColor="text1"/>
          <w:szCs w:val="24"/>
          <w:highlight w:val="yellow"/>
          <w:lang w:val="en-CA"/>
        </w:rPr>
      </w:pPr>
      <w:r w:rsidRPr="00044E2C">
        <w:rPr>
          <w:color w:val="000000" w:themeColor="text1"/>
          <w:szCs w:val="24"/>
          <w:highlight w:val="yellow"/>
          <w:lang w:val="en-CA"/>
        </w:rPr>
        <w:lastRenderedPageBreak/>
        <w:t>Levelized cost of electricity (LCOE) is the discounted LCOE of constructing and operating a generation asset divided by the discounted lifetime electricity production. While LCOE is useful for comparing generation technologies when the same assumptions are made, it cannot be used to measure the temporal availability, capacity value, transmission requirements, curtailment or the cost of reliably serving a continuous data-center load</w:t>
      </w:r>
      <w:r>
        <w:rPr>
          <w:color w:val="000000" w:themeColor="text1"/>
          <w:szCs w:val="24"/>
          <w:highlight w:val="yellow"/>
          <w:lang w:val="en-CA"/>
        </w:rPr>
        <w:fldChar w:fldCharType="begin"/>
      </w:r>
      <w:r w:rsidR="00286292">
        <w:rPr>
          <w:color w:val="000000" w:themeColor="text1"/>
          <w:szCs w:val="24"/>
          <w:highlight w:val="yellow"/>
          <w:lang w:val="en-CA"/>
        </w:rPr>
        <w:instrText xml:space="preserve"> ADDIN ZOTERO_ITEM CSL_CITATION {"citationID":"GxLmBcf8","properties":{"unsorted":false,"formattedCitation":"[16], [170]","plainCitation":"[16], [170]","noteIndex":0},"citationItems":[{"id":1925,"uris":["http://zotero.org/users/9870935/items/ZT343IZI"],"itemData":{"id":1925,"type":"article-journal","language":"en","source":"Zotero","title":"Renewable power generation costs in 2024","URL":"https://www.rinnovabili.it/wp-content/uploads/2025/07/IRENA-RENEWABLE-POWER-GENERATION-COSTS-IN-2024.pdf"}},{"id":2716,"uris":["http://zotero.org/users/9870935/items/QM3FE6TY"],"itemData":{"id":2716,"type":"post-weblog","title":"Lazard’s Levelized Cost of Energy","URL":"https://www.lazard.com/research-insights/levelized-cost-of-energyplus-lcoeplus/","author":[{"literal":"LAZARD"}]}}],"schema":"https://github.com/citation-style-language/schema/raw/master/csl-citation.json"} </w:instrText>
      </w:r>
      <w:r>
        <w:rPr>
          <w:color w:val="000000" w:themeColor="text1"/>
          <w:szCs w:val="24"/>
          <w:highlight w:val="yellow"/>
          <w:lang w:val="en-CA"/>
        </w:rPr>
        <w:fldChar w:fldCharType="separate"/>
      </w:r>
      <w:r w:rsidR="00286292" w:rsidRPr="00286292">
        <w:rPr>
          <w:highlight w:val="yellow"/>
          <w:lang w:val="en-CA"/>
        </w:rPr>
        <w:t>[16], [170]</w:t>
      </w:r>
      <w:r>
        <w:rPr>
          <w:color w:val="000000" w:themeColor="text1"/>
          <w:szCs w:val="24"/>
          <w:highlight w:val="yellow"/>
          <w:lang w:val="en-CA"/>
        </w:rPr>
        <w:fldChar w:fldCharType="end"/>
      </w:r>
      <w:r w:rsidRPr="00044E2C">
        <w:rPr>
          <w:color w:val="000000" w:themeColor="text1"/>
          <w:szCs w:val="24"/>
          <w:highlight w:val="yellow"/>
          <w:lang w:val="en-CA"/>
        </w:rPr>
        <w:t>.</w:t>
      </w:r>
    </w:p>
    <w:p w14:paraId="019243BB" w14:textId="77777777" w:rsidR="00044E2C" w:rsidRPr="00044E2C" w:rsidRDefault="00044E2C" w:rsidP="00044E2C">
      <w:pPr>
        <w:pStyle w:val="Caption"/>
        <w:keepNext/>
        <w:rPr>
          <w:i w:val="0"/>
          <w:iCs w:val="0"/>
          <w:color w:val="000000"/>
          <w:sz w:val="24"/>
          <w:szCs w:val="24"/>
        </w:rPr>
      </w:pPr>
    </w:p>
    <w:p w14:paraId="39E4AFB9" w14:textId="48981AF3" w:rsidR="00044E2C" w:rsidRPr="00044E2C" w:rsidRDefault="00044E2C" w:rsidP="00044E2C">
      <w:pPr>
        <w:spacing w:after="120"/>
        <w:ind w:firstLine="480"/>
        <w:rPr>
          <w:color w:val="000000" w:themeColor="text1"/>
          <w:szCs w:val="24"/>
          <w:highlight w:val="yellow"/>
          <w:lang w:val="en-CA"/>
        </w:rPr>
      </w:pPr>
      <w:r w:rsidRPr="00044E2C">
        <w:rPr>
          <w:color w:val="000000" w:themeColor="text1"/>
          <w:szCs w:val="24"/>
          <w:highlight w:val="yellow"/>
          <w:lang w:val="en-CA"/>
        </w:rPr>
        <w:t xml:space="preserve">This is therefore the difference between unfirmed and firmed electricity that is important. Standalone solar PV and wind LCOEs are the cost of variable electricity </w:t>
      </w:r>
      <w:r w:rsidR="00417AAE" w:rsidRPr="00044E2C">
        <w:rPr>
          <w:color w:val="000000" w:themeColor="text1"/>
          <w:szCs w:val="24"/>
          <w:highlight w:val="yellow"/>
          <w:lang w:val="en-CA"/>
        </w:rPr>
        <w:t>if</w:t>
      </w:r>
      <w:r w:rsidRPr="00044E2C">
        <w:rPr>
          <w:color w:val="000000" w:themeColor="text1"/>
          <w:szCs w:val="24"/>
          <w:highlight w:val="yellow"/>
          <w:lang w:val="en-CA"/>
        </w:rPr>
        <w:t xml:space="preserve"> the resource is available. On the other hand, a data center has a high demand for </w:t>
      </w:r>
      <w:r w:rsidR="00417AAE" w:rsidRPr="00044E2C">
        <w:rPr>
          <w:color w:val="000000" w:themeColor="text1"/>
          <w:szCs w:val="24"/>
          <w:highlight w:val="yellow"/>
          <w:lang w:val="en-CA"/>
        </w:rPr>
        <w:t>electricity,</w:t>
      </w:r>
      <w:r w:rsidRPr="00044E2C">
        <w:rPr>
          <w:color w:val="000000" w:themeColor="text1"/>
          <w:szCs w:val="24"/>
          <w:highlight w:val="yellow"/>
          <w:lang w:val="en-CA"/>
        </w:rPr>
        <w:t xml:space="preserve"> and the electricity </w:t>
      </w:r>
      <w:proofErr w:type="gramStart"/>
      <w:r w:rsidRPr="00044E2C">
        <w:rPr>
          <w:color w:val="000000" w:themeColor="text1"/>
          <w:szCs w:val="24"/>
          <w:highlight w:val="yellow"/>
          <w:lang w:val="en-CA"/>
        </w:rPr>
        <w:t>has to</w:t>
      </w:r>
      <w:proofErr w:type="gramEnd"/>
      <w:r w:rsidRPr="00044E2C">
        <w:rPr>
          <w:color w:val="000000" w:themeColor="text1"/>
          <w:szCs w:val="24"/>
          <w:highlight w:val="yellow"/>
          <w:lang w:val="en-CA"/>
        </w:rPr>
        <w:t xml:space="preserve"> be constant, so it needs to increase the demand elasticity or geographic dispersion or use storage, imports, and backup generation to increase the demand stability. Unfirmed solar and wind LCOEs should not be explicitly compared to the all-in cost of firm grid service.</w:t>
      </w:r>
    </w:p>
    <w:p w14:paraId="56F187F7" w14:textId="4BC9651B" w:rsidR="00044E2C" w:rsidRPr="00044E2C" w:rsidRDefault="00044E2C" w:rsidP="00286292">
      <w:pPr>
        <w:spacing w:after="120"/>
        <w:ind w:firstLine="480"/>
        <w:rPr>
          <w:color w:val="000000" w:themeColor="text1"/>
          <w:szCs w:val="24"/>
          <w:highlight w:val="yellow"/>
          <w:lang w:val="en-CA"/>
        </w:rPr>
      </w:pPr>
      <w:r w:rsidRPr="00044E2C">
        <w:rPr>
          <w:color w:val="000000" w:themeColor="text1"/>
          <w:szCs w:val="24"/>
          <w:highlight w:val="yellow"/>
          <w:lang w:val="en-CA"/>
        </w:rPr>
        <w:t>IRENA also listed the weighted-average LCOEs for solar PV and onshore wind for 2024 as $43/MWh and $34/MWh respectively</w:t>
      </w:r>
      <w:r w:rsidR="00417AAE">
        <w:rPr>
          <w:color w:val="000000" w:themeColor="text1"/>
          <w:szCs w:val="24"/>
          <w:highlight w:val="yellow"/>
          <w:lang w:val="en-CA"/>
        </w:rPr>
        <w:fldChar w:fldCharType="begin"/>
      </w:r>
      <w:r w:rsidR="00417AAE">
        <w:rPr>
          <w:color w:val="000000" w:themeColor="text1"/>
          <w:szCs w:val="24"/>
          <w:highlight w:val="yellow"/>
          <w:lang w:val="en-CA"/>
        </w:rPr>
        <w:instrText xml:space="preserve"> ADDIN ZOTERO_ITEM CSL_CITATION {"citationID":"OszfCbIt","properties":{"unsorted":false,"formattedCitation":"[16]","plainCitation":"[16]","noteIndex":0},"citationItems":[{"id":1925,"uris":["http://zotero.org/users/9870935/items/ZT343IZI"],"itemData":{"id":1925,"type":"article-journal","language":"en","source":"Zotero","title":"Renewable power generation costs in 2024","URL":"https://www.rinnovabili.it/wp-content/uploads/2025/07/IRENA-RENEWABLE-POWER-GENERATION-COSTS-IN-2024.pdf"}}],"schema":"https://github.com/citation-style-language/schema/raw/master/csl-citation.json"} </w:instrText>
      </w:r>
      <w:r w:rsidR="00417AAE">
        <w:rPr>
          <w:color w:val="000000" w:themeColor="text1"/>
          <w:szCs w:val="24"/>
          <w:highlight w:val="yellow"/>
          <w:lang w:val="en-CA"/>
        </w:rPr>
        <w:fldChar w:fldCharType="separate"/>
      </w:r>
      <w:r w:rsidR="00417AAE" w:rsidRPr="00417AAE">
        <w:rPr>
          <w:highlight w:val="yellow"/>
          <w:lang w:val="en-CA"/>
        </w:rPr>
        <w:t>[16]</w:t>
      </w:r>
      <w:r w:rsidR="00417AAE">
        <w:rPr>
          <w:color w:val="000000" w:themeColor="text1"/>
          <w:szCs w:val="24"/>
          <w:highlight w:val="yellow"/>
          <w:lang w:val="en-CA"/>
        </w:rPr>
        <w:fldChar w:fldCharType="end"/>
      </w:r>
      <w:r w:rsidRPr="00044E2C">
        <w:rPr>
          <w:color w:val="000000" w:themeColor="text1"/>
          <w:szCs w:val="24"/>
          <w:highlight w:val="yellow"/>
          <w:lang w:val="en-CA"/>
        </w:rPr>
        <w:t>. Lazard's 2025 LCOE+ also found utility-scale solar and onshore wind to be cost competitive in the U.S. for new build, and noted that it is benchmarking current markets, not predicting the future</w:t>
      </w:r>
      <w:r w:rsidR="00417AAE">
        <w:rPr>
          <w:color w:val="000000" w:themeColor="text1"/>
          <w:szCs w:val="24"/>
          <w:highlight w:val="yellow"/>
          <w:lang w:val="en-CA"/>
        </w:rPr>
        <w:fldChar w:fldCharType="begin"/>
      </w:r>
      <w:r w:rsidR="00286292">
        <w:rPr>
          <w:color w:val="000000" w:themeColor="text1"/>
          <w:szCs w:val="24"/>
          <w:highlight w:val="yellow"/>
          <w:lang w:val="en-CA"/>
        </w:rPr>
        <w:instrText xml:space="preserve"> ADDIN ZOTERO_ITEM CSL_CITATION {"citationID":"DLHqQ4hD","properties":{"unsorted":false,"formattedCitation":"[170]","plainCitation":"[170]","noteIndex":0},"citationItems":[{"id":2716,"uris":["http://zotero.org/users/9870935/items/QM3FE6TY"],"itemData":{"id":2716,"type":"post-weblog","title":"Lazard’s Levelized Cost of Energy","URL":"https://www.lazard.com/research-insights/levelized-cost-of-energyplus-lcoeplus/","author":[{"literal":"LAZARD"}]}}],"schema":"https://github.com/citation-style-language/schema/raw/master/csl-citation.json"} </w:instrText>
      </w:r>
      <w:r w:rsidR="00417AAE">
        <w:rPr>
          <w:color w:val="000000" w:themeColor="text1"/>
          <w:szCs w:val="24"/>
          <w:highlight w:val="yellow"/>
          <w:lang w:val="en-CA"/>
        </w:rPr>
        <w:fldChar w:fldCharType="separate"/>
      </w:r>
      <w:r w:rsidR="00286292" w:rsidRPr="00286292">
        <w:rPr>
          <w:highlight w:val="yellow"/>
          <w:lang w:val="en-CA"/>
        </w:rPr>
        <w:t>[170]</w:t>
      </w:r>
      <w:r w:rsidR="00417AAE">
        <w:rPr>
          <w:color w:val="000000" w:themeColor="text1"/>
          <w:szCs w:val="24"/>
          <w:highlight w:val="yellow"/>
          <w:lang w:val="en-CA"/>
        </w:rPr>
        <w:fldChar w:fldCharType="end"/>
      </w:r>
      <w:r w:rsidRPr="00044E2C">
        <w:rPr>
          <w:color w:val="000000" w:themeColor="text1"/>
          <w:szCs w:val="24"/>
          <w:highlight w:val="yellow"/>
          <w:lang w:val="en-CA"/>
        </w:rPr>
        <w:t>. These values represent only the cost of a generation and do not reflect the full cost of securing supply to a data centre that is continually running.</w:t>
      </w:r>
    </w:p>
    <w:p w14:paraId="0AA27ACC" w14:textId="03736E14" w:rsidR="00044E2C" w:rsidRPr="00044E2C" w:rsidRDefault="00044E2C" w:rsidP="00417AAE">
      <w:pPr>
        <w:spacing w:after="120"/>
        <w:ind w:firstLine="480"/>
        <w:rPr>
          <w:color w:val="000000" w:themeColor="text1"/>
          <w:szCs w:val="24"/>
          <w:highlight w:val="yellow"/>
          <w:lang w:val="en-CA"/>
        </w:rPr>
      </w:pPr>
      <w:r w:rsidRPr="00044E2C">
        <w:rPr>
          <w:color w:val="000000" w:themeColor="text1"/>
          <w:szCs w:val="24"/>
          <w:highlight w:val="yellow"/>
          <w:lang w:val="en-CA"/>
        </w:rPr>
        <w:t>Evidence on hybrid projects is more fitting for comparison. A weighted-average LCOE for these 17 projects was reported to be around $79/MWh in 2024, IRENA said. IRENA also found that the weighted-average price for eight Australian hybrid renewable-storage projects is around $51/MWh, highlighting the significance of project configuration, market structures, resource quality and location</w:t>
      </w:r>
      <w:r w:rsidR="00417AAE">
        <w:rPr>
          <w:color w:val="000000" w:themeColor="text1"/>
          <w:szCs w:val="24"/>
          <w:highlight w:val="yellow"/>
          <w:lang w:val="en-CA"/>
        </w:rPr>
        <w:fldChar w:fldCharType="begin"/>
      </w:r>
      <w:r w:rsidR="00417AAE">
        <w:rPr>
          <w:color w:val="000000" w:themeColor="text1"/>
          <w:szCs w:val="24"/>
          <w:highlight w:val="yellow"/>
          <w:lang w:val="en-CA"/>
        </w:rPr>
        <w:instrText xml:space="preserve"> ADDIN ZOTERO_ITEM CSL_CITATION {"citationID":"t1SBBOEG","properties":{"unsorted":false,"formattedCitation":"[16]","plainCitation":"[16]","noteIndex":0},"citationItems":[{"id":1925,"uris":["http://zotero.org/users/9870935/items/ZT343IZI"],"itemData":{"id":1925,"type":"article-journal","language":"en","source":"Zotero","title":"Renewable power generation costs in 2024","URL":"https://www.rinnovabili.it/wp-content/uploads/2025/07/IRENA-RENEWABLE-POWER-GENERATION-COSTS-IN-2024.pdf"}}],"schema":"https://github.com/citation-style-language/schema/raw/master/csl-citation.json"} </w:instrText>
      </w:r>
      <w:r w:rsidR="00417AAE">
        <w:rPr>
          <w:color w:val="000000" w:themeColor="text1"/>
          <w:szCs w:val="24"/>
          <w:highlight w:val="yellow"/>
          <w:lang w:val="en-CA"/>
        </w:rPr>
        <w:fldChar w:fldCharType="separate"/>
      </w:r>
      <w:r w:rsidR="00417AAE" w:rsidRPr="00417AAE">
        <w:rPr>
          <w:highlight w:val="yellow"/>
          <w:lang w:val="en-CA"/>
        </w:rPr>
        <w:t>[16]</w:t>
      </w:r>
      <w:r w:rsidR="00417AAE">
        <w:rPr>
          <w:color w:val="000000" w:themeColor="text1"/>
          <w:szCs w:val="24"/>
          <w:highlight w:val="yellow"/>
          <w:lang w:val="en-CA"/>
        </w:rPr>
        <w:fldChar w:fldCharType="end"/>
      </w:r>
      <w:r w:rsidRPr="00044E2C">
        <w:rPr>
          <w:color w:val="000000" w:themeColor="text1"/>
          <w:szCs w:val="24"/>
          <w:highlight w:val="yellow"/>
          <w:lang w:val="en-CA"/>
        </w:rPr>
        <w:t>.</w:t>
      </w:r>
    </w:p>
    <w:p w14:paraId="2A8D6365" w14:textId="105B42BD" w:rsidR="00FE013C" w:rsidRPr="00417AAE" w:rsidRDefault="00FE013C" w:rsidP="00417AAE">
      <w:pPr>
        <w:pStyle w:val="Caption"/>
        <w:keepNext/>
        <w:rPr>
          <w:lang w:val="en-CA"/>
        </w:rPr>
      </w:pPr>
      <w:r>
        <w:t xml:space="preserve">Table </w:t>
      </w:r>
      <w:r>
        <w:fldChar w:fldCharType="begin"/>
      </w:r>
      <w:r>
        <w:instrText xml:space="preserve"> SEQ Table \* ARABIC </w:instrText>
      </w:r>
      <w:r>
        <w:fldChar w:fldCharType="separate"/>
      </w:r>
      <w:r w:rsidR="003A3C82">
        <w:rPr>
          <w:noProof/>
        </w:rPr>
        <w:t>9</w:t>
      </w:r>
      <w:r>
        <w:rPr>
          <w:noProof/>
        </w:rPr>
        <w:fldChar w:fldCharType="end"/>
      </w:r>
      <w:r>
        <w:t xml:space="preserve"> </w:t>
      </w:r>
      <w:r w:rsidR="00417AAE" w:rsidRPr="00417AAE">
        <w:rPr>
          <w:lang w:val="en-CA"/>
        </w:rPr>
        <w:t>Literature-based electricity-cost benchmarks relevant to AI data centers</w:t>
      </w:r>
    </w:p>
    <w:tbl>
      <w:tblPr>
        <w:tblStyle w:val="MDPI41threelinetable"/>
        <w:tblW w:w="0" w:type="auto"/>
        <w:tblLook w:val="04A0" w:firstRow="1" w:lastRow="0" w:firstColumn="1" w:lastColumn="0" w:noHBand="0" w:noVBand="1"/>
      </w:tblPr>
      <w:tblGrid>
        <w:gridCol w:w="1581"/>
        <w:gridCol w:w="1476"/>
        <w:gridCol w:w="1585"/>
        <w:gridCol w:w="2897"/>
        <w:gridCol w:w="2213"/>
      </w:tblGrid>
      <w:tr w:rsidR="00417AAE" w:rsidRPr="00417AAE" w14:paraId="265CBA4B" w14:textId="77777777" w:rsidTr="00417AAE">
        <w:trPr>
          <w:cnfStyle w:val="100000000000" w:firstRow="1" w:lastRow="0" w:firstColumn="0" w:lastColumn="0" w:oddVBand="0" w:evenVBand="0" w:oddHBand="0" w:evenHBand="0" w:firstRowFirstColumn="0" w:firstRowLastColumn="0" w:lastRowFirstColumn="0" w:lastRowLastColumn="0"/>
        </w:trPr>
        <w:tc>
          <w:tcPr>
            <w:tcW w:w="0" w:type="auto"/>
            <w:hideMark/>
          </w:tcPr>
          <w:p w14:paraId="7B7B48A6" w14:textId="77777777" w:rsidR="00417AAE" w:rsidRPr="00560B9F" w:rsidRDefault="00417AAE" w:rsidP="00417AAE">
            <w:pPr>
              <w:spacing w:after="120"/>
              <w:rPr>
                <w:bCs/>
                <w:sz w:val="22"/>
                <w:szCs w:val="22"/>
                <w:highlight w:val="yellow"/>
                <w:lang w:val="en-CA"/>
              </w:rPr>
            </w:pPr>
            <w:r w:rsidRPr="00560B9F">
              <w:rPr>
                <w:bCs/>
                <w:sz w:val="22"/>
                <w:szCs w:val="22"/>
                <w:highlight w:val="yellow"/>
                <w:lang w:val="en-CA"/>
              </w:rPr>
              <w:t>Supply Option</w:t>
            </w:r>
          </w:p>
        </w:tc>
        <w:tc>
          <w:tcPr>
            <w:tcW w:w="0" w:type="auto"/>
            <w:hideMark/>
          </w:tcPr>
          <w:p w14:paraId="439EEF68" w14:textId="77777777" w:rsidR="00417AAE" w:rsidRPr="00560B9F" w:rsidRDefault="00417AAE" w:rsidP="00417AAE">
            <w:pPr>
              <w:spacing w:after="120"/>
              <w:rPr>
                <w:bCs/>
                <w:sz w:val="22"/>
                <w:szCs w:val="22"/>
                <w:highlight w:val="yellow"/>
                <w:lang w:val="en-CA"/>
              </w:rPr>
            </w:pPr>
            <w:r w:rsidRPr="00560B9F">
              <w:rPr>
                <w:bCs/>
                <w:sz w:val="22"/>
                <w:szCs w:val="22"/>
                <w:highlight w:val="yellow"/>
                <w:lang w:val="en-CA"/>
              </w:rPr>
              <w:t>Cost Benchmark</w:t>
            </w:r>
          </w:p>
        </w:tc>
        <w:tc>
          <w:tcPr>
            <w:tcW w:w="0" w:type="auto"/>
            <w:hideMark/>
          </w:tcPr>
          <w:p w14:paraId="43534039" w14:textId="77777777" w:rsidR="00417AAE" w:rsidRPr="00560B9F" w:rsidRDefault="00417AAE" w:rsidP="00417AAE">
            <w:pPr>
              <w:spacing w:after="120"/>
              <w:rPr>
                <w:bCs/>
                <w:sz w:val="22"/>
                <w:szCs w:val="22"/>
                <w:highlight w:val="yellow"/>
                <w:lang w:val="en-CA"/>
              </w:rPr>
            </w:pPr>
            <w:r w:rsidRPr="00560B9F">
              <w:rPr>
                <w:bCs/>
                <w:sz w:val="22"/>
                <w:szCs w:val="22"/>
                <w:highlight w:val="yellow"/>
                <w:lang w:val="en-CA"/>
              </w:rPr>
              <w:t>Classification</w:t>
            </w:r>
          </w:p>
        </w:tc>
        <w:tc>
          <w:tcPr>
            <w:tcW w:w="0" w:type="auto"/>
            <w:hideMark/>
          </w:tcPr>
          <w:p w14:paraId="6BD3A392" w14:textId="77777777" w:rsidR="00417AAE" w:rsidRPr="00560B9F" w:rsidRDefault="00417AAE" w:rsidP="00417AAE">
            <w:pPr>
              <w:spacing w:after="120"/>
              <w:rPr>
                <w:bCs/>
                <w:sz w:val="22"/>
                <w:szCs w:val="22"/>
                <w:highlight w:val="yellow"/>
                <w:lang w:val="en-CA"/>
              </w:rPr>
            </w:pPr>
            <w:r w:rsidRPr="00560B9F">
              <w:rPr>
                <w:bCs/>
                <w:sz w:val="22"/>
                <w:szCs w:val="22"/>
                <w:highlight w:val="yellow"/>
                <w:lang w:val="en-CA"/>
              </w:rPr>
              <w:t>Interpretation</w:t>
            </w:r>
          </w:p>
        </w:tc>
        <w:tc>
          <w:tcPr>
            <w:tcW w:w="0" w:type="auto"/>
            <w:hideMark/>
          </w:tcPr>
          <w:p w14:paraId="31370237" w14:textId="77777777" w:rsidR="00417AAE" w:rsidRPr="00560B9F" w:rsidRDefault="00417AAE" w:rsidP="00417AAE">
            <w:pPr>
              <w:spacing w:after="120"/>
              <w:rPr>
                <w:bCs/>
                <w:sz w:val="22"/>
                <w:szCs w:val="22"/>
                <w:highlight w:val="yellow"/>
                <w:lang w:val="en-CA"/>
              </w:rPr>
            </w:pPr>
            <w:r w:rsidRPr="00560B9F">
              <w:rPr>
                <w:bCs/>
                <w:sz w:val="22"/>
                <w:szCs w:val="22"/>
                <w:highlight w:val="yellow"/>
                <w:lang w:val="en-CA"/>
              </w:rPr>
              <w:t>Principal Sensitivity</w:t>
            </w:r>
          </w:p>
        </w:tc>
      </w:tr>
      <w:tr w:rsidR="00417AAE" w:rsidRPr="00417AAE" w14:paraId="38047541" w14:textId="77777777" w:rsidTr="00417AAE">
        <w:tc>
          <w:tcPr>
            <w:tcW w:w="0" w:type="auto"/>
            <w:hideMark/>
          </w:tcPr>
          <w:p w14:paraId="4E639F92" w14:textId="77777777" w:rsidR="00417AAE" w:rsidRPr="00560B9F" w:rsidRDefault="00417AAE" w:rsidP="00417AAE">
            <w:pPr>
              <w:spacing w:after="120"/>
              <w:rPr>
                <w:sz w:val="22"/>
                <w:szCs w:val="22"/>
                <w:highlight w:val="yellow"/>
                <w:lang w:val="en-CA"/>
              </w:rPr>
            </w:pPr>
            <w:r w:rsidRPr="00560B9F">
              <w:rPr>
                <w:b/>
                <w:bCs/>
                <w:sz w:val="22"/>
                <w:szCs w:val="22"/>
                <w:highlight w:val="yellow"/>
                <w:lang w:val="en-CA"/>
              </w:rPr>
              <w:t>Utility-scale solar PV</w:t>
            </w:r>
          </w:p>
        </w:tc>
        <w:tc>
          <w:tcPr>
            <w:tcW w:w="0" w:type="auto"/>
            <w:hideMark/>
          </w:tcPr>
          <w:p w14:paraId="5EED7316" w14:textId="77777777" w:rsidR="00417AAE" w:rsidRPr="00560B9F" w:rsidRDefault="00417AAE" w:rsidP="00417AAE">
            <w:pPr>
              <w:spacing w:after="120"/>
              <w:rPr>
                <w:sz w:val="22"/>
                <w:szCs w:val="22"/>
                <w:highlight w:val="yellow"/>
                <w:lang w:val="en-CA"/>
              </w:rPr>
            </w:pPr>
            <w:r w:rsidRPr="00560B9F">
              <w:rPr>
                <w:sz w:val="22"/>
                <w:szCs w:val="22"/>
                <w:highlight w:val="yellow"/>
                <w:lang w:val="en-CA"/>
              </w:rPr>
              <w:t>$43/MWh</w:t>
            </w:r>
          </w:p>
        </w:tc>
        <w:tc>
          <w:tcPr>
            <w:tcW w:w="0" w:type="auto"/>
            <w:hideMark/>
          </w:tcPr>
          <w:p w14:paraId="56650508" w14:textId="77777777" w:rsidR="00417AAE" w:rsidRPr="00560B9F" w:rsidRDefault="00417AAE" w:rsidP="00417AAE">
            <w:pPr>
              <w:spacing w:after="120"/>
              <w:rPr>
                <w:sz w:val="22"/>
                <w:szCs w:val="22"/>
                <w:highlight w:val="yellow"/>
                <w:lang w:val="en-CA"/>
              </w:rPr>
            </w:pPr>
            <w:r w:rsidRPr="00560B9F">
              <w:rPr>
                <w:sz w:val="22"/>
                <w:szCs w:val="22"/>
                <w:highlight w:val="yellow"/>
                <w:lang w:val="en-CA"/>
              </w:rPr>
              <w:t>Unfirmed generation</w:t>
            </w:r>
          </w:p>
        </w:tc>
        <w:tc>
          <w:tcPr>
            <w:tcW w:w="0" w:type="auto"/>
            <w:hideMark/>
          </w:tcPr>
          <w:p w14:paraId="7C7EEF46" w14:textId="77777777" w:rsidR="00417AAE" w:rsidRPr="00560B9F" w:rsidRDefault="00417AAE" w:rsidP="00417AAE">
            <w:pPr>
              <w:spacing w:after="120"/>
              <w:rPr>
                <w:sz w:val="22"/>
                <w:szCs w:val="22"/>
                <w:highlight w:val="yellow"/>
                <w:lang w:val="en-CA"/>
              </w:rPr>
            </w:pPr>
            <w:r w:rsidRPr="00560B9F">
              <w:rPr>
                <w:sz w:val="22"/>
                <w:szCs w:val="22"/>
                <w:highlight w:val="yellow"/>
                <w:lang w:val="en-CA"/>
              </w:rPr>
              <w:t>Global weighted-average LCOE for projects commissioned in 2024</w:t>
            </w:r>
          </w:p>
        </w:tc>
        <w:tc>
          <w:tcPr>
            <w:tcW w:w="0" w:type="auto"/>
            <w:hideMark/>
          </w:tcPr>
          <w:p w14:paraId="2CAE5BCC" w14:textId="77777777" w:rsidR="00417AAE" w:rsidRPr="00560B9F" w:rsidRDefault="00417AAE" w:rsidP="00417AAE">
            <w:pPr>
              <w:spacing w:after="120"/>
              <w:rPr>
                <w:sz w:val="22"/>
                <w:szCs w:val="22"/>
                <w:highlight w:val="yellow"/>
                <w:lang w:val="en-CA"/>
              </w:rPr>
            </w:pPr>
            <w:r w:rsidRPr="00560B9F">
              <w:rPr>
                <w:sz w:val="22"/>
                <w:szCs w:val="22"/>
                <w:highlight w:val="yellow"/>
                <w:lang w:val="en-CA"/>
              </w:rPr>
              <w:t>Solar resource, financing cost, curtailment, and interconnection</w:t>
            </w:r>
          </w:p>
        </w:tc>
      </w:tr>
      <w:tr w:rsidR="00417AAE" w:rsidRPr="00417AAE" w14:paraId="423E6E3D" w14:textId="77777777" w:rsidTr="00417AAE">
        <w:tc>
          <w:tcPr>
            <w:tcW w:w="0" w:type="auto"/>
            <w:hideMark/>
          </w:tcPr>
          <w:p w14:paraId="1E1317C8" w14:textId="77777777" w:rsidR="00417AAE" w:rsidRPr="00560B9F" w:rsidRDefault="00417AAE" w:rsidP="00417AAE">
            <w:pPr>
              <w:spacing w:after="120"/>
              <w:rPr>
                <w:sz w:val="22"/>
                <w:szCs w:val="22"/>
                <w:highlight w:val="yellow"/>
                <w:lang w:val="en-CA"/>
              </w:rPr>
            </w:pPr>
            <w:r w:rsidRPr="00560B9F">
              <w:rPr>
                <w:b/>
                <w:bCs/>
                <w:sz w:val="22"/>
                <w:szCs w:val="22"/>
                <w:highlight w:val="yellow"/>
                <w:lang w:val="en-CA"/>
              </w:rPr>
              <w:t>Onshore wind</w:t>
            </w:r>
          </w:p>
        </w:tc>
        <w:tc>
          <w:tcPr>
            <w:tcW w:w="0" w:type="auto"/>
            <w:hideMark/>
          </w:tcPr>
          <w:p w14:paraId="5D840CFA" w14:textId="77777777" w:rsidR="00417AAE" w:rsidRPr="00560B9F" w:rsidRDefault="00417AAE" w:rsidP="00417AAE">
            <w:pPr>
              <w:spacing w:after="120"/>
              <w:rPr>
                <w:sz w:val="22"/>
                <w:szCs w:val="22"/>
                <w:highlight w:val="yellow"/>
                <w:lang w:val="en-CA"/>
              </w:rPr>
            </w:pPr>
            <w:r w:rsidRPr="00560B9F">
              <w:rPr>
                <w:sz w:val="22"/>
                <w:szCs w:val="22"/>
                <w:highlight w:val="yellow"/>
                <w:lang w:val="en-CA"/>
              </w:rPr>
              <w:t>$34/MWh</w:t>
            </w:r>
          </w:p>
        </w:tc>
        <w:tc>
          <w:tcPr>
            <w:tcW w:w="0" w:type="auto"/>
            <w:hideMark/>
          </w:tcPr>
          <w:p w14:paraId="2DF2AAF0" w14:textId="77777777" w:rsidR="00417AAE" w:rsidRPr="00560B9F" w:rsidRDefault="00417AAE" w:rsidP="00417AAE">
            <w:pPr>
              <w:spacing w:after="120"/>
              <w:rPr>
                <w:sz w:val="22"/>
                <w:szCs w:val="22"/>
                <w:highlight w:val="yellow"/>
                <w:lang w:val="en-CA"/>
              </w:rPr>
            </w:pPr>
            <w:r w:rsidRPr="00560B9F">
              <w:rPr>
                <w:sz w:val="22"/>
                <w:szCs w:val="22"/>
                <w:highlight w:val="yellow"/>
                <w:lang w:val="en-CA"/>
              </w:rPr>
              <w:t>Unfirmed generation</w:t>
            </w:r>
          </w:p>
        </w:tc>
        <w:tc>
          <w:tcPr>
            <w:tcW w:w="0" w:type="auto"/>
            <w:hideMark/>
          </w:tcPr>
          <w:p w14:paraId="5194840A" w14:textId="77777777" w:rsidR="00417AAE" w:rsidRPr="00560B9F" w:rsidRDefault="00417AAE" w:rsidP="00417AAE">
            <w:pPr>
              <w:spacing w:after="120"/>
              <w:rPr>
                <w:sz w:val="22"/>
                <w:szCs w:val="22"/>
                <w:highlight w:val="yellow"/>
                <w:lang w:val="en-CA"/>
              </w:rPr>
            </w:pPr>
            <w:r w:rsidRPr="00560B9F">
              <w:rPr>
                <w:sz w:val="22"/>
                <w:szCs w:val="22"/>
                <w:highlight w:val="yellow"/>
                <w:lang w:val="en-CA"/>
              </w:rPr>
              <w:t>Global weighted-average LCOE for projects commissioned in 2024</w:t>
            </w:r>
          </w:p>
        </w:tc>
        <w:tc>
          <w:tcPr>
            <w:tcW w:w="0" w:type="auto"/>
            <w:hideMark/>
          </w:tcPr>
          <w:p w14:paraId="499A5F14" w14:textId="77777777" w:rsidR="00417AAE" w:rsidRPr="00560B9F" w:rsidRDefault="00417AAE" w:rsidP="00417AAE">
            <w:pPr>
              <w:spacing w:after="120"/>
              <w:rPr>
                <w:sz w:val="22"/>
                <w:szCs w:val="22"/>
                <w:highlight w:val="yellow"/>
                <w:lang w:val="en-CA"/>
              </w:rPr>
            </w:pPr>
            <w:r w:rsidRPr="00560B9F">
              <w:rPr>
                <w:sz w:val="22"/>
                <w:szCs w:val="22"/>
                <w:highlight w:val="yellow"/>
                <w:lang w:val="en-CA"/>
              </w:rPr>
              <w:t>Wind resource, capital cost, financing, and grid access</w:t>
            </w:r>
          </w:p>
        </w:tc>
      </w:tr>
      <w:tr w:rsidR="00417AAE" w:rsidRPr="00417AAE" w14:paraId="09B0EC78" w14:textId="77777777" w:rsidTr="00417AAE">
        <w:tc>
          <w:tcPr>
            <w:tcW w:w="0" w:type="auto"/>
            <w:hideMark/>
          </w:tcPr>
          <w:p w14:paraId="7017EA2E" w14:textId="77777777" w:rsidR="00417AAE" w:rsidRPr="00560B9F" w:rsidRDefault="00417AAE" w:rsidP="00417AAE">
            <w:pPr>
              <w:spacing w:after="120"/>
              <w:rPr>
                <w:sz w:val="22"/>
                <w:szCs w:val="22"/>
                <w:highlight w:val="yellow"/>
                <w:lang w:val="en-CA"/>
              </w:rPr>
            </w:pPr>
            <w:r w:rsidRPr="00560B9F">
              <w:rPr>
                <w:b/>
                <w:bCs/>
                <w:sz w:val="22"/>
                <w:szCs w:val="22"/>
                <w:highlight w:val="yellow"/>
                <w:lang w:val="en-CA"/>
              </w:rPr>
              <w:t>US solar plus storage</w:t>
            </w:r>
          </w:p>
        </w:tc>
        <w:tc>
          <w:tcPr>
            <w:tcW w:w="0" w:type="auto"/>
            <w:hideMark/>
          </w:tcPr>
          <w:p w14:paraId="607FE69D" w14:textId="77777777" w:rsidR="00417AAE" w:rsidRPr="00560B9F" w:rsidRDefault="00417AAE" w:rsidP="00417AAE">
            <w:pPr>
              <w:spacing w:after="120"/>
              <w:rPr>
                <w:sz w:val="22"/>
                <w:szCs w:val="22"/>
                <w:highlight w:val="yellow"/>
                <w:lang w:val="en-CA"/>
              </w:rPr>
            </w:pPr>
            <w:r w:rsidRPr="00560B9F">
              <w:rPr>
                <w:sz w:val="22"/>
                <w:szCs w:val="22"/>
                <w:highlight w:val="yellow"/>
                <w:lang w:val="en-CA"/>
              </w:rPr>
              <w:t>$79/MWh</w:t>
            </w:r>
          </w:p>
        </w:tc>
        <w:tc>
          <w:tcPr>
            <w:tcW w:w="0" w:type="auto"/>
            <w:hideMark/>
          </w:tcPr>
          <w:p w14:paraId="25BEF146" w14:textId="77777777" w:rsidR="00417AAE" w:rsidRPr="00560B9F" w:rsidRDefault="00417AAE" w:rsidP="00417AAE">
            <w:pPr>
              <w:spacing w:after="120"/>
              <w:rPr>
                <w:sz w:val="22"/>
                <w:szCs w:val="22"/>
                <w:highlight w:val="yellow"/>
                <w:lang w:val="en-CA"/>
              </w:rPr>
            </w:pPr>
            <w:r w:rsidRPr="00560B9F">
              <w:rPr>
                <w:sz w:val="22"/>
                <w:szCs w:val="22"/>
                <w:highlight w:val="yellow"/>
                <w:lang w:val="en-CA"/>
              </w:rPr>
              <w:t>Partially firmed hybrid</w:t>
            </w:r>
          </w:p>
        </w:tc>
        <w:tc>
          <w:tcPr>
            <w:tcW w:w="0" w:type="auto"/>
            <w:hideMark/>
          </w:tcPr>
          <w:p w14:paraId="293AD4E9" w14:textId="77777777" w:rsidR="00417AAE" w:rsidRPr="00560B9F" w:rsidRDefault="00417AAE" w:rsidP="00417AAE">
            <w:pPr>
              <w:spacing w:after="120"/>
              <w:rPr>
                <w:sz w:val="22"/>
                <w:szCs w:val="22"/>
                <w:highlight w:val="yellow"/>
                <w:lang w:val="en-CA"/>
              </w:rPr>
            </w:pPr>
            <w:r w:rsidRPr="00560B9F">
              <w:rPr>
                <w:sz w:val="22"/>
                <w:szCs w:val="22"/>
                <w:highlight w:val="yellow"/>
                <w:lang w:val="en-CA"/>
              </w:rPr>
              <w:t>Weighted average for 17 operational US hybrid projects reported by IRENA</w:t>
            </w:r>
          </w:p>
        </w:tc>
        <w:tc>
          <w:tcPr>
            <w:tcW w:w="0" w:type="auto"/>
            <w:hideMark/>
          </w:tcPr>
          <w:p w14:paraId="5106B740" w14:textId="77777777" w:rsidR="00417AAE" w:rsidRPr="00560B9F" w:rsidRDefault="00417AAE" w:rsidP="00417AAE">
            <w:pPr>
              <w:spacing w:after="120"/>
              <w:rPr>
                <w:sz w:val="22"/>
                <w:szCs w:val="22"/>
                <w:highlight w:val="yellow"/>
                <w:lang w:val="en-CA"/>
              </w:rPr>
            </w:pPr>
            <w:r w:rsidRPr="00560B9F">
              <w:rPr>
                <w:sz w:val="22"/>
                <w:szCs w:val="22"/>
                <w:highlight w:val="yellow"/>
                <w:lang w:val="en-CA"/>
              </w:rPr>
              <w:t>Storage duration, cycling, charging source, and capacity value</w:t>
            </w:r>
          </w:p>
        </w:tc>
      </w:tr>
      <w:tr w:rsidR="00417AAE" w:rsidRPr="00417AAE" w14:paraId="41478744" w14:textId="77777777" w:rsidTr="00417AAE">
        <w:tc>
          <w:tcPr>
            <w:tcW w:w="0" w:type="auto"/>
            <w:hideMark/>
          </w:tcPr>
          <w:p w14:paraId="636C5F61" w14:textId="77777777" w:rsidR="00417AAE" w:rsidRPr="00560B9F" w:rsidRDefault="00417AAE" w:rsidP="00417AAE">
            <w:pPr>
              <w:spacing w:after="120"/>
              <w:rPr>
                <w:sz w:val="22"/>
                <w:szCs w:val="22"/>
                <w:highlight w:val="yellow"/>
                <w:lang w:val="en-CA"/>
              </w:rPr>
            </w:pPr>
            <w:r w:rsidRPr="00560B9F">
              <w:rPr>
                <w:b/>
                <w:bCs/>
                <w:sz w:val="22"/>
                <w:szCs w:val="22"/>
                <w:highlight w:val="yellow"/>
                <w:lang w:val="en-CA"/>
              </w:rPr>
              <w:t>Australian renewable-storage hybrids</w:t>
            </w:r>
          </w:p>
        </w:tc>
        <w:tc>
          <w:tcPr>
            <w:tcW w:w="0" w:type="auto"/>
            <w:hideMark/>
          </w:tcPr>
          <w:p w14:paraId="4F93F763" w14:textId="77777777" w:rsidR="00417AAE" w:rsidRPr="00560B9F" w:rsidRDefault="00417AAE" w:rsidP="00417AAE">
            <w:pPr>
              <w:spacing w:after="120"/>
              <w:rPr>
                <w:sz w:val="22"/>
                <w:szCs w:val="22"/>
                <w:highlight w:val="yellow"/>
                <w:lang w:val="en-CA"/>
              </w:rPr>
            </w:pPr>
            <w:r w:rsidRPr="00560B9F">
              <w:rPr>
                <w:sz w:val="22"/>
                <w:szCs w:val="22"/>
                <w:highlight w:val="yellow"/>
                <w:lang w:val="en-CA"/>
              </w:rPr>
              <w:t>$51/MWh</w:t>
            </w:r>
          </w:p>
        </w:tc>
        <w:tc>
          <w:tcPr>
            <w:tcW w:w="0" w:type="auto"/>
            <w:hideMark/>
          </w:tcPr>
          <w:p w14:paraId="7A86610F" w14:textId="77777777" w:rsidR="00417AAE" w:rsidRPr="00560B9F" w:rsidRDefault="00417AAE" w:rsidP="00417AAE">
            <w:pPr>
              <w:spacing w:after="120"/>
              <w:rPr>
                <w:sz w:val="22"/>
                <w:szCs w:val="22"/>
                <w:highlight w:val="yellow"/>
                <w:lang w:val="en-CA"/>
              </w:rPr>
            </w:pPr>
            <w:r w:rsidRPr="00560B9F">
              <w:rPr>
                <w:sz w:val="22"/>
                <w:szCs w:val="22"/>
                <w:highlight w:val="yellow"/>
                <w:lang w:val="en-CA"/>
              </w:rPr>
              <w:t>Partially firmed hybrid</w:t>
            </w:r>
          </w:p>
        </w:tc>
        <w:tc>
          <w:tcPr>
            <w:tcW w:w="0" w:type="auto"/>
            <w:hideMark/>
          </w:tcPr>
          <w:p w14:paraId="10468353" w14:textId="77777777" w:rsidR="00417AAE" w:rsidRPr="00560B9F" w:rsidRDefault="00417AAE" w:rsidP="00417AAE">
            <w:pPr>
              <w:spacing w:after="120"/>
              <w:rPr>
                <w:sz w:val="22"/>
                <w:szCs w:val="22"/>
                <w:highlight w:val="yellow"/>
                <w:lang w:val="en-CA"/>
              </w:rPr>
            </w:pPr>
            <w:r w:rsidRPr="00560B9F">
              <w:rPr>
                <w:sz w:val="22"/>
                <w:szCs w:val="22"/>
                <w:highlight w:val="yellow"/>
                <w:lang w:val="en-CA"/>
              </w:rPr>
              <w:t>Weighted average for eight operational hybrid projects reported by IRENA</w:t>
            </w:r>
          </w:p>
        </w:tc>
        <w:tc>
          <w:tcPr>
            <w:tcW w:w="0" w:type="auto"/>
            <w:hideMark/>
          </w:tcPr>
          <w:p w14:paraId="7C28B8D4" w14:textId="77777777" w:rsidR="00417AAE" w:rsidRPr="00560B9F" w:rsidRDefault="00417AAE" w:rsidP="00417AAE">
            <w:pPr>
              <w:spacing w:after="120"/>
              <w:rPr>
                <w:sz w:val="22"/>
                <w:szCs w:val="22"/>
                <w:highlight w:val="yellow"/>
                <w:lang w:val="en-CA"/>
              </w:rPr>
            </w:pPr>
            <w:r w:rsidRPr="00560B9F">
              <w:rPr>
                <w:sz w:val="22"/>
                <w:szCs w:val="22"/>
                <w:highlight w:val="yellow"/>
                <w:lang w:val="en-CA"/>
              </w:rPr>
              <w:t>Resource quality, project design, and market structure</w:t>
            </w:r>
          </w:p>
        </w:tc>
      </w:tr>
      <w:tr w:rsidR="00447CC4" w:rsidRPr="00417AAE" w14:paraId="424C1BAD" w14:textId="77777777" w:rsidTr="00417AAE">
        <w:tc>
          <w:tcPr>
            <w:tcW w:w="0" w:type="auto"/>
            <w:hideMark/>
          </w:tcPr>
          <w:p w14:paraId="701D050E" w14:textId="3DA5FB42" w:rsidR="00447CC4" w:rsidRPr="00447CC4" w:rsidRDefault="00447CC4" w:rsidP="00447CC4">
            <w:pPr>
              <w:spacing w:after="120"/>
              <w:rPr>
                <w:b/>
                <w:bCs/>
                <w:sz w:val="22"/>
                <w:szCs w:val="22"/>
                <w:highlight w:val="yellow"/>
                <w:lang w:val="en-CA"/>
              </w:rPr>
            </w:pPr>
            <w:r w:rsidRPr="00447CC4">
              <w:rPr>
                <w:b/>
                <w:bCs/>
                <w:sz w:val="22"/>
                <w:szCs w:val="22"/>
                <w:highlight w:val="yellow"/>
                <w:lang w:val="en-CA"/>
              </w:rPr>
              <w:t>Grid supply</w:t>
            </w:r>
          </w:p>
        </w:tc>
        <w:tc>
          <w:tcPr>
            <w:tcW w:w="0" w:type="auto"/>
            <w:hideMark/>
          </w:tcPr>
          <w:p w14:paraId="2457E39F" w14:textId="0726D63C" w:rsidR="00447CC4" w:rsidRPr="00447CC4" w:rsidRDefault="00447CC4" w:rsidP="00447CC4">
            <w:pPr>
              <w:spacing w:after="120"/>
              <w:rPr>
                <w:sz w:val="22"/>
                <w:szCs w:val="22"/>
                <w:highlight w:val="yellow"/>
                <w:lang w:val="en-CA"/>
              </w:rPr>
            </w:pPr>
            <w:r w:rsidRPr="00447CC4">
              <w:rPr>
                <w:sz w:val="22"/>
                <w:szCs w:val="22"/>
                <w:highlight w:val="yellow"/>
                <w:lang w:val="en-CA"/>
              </w:rPr>
              <w:t>Region- and tariff-specific</w:t>
            </w:r>
          </w:p>
        </w:tc>
        <w:tc>
          <w:tcPr>
            <w:tcW w:w="0" w:type="auto"/>
            <w:hideMark/>
          </w:tcPr>
          <w:p w14:paraId="5AC41637" w14:textId="1C815033" w:rsidR="00447CC4" w:rsidRPr="00447CC4" w:rsidRDefault="00447CC4" w:rsidP="00447CC4">
            <w:pPr>
              <w:spacing w:after="120"/>
              <w:rPr>
                <w:sz w:val="22"/>
                <w:szCs w:val="22"/>
                <w:highlight w:val="yellow"/>
                <w:lang w:val="en-CA"/>
              </w:rPr>
            </w:pPr>
            <w:r w:rsidRPr="00447CC4">
              <w:rPr>
                <w:sz w:val="22"/>
                <w:szCs w:val="22"/>
                <w:highlight w:val="yellow"/>
                <w:lang w:val="en-CA"/>
              </w:rPr>
              <w:t>Firm delivered service</w:t>
            </w:r>
          </w:p>
        </w:tc>
        <w:tc>
          <w:tcPr>
            <w:tcW w:w="0" w:type="auto"/>
            <w:hideMark/>
          </w:tcPr>
          <w:p w14:paraId="2F951273" w14:textId="041DD1BE" w:rsidR="00447CC4" w:rsidRPr="00447CC4" w:rsidRDefault="00447CC4" w:rsidP="00447CC4">
            <w:pPr>
              <w:spacing w:after="120"/>
              <w:rPr>
                <w:sz w:val="22"/>
                <w:szCs w:val="22"/>
                <w:highlight w:val="yellow"/>
                <w:lang w:val="en-CA"/>
              </w:rPr>
            </w:pPr>
            <w:r w:rsidRPr="00447CC4">
              <w:rPr>
                <w:sz w:val="22"/>
                <w:szCs w:val="22"/>
                <w:highlight w:val="yellow"/>
                <w:lang w:val="en-CA"/>
              </w:rPr>
              <w:t xml:space="preserve">Includes wholesale energy, capacity where applicable, ancillary services, transmission, distribution, </w:t>
            </w:r>
            <w:r w:rsidRPr="00447CC4">
              <w:rPr>
                <w:sz w:val="22"/>
                <w:szCs w:val="22"/>
                <w:highlight w:val="yellow"/>
                <w:lang w:val="en-CA"/>
              </w:rPr>
              <w:lastRenderedPageBreak/>
              <w:t>demand charges, taxes, and fees</w:t>
            </w:r>
          </w:p>
        </w:tc>
        <w:tc>
          <w:tcPr>
            <w:tcW w:w="0" w:type="auto"/>
            <w:hideMark/>
          </w:tcPr>
          <w:p w14:paraId="04F190C9" w14:textId="40A13436" w:rsidR="00447CC4" w:rsidRPr="00447CC4" w:rsidRDefault="00447CC4" w:rsidP="00447CC4">
            <w:pPr>
              <w:spacing w:after="120"/>
              <w:rPr>
                <w:sz w:val="22"/>
                <w:szCs w:val="22"/>
                <w:highlight w:val="yellow"/>
                <w:lang w:val="en-CA"/>
              </w:rPr>
            </w:pPr>
            <w:r w:rsidRPr="00447CC4">
              <w:rPr>
                <w:sz w:val="22"/>
                <w:szCs w:val="22"/>
                <w:highlight w:val="yellow"/>
                <w:lang w:val="en-CA"/>
              </w:rPr>
              <w:lastRenderedPageBreak/>
              <w:t>Location, tariff class, load factor, peak demand, and market conditions</w:t>
            </w:r>
          </w:p>
        </w:tc>
      </w:tr>
    </w:tbl>
    <w:p w14:paraId="3C220C6C" w14:textId="77777777" w:rsidR="00417AAE" w:rsidRDefault="00417AAE" w:rsidP="004C16FF">
      <w:pPr>
        <w:spacing w:after="120"/>
        <w:rPr>
          <w:szCs w:val="24"/>
          <w:lang w:val="en-CA"/>
        </w:rPr>
      </w:pPr>
    </w:p>
    <w:p w14:paraId="7F7DADC9" w14:textId="574FCA0B" w:rsidR="00F416AE" w:rsidRPr="00F416AE" w:rsidRDefault="00F416AE" w:rsidP="00F416AE">
      <w:pPr>
        <w:spacing w:after="120"/>
        <w:ind w:firstLine="480"/>
        <w:rPr>
          <w:color w:val="000000" w:themeColor="text1"/>
          <w:szCs w:val="24"/>
          <w:highlight w:val="yellow"/>
          <w:lang w:val="en-CA"/>
        </w:rPr>
      </w:pPr>
      <w:r w:rsidRPr="00F416AE">
        <w:rPr>
          <w:color w:val="000000" w:themeColor="text1"/>
          <w:szCs w:val="24"/>
          <w:highlight w:val="yellow"/>
          <w:lang w:val="en-CA"/>
        </w:rPr>
        <w:t>Unfirmed generation cost values for standalone solar PV and onshore wind are maintained as resource-cost value-only only. These values are data-center load values that exclude storage, backup generation, grid imports, curtailment, transmission and varying operational flexibility as required to support a continuous data-center load. The question therefore should not be compared directly with the firm delivered-grid service.</w:t>
      </w:r>
      <w:r>
        <w:rPr>
          <w:color w:val="000000" w:themeColor="text1"/>
          <w:szCs w:val="24"/>
          <w:highlight w:val="yellow"/>
          <w:lang w:val="en-CA"/>
        </w:rPr>
        <w:t xml:space="preserve"> </w:t>
      </w:r>
      <w:r w:rsidRPr="00F416AE">
        <w:rPr>
          <w:color w:val="000000" w:themeColor="text1"/>
          <w:szCs w:val="24"/>
          <w:highlight w:val="yellow"/>
          <w:lang w:val="en-CA"/>
        </w:rPr>
        <w:t xml:space="preserve">Renewable-storage hybrid benchmarks are more relevant, in that they will consider a minimum part of the cost of a change in variable renewable generation. </w:t>
      </w:r>
      <w:proofErr w:type="gramStart"/>
      <w:r w:rsidRPr="00F416AE">
        <w:rPr>
          <w:color w:val="000000" w:themeColor="text1"/>
          <w:szCs w:val="24"/>
          <w:highlight w:val="yellow"/>
          <w:lang w:val="en-CA"/>
        </w:rPr>
        <w:t>However</w:t>
      </w:r>
      <w:proofErr w:type="gramEnd"/>
      <w:r w:rsidR="00F149F2">
        <w:rPr>
          <w:color w:val="000000" w:themeColor="text1"/>
          <w:szCs w:val="24"/>
          <w:highlight w:val="yellow"/>
          <w:lang w:val="en-CA"/>
        </w:rPr>
        <w:t xml:space="preserve"> </w:t>
      </w:r>
      <w:r w:rsidRPr="00F416AE">
        <w:rPr>
          <w:color w:val="000000" w:themeColor="text1"/>
          <w:szCs w:val="24"/>
          <w:highlight w:val="yellow"/>
          <w:lang w:val="en-CA"/>
        </w:rPr>
        <w:t>the hybrid renewable/firm storage must be treated as full firm storage until it has been proven over an extended period by chronological reliability analysis. Other grid support, back-up generation, redundancy or demand flexibility may still be needed to meet the requirement of 99.99% availability of the framework.</w:t>
      </w:r>
    </w:p>
    <w:p w14:paraId="031ABA0B" w14:textId="77777777" w:rsidR="00F416AE" w:rsidRDefault="00AC4E47" w:rsidP="00100329">
      <w:pPr>
        <w:spacing w:after="120"/>
        <w:ind w:firstLine="480"/>
        <w:rPr>
          <w:color w:val="000000" w:themeColor="text1"/>
          <w:szCs w:val="24"/>
          <w:highlight w:val="yellow"/>
          <w:lang w:val="en-CA"/>
        </w:rPr>
      </w:pPr>
      <w:r w:rsidRPr="00100329">
        <w:rPr>
          <w:color w:val="000000" w:themeColor="text1"/>
          <w:szCs w:val="24"/>
          <w:highlight w:val="yellow"/>
          <w:lang w:val="en-CA"/>
        </w:rPr>
        <w:t xml:space="preserve">Solar and wind values are global weighted averages for newly commissioned projects and should not be interpreted as site-specific US data-center electricity costs. Hybrid values represent observed project portfolios with different designs and do not guarantee 99.99% facility-level power availability without additional grid, backup, or redundancy provisions. Grid supply is not an LCOE and should be evaluated using the applicable utility tariff or retail supply agreement. The grid-supply row is deliberately not assigned a universal LCOE. </w:t>
      </w:r>
    </w:p>
    <w:p w14:paraId="71E90D41" w14:textId="461A8986" w:rsidR="00AC4E47" w:rsidRPr="00100329" w:rsidRDefault="00AC4E47" w:rsidP="00100329">
      <w:pPr>
        <w:spacing w:after="120"/>
        <w:ind w:firstLine="480"/>
        <w:rPr>
          <w:color w:val="000000" w:themeColor="text1"/>
          <w:szCs w:val="24"/>
          <w:highlight w:val="yellow"/>
          <w:lang w:val="en-CA"/>
        </w:rPr>
      </w:pPr>
      <w:r w:rsidRPr="00100329">
        <w:rPr>
          <w:color w:val="000000" w:themeColor="text1"/>
          <w:szCs w:val="24"/>
          <w:highlight w:val="yellow"/>
          <w:lang w:val="en-CA"/>
        </w:rPr>
        <w:t>The all-in cost of grid electricity consists of several components: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AC4E47" w:rsidRPr="00100329" w14:paraId="60A8C724" w14:textId="77777777" w:rsidTr="00AC4E47">
        <w:tc>
          <w:tcPr>
            <w:tcW w:w="421" w:type="dxa"/>
          </w:tcPr>
          <w:p w14:paraId="300300D7" w14:textId="77777777" w:rsidR="00AC4E47" w:rsidRPr="00100329" w:rsidRDefault="00AC4E47" w:rsidP="001E5821">
            <w:pPr>
              <w:rPr>
                <w:color w:val="auto"/>
                <w:szCs w:val="24"/>
                <w:highlight w:val="yellow"/>
                <w:lang w:val="en-CA" w:eastAsia="en-CA"/>
              </w:rPr>
            </w:pPr>
          </w:p>
        </w:tc>
        <w:tc>
          <w:tcPr>
            <w:tcW w:w="7908" w:type="dxa"/>
          </w:tcPr>
          <w:p w14:paraId="7E43F5C5" w14:textId="554A89AE" w:rsidR="00AC4E47" w:rsidRPr="00100329" w:rsidRDefault="00000000" w:rsidP="001E5821">
            <w:pPr>
              <w:rPr>
                <w:rFonts w:asciiTheme="majorBidi" w:hAnsiTheme="majorBidi" w:cstheme="majorBidi"/>
                <w:color w:val="auto"/>
                <w:sz w:val="18"/>
                <w:szCs w:val="18"/>
                <w:highlight w:val="yellow"/>
                <w:lang w:val="en-CA" w:eastAsia="en-CA"/>
              </w:rPr>
            </w:pPr>
            <m:oMathPara>
              <m:oMath>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C</m:t>
                    </m:r>
                  </m:e>
                  <m:sub>
                    <m:r>
                      <m:rPr>
                        <m:nor/>
                      </m:rPr>
                      <w:rPr>
                        <w:rFonts w:ascii="Cambria Math" w:hAnsi="Cambria Math"/>
                        <w:color w:val="auto"/>
                        <w:sz w:val="18"/>
                        <w:szCs w:val="18"/>
                        <w:highlight w:val="yellow"/>
                      </w:rPr>
                      <m:t>grid, delivered</m:t>
                    </m:r>
                  </m:sub>
                </m:sSub>
                <m:r>
                  <w:rPr>
                    <w:rFonts w:ascii="Cambria Math" w:hAnsi="Cambria Math"/>
                    <w:color w:val="auto"/>
                    <w:sz w:val="18"/>
                    <w:szCs w:val="18"/>
                    <w:highlight w:val="yellow"/>
                  </w:rPr>
                  <m:t>=</m:t>
                </m:r>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C</m:t>
                    </m:r>
                  </m:e>
                  <m:sub>
                    <m:r>
                      <m:rPr>
                        <m:nor/>
                      </m:rPr>
                      <w:rPr>
                        <w:rFonts w:ascii="Cambria Math" w:hAnsi="Cambria Math"/>
                        <w:color w:val="auto"/>
                        <w:sz w:val="18"/>
                        <w:szCs w:val="18"/>
                        <w:highlight w:val="yellow"/>
                      </w:rPr>
                      <m:t>energy</m:t>
                    </m:r>
                  </m:sub>
                </m:sSub>
                <m:r>
                  <w:rPr>
                    <w:rFonts w:ascii="Cambria Math" w:hAnsi="Cambria Math"/>
                    <w:color w:val="auto"/>
                    <w:sz w:val="18"/>
                    <w:szCs w:val="18"/>
                    <w:highlight w:val="yellow"/>
                  </w:rPr>
                  <m:t>+</m:t>
                </m:r>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C</m:t>
                    </m:r>
                  </m:e>
                  <m:sub>
                    <m:r>
                      <m:rPr>
                        <m:nor/>
                      </m:rPr>
                      <w:rPr>
                        <w:rFonts w:ascii="Cambria Math" w:hAnsi="Cambria Math"/>
                        <w:color w:val="auto"/>
                        <w:sz w:val="18"/>
                        <w:szCs w:val="18"/>
                        <w:highlight w:val="yellow"/>
                      </w:rPr>
                      <m:t>capacity</m:t>
                    </m:r>
                  </m:sub>
                </m:sSub>
                <m:r>
                  <w:rPr>
                    <w:rFonts w:ascii="Cambria Math" w:hAnsi="Cambria Math"/>
                    <w:color w:val="auto"/>
                    <w:sz w:val="18"/>
                    <w:szCs w:val="18"/>
                    <w:highlight w:val="yellow"/>
                  </w:rPr>
                  <m:t>+</m:t>
                </m:r>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C</m:t>
                    </m:r>
                  </m:e>
                  <m:sub>
                    <m:r>
                      <m:rPr>
                        <m:nor/>
                      </m:rPr>
                      <w:rPr>
                        <w:rFonts w:ascii="Cambria Math" w:hAnsi="Cambria Math"/>
                        <w:color w:val="auto"/>
                        <w:sz w:val="18"/>
                        <w:szCs w:val="18"/>
                        <w:highlight w:val="yellow"/>
                      </w:rPr>
                      <m:t>ancillary</m:t>
                    </m:r>
                  </m:sub>
                </m:sSub>
                <m:r>
                  <w:rPr>
                    <w:rFonts w:ascii="Cambria Math" w:hAnsi="Cambria Math"/>
                    <w:color w:val="auto"/>
                    <w:sz w:val="18"/>
                    <w:szCs w:val="18"/>
                    <w:highlight w:val="yellow"/>
                  </w:rPr>
                  <m:t>+</m:t>
                </m:r>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C</m:t>
                    </m:r>
                  </m:e>
                  <m:sub>
                    <m:r>
                      <m:rPr>
                        <m:nor/>
                      </m:rPr>
                      <w:rPr>
                        <w:rFonts w:ascii="Cambria Math" w:hAnsi="Cambria Math"/>
                        <w:color w:val="auto"/>
                        <w:sz w:val="18"/>
                        <w:szCs w:val="18"/>
                        <w:highlight w:val="yellow"/>
                      </w:rPr>
                      <m:t>transmission</m:t>
                    </m:r>
                  </m:sub>
                </m:sSub>
                <m:r>
                  <w:rPr>
                    <w:rFonts w:ascii="Cambria Math" w:hAnsi="Cambria Math"/>
                    <w:color w:val="auto"/>
                    <w:sz w:val="18"/>
                    <w:szCs w:val="18"/>
                    <w:highlight w:val="yellow"/>
                  </w:rPr>
                  <m:t>+</m:t>
                </m:r>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C</m:t>
                    </m:r>
                  </m:e>
                  <m:sub>
                    <m:r>
                      <m:rPr>
                        <m:nor/>
                      </m:rPr>
                      <w:rPr>
                        <w:rFonts w:ascii="Cambria Math" w:hAnsi="Cambria Math"/>
                        <w:color w:val="auto"/>
                        <w:sz w:val="18"/>
                        <w:szCs w:val="18"/>
                        <w:highlight w:val="yellow"/>
                      </w:rPr>
                      <m:t>distribution</m:t>
                    </m:r>
                  </m:sub>
                </m:sSub>
                <m:r>
                  <w:rPr>
                    <w:rFonts w:ascii="Cambria Math" w:hAnsi="Cambria Math"/>
                    <w:color w:val="auto"/>
                    <w:sz w:val="18"/>
                    <w:szCs w:val="18"/>
                    <w:highlight w:val="yellow"/>
                  </w:rPr>
                  <m:t>+</m:t>
                </m:r>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C</m:t>
                    </m:r>
                  </m:e>
                  <m:sub>
                    <m:r>
                      <m:rPr>
                        <m:nor/>
                      </m:rPr>
                      <w:rPr>
                        <w:rFonts w:ascii="Cambria Math" w:hAnsi="Cambria Math"/>
                        <w:color w:val="auto"/>
                        <w:sz w:val="18"/>
                        <w:szCs w:val="18"/>
                        <w:highlight w:val="yellow"/>
                      </w:rPr>
                      <m:t>demand</m:t>
                    </m:r>
                  </m:sub>
                </m:sSub>
                <m:r>
                  <w:rPr>
                    <w:rFonts w:ascii="Cambria Math" w:hAnsi="Cambria Math"/>
                    <w:color w:val="auto"/>
                    <w:sz w:val="18"/>
                    <w:szCs w:val="18"/>
                    <w:highlight w:val="yellow"/>
                  </w:rPr>
                  <m:t>+</m:t>
                </m:r>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C</m:t>
                    </m:r>
                  </m:e>
                  <m:sub>
                    <m:r>
                      <m:rPr>
                        <m:nor/>
                      </m:rPr>
                      <w:rPr>
                        <w:rFonts w:ascii="Cambria Math" w:hAnsi="Cambria Math"/>
                        <w:color w:val="auto"/>
                        <w:sz w:val="18"/>
                        <w:szCs w:val="18"/>
                        <w:highlight w:val="yellow"/>
                      </w:rPr>
                      <m:t>taxes and fees</m:t>
                    </m:r>
                  </m:sub>
                </m:sSub>
              </m:oMath>
            </m:oMathPara>
          </w:p>
        </w:tc>
        <w:tc>
          <w:tcPr>
            <w:tcW w:w="616" w:type="dxa"/>
            <w:vAlign w:val="center"/>
          </w:tcPr>
          <w:p w14:paraId="10387337" w14:textId="7B0B78FD" w:rsidR="00AC4E47" w:rsidRPr="00100329" w:rsidRDefault="00AC4E47" w:rsidP="001E5821">
            <w:pPr>
              <w:rPr>
                <w:color w:val="auto"/>
                <w:szCs w:val="24"/>
                <w:highlight w:val="yellow"/>
                <w:lang w:val="en-CA" w:eastAsia="en-CA"/>
              </w:rPr>
            </w:pPr>
            <w:r w:rsidRPr="00100329">
              <w:rPr>
                <w:color w:val="auto"/>
                <w:szCs w:val="24"/>
                <w:highlight w:val="yellow"/>
                <w:lang w:val="en-CA" w:eastAsia="en-CA"/>
              </w:rPr>
              <w:t>(12)</w:t>
            </w:r>
          </w:p>
        </w:tc>
      </w:tr>
    </w:tbl>
    <w:p w14:paraId="41EBFE3A" w14:textId="469D33C7" w:rsidR="00AC4E47" w:rsidRPr="00100329" w:rsidRDefault="00AC4E47" w:rsidP="00100329">
      <w:pPr>
        <w:spacing w:after="120"/>
        <w:ind w:firstLine="480"/>
        <w:rPr>
          <w:color w:val="000000" w:themeColor="text1"/>
          <w:szCs w:val="24"/>
          <w:highlight w:val="yellow"/>
          <w:lang w:val="en-CA"/>
        </w:rPr>
      </w:pPr>
      <w:r w:rsidRPr="00100329">
        <w:rPr>
          <w:color w:val="000000" w:themeColor="text1"/>
          <w:szCs w:val="24"/>
          <w:highlight w:val="yellow"/>
          <w:lang w:val="en-CA"/>
        </w:rPr>
        <w:t xml:space="preserve">Wholesale-energy prices are generally reported in dollars per megawatt-hour, whereas capacity-market prices may be reported in dollars per megawatt-day. A capacity price must therefore be converted before it is combined with an energy price. For an illustrative load factor </w:t>
      </w:r>
      <m:oMath>
        <m:r>
          <w:rPr>
            <w:rFonts w:ascii="Cambria Math" w:hAnsi="Cambria Math"/>
            <w:color w:val="000000" w:themeColor="text1"/>
            <w:szCs w:val="24"/>
            <w:highlight w:val="yellow"/>
            <w:lang w:val="en-CA"/>
          </w:rPr>
          <m:t>LF</m:t>
        </m:r>
      </m:oMath>
      <w:r w:rsidRPr="00100329">
        <w:rPr>
          <w:color w:val="000000" w:themeColor="text1"/>
          <w:szCs w:val="24"/>
          <w:highlight w:val="yellow"/>
          <w:lang w:val="en-CA"/>
        </w:rPr>
        <w:t>, the equivalent capacity-cost adder can be expressed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677594" w:rsidRPr="00100329" w14:paraId="325959B8" w14:textId="77777777" w:rsidTr="001E5821">
        <w:tc>
          <w:tcPr>
            <w:tcW w:w="421" w:type="dxa"/>
          </w:tcPr>
          <w:p w14:paraId="16A1EE11" w14:textId="77777777" w:rsidR="00677594" w:rsidRPr="00100329" w:rsidRDefault="00677594" w:rsidP="001E5821">
            <w:pPr>
              <w:rPr>
                <w:color w:val="auto"/>
                <w:szCs w:val="24"/>
                <w:highlight w:val="yellow"/>
                <w:lang w:val="en-CA" w:eastAsia="en-CA"/>
              </w:rPr>
            </w:pPr>
          </w:p>
        </w:tc>
        <w:tc>
          <w:tcPr>
            <w:tcW w:w="7908" w:type="dxa"/>
          </w:tcPr>
          <w:p w14:paraId="5D36BCB1" w14:textId="2A1E5A3F" w:rsidR="00677594" w:rsidRPr="00100329" w:rsidRDefault="00E01813" w:rsidP="001E5821">
            <w:pPr>
              <w:rPr>
                <w:rFonts w:asciiTheme="majorBidi" w:hAnsiTheme="majorBidi" w:cstheme="majorBidi"/>
                <w:color w:val="auto"/>
                <w:sz w:val="18"/>
                <w:szCs w:val="18"/>
                <w:highlight w:val="yellow"/>
                <w:lang w:val="en-CA" w:eastAsia="en-CA"/>
              </w:rPr>
            </w:pPr>
            <m:oMathPara>
              <m:oMath>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C</m:t>
                    </m:r>
                  </m:e>
                  <m:sub>
                    <m:r>
                      <m:rPr>
                        <m:nor/>
                      </m:rPr>
                      <w:rPr>
                        <w:rFonts w:ascii="Cambria Math" w:hAnsi="Cambria Math"/>
                        <w:color w:val="auto"/>
                        <w:sz w:val="18"/>
                        <w:szCs w:val="18"/>
                        <w:highlight w:val="yellow"/>
                      </w:rPr>
                      <m:t>capacity,equivalent</m:t>
                    </m:r>
                  </m:sub>
                </m:sSub>
                <m:r>
                  <w:rPr>
                    <w:rFonts w:ascii="Cambria Math" w:hAnsi="Cambria Math"/>
                    <w:color w:val="auto"/>
                    <w:sz w:val="18"/>
                    <w:szCs w:val="18"/>
                    <w:highlight w:val="yellow"/>
                  </w:rPr>
                  <m:t>=</m:t>
                </m:r>
                <m:f>
                  <m:fPr>
                    <m:ctrlPr>
                      <w:rPr>
                        <w:rFonts w:ascii="Cambria Math" w:hAnsi="Cambria Math"/>
                        <w:color w:val="auto"/>
                        <w:sz w:val="18"/>
                        <w:szCs w:val="18"/>
                        <w:highlight w:val="yellow"/>
                      </w:rPr>
                    </m:ctrlPr>
                  </m:fPr>
                  <m:num>
                    <m:r>
                      <w:rPr>
                        <w:rFonts w:ascii="Cambria Math" w:hAnsi="Cambria Math"/>
                        <w:color w:val="auto"/>
                        <w:sz w:val="18"/>
                        <w:szCs w:val="18"/>
                        <w:highlight w:val="yellow"/>
                      </w:rPr>
                      <m:t>8,760×LF</m:t>
                    </m:r>
                  </m:num>
                  <m:den>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π</m:t>
                        </m:r>
                      </m:e>
                      <m:sub>
                        <m:r>
                          <m:rPr>
                            <m:nor/>
                          </m:rPr>
                          <w:rPr>
                            <w:rFonts w:ascii="Cambria Math" w:hAnsi="Cambria Math"/>
                            <w:color w:val="auto"/>
                            <w:sz w:val="18"/>
                            <w:szCs w:val="18"/>
                            <w:highlight w:val="yellow"/>
                          </w:rPr>
                          <m:t>capacity</m:t>
                        </m:r>
                      </m:sub>
                    </m:sSub>
                    <m:r>
                      <w:rPr>
                        <w:rFonts w:ascii="Cambria Math" w:hAnsi="Cambria Math"/>
                        <w:color w:val="auto"/>
                        <w:sz w:val="18"/>
                        <w:szCs w:val="18"/>
                        <w:highlight w:val="yellow"/>
                      </w:rPr>
                      <m:t>×365</m:t>
                    </m:r>
                  </m:den>
                </m:f>
              </m:oMath>
            </m:oMathPara>
          </w:p>
        </w:tc>
        <w:tc>
          <w:tcPr>
            <w:tcW w:w="616" w:type="dxa"/>
            <w:vAlign w:val="center"/>
          </w:tcPr>
          <w:p w14:paraId="17F1CD30" w14:textId="0ED745C9" w:rsidR="00677594" w:rsidRPr="00100329" w:rsidRDefault="00677594" w:rsidP="001E5821">
            <w:pPr>
              <w:rPr>
                <w:color w:val="auto"/>
                <w:szCs w:val="24"/>
                <w:highlight w:val="yellow"/>
                <w:lang w:val="en-CA" w:eastAsia="en-CA"/>
              </w:rPr>
            </w:pPr>
            <w:r w:rsidRPr="00100329">
              <w:rPr>
                <w:color w:val="auto"/>
                <w:szCs w:val="24"/>
                <w:highlight w:val="yellow"/>
                <w:lang w:val="en-CA" w:eastAsia="en-CA"/>
              </w:rPr>
              <w:t>(13)</w:t>
            </w:r>
          </w:p>
        </w:tc>
      </w:tr>
    </w:tbl>
    <w:p w14:paraId="3BD21833" w14:textId="77777777" w:rsidR="009F5D08" w:rsidRPr="009F5D08" w:rsidRDefault="009F5D08" w:rsidP="009F5D08">
      <w:pPr>
        <w:spacing w:after="120"/>
        <w:ind w:firstLine="480"/>
        <w:rPr>
          <w:szCs w:val="24"/>
          <w:highlight w:val="yellow"/>
          <w:lang w:val="en-CA"/>
        </w:rPr>
      </w:pPr>
      <w:r w:rsidRPr="009F5D08">
        <w:rPr>
          <w:szCs w:val="24"/>
          <w:highlight w:val="yellow"/>
          <w:lang w:val="en-CA"/>
        </w:rPr>
        <w:t>where:</w:t>
      </w:r>
    </w:p>
    <w:p w14:paraId="05F73B04" w14:textId="44E4F9AF" w:rsidR="009F5D08" w:rsidRPr="009F5D08" w:rsidRDefault="009F5D08" w:rsidP="009F5D08">
      <w:pPr>
        <w:numPr>
          <w:ilvl w:val="0"/>
          <w:numId w:val="28"/>
        </w:numPr>
        <w:spacing w:after="120"/>
        <w:rPr>
          <w:szCs w:val="24"/>
          <w:highlight w:val="yellow"/>
          <w:lang w:val="en-CA"/>
        </w:rPr>
      </w:pPr>
      <m:oMath>
        <m:sSub>
          <m:sSubPr>
            <m:ctrlPr>
              <w:rPr>
                <w:rFonts w:ascii="Cambria Math" w:hAnsi="Cambria Math"/>
                <w:szCs w:val="24"/>
                <w:highlight w:val="yellow"/>
                <w:lang w:val="en-CA"/>
              </w:rPr>
            </m:ctrlPr>
          </m:sSubPr>
          <m:e>
            <m:r>
              <w:rPr>
                <w:rFonts w:ascii="Cambria Math" w:hAnsi="Cambria Math"/>
                <w:szCs w:val="24"/>
                <w:highlight w:val="yellow"/>
                <w:lang w:val="en-CA"/>
              </w:rPr>
              <m:t>C</m:t>
            </m:r>
          </m:e>
          <m:sub>
            <m:r>
              <m:rPr>
                <m:sty m:val="p"/>
              </m:rPr>
              <w:rPr>
                <w:rFonts w:ascii="Cambria Math" w:hAnsi="Cambria Math"/>
                <w:szCs w:val="24"/>
                <w:highlight w:val="yellow"/>
                <w:lang w:val="en-CA"/>
              </w:rPr>
              <m:t>capacity</m:t>
            </m:r>
            <m:r>
              <w:rPr>
                <w:rFonts w:ascii="Cambria Math" w:hAnsi="Cambria Math"/>
                <w:szCs w:val="24"/>
                <w:highlight w:val="yellow"/>
                <w:lang w:val="en-CA"/>
              </w:rPr>
              <m:t>,</m:t>
            </m:r>
            <m:r>
              <m:rPr>
                <m:sty m:val="p"/>
              </m:rPr>
              <w:rPr>
                <w:rFonts w:ascii="Cambria Math" w:hAnsi="Cambria Math"/>
                <w:szCs w:val="24"/>
                <w:highlight w:val="yellow"/>
                <w:lang w:val="en-CA"/>
              </w:rPr>
              <m:t>equivalent</m:t>
            </m:r>
          </m:sub>
        </m:sSub>
      </m:oMath>
      <w:r w:rsidRPr="009F5D08">
        <w:rPr>
          <w:szCs w:val="24"/>
          <w:highlight w:val="yellow"/>
          <w:lang w:val="en-CA"/>
        </w:rPr>
        <w:t>= equivalent capacity-cost contribution (USD/MWh)</w:t>
      </w:r>
    </w:p>
    <w:p w14:paraId="789FBDCD" w14:textId="4F6674DC" w:rsidR="009F5D08" w:rsidRPr="009F5D08" w:rsidRDefault="009F5D08" w:rsidP="009F5D08">
      <w:pPr>
        <w:numPr>
          <w:ilvl w:val="0"/>
          <w:numId w:val="28"/>
        </w:numPr>
        <w:spacing w:after="120"/>
        <w:rPr>
          <w:szCs w:val="24"/>
          <w:highlight w:val="yellow"/>
          <w:lang w:val="en-CA"/>
        </w:rPr>
      </w:pPr>
      <m:oMath>
        <m:sSub>
          <m:sSubPr>
            <m:ctrlPr>
              <w:rPr>
                <w:rFonts w:ascii="Cambria Math" w:hAnsi="Cambria Math"/>
                <w:szCs w:val="24"/>
                <w:highlight w:val="yellow"/>
                <w:lang w:val="en-CA"/>
              </w:rPr>
            </m:ctrlPr>
          </m:sSubPr>
          <m:e>
            <m:r>
              <w:rPr>
                <w:rFonts w:ascii="Cambria Math" w:hAnsi="Cambria Math"/>
                <w:szCs w:val="24"/>
                <w:highlight w:val="yellow"/>
                <w:lang w:val="en-CA"/>
              </w:rPr>
              <m:t>π</m:t>
            </m:r>
          </m:e>
          <m:sub>
            <m:r>
              <m:rPr>
                <m:sty m:val="p"/>
              </m:rPr>
              <w:rPr>
                <w:rFonts w:ascii="Cambria Math" w:hAnsi="Cambria Math"/>
                <w:szCs w:val="24"/>
                <w:highlight w:val="yellow"/>
                <w:lang w:val="en-CA"/>
              </w:rPr>
              <m:t>capacity</m:t>
            </m:r>
          </m:sub>
        </m:sSub>
      </m:oMath>
      <w:r w:rsidRPr="009F5D08">
        <w:rPr>
          <w:szCs w:val="24"/>
          <w:highlight w:val="yellow"/>
          <w:lang w:val="en-CA"/>
        </w:rPr>
        <w:t>= capacity-market clearing price (USD/MW-day)</w:t>
      </w:r>
    </w:p>
    <w:p w14:paraId="234147E7" w14:textId="4EEA0B83" w:rsidR="009F5D08" w:rsidRPr="009F5D08" w:rsidRDefault="009F5D08" w:rsidP="009F5D08">
      <w:pPr>
        <w:numPr>
          <w:ilvl w:val="0"/>
          <w:numId w:val="28"/>
        </w:numPr>
        <w:spacing w:after="120"/>
        <w:rPr>
          <w:szCs w:val="24"/>
          <w:highlight w:val="yellow"/>
          <w:lang w:val="en-CA"/>
        </w:rPr>
      </w:pPr>
      <m:oMath>
        <m:r>
          <w:rPr>
            <w:rFonts w:ascii="Cambria Math" w:hAnsi="Cambria Math"/>
            <w:szCs w:val="24"/>
            <w:highlight w:val="yellow"/>
            <w:lang w:val="en-CA"/>
          </w:rPr>
          <m:t>LF</m:t>
        </m:r>
      </m:oMath>
      <w:r w:rsidRPr="009F5D08">
        <w:rPr>
          <w:szCs w:val="24"/>
          <w:highlight w:val="yellow"/>
          <w:lang w:val="en-CA"/>
        </w:rPr>
        <w:t>= annual load factor (dimensionless)</w:t>
      </w:r>
    </w:p>
    <w:p w14:paraId="1A702816" w14:textId="77777777" w:rsidR="009F5D08" w:rsidRPr="009F5D08" w:rsidRDefault="009F5D08" w:rsidP="009F5D08">
      <w:pPr>
        <w:numPr>
          <w:ilvl w:val="0"/>
          <w:numId w:val="28"/>
        </w:numPr>
        <w:spacing w:after="120"/>
        <w:rPr>
          <w:szCs w:val="24"/>
          <w:highlight w:val="yellow"/>
          <w:lang w:val="en-CA"/>
        </w:rPr>
      </w:pPr>
      <w:r w:rsidRPr="009F5D08">
        <w:rPr>
          <w:szCs w:val="24"/>
          <w:highlight w:val="yellow"/>
          <w:lang w:val="en-CA"/>
        </w:rPr>
        <w:t>365 = days per year</w:t>
      </w:r>
    </w:p>
    <w:p w14:paraId="5BBE8C30" w14:textId="77777777" w:rsidR="009F5D08" w:rsidRPr="009F5D08" w:rsidRDefault="009F5D08" w:rsidP="009F5D08">
      <w:pPr>
        <w:numPr>
          <w:ilvl w:val="0"/>
          <w:numId w:val="28"/>
        </w:numPr>
        <w:spacing w:after="120"/>
        <w:rPr>
          <w:szCs w:val="24"/>
          <w:highlight w:val="yellow"/>
          <w:lang w:val="en-CA"/>
        </w:rPr>
      </w:pPr>
      <w:r w:rsidRPr="009F5D08">
        <w:rPr>
          <w:szCs w:val="24"/>
          <w:highlight w:val="yellow"/>
          <w:lang w:val="en-CA"/>
        </w:rPr>
        <w:t>8,760 = hours per year</w:t>
      </w:r>
    </w:p>
    <w:p w14:paraId="51339625" w14:textId="56BDDAEC" w:rsidR="00100329" w:rsidRPr="00100329" w:rsidRDefault="00100329" w:rsidP="00286292">
      <w:pPr>
        <w:spacing w:after="120"/>
        <w:ind w:firstLine="480"/>
        <w:rPr>
          <w:color w:val="000000" w:themeColor="text1"/>
          <w:szCs w:val="24"/>
          <w:highlight w:val="yellow"/>
          <w:lang w:val="en-CA"/>
        </w:rPr>
      </w:pPr>
      <w:r w:rsidRPr="00100329">
        <w:rPr>
          <w:color w:val="000000" w:themeColor="text1"/>
          <w:szCs w:val="24"/>
          <w:highlight w:val="yellow"/>
          <w:lang w:val="en-CA"/>
        </w:rPr>
        <w:t>For example, PJM’s 2026/2027 Base Residual Auction cleared at $329.17/MW-day</w:t>
      </w:r>
      <w:r>
        <w:rPr>
          <w:color w:val="000000" w:themeColor="text1"/>
          <w:szCs w:val="24"/>
          <w:highlight w:val="yellow"/>
          <w:lang w:val="en-CA"/>
        </w:rPr>
        <w:fldChar w:fldCharType="begin"/>
      </w:r>
      <w:r w:rsidR="00286292">
        <w:rPr>
          <w:color w:val="000000" w:themeColor="text1"/>
          <w:szCs w:val="24"/>
          <w:highlight w:val="yellow"/>
          <w:lang w:val="en-CA"/>
        </w:rPr>
        <w:instrText xml:space="preserve"> ADDIN ZOTERO_ITEM CSL_CITATION {"citationID":"6FlDxlFD","properties":{"unsorted":false,"formattedCitation":"[171]","plainCitation":"[171]","noteIndex":0},"citationItems":[{"id":2717,"uris":["http://zotero.org/users/9870935/items/MQIRHM6M"],"itemData":{"id":2717,"type":"post-weblog","title":"PJM Markets Support Efficiency and Resource Adequacy","URL":"https://services.pjm.com/annualreport2025/markets/","author":[{"literal":"Markets"}]}}],"schema":"https://github.com/citation-style-language/schema/raw/master/csl-citation.json"} </w:instrText>
      </w:r>
      <w:r>
        <w:rPr>
          <w:color w:val="000000" w:themeColor="text1"/>
          <w:szCs w:val="24"/>
          <w:highlight w:val="yellow"/>
          <w:lang w:val="en-CA"/>
        </w:rPr>
        <w:fldChar w:fldCharType="separate"/>
      </w:r>
      <w:r w:rsidR="00286292" w:rsidRPr="00286292">
        <w:rPr>
          <w:highlight w:val="yellow"/>
          <w:lang w:val="en-CA"/>
        </w:rPr>
        <w:t>[171]</w:t>
      </w:r>
      <w:r>
        <w:rPr>
          <w:color w:val="000000" w:themeColor="text1"/>
          <w:szCs w:val="24"/>
          <w:highlight w:val="yellow"/>
          <w:lang w:val="en-CA"/>
        </w:rPr>
        <w:fldChar w:fldCharType="end"/>
      </w:r>
      <w:r w:rsidRPr="00100329">
        <w:rPr>
          <w:color w:val="000000" w:themeColor="text1"/>
          <w:szCs w:val="24"/>
          <w:highlight w:val="yellow"/>
          <w:lang w:val="en-CA"/>
        </w:rPr>
        <w:t xml:space="preserve">. This value represents a 92% annual load factor and is an illustrative capacity component of about $14.9/MWh excluding load-serving-entity adjustments, reserve requirements, zonal differences, transmission, distribution, ancillary services and retail charges. This conversion is offered as a demonstration only of the appropriate treatment of capacity prices and does not represent a full delivered electricity tariff. As for energy and capacity, PJM's separate report on YTD load-weighted </w:t>
      </w:r>
      <w:r w:rsidRPr="00100329">
        <w:rPr>
          <w:color w:val="000000" w:themeColor="text1"/>
          <w:szCs w:val="24"/>
          <w:highlight w:val="yellow"/>
          <w:lang w:val="en-CA"/>
        </w:rPr>
        <w:lastRenderedPageBreak/>
        <w:t>average locational marginal price (LAMP) through October 2025 shows it to be about $50.53/MWh for 2025</w:t>
      </w:r>
      <w:r w:rsidR="005D447E">
        <w:rPr>
          <w:color w:val="000000" w:themeColor="text1"/>
          <w:szCs w:val="24"/>
          <w:highlight w:val="yellow"/>
          <w:lang w:val="en-CA"/>
        </w:rPr>
        <w:fldChar w:fldCharType="begin"/>
      </w:r>
      <w:r w:rsidR="00286292">
        <w:rPr>
          <w:color w:val="000000" w:themeColor="text1"/>
          <w:szCs w:val="24"/>
          <w:highlight w:val="yellow"/>
          <w:lang w:val="en-CA"/>
        </w:rPr>
        <w:instrText xml:space="preserve"> ADDIN ZOTERO_ITEM CSL_CITATION {"citationID":"58h5ye89","properties":{"unsorted":false,"formattedCitation":"[172]","plainCitation":"[172]","noteIndex":0},"citationItems":[{"id":2735,"uris":["http://zotero.org/users/9870935/items/WFERDGP5"],"itemData":{"id":2735,"type":"document","title":"Markets Report","URL":"https://www.pjm.com/-/media/DotCom/committees-groups/committees/mc/2025/20251120/20251120-item-04a---1-pjm-market-operations-report---presentation.pdf","author":[{"literal":"PJM"}]}}],"schema":"https://github.com/citation-style-language/schema/raw/master/csl-citation.json"} </w:instrText>
      </w:r>
      <w:r w:rsidR="005D447E">
        <w:rPr>
          <w:color w:val="000000" w:themeColor="text1"/>
          <w:szCs w:val="24"/>
          <w:highlight w:val="yellow"/>
          <w:lang w:val="en-CA"/>
        </w:rPr>
        <w:fldChar w:fldCharType="separate"/>
      </w:r>
      <w:r w:rsidR="00286292" w:rsidRPr="00286292">
        <w:rPr>
          <w:highlight w:val="yellow"/>
          <w:lang w:val="en-CA"/>
        </w:rPr>
        <w:t>[172]</w:t>
      </w:r>
      <w:r w:rsidR="005D447E">
        <w:rPr>
          <w:color w:val="000000" w:themeColor="text1"/>
          <w:szCs w:val="24"/>
          <w:highlight w:val="yellow"/>
          <w:lang w:val="en-CA"/>
        </w:rPr>
        <w:fldChar w:fldCharType="end"/>
      </w:r>
      <w:r w:rsidRPr="00100329">
        <w:rPr>
          <w:color w:val="000000" w:themeColor="text1"/>
          <w:szCs w:val="24"/>
          <w:highlight w:val="yellow"/>
          <w:lang w:val="en-CA"/>
        </w:rPr>
        <w:t>.</w:t>
      </w:r>
    </w:p>
    <w:p w14:paraId="744689C8" w14:textId="27408DF7" w:rsidR="00AC4E47" w:rsidRDefault="00100329" w:rsidP="00100329">
      <w:pPr>
        <w:spacing w:after="120"/>
        <w:ind w:firstLine="480"/>
        <w:rPr>
          <w:color w:val="000000" w:themeColor="text1"/>
          <w:szCs w:val="24"/>
          <w:highlight w:val="yellow"/>
          <w:lang w:val="en-CA"/>
        </w:rPr>
      </w:pPr>
      <w:r w:rsidRPr="00100329">
        <w:rPr>
          <w:color w:val="000000" w:themeColor="text1"/>
          <w:szCs w:val="24"/>
          <w:highlight w:val="yellow"/>
          <w:lang w:val="en-CA"/>
        </w:rPr>
        <w:t>Therefore, the previous comment that PJM, CAISO, and ERCOT had “grid-only LCOEs” of $110/MWh, $95/MWh and $85/MWh, respectively, has been deleted. There are significant differences between these markets, and ERCOT does not have a PJM-style centralized forward-capacity market. The grid comparison should include a facility load profile, applicable regional energy price, applicable capacity mechanism, applicable ancillary-service charges, applicable transmission charges and applicable utility tariff, all of which should be reproducible.</w:t>
      </w:r>
      <w:r>
        <w:rPr>
          <w:color w:val="000000" w:themeColor="text1"/>
          <w:szCs w:val="24"/>
          <w:highlight w:val="yellow"/>
          <w:lang w:val="en-CA"/>
        </w:rPr>
        <w:t xml:space="preserve"> </w:t>
      </w:r>
      <w:r w:rsidRPr="00100329">
        <w:rPr>
          <w:color w:val="000000" w:themeColor="text1"/>
          <w:szCs w:val="24"/>
          <w:highlight w:val="yellow"/>
          <w:lang w:val="en-CA"/>
        </w:rPr>
        <w:t xml:space="preserve">An important shortcoming of the economic comparison is that neither generation-only LCOE nor a regional wholesale-market average is the ultimate price the data-center operator </w:t>
      </w:r>
      <w:proofErr w:type="gramStart"/>
      <w:r w:rsidRPr="00100329">
        <w:rPr>
          <w:color w:val="000000" w:themeColor="text1"/>
          <w:szCs w:val="24"/>
          <w:highlight w:val="yellow"/>
          <w:lang w:val="en-CA"/>
        </w:rPr>
        <w:t>has to</w:t>
      </w:r>
      <w:proofErr w:type="gramEnd"/>
      <w:r w:rsidRPr="00100329">
        <w:rPr>
          <w:color w:val="000000" w:themeColor="text1"/>
          <w:szCs w:val="24"/>
          <w:highlight w:val="yellow"/>
          <w:lang w:val="en-CA"/>
        </w:rPr>
        <w:t xml:space="preserve"> pay for electricity. LCOE represents the cost of </w:t>
      </w:r>
      <w:proofErr w:type="gramStart"/>
      <w:r w:rsidRPr="00100329">
        <w:rPr>
          <w:color w:val="000000" w:themeColor="text1"/>
          <w:szCs w:val="24"/>
          <w:highlight w:val="yellow"/>
          <w:lang w:val="en-CA"/>
        </w:rPr>
        <w:t>generation</w:t>
      </w:r>
      <w:proofErr w:type="gramEnd"/>
      <w:r w:rsidRPr="00100329">
        <w:rPr>
          <w:color w:val="000000" w:themeColor="text1"/>
          <w:szCs w:val="24"/>
          <w:highlight w:val="yellow"/>
          <w:lang w:val="en-CA"/>
        </w:rPr>
        <w:t xml:space="preserve"> and a retail / delivered-grid price also includes network and market-service costs. Therefore, it is important to recognize that Table 7 represents a series of literature benchmarks and is not intended to state that all hybrid renewable systems are more cost-efficient than grid service.</w:t>
      </w:r>
    </w:p>
    <w:p w14:paraId="4515981F" w14:textId="77777777" w:rsidR="00807110" w:rsidRDefault="00807110" w:rsidP="00807110">
      <w:pPr>
        <w:keepNext/>
        <w:spacing w:after="120"/>
        <w:ind w:firstLine="480"/>
        <w:jc w:val="center"/>
      </w:pPr>
      <w:r w:rsidRPr="00807110">
        <w:rPr>
          <w:noProof/>
          <w:color w:val="000000" w:themeColor="text1"/>
          <w:szCs w:val="24"/>
          <w:highlight w:val="yellow"/>
          <w:lang w:val="en-CA"/>
        </w:rPr>
        <w:drawing>
          <wp:inline distT="0" distB="0" distL="0" distR="0" wp14:anchorId="0D4FD4DD" wp14:editId="0D8C7E35">
            <wp:extent cx="4191990" cy="1753144"/>
            <wp:effectExtent l="0" t="0" r="0" b="0"/>
            <wp:docPr id="10012405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9038" b="28227"/>
                    <a:stretch>
                      <a:fillRect/>
                    </a:stretch>
                  </pic:blipFill>
                  <pic:spPr bwMode="auto">
                    <a:xfrm>
                      <a:off x="0" y="0"/>
                      <a:ext cx="4205499" cy="1758794"/>
                    </a:xfrm>
                    <a:prstGeom prst="rect">
                      <a:avLst/>
                    </a:prstGeom>
                    <a:noFill/>
                    <a:ln>
                      <a:noFill/>
                    </a:ln>
                    <a:extLst>
                      <a:ext uri="{53640926-AAD7-44D8-BBD7-CCE9431645EC}">
                        <a14:shadowObscured xmlns:a14="http://schemas.microsoft.com/office/drawing/2010/main"/>
                      </a:ext>
                    </a:extLst>
                  </pic:spPr>
                </pic:pic>
              </a:graphicData>
            </a:graphic>
          </wp:inline>
        </w:drawing>
      </w:r>
    </w:p>
    <w:p w14:paraId="4AA5D60F" w14:textId="1FB56911" w:rsidR="00807110" w:rsidRPr="00807110" w:rsidRDefault="00807110" w:rsidP="00807110">
      <w:pPr>
        <w:pStyle w:val="Caption"/>
        <w:jc w:val="center"/>
        <w:rPr>
          <w:color w:val="000000" w:themeColor="text1"/>
          <w:szCs w:val="24"/>
          <w:highlight w:val="yellow"/>
          <w:lang w:val="en-CA"/>
        </w:rPr>
      </w:pPr>
      <w:r>
        <w:t xml:space="preserve">Figure </w:t>
      </w:r>
      <w:r>
        <w:fldChar w:fldCharType="begin"/>
      </w:r>
      <w:r>
        <w:instrText xml:space="preserve"> SEQ Figure \* ARABIC </w:instrText>
      </w:r>
      <w:r>
        <w:fldChar w:fldCharType="separate"/>
      </w:r>
      <w:r>
        <w:rPr>
          <w:noProof/>
        </w:rPr>
        <w:t>10</w:t>
      </w:r>
      <w:r>
        <w:fldChar w:fldCharType="end"/>
      </w:r>
      <w:r>
        <w:t xml:space="preserve"> Literature-Based Electricity-Cost Benchmarks</w:t>
      </w:r>
    </w:p>
    <w:p w14:paraId="2AFE6F6E" w14:textId="77777777" w:rsidR="00807110" w:rsidRPr="00100329" w:rsidRDefault="00807110" w:rsidP="00100329">
      <w:pPr>
        <w:spacing w:after="120"/>
        <w:ind w:firstLine="480"/>
        <w:rPr>
          <w:color w:val="000000" w:themeColor="text1"/>
          <w:szCs w:val="24"/>
          <w:highlight w:val="yellow"/>
          <w:lang w:val="en-CA"/>
        </w:rPr>
      </w:pPr>
    </w:p>
    <w:p w14:paraId="76DA58C6" w14:textId="77777777" w:rsidR="00FE013C" w:rsidRDefault="00FE013C" w:rsidP="004C16FF">
      <w:pPr>
        <w:pStyle w:val="Heading20"/>
        <w:jc w:val="both"/>
        <w:rPr>
          <w:color w:val="auto"/>
        </w:rPr>
      </w:pPr>
      <w:r w:rsidRPr="00807110">
        <w:rPr>
          <w:color w:val="auto"/>
          <w:highlight w:val="yellow"/>
        </w:rPr>
        <w:t>10.3 Power Purchase Agreements (PPAs)</w:t>
      </w:r>
    </w:p>
    <w:p w14:paraId="67E2BF33" w14:textId="75D85732" w:rsidR="00E16731" w:rsidRPr="00E16731" w:rsidRDefault="00E16731" w:rsidP="00E16731">
      <w:pPr>
        <w:spacing w:after="120"/>
        <w:ind w:firstLine="480"/>
        <w:rPr>
          <w:color w:val="000000" w:themeColor="text1"/>
          <w:szCs w:val="24"/>
          <w:highlight w:val="yellow"/>
          <w:lang w:val="en-CA"/>
        </w:rPr>
      </w:pPr>
      <w:r w:rsidRPr="00E16731">
        <w:rPr>
          <w:color w:val="000000" w:themeColor="text1"/>
          <w:szCs w:val="24"/>
          <w:highlight w:val="yellow"/>
          <w:lang w:val="en-CA"/>
        </w:rPr>
        <w:t>PPAs still play a significant role in data center procurement strategy as they offer long-term price transparency, enable financing of fresh RE investments, and enable corporations to achieve their clean energy goals. Note that the PPA price is not the same as the delivered retail electricity price, however</w:t>
      </w:r>
      <w:r>
        <w:rPr>
          <w:color w:val="000000" w:themeColor="text1"/>
          <w:szCs w:val="24"/>
          <w:highlight w:val="yellow"/>
          <w:lang w:val="en-CA"/>
        </w:rPr>
        <w:t>,</w:t>
      </w:r>
      <w:r w:rsidRPr="00E16731">
        <w:rPr>
          <w:color w:val="000000" w:themeColor="text1"/>
          <w:szCs w:val="24"/>
          <w:highlight w:val="yellow"/>
          <w:lang w:val="en-CA"/>
        </w:rPr>
        <w:t xml:space="preserve"> </w:t>
      </w:r>
      <w:r>
        <w:rPr>
          <w:color w:val="000000" w:themeColor="text1"/>
          <w:szCs w:val="24"/>
          <w:highlight w:val="yellow"/>
          <w:lang w:val="en-CA"/>
        </w:rPr>
        <w:t>t</w:t>
      </w:r>
      <w:r w:rsidRPr="00E16731">
        <w:rPr>
          <w:color w:val="000000" w:themeColor="text1"/>
          <w:szCs w:val="24"/>
          <w:highlight w:val="yellow"/>
          <w:lang w:val="en-CA"/>
        </w:rPr>
        <w:t>he buyer could be subject to basis risk, shape risk, balancing risk, congestion risk, curtailment risk, transmission risk as well as the gap between the contracted electricity production of the renewables plant and the plant's electricity consumption.</w:t>
      </w:r>
    </w:p>
    <w:p w14:paraId="77E966AF" w14:textId="1D0242F3" w:rsidR="00E16731" w:rsidRPr="00E16731" w:rsidRDefault="00291195" w:rsidP="000B0F03">
      <w:pPr>
        <w:spacing w:after="120"/>
        <w:ind w:firstLine="480"/>
        <w:rPr>
          <w:color w:val="000000" w:themeColor="text1"/>
          <w:szCs w:val="24"/>
          <w:highlight w:val="yellow"/>
          <w:lang w:val="en-CA"/>
        </w:rPr>
      </w:pPr>
      <w:proofErr w:type="spellStart"/>
      <w:r w:rsidRPr="00291195">
        <w:rPr>
          <w:color w:val="000000" w:themeColor="text1"/>
          <w:szCs w:val="24"/>
          <w:highlight w:val="yellow"/>
          <w:lang w:val="en-CA"/>
        </w:rPr>
        <w:t>LevelTen</w:t>
      </w:r>
      <w:proofErr w:type="spellEnd"/>
      <w:r w:rsidRPr="00291195">
        <w:rPr>
          <w:color w:val="000000" w:themeColor="text1"/>
          <w:szCs w:val="24"/>
          <w:highlight w:val="yellow"/>
          <w:lang w:val="en-CA"/>
        </w:rPr>
        <w:t xml:space="preserve"> Energy’s North American PPA Price Index reported continued upward pressure on renewable-energy procurement costs during the first quarter of 2026. Market-averaged P25 solar PPA prices increased by 4.6% during the quarter and by more than 13% year over year, while corresponding wind PPA prices increased by nearly 8% during the quarter and approximately 24% relative to the same period in the previous year. Average North American PPA offer prices were reported at approximately USD 64.49/MWh for solar and USD 79.40/MWh for wind </w:t>
      </w:r>
      <w:r w:rsidR="00E16731">
        <w:rPr>
          <w:color w:val="000000" w:themeColor="text1"/>
          <w:szCs w:val="24"/>
          <w:highlight w:val="yellow"/>
          <w:lang w:val="en-CA"/>
        </w:rPr>
        <w:fldChar w:fldCharType="begin"/>
      </w:r>
      <w:r w:rsidR="000B0F03">
        <w:rPr>
          <w:color w:val="000000" w:themeColor="text1"/>
          <w:szCs w:val="24"/>
          <w:highlight w:val="yellow"/>
          <w:lang w:val="en-CA"/>
        </w:rPr>
        <w:instrText xml:space="preserve"> ADDIN ZOTERO_ITEM CSL_CITATION {"citationID":"5HLOw4Iq","properties":{"unsorted":false,"formattedCitation":"[66]","plainCitation":"[66]","noteIndex":0},"citationItems":[{"id":2718,"uris":["http://zotero.org/users/9870935/items/RW4QJL73"],"itemData":{"id":2718,"type":"post-weblog","title":"https://www.leveltenenergy.com/post/levelten-north-american-ppa-price-index-q1-2026","URL":"https://www.leveltenenergy.com/post/levelten-north-american-ppa-price-index-q1-2026","author":[{"literal":"leveltenenergy"}]}}],"schema":"https://github.com/citation-style-language/schema/raw/master/csl-citation.json"} </w:instrText>
      </w:r>
      <w:r w:rsidR="00E16731">
        <w:rPr>
          <w:color w:val="000000" w:themeColor="text1"/>
          <w:szCs w:val="24"/>
          <w:highlight w:val="yellow"/>
          <w:lang w:val="en-CA"/>
        </w:rPr>
        <w:fldChar w:fldCharType="separate"/>
      </w:r>
      <w:r w:rsidR="000B0F03" w:rsidRPr="000B0F03">
        <w:rPr>
          <w:highlight w:val="yellow"/>
          <w:lang w:val="en-CA"/>
        </w:rPr>
        <w:t>[66]</w:t>
      </w:r>
      <w:r w:rsidR="00E16731">
        <w:rPr>
          <w:color w:val="000000" w:themeColor="text1"/>
          <w:szCs w:val="24"/>
          <w:highlight w:val="yellow"/>
          <w:lang w:val="en-CA"/>
        </w:rPr>
        <w:fldChar w:fldCharType="end"/>
      </w:r>
      <w:r w:rsidR="00E16731" w:rsidRPr="00E16731">
        <w:rPr>
          <w:color w:val="000000" w:themeColor="text1"/>
          <w:szCs w:val="24"/>
          <w:highlight w:val="yellow"/>
          <w:lang w:val="en-CA"/>
        </w:rPr>
        <w:t>.</w:t>
      </w:r>
    </w:p>
    <w:p w14:paraId="5B331D38" w14:textId="7A0BE281" w:rsidR="00E16731" w:rsidRPr="00E16731" w:rsidRDefault="00E16731" w:rsidP="000B0F03">
      <w:pPr>
        <w:spacing w:after="120"/>
        <w:ind w:firstLine="480"/>
        <w:rPr>
          <w:color w:val="000000" w:themeColor="text1"/>
          <w:szCs w:val="24"/>
          <w:highlight w:val="yellow"/>
          <w:lang w:val="en-CA"/>
        </w:rPr>
      </w:pPr>
      <w:r w:rsidRPr="00E16731">
        <w:rPr>
          <w:color w:val="000000" w:themeColor="text1"/>
          <w:szCs w:val="24"/>
          <w:highlight w:val="yellow"/>
          <w:lang w:val="en-CA"/>
        </w:rPr>
        <w:t xml:space="preserve">The rise was linked to the high electricity demand, permitting delays, equipment tariffs, labor shortage, rising insurance rates, and other development constraints </w:t>
      </w:r>
      <w:r w:rsidR="00B37D51">
        <w:rPr>
          <w:color w:val="000000" w:themeColor="text1"/>
          <w:szCs w:val="24"/>
          <w:highlight w:val="yellow"/>
          <w:lang w:val="en-CA"/>
        </w:rPr>
        <w:fldChar w:fldCharType="begin"/>
      </w:r>
      <w:r w:rsidR="000B0F03">
        <w:rPr>
          <w:color w:val="000000" w:themeColor="text1"/>
          <w:szCs w:val="24"/>
          <w:highlight w:val="yellow"/>
          <w:lang w:val="en-CA"/>
        </w:rPr>
        <w:instrText xml:space="preserve"> ADDIN ZOTERO_ITEM CSL_CITATION {"citationID":"YxxwLXnf","properties":{"unsorted":false,"formattedCitation":"[66]","plainCitation":"[66]","noteIndex":0},"citationItems":[{"id":2718,"uris":["http://zotero.org/users/9870935/items/RW4QJL73"],"itemData":{"id":2718,"type":"post-weblog","title":"https://www.leveltenenergy.com/post/levelten-north-american-ppa-price-index-q1-2026","URL":"https://www.leveltenenergy.com/post/levelten-north-american-ppa-price-index-q1-2026","author":[{"literal":"leveltenenergy"}]}}],"schema":"https://github.com/citation-style-language/schema/raw/master/csl-citation.json"} </w:instrText>
      </w:r>
      <w:r w:rsidR="00B37D51">
        <w:rPr>
          <w:color w:val="000000" w:themeColor="text1"/>
          <w:szCs w:val="24"/>
          <w:highlight w:val="yellow"/>
          <w:lang w:val="en-CA"/>
        </w:rPr>
        <w:fldChar w:fldCharType="separate"/>
      </w:r>
      <w:r w:rsidR="000B0F03" w:rsidRPr="000B0F03">
        <w:rPr>
          <w:highlight w:val="yellow"/>
          <w:lang w:val="en-CA"/>
        </w:rPr>
        <w:t>[66]</w:t>
      </w:r>
      <w:r w:rsidR="00B37D51">
        <w:rPr>
          <w:color w:val="000000" w:themeColor="text1"/>
          <w:szCs w:val="24"/>
          <w:highlight w:val="yellow"/>
          <w:lang w:val="en-CA"/>
        </w:rPr>
        <w:fldChar w:fldCharType="end"/>
      </w:r>
      <w:r w:rsidRPr="00E16731">
        <w:rPr>
          <w:color w:val="000000" w:themeColor="text1"/>
          <w:szCs w:val="24"/>
          <w:highlight w:val="yellow"/>
          <w:lang w:val="en-CA"/>
        </w:rPr>
        <w:t xml:space="preserve">. The prices listed in these offers are not indicative of single contract prices due to the following: PPA pricing is dependent on </w:t>
      </w:r>
      <w:r w:rsidRPr="00E16731">
        <w:rPr>
          <w:color w:val="000000" w:themeColor="text1"/>
          <w:szCs w:val="24"/>
          <w:highlight w:val="yellow"/>
          <w:lang w:val="en-CA"/>
        </w:rPr>
        <w:lastRenderedPageBreak/>
        <w:t>market location, commercial operation date, project maturity, contract tenor, settlement point, escalation provisions, environmental attributes, credit terms and risk allocation.</w:t>
      </w:r>
    </w:p>
    <w:p w14:paraId="761CDC7B" w14:textId="63F57256" w:rsidR="00807110" w:rsidRDefault="00E16731" w:rsidP="000B0F03">
      <w:pPr>
        <w:spacing w:after="120"/>
        <w:ind w:firstLine="480"/>
        <w:rPr>
          <w:color w:val="000000" w:themeColor="text1"/>
          <w:szCs w:val="24"/>
          <w:highlight w:val="yellow"/>
          <w:lang w:val="en-CA"/>
        </w:rPr>
      </w:pPr>
      <w:r w:rsidRPr="00E16731">
        <w:rPr>
          <w:color w:val="000000" w:themeColor="text1"/>
          <w:szCs w:val="24"/>
          <w:highlight w:val="yellow"/>
          <w:lang w:val="en-CA"/>
        </w:rPr>
        <w:t xml:space="preserve">So, for data centers, a PPA should be considered as part of the overall portfolio of electricity-procurement options. Having a PPA with annual energy matching does not guarantee that the electricity will be carbon-free or physically reliable on an hourly basis. To handle the </w:t>
      </w:r>
      <w:proofErr w:type="gramStart"/>
      <w:r w:rsidRPr="00E16731">
        <w:rPr>
          <w:color w:val="000000" w:themeColor="text1"/>
          <w:szCs w:val="24"/>
          <w:highlight w:val="yellow"/>
          <w:lang w:val="en-CA"/>
        </w:rPr>
        <w:t>time</w:t>
      </w:r>
      <w:proofErr w:type="gramEnd"/>
      <w:r w:rsidRPr="00E16731">
        <w:rPr>
          <w:color w:val="000000" w:themeColor="text1"/>
          <w:szCs w:val="24"/>
          <w:highlight w:val="yellow"/>
          <w:lang w:val="en-CA"/>
        </w:rPr>
        <w:t xml:space="preserve"> shift between electricity production and consumption, a data center could need a mix of a PPA, grid service, storage, backup generation and workload flexibility. While basis and settlement risk may be present with PPAs, it can be minimized by project generation and facility demand being at different locations or at different times </w:t>
      </w:r>
      <w:r w:rsidR="00962957">
        <w:rPr>
          <w:color w:val="000000" w:themeColor="text1"/>
          <w:szCs w:val="24"/>
          <w:highlight w:val="yellow"/>
          <w:lang w:val="en-CA"/>
        </w:rPr>
        <w:fldChar w:fldCharType="begin"/>
      </w:r>
      <w:r w:rsidR="000B0F03">
        <w:rPr>
          <w:color w:val="000000" w:themeColor="text1"/>
          <w:szCs w:val="24"/>
          <w:highlight w:val="yellow"/>
          <w:lang w:val="en-CA"/>
        </w:rPr>
        <w:instrText xml:space="preserve"> ADDIN ZOTERO_ITEM CSL_CITATION {"citationID":"hPcVMlIH","properties":{"unsorted":false,"formattedCitation":"[66]","plainCitation":"[66]","noteIndex":0},"citationItems":[{"id":2718,"uris":["http://zotero.org/users/9870935/items/RW4QJL73"],"itemData":{"id":2718,"type":"post-weblog","title":"https://www.leveltenenergy.com/post/levelten-north-american-ppa-price-index-q1-2026","URL":"https://www.leveltenenergy.com/post/levelten-north-american-ppa-price-index-q1-2026","author":[{"literal":"leveltenenergy"}]}}],"schema":"https://github.com/citation-style-language/schema/raw/master/csl-citation.json"} </w:instrText>
      </w:r>
      <w:r w:rsidR="00962957">
        <w:rPr>
          <w:color w:val="000000" w:themeColor="text1"/>
          <w:szCs w:val="24"/>
          <w:highlight w:val="yellow"/>
          <w:lang w:val="en-CA"/>
        </w:rPr>
        <w:fldChar w:fldCharType="separate"/>
      </w:r>
      <w:r w:rsidR="000B0F03" w:rsidRPr="000B0F03">
        <w:rPr>
          <w:highlight w:val="yellow"/>
          <w:lang w:val="en-CA"/>
        </w:rPr>
        <w:t>[66]</w:t>
      </w:r>
      <w:r w:rsidR="00962957">
        <w:rPr>
          <w:color w:val="000000" w:themeColor="text1"/>
          <w:szCs w:val="24"/>
          <w:highlight w:val="yellow"/>
          <w:lang w:val="en-CA"/>
        </w:rPr>
        <w:fldChar w:fldCharType="end"/>
      </w:r>
      <w:r w:rsidRPr="00E16731">
        <w:rPr>
          <w:color w:val="000000" w:themeColor="text1"/>
          <w:szCs w:val="24"/>
          <w:highlight w:val="yellow"/>
          <w:lang w:val="en-CA"/>
        </w:rPr>
        <w:t>.</w:t>
      </w:r>
    </w:p>
    <w:p w14:paraId="7C5BF444" w14:textId="3C6E7F77" w:rsidR="00FE013C" w:rsidRPr="00807110" w:rsidRDefault="00FE013C" w:rsidP="00807110">
      <w:pPr>
        <w:pStyle w:val="Heading20"/>
        <w:jc w:val="both"/>
        <w:rPr>
          <w:color w:val="auto"/>
          <w:highlight w:val="yellow"/>
        </w:rPr>
      </w:pPr>
      <w:r w:rsidRPr="00807110">
        <w:rPr>
          <w:color w:val="auto"/>
          <w:highlight w:val="yellow"/>
        </w:rPr>
        <w:t>10.4 Financial Modeling: NPV and IRR</w:t>
      </w:r>
    </w:p>
    <w:p w14:paraId="6E3DE7F1" w14:textId="77777777" w:rsidR="005810F9" w:rsidRPr="005810F9" w:rsidRDefault="005810F9" w:rsidP="005810F9">
      <w:pPr>
        <w:spacing w:after="120"/>
        <w:ind w:firstLine="480"/>
        <w:rPr>
          <w:color w:val="000000" w:themeColor="text1"/>
          <w:szCs w:val="24"/>
          <w:highlight w:val="yellow"/>
          <w:lang w:val="en-CA"/>
        </w:rPr>
      </w:pPr>
      <w:r w:rsidRPr="005810F9">
        <w:rPr>
          <w:color w:val="000000" w:themeColor="text1"/>
          <w:szCs w:val="24"/>
          <w:highlight w:val="yellow"/>
          <w:lang w:val="en-CA"/>
        </w:rPr>
        <w:t>Project-specific financial viability should be evaluated using net present value (NPV), internal rate of return (IRR), discounted payback period, and sensitivity analysis. These metrics require an auditable cash-flow model rather than applying assumed return ranges to generic project configurations.</w:t>
      </w:r>
    </w:p>
    <w:p w14:paraId="2459874A" w14:textId="036884D3" w:rsidR="005810F9" w:rsidRPr="005810F9" w:rsidRDefault="005810F9" w:rsidP="005810F9">
      <w:pPr>
        <w:spacing w:after="120"/>
        <w:ind w:firstLine="480"/>
        <w:rPr>
          <w:color w:val="000000" w:themeColor="text1"/>
          <w:szCs w:val="24"/>
          <w:highlight w:val="yellow"/>
          <w:lang w:val="en-CA"/>
        </w:rPr>
      </w:pPr>
      <w:r w:rsidRPr="005810F9">
        <w:rPr>
          <w:color w:val="000000" w:themeColor="text1"/>
          <w:szCs w:val="24"/>
          <w:highlight w:val="yellow"/>
          <w:lang w:val="en-CA"/>
        </w:rPr>
        <w:t xml:space="preserve">For a project lifetime of </w:t>
      </w:r>
      <m:oMath>
        <m:r>
          <w:rPr>
            <w:rFonts w:ascii="Cambria Math" w:hAnsi="Cambria Math"/>
            <w:color w:val="000000" w:themeColor="text1"/>
            <w:szCs w:val="24"/>
            <w:highlight w:val="yellow"/>
            <w:lang w:val="en-CA"/>
          </w:rPr>
          <m:t>N</m:t>
        </m:r>
      </m:oMath>
      <w:r w:rsidRPr="005810F9">
        <w:rPr>
          <w:color w:val="000000" w:themeColor="text1"/>
          <w:szCs w:val="24"/>
          <w:highlight w:val="yellow"/>
          <w:lang w:val="en-CA"/>
        </w:rPr>
        <w:t>years, NPV is calculated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C96AEE" w:rsidRPr="00100329" w14:paraId="5B31A178" w14:textId="77777777" w:rsidTr="001E5821">
        <w:tc>
          <w:tcPr>
            <w:tcW w:w="421" w:type="dxa"/>
          </w:tcPr>
          <w:p w14:paraId="4A8B1FBF" w14:textId="77777777" w:rsidR="00C96AEE" w:rsidRPr="00100329" w:rsidRDefault="00C96AEE" w:rsidP="001E5821">
            <w:pPr>
              <w:rPr>
                <w:color w:val="auto"/>
                <w:szCs w:val="24"/>
                <w:highlight w:val="yellow"/>
                <w:lang w:val="en-CA" w:eastAsia="en-CA"/>
              </w:rPr>
            </w:pPr>
          </w:p>
        </w:tc>
        <w:tc>
          <w:tcPr>
            <w:tcW w:w="7908" w:type="dxa"/>
          </w:tcPr>
          <w:p w14:paraId="564DB089" w14:textId="5F6FAF82" w:rsidR="00C96AEE" w:rsidRPr="00100329" w:rsidRDefault="00C96AEE" w:rsidP="001E5821">
            <w:pPr>
              <w:rPr>
                <w:rFonts w:asciiTheme="majorBidi" w:hAnsiTheme="majorBidi" w:cstheme="majorBidi"/>
                <w:color w:val="auto"/>
                <w:sz w:val="18"/>
                <w:szCs w:val="18"/>
                <w:highlight w:val="yellow"/>
                <w:lang w:val="en-CA" w:eastAsia="en-CA"/>
              </w:rPr>
            </w:pPr>
            <m:oMathPara>
              <m:oMath>
                <m:r>
                  <m:rPr>
                    <m:nor/>
                  </m:rPr>
                  <w:rPr>
                    <w:rFonts w:ascii="Cambria Math" w:hAnsi="Cambria Math"/>
                    <w:color w:val="auto"/>
                    <w:sz w:val="18"/>
                    <w:szCs w:val="18"/>
                  </w:rPr>
                  <m:t>NPV</m:t>
                </m:r>
                <m:r>
                  <w:rPr>
                    <w:rFonts w:ascii="Cambria Math" w:hAnsi="Cambria Math"/>
                    <w:color w:val="auto"/>
                    <w:sz w:val="18"/>
                    <w:szCs w:val="18"/>
                  </w:rPr>
                  <m:t>=-</m:t>
                </m:r>
                <m:sSub>
                  <m:sSubPr>
                    <m:ctrlPr>
                      <w:rPr>
                        <w:rFonts w:ascii="Cambria Math" w:hAnsi="Cambria Math"/>
                        <w:color w:val="auto"/>
                        <w:sz w:val="18"/>
                        <w:szCs w:val="18"/>
                      </w:rPr>
                    </m:ctrlPr>
                  </m:sSubPr>
                  <m:e>
                    <m:r>
                      <w:rPr>
                        <w:rFonts w:ascii="Cambria Math" w:hAnsi="Cambria Math"/>
                        <w:color w:val="auto"/>
                        <w:sz w:val="18"/>
                        <w:szCs w:val="18"/>
                      </w:rPr>
                      <m:t>I</m:t>
                    </m:r>
                  </m:e>
                  <m:sub>
                    <m:r>
                      <w:rPr>
                        <w:rFonts w:ascii="Cambria Math" w:hAnsi="Cambria Math"/>
                        <w:color w:val="auto"/>
                        <w:sz w:val="18"/>
                        <w:szCs w:val="18"/>
                      </w:rPr>
                      <m:t>0</m:t>
                    </m:r>
                  </m:sub>
                </m:sSub>
                <m:r>
                  <w:rPr>
                    <w:rFonts w:ascii="Cambria Math" w:hAnsi="Cambria Math"/>
                    <w:color w:val="auto"/>
                    <w:sz w:val="18"/>
                    <w:szCs w:val="18"/>
                  </w:rPr>
                  <m:t>+</m:t>
                </m:r>
                <m:nary>
                  <m:naryPr>
                    <m:chr m:val="∑"/>
                    <m:limLoc m:val="undOvr"/>
                    <m:ctrlPr>
                      <w:rPr>
                        <w:rFonts w:ascii="Cambria Math" w:hAnsi="Cambria Math"/>
                        <w:color w:val="auto"/>
                        <w:sz w:val="18"/>
                        <w:szCs w:val="18"/>
                      </w:rPr>
                    </m:ctrlPr>
                  </m:naryPr>
                  <m:sub>
                    <m:r>
                      <w:rPr>
                        <w:rFonts w:ascii="Cambria Math" w:hAnsi="Cambria Math"/>
                        <w:color w:val="auto"/>
                        <w:sz w:val="18"/>
                        <w:szCs w:val="18"/>
                      </w:rPr>
                      <m:t>t=1</m:t>
                    </m:r>
                  </m:sub>
                  <m:sup>
                    <m:r>
                      <w:rPr>
                        <w:rFonts w:ascii="Cambria Math" w:hAnsi="Cambria Math"/>
                        <w:color w:val="auto"/>
                        <w:sz w:val="18"/>
                        <w:szCs w:val="18"/>
                      </w:rPr>
                      <m:t>N</m:t>
                    </m:r>
                  </m:sup>
                  <m:e>
                    <m:f>
                      <m:fPr>
                        <m:ctrlPr>
                          <w:rPr>
                            <w:rFonts w:ascii="Cambria Math" w:hAnsi="Cambria Math"/>
                            <w:color w:val="auto"/>
                            <w:sz w:val="18"/>
                            <w:szCs w:val="18"/>
                          </w:rPr>
                        </m:ctrlPr>
                      </m:fPr>
                      <m:num>
                        <m:sSub>
                          <m:sSubPr>
                            <m:ctrlPr>
                              <w:rPr>
                                <w:rFonts w:ascii="Cambria Math" w:hAnsi="Cambria Math"/>
                                <w:color w:val="auto"/>
                                <w:sz w:val="18"/>
                                <w:szCs w:val="18"/>
                              </w:rPr>
                            </m:ctrlPr>
                          </m:sSubPr>
                          <m:e>
                            <m:r>
                              <m:rPr>
                                <m:nor/>
                              </m:rPr>
                              <w:rPr>
                                <w:rFonts w:ascii="Cambria Math" w:hAnsi="Cambria Math"/>
                                <w:color w:val="auto"/>
                                <w:sz w:val="18"/>
                                <w:szCs w:val="18"/>
                              </w:rPr>
                              <m:t>CF</m:t>
                            </m:r>
                          </m:e>
                          <m:sub>
                            <m:r>
                              <w:rPr>
                                <w:rFonts w:ascii="Cambria Math" w:hAnsi="Cambria Math"/>
                                <w:color w:val="auto"/>
                                <w:sz w:val="18"/>
                                <w:szCs w:val="18"/>
                              </w:rPr>
                              <m:t>t</m:t>
                            </m:r>
                          </m:sub>
                        </m:sSub>
                      </m:num>
                      <m:den>
                        <m:sSup>
                          <m:sSupPr>
                            <m:ctrlPr>
                              <w:rPr>
                                <w:rFonts w:ascii="Cambria Math" w:hAnsi="Cambria Math"/>
                                <w:color w:val="auto"/>
                                <w:sz w:val="18"/>
                                <w:szCs w:val="18"/>
                              </w:rPr>
                            </m:ctrlPr>
                          </m:sSupPr>
                          <m:e>
                            <m:d>
                              <m:dPr>
                                <m:ctrlPr>
                                  <w:rPr>
                                    <w:rFonts w:ascii="Cambria Math" w:hAnsi="Cambria Math"/>
                                    <w:color w:val="auto"/>
                                    <w:sz w:val="18"/>
                                    <w:szCs w:val="18"/>
                                  </w:rPr>
                                </m:ctrlPr>
                              </m:dPr>
                              <m:e>
                                <m:r>
                                  <w:rPr>
                                    <w:rFonts w:ascii="Cambria Math" w:hAnsi="Cambria Math"/>
                                    <w:color w:val="auto"/>
                                    <w:sz w:val="18"/>
                                    <w:szCs w:val="18"/>
                                  </w:rPr>
                                  <m:t>1+r</m:t>
                                </m:r>
                              </m:e>
                            </m:d>
                          </m:e>
                          <m:sup>
                            <m:r>
                              <w:rPr>
                                <w:rFonts w:ascii="Cambria Math" w:hAnsi="Cambria Math"/>
                                <w:color w:val="auto"/>
                                <w:sz w:val="18"/>
                                <w:szCs w:val="18"/>
                              </w:rPr>
                              <m:t>t</m:t>
                            </m:r>
                          </m:sup>
                        </m:sSup>
                      </m:den>
                    </m:f>
                  </m:e>
                </m:nary>
                <m:r>
                  <w:rPr>
                    <w:rFonts w:ascii="Cambria Math" w:hAnsi="Cambria Math"/>
                    <w:color w:val="auto"/>
                    <w:sz w:val="18"/>
                    <w:szCs w:val="18"/>
                  </w:rPr>
                  <m:t>+</m:t>
                </m:r>
                <m:f>
                  <m:fPr>
                    <m:ctrlPr>
                      <w:rPr>
                        <w:rFonts w:ascii="Cambria Math" w:hAnsi="Cambria Math"/>
                        <w:color w:val="auto"/>
                        <w:sz w:val="18"/>
                        <w:szCs w:val="18"/>
                      </w:rPr>
                    </m:ctrlPr>
                  </m:fPr>
                  <m:num>
                    <m:sSub>
                      <m:sSubPr>
                        <m:ctrlPr>
                          <w:rPr>
                            <w:rFonts w:ascii="Cambria Math" w:hAnsi="Cambria Math"/>
                            <w:color w:val="auto"/>
                            <w:sz w:val="18"/>
                            <w:szCs w:val="18"/>
                          </w:rPr>
                        </m:ctrlPr>
                      </m:sSubPr>
                      <m:e>
                        <m:r>
                          <m:rPr>
                            <m:nor/>
                          </m:rPr>
                          <w:rPr>
                            <w:rFonts w:ascii="Cambria Math" w:hAnsi="Cambria Math"/>
                            <w:color w:val="auto"/>
                            <w:sz w:val="18"/>
                            <w:szCs w:val="18"/>
                          </w:rPr>
                          <m:t>RV</m:t>
                        </m:r>
                      </m:e>
                      <m:sub>
                        <m:r>
                          <w:rPr>
                            <w:rFonts w:ascii="Cambria Math" w:hAnsi="Cambria Math"/>
                            <w:color w:val="auto"/>
                            <w:sz w:val="18"/>
                            <w:szCs w:val="18"/>
                          </w:rPr>
                          <m:t>N</m:t>
                        </m:r>
                      </m:sub>
                    </m:sSub>
                  </m:num>
                  <m:den>
                    <m:sSup>
                      <m:sSupPr>
                        <m:ctrlPr>
                          <w:rPr>
                            <w:rFonts w:ascii="Cambria Math" w:hAnsi="Cambria Math"/>
                            <w:color w:val="auto"/>
                            <w:sz w:val="18"/>
                            <w:szCs w:val="18"/>
                          </w:rPr>
                        </m:ctrlPr>
                      </m:sSupPr>
                      <m:e>
                        <m:d>
                          <m:dPr>
                            <m:ctrlPr>
                              <w:rPr>
                                <w:rFonts w:ascii="Cambria Math" w:hAnsi="Cambria Math"/>
                                <w:color w:val="auto"/>
                                <w:sz w:val="18"/>
                                <w:szCs w:val="18"/>
                              </w:rPr>
                            </m:ctrlPr>
                          </m:dPr>
                          <m:e>
                            <m:r>
                              <w:rPr>
                                <w:rFonts w:ascii="Cambria Math" w:hAnsi="Cambria Math"/>
                                <w:color w:val="auto"/>
                                <w:sz w:val="18"/>
                                <w:szCs w:val="18"/>
                              </w:rPr>
                              <m:t>1+r</m:t>
                            </m:r>
                          </m:e>
                        </m:d>
                      </m:e>
                      <m:sup>
                        <m:r>
                          <w:rPr>
                            <w:rFonts w:ascii="Cambria Math" w:hAnsi="Cambria Math"/>
                            <w:color w:val="auto"/>
                            <w:sz w:val="18"/>
                            <w:szCs w:val="18"/>
                          </w:rPr>
                          <m:t>N</m:t>
                        </m:r>
                      </m:sup>
                    </m:sSup>
                  </m:den>
                </m:f>
              </m:oMath>
            </m:oMathPara>
          </w:p>
        </w:tc>
        <w:tc>
          <w:tcPr>
            <w:tcW w:w="616" w:type="dxa"/>
            <w:vAlign w:val="center"/>
          </w:tcPr>
          <w:p w14:paraId="7D7A62EA" w14:textId="1F68A5DB" w:rsidR="00C96AEE" w:rsidRPr="00100329" w:rsidRDefault="00C96AEE" w:rsidP="001E5821">
            <w:pPr>
              <w:rPr>
                <w:color w:val="auto"/>
                <w:szCs w:val="24"/>
                <w:highlight w:val="yellow"/>
                <w:lang w:val="en-CA" w:eastAsia="en-CA"/>
              </w:rPr>
            </w:pPr>
            <w:r w:rsidRPr="00100329">
              <w:rPr>
                <w:color w:val="auto"/>
                <w:szCs w:val="24"/>
                <w:highlight w:val="yellow"/>
                <w:lang w:val="en-CA" w:eastAsia="en-CA"/>
              </w:rPr>
              <w:t>(1</w:t>
            </w:r>
            <w:r>
              <w:rPr>
                <w:color w:val="auto"/>
                <w:szCs w:val="24"/>
                <w:highlight w:val="yellow"/>
                <w:lang w:val="en-CA" w:eastAsia="en-CA"/>
              </w:rPr>
              <w:t>4</w:t>
            </w:r>
            <w:r w:rsidRPr="00100329">
              <w:rPr>
                <w:color w:val="auto"/>
                <w:szCs w:val="24"/>
                <w:highlight w:val="yellow"/>
                <w:lang w:val="en-CA" w:eastAsia="en-CA"/>
              </w:rPr>
              <w:t>)</w:t>
            </w:r>
          </w:p>
        </w:tc>
      </w:tr>
    </w:tbl>
    <w:p w14:paraId="49A81060" w14:textId="7D29D3F8" w:rsidR="00A50C22" w:rsidRPr="00A50C22" w:rsidRDefault="00A50C22" w:rsidP="00A50C22">
      <w:pPr>
        <w:spacing w:after="120"/>
        <w:ind w:firstLine="480"/>
        <w:rPr>
          <w:color w:val="000000" w:themeColor="text1"/>
          <w:szCs w:val="24"/>
          <w:highlight w:val="yellow"/>
          <w:lang w:val="en-CA"/>
        </w:rPr>
      </w:pPr>
      <w:r w:rsidRPr="00A50C22">
        <w:rPr>
          <w:color w:val="000000" w:themeColor="text1"/>
          <w:szCs w:val="24"/>
          <w:highlight w:val="yellow"/>
          <w:lang w:val="en-CA"/>
        </w:rPr>
        <w:t xml:space="preserve">where </w:t>
      </w:r>
      <m:oMath>
        <m:sSub>
          <m:sSubPr>
            <m:ctrlPr>
              <w:rPr>
                <w:rFonts w:ascii="Cambria Math" w:hAnsi="Cambria Math"/>
                <w:color w:val="000000" w:themeColor="text1"/>
                <w:szCs w:val="24"/>
                <w:highlight w:val="yellow"/>
                <w:lang w:val="en-CA"/>
              </w:rPr>
            </m:ctrlPr>
          </m:sSubPr>
          <m:e>
            <m:r>
              <w:rPr>
                <w:rFonts w:ascii="Cambria Math" w:hAnsi="Cambria Math"/>
                <w:color w:val="000000" w:themeColor="text1"/>
                <w:szCs w:val="24"/>
                <w:highlight w:val="yellow"/>
                <w:lang w:val="en-CA"/>
              </w:rPr>
              <m:t>I</m:t>
            </m:r>
          </m:e>
          <m:sub>
            <m:r>
              <m:rPr>
                <m:sty m:val="p"/>
              </m:rPr>
              <w:rPr>
                <w:rFonts w:ascii="Cambria Math" w:hAnsi="Cambria Math"/>
                <w:color w:val="000000" w:themeColor="text1"/>
                <w:szCs w:val="24"/>
                <w:highlight w:val="yellow"/>
                <w:lang w:val="en-CA"/>
              </w:rPr>
              <m:t>0</m:t>
            </m:r>
          </m:sub>
        </m:sSub>
      </m:oMath>
      <w:r w:rsidRPr="00A50C22">
        <w:rPr>
          <w:color w:val="000000" w:themeColor="text1"/>
          <w:szCs w:val="24"/>
          <w:highlight w:val="yellow"/>
          <w:lang w:val="en-CA"/>
        </w:rPr>
        <w:t xml:space="preserve">is the initial investment, </w:t>
      </w:r>
      <m:oMath>
        <m:r>
          <w:rPr>
            <w:rFonts w:ascii="Cambria Math" w:hAnsi="Cambria Math"/>
            <w:color w:val="000000" w:themeColor="text1"/>
            <w:szCs w:val="24"/>
            <w:highlight w:val="yellow"/>
            <w:lang w:val="en-CA"/>
          </w:rPr>
          <m:t>C</m:t>
        </m:r>
        <m:sSub>
          <m:sSubPr>
            <m:ctrlPr>
              <w:rPr>
                <w:rFonts w:ascii="Cambria Math" w:hAnsi="Cambria Math"/>
                <w:color w:val="000000" w:themeColor="text1"/>
                <w:szCs w:val="24"/>
                <w:highlight w:val="yellow"/>
                <w:lang w:val="en-CA"/>
              </w:rPr>
            </m:ctrlPr>
          </m:sSubPr>
          <m:e>
            <m:r>
              <w:rPr>
                <w:rFonts w:ascii="Cambria Math" w:hAnsi="Cambria Math"/>
                <w:color w:val="000000" w:themeColor="text1"/>
                <w:szCs w:val="24"/>
                <w:highlight w:val="yellow"/>
                <w:lang w:val="en-CA"/>
              </w:rPr>
              <m:t>F</m:t>
            </m:r>
          </m:e>
          <m:sub>
            <m:r>
              <w:rPr>
                <w:rFonts w:ascii="Cambria Math" w:hAnsi="Cambria Math"/>
                <w:color w:val="000000" w:themeColor="text1"/>
                <w:szCs w:val="24"/>
                <w:highlight w:val="yellow"/>
                <w:lang w:val="en-CA"/>
              </w:rPr>
              <m:t>t</m:t>
            </m:r>
          </m:sub>
        </m:sSub>
      </m:oMath>
      <w:r w:rsidRPr="00A50C22">
        <w:rPr>
          <w:color w:val="000000" w:themeColor="text1"/>
          <w:szCs w:val="24"/>
          <w:highlight w:val="yellow"/>
          <w:lang w:val="en-CA"/>
        </w:rPr>
        <w:t xml:space="preserve">is the net cash flow in year </w:t>
      </w:r>
      <m:oMath>
        <m:r>
          <w:rPr>
            <w:rFonts w:ascii="Cambria Math" w:hAnsi="Cambria Math"/>
            <w:color w:val="000000" w:themeColor="text1"/>
            <w:szCs w:val="24"/>
            <w:highlight w:val="yellow"/>
            <w:lang w:val="en-CA"/>
          </w:rPr>
          <m:t>t</m:t>
        </m:r>
      </m:oMath>
      <w:r w:rsidRPr="00A50C22">
        <w:rPr>
          <w:color w:val="000000" w:themeColor="text1"/>
          <w:szCs w:val="24"/>
          <w:highlight w:val="yellow"/>
          <w:lang w:val="en-CA"/>
        </w:rPr>
        <w:t xml:space="preserve">, </w:t>
      </w:r>
      <m:oMath>
        <m:r>
          <w:rPr>
            <w:rFonts w:ascii="Cambria Math" w:hAnsi="Cambria Math"/>
            <w:color w:val="000000" w:themeColor="text1"/>
            <w:szCs w:val="24"/>
            <w:highlight w:val="yellow"/>
            <w:lang w:val="en-CA"/>
          </w:rPr>
          <m:t>r</m:t>
        </m:r>
      </m:oMath>
      <w:r w:rsidRPr="00A50C22">
        <w:rPr>
          <w:color w:val="000000" w:themeColor="text1"/>
          <w:szCs w:val="24"/>
          <w:highlight w:val="yellow"/>
          <w:lang w:val="en-CA"/>
        </w:rPr>
        <w:t xml:space="preserve">is the real discount rate, and </w:t>
      </w:r>
      <m:oMath>
        <m:r>
          <w:rPr>
            <w:rFonts w:ascii="Cambria Math" w:hAnsi="Cambria Math"/>
            <w:color w:val="000000" w:themeColor="text1"/>
            <w:szCs w:val="24"/>
            <w:highlight w:val="yellow"/>
            <w:lang w:val="en-CA"/>
          </w:rPr>
          <m:t>R</m:t>
        </m:r>
        <m:sSub>
          <m:sSubPr>
            <m:ctrlPr>
              <w:rPr>
                <w:rFonts w:ascii="Cambria Math" w:hAnsi="Cambria Math"/>
                <w:color w:val="000000" w:themeColor="text1"/>
                <w:szCs w:val="24"/>
                <w:highlight w:val="yellow"/>
                <w:lang w:val="en-CA"/>
              </w:rPr>
            </m:ctrlPr>
          </m:sSubPr>
          <m:e>
            <m:r>
              <w:rPr>
                <w:rFonts w:ascii="Cambria Math" w:hAnsi="Cambria Math"/>
                <w:color w:val="000000" w:themeColor="text1"/>
                <w:szCs w:val="24"/>
                <w:highlight w:val="yellow"/>
                <w:lang w:val="en-CA"/>
              </w:rPr>
              <m:t>V</m:t>
            </m:r>
          </m:e>
          <m:sub>
            <m:r>
              <w:rPr>
                <w:rFonts w:ascii="Cambria Math" w:hAnsi="Cambria Math"/>
                <w:color w:val="000000" w:themeColor="text1"/>
                <w:szCs w:val="24"/>
                <w:highlight w:val="yellow"/>
                <w:lang w:val="en-CA"/>
              </w:rPr>
              <m:t>N</m:t>
            </m:r>
          </m:sub>
        </m:sSub>
      </m:oMath>
      <w:r w:rsidRPr="00A50C22">
        <w:rPr>
          <w:color w:val="000000" w:themeColor="text1"/>
          <w:szCs w:val="24"/>
          <w:highlight w:val="yellow"/>
          <w:lang w:val="en-CA"/>
        </w:rPr>
        <w:t>is the residual value at the end of the analysis period.</w:t>
      </w:r>
    </w:p>
    <w:p w14:paraId="5E8F04A7" w14:textId="77777777" w:rsidR="00833AA9" w:rsidRPr="00A52AC2" w:rsidRDefault="00833AA9" w:rsidP="00A52AC2">
      <w:pPr>
        <w:spacing w:after="120"/>
        <w:ind w:firstLine="480"/>
        <w:rPr>
          <w:color w:val="000000" w:themeColor="text1"/>
          <w:szCs w:val="24"/>
          <w:highlight w:val="yellow"/>
          <w:lang w:val="en-CA"/>
        </w:rPr>
      </w:pPr>
      <w:r w:rsidRPr="00A52AC2">
        <w:rPr>
          <w:color w:val="000000" w:themeColor="text1"/>
          <w:szCs w:val="24"/>
          <w:highlight w:val="yellow"/>
          <w:lang w:val="en-CA"/>
        </w:rPr>
        <w:t>The IRR is the discount rate that satisfies: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833AA9" w:rsidRPr="00100329" w14:paraId="5164CB15" w14:textId="77777777" w:rsidTr="001E5821">
        <w:tc>
          <w:tcPr>
            <w:tcW w:w="421" w:type="dxa"/>
          </w:tcPr>
          <w:p w14:paraId="67E7A95A" w14:textId="77777777" w:rsidR="00833AA9" w:rsidRPr="00100329" w:rsidRDefault="00833AA9" w:rsidP="001E5821">
            <w:pPr>
              <w:rPr>
                <w:color w:val="auto"/>
                <w:szCs w:val="24"/>
                <w:highlight w:val="yellow"/>
                <w:lang w:val="en-CA" w:eastAsia="en-CA"/>
              </w:rPr>
            </w:pPr>
          </w:p>
        </w:tc>
        <w:tc>
          <w:tcPr>
            <w:tcW w:w="7908" w:type="dxa"/>
          </w:tcPr>
          <w:p w14:paraId="3D58E01A" w14:textId="35E3FDE6" w:rsidR="00833AA9" w:rsidRPr="00100329" w:rsidRDefault="00833AA9" w:rsidP="001E5821">
            <w:pPr>
              <w:rPr>
                <w:rFonts w:asciiTheme="majorBidi" w:hAnsiTheme="majorBidi" w:cstheme="majorBidi"/>
                <w:color w:val="auto"/>
                <w:sz w:val="18"/>
                <w:szCs w:val="18"/>
                <w:highlight w:val="yellow"/>
                <w:lang w:val="en-CA" w:eastAsia="en-CA"/>
              </w:rPr>
            </w:pPr>
            <m:oMathPara>
              <m:oMath>
                <m:r>
                  <w:rPr>
                    <w:rFonts w:ascii="Cambria Math" w:hAnsi="Cambria Math"/>
                    <w:color w:val="auto"/>
                    <w:sz w:val="18"/>
                    <w:szCs w:val="18"/>
                  </w:rPr>
                  <m:t>0=-</m:t>
                </m:r>
                <m:sSub>
                  <m:sSubPr>
                    <m:ctrlPr>
                      <w:rPr>
                        <w:rFonts w:ascii="Cambria Math" w:hAnsi="Cambria Math"/>
                        <w:color w:val="auto"/>
                        <w:sz w:val="18"/>
                        <w:szCs w:val="18"/>
                      </w:rPr>
                    </m:ctrlPr>
                  </m:sSubPr>
                  <m:e>
                    <m:r>
                      <w:rPr>
                        <w:rFonts w:ascii="Cambria Math" w:hAnsi="Cambria Math"/>
                        <w:color w:val="auto"/>
                        <w:sz w:val="18"/>
                        <w:szCs w:val="18"/>
                      </w:rPr>
                      <m:t>I</m:t>
                    </m:r>
                  </m:e>
                  <m:sub>
                    <m:r>
                      <w:rPr>
                        <w:rFonts w:ascii="Cambria Math" w:hAnsi="Cambria Math"/>
                        <w:color w:val="auto"/>
                        <w:sz w:val="18"/>
                        <w:szCs w:val="18"/>
                      </w:rPr>
                      <m:t>0</m:t>
                    </m:r>
                  </m:sub>
                </m:sSub>
                <m:r>
                  <w:rPr>
                    <w:rFonts w:ascii="Cambria Math" w:hAnsi="Cambria Math"/>
                    <w:color w:val="auto"/>
                    <w:sz w:val="18"/>
                    <w:szCs w:val="18"/>
                  </w:rPr>
                  <m:t>+</m:t>
                </m:r>
                <m:nary>
                  <m:naryPr>
                    <m:chr m:val="∑"/>
                    <m:limLoc m:val="undOvr"/>
                    <m:ctrlPr>
                      <w:rPr>
                        <w:rFonts w:ascii="Cambria Math" w:hAnsi="Cambria Math"/>
                        <w:color w:val="auto"/>
                        <w:sz w:val="18"/>
                        <w:szCs w:val="18"/>
                      </w:rPr>
                    </m:ctrlPr>
                  </m:naryPr>
                  <m:sub>
                    <m:r>
                      <w:rPr>
                        <w:rFonts w:ascii="Cambria Math" w:hAnsi="Cambria Math"/>
                        <w:color w:val="auto"/>
                        <w:sz w:val="18"/>
                        <w:szCs w:val="18"/>
                      </w:rPr>
                      <m:t>t=1</m:t>
                    </m:r>
                  </m:sub>
                  <m:sup>
                    <m:r>
                      <w:rPr>
                        <w:rFonts w:ascii="Cambria Math" w:hAnsi="Cambria Math"/>
                        <w:color w:val="auto"/>
                        <w:sz w:val="18"/>
                        <w:szCs w:val="18"/>
                      </w:rPr>
                      <m:t>N</m:t>
                    </m:r>
                  </m:sup>
                  <m:e>
                    <m:f>
                      <m:fPr>
                        <m:ctrlPr>
                          <w:rPr>
                            <w:rFonts w:ascii="Cambria Math" w:hAnsi="Cambria Math"/>
                            <w:color w:val="auto"/>
                            <w:sz w:val="18"/>
                            <w:szCs w:val="18"/>
                          </w:rPr>
                        </m:ctrlPr>
                      </m:fPr>
                      <m:num>
                        <m:sSub>
                          <m:sSubPr>
                            <m:ctrlPr>
                              <w:rPr>
                                <w:rFonts w:ascii="Cambria Math" w:hAnsi="Cambria Math"/>
                                <w:color w:val="auto"/>
                                <w:sz w:val="18"/>
                                <w:szCs w:val="18"/>
                              </w:rPr>
                            </m:ctrlPr>
                          </m:sSubPr>
                          <m:e>
                            <m:r>
                              <m:rPr>
                                <m:nor/>
                              </m:rPr>
                              <w:rPr>
                                <w:rFonts w:ascii="Cambria Math" w:hAnsi="Cambria Math"/>
                                <w:color w:val="auto"/>
                                <w:sz w:val="18"/>
                                <w:szCs w:val="18"/>
                              </w:rPr>
                              <m:t>CF</m:t>
                            </m:r>
                          </m:e>
                          <m:sub>
                            <m:r>
                              <w:rPr>
                                <w:rFonts w:ascii="Cambria Math" w:hAnsi="Cambria Math"/>
                                <w:color w:val="auto"/>
                                <w:sz w:val="18"/>
                                <w:szCs w:val="18"/>
                              </w:rPr>
                              <m:t>t</m:t>
                            </m:r>
                          </m:sub>
                        </m:sSub>
                      </m:num>
                      <m:den>
                        <m:sSup>
                          <m:sSupPr>
                            <m:ctrlPr>
                              <w:rPr>
                                <w:rFonts w:ascii="Cambria Math" w:hAnsi="Cambria Math"/>
                                <w:color w:val="auto"/>
                                <w:sz w:val="18"/>
                                <w:szCs w:val="18"/>
                              </w:rPr>
                            </m:ctrlPr>
                          </m:sSupPr>
                          <m:e>
                            <m:d>
                              <m:dPr>
                                <m:ctrlPr>
                                  <w:rPr>
                                    <w:rFonts w:ascii="Cambria Math" w:hAnsi="Cambria Math"/>
                                    <w:color w:val="auto"/>
                                    <w:sz w:val="18"/>
                                    <w:szCs w:val="18"/>
                                  </w:rPr>
                                </m:ctrlPr>
                              </m:dPr>
                              <m:e>
                                <m:r>
                                  <w:rPr>
                                    <w:rFonts w:ascii="Cambria Math" w:hAnsi="Cambria Math"/>
                                    <w:color w:val="auto"/>
                                    <w:sz w:val="18"/>
                                    <w:szCs w:val="18"/>
                                  </w:rPr>
                                  <m:t>1+</m:t>
                                </m:r>
                                <m:r>
                                  <m:rPr>
                                    <m:nor/>
                                  </m:rPr>
                                  <w:rPr>
                                    <w:rFonts w:ascii="Cambria Math" w:hAnsi="Cambria Math"/>
                                    <w:color w:val="auto"/>
                                    <w:sz w:val="18"/>
                                    <w:szCs w:val="18"/>
                                  </w:rPr>
                                  <m:t>IRR</m:t>
                                </m:r>
                              </m:e>
                            </m:d>
                          </m:e>
                          <m:sup>
                            <m:r>
                              <w:rPr>
                                <w:rFonts w:ascii="Cambria Math" w:hAnsi="Cambria Math"/>
                                <w:color w:val="auto"/>
                                <w:sz w:val="18"/>
                                <w:szCs w:val="18"/>
                              </w:rPr>
                              <m:t>t</m:t>
                            </m:r>
                          </m:sup>
                        </m:sSup>
                      </m:den>
                    </m:f>
                  </m:e>
                </m:nary>
                <m:r>
                  <w:rPr>
                    <w:rFonts w:ascii="Cambria Math" w:hAnsi="Cambria Math"/>
                    <w:color w:val="auto"/>
                    <w:sz w:val="18"/>
                    <w:szCs w:val="18"/>
                  </w:rPr>
                  <m:t>+</m:t>
                </m:r>
                <m:f>
                  <m:fPr>
                    <m:ctrlPr>
                      <w:rPr>
                        <w:rFonts w:ascii="Cambria Math" w:hAnsi="Cambria Math"/>
                        <w:color w:val="auto"/>
                        <w:sz w:val="18"/>
                        <w:szCs w:val="18"/>
                      </w:rPr>
                    </m:ctrlPr>
                  </m:fPr>
                  <m:num>
                    <m:sSub>
                      <m:sSubPr>
                        <m:ctrlPr>
                          <w:rPr>
                            <w:rFonts w:ascii="Cambria Math" w:hAnsi="Cambria Math"/>
                            <w:color w:val="auto"/>
                            <w:sz w:val="18"/>
                            <w:szCs w:val="18"/>
                          </w:rPr>
                        </m:ctrlPr>
                      </m:sSubPr>
                      <m:e>
                        <m:r>
                          <m:rPr>
                            <m:nor/>
                          </m:rPr>
                          <w:rPr>
                            <w:rFonts w:ascii="Cambria Math" w:hAnsi="Cambria Math"/>
                            <w:color w:val="auto"/>
                            <w:sz w:val="18"/>
                            <w:szCs w:val="18"/>
                          </w:rPr>
                          <m:t>RV</m:t>
                        </m:r>
                      </m:e>
                      <m:sub>
                        <m:r>
                          <w:rPr>
                            <w:rFonts w:ascii="Cambria Math" w:hAnsi="Cambria Math"/>
                            <w:color w:val="auto"/>
                            <w:sz w:val="18"/>
                            <w:szCs w:val="18"/>
                          </w:rPr>
                          <m:t>N</m:t>
                        </m:r>
                      </m:sub>
                    </m:sSub>
                  </m:num>
                  <m:den>
                    <m:sSup>
                      <m:sSupPr>
                        <m:ctrlPr>
                          <w:rPr>
                            <w:rFonts w:ascii="Cambria Math" w:hAnsi="Cambria Math"/>
                            <w:color w:val="auto"/>
                            <w:sz w:val="18"/>
                            <w:szCs w:val="18"/>
                          </w:rPr>
                        </m:ctrlPr>
                      </m:sSupPr>
                      <m:e>
                        <m:d>
                          <m:dPr>
                            <m:ctrlPr>
                              <w:rPr>
                                <w:rFonts w:ascii="Cambria Math" w:hAnsi="Cambria Math"/>
                                <w:color w:val="auto"/>
                                <w:sz w:val="18"/>
                                <w:szCs w:val="18"/>
                              </w:rPr>
                            </m:ctrlPr>
                          </m:dPr>
                          <m:e>
                            <m:r>
                              <w:rPr>
                                <w:rFonts w:ascii="Cambria Math" w:hAnsi="Cambria Math"/>
                                <w:color w:val="auto"/>
                                <w:sz w:val="18"/>
                                <w:szCs w:val="18"/>
                              </w:rPr>
                              <m:t>1+</m:t>
                            </m:r>
                            <m:r>
                              <m:rPr>
                                <m:nor/>
                              </m:rPr>
                              <w:rPr>
                                <w:rFonts w:ascii="Cambria Math" w:hAnsi="Cambria Math"/>
                                <w:color w:val="auto"/>
                                <w:sz w:val="18"/>
                                <w:szCs w:val="18"/>
                              </w:rPr>
                              <m:t>IRR</m:t>
                            </m:r>
                          </m:e>
                        </m:d>
                      </m:e>
                      <m:sup>
                        <m:r>
                          <w:rPr>
                            <w:rFonts w:ascii="Cambria Math" w:hAnsi="Cambria Math"/>
                            <w:color w:val="auto"/>
                            <w:sz w:val="18"/>
                            <w:szCs w:val="18"/>
                          </w:rPr>
                          <m:t>n</m:t>
                        </m:r>
                      </m:sup>
                    </m:sSup>
                  </m:den>
                </m:f>
              </m:oMath>
            </m:oMathPara>
          </w:p>
        </w:tc>
        <w:tc>
          <w:tcPr>
            <w:tcW w:w="616" w:type="dxa"/>
            <w:vAlign w:val="center"/>
          </w:tcPr>
          <w:p w14:paraId="159A0955" w14:textId="67997C78" w:rsidR="00833AA9" w:rsidRPr="00100329" w:rsidRDefault="00833AA9" w:rsidP="001E5821">
            <w:pPr>
              <w:rPr>
                <w:color w:val="auto"/>
                <w:szCs w:val="24"/>
                <w:highlight w:val="yellow"/>
                <w:lang w:val="en-CA" w:eastAsia="en-CA"/>
              </w:rPr>
            </w:pPr>
            <w:r w:rsidRPr="00100329">
              <w:rPr>
                <w:color w:val="auto"/>
                <w:szCs w:val="24"/>
                <w:highlight w:val="yellow"/>
                <w:lang w:val="en-CA" w:eastAsia="en-CA"/>
              </w:rPr>
              <w:t>(1</w:t>
            </w:r>
            <w:r>
              <w:rPr>
                <w:color w:val="auto"/>
                <w:szCs w:val="24"/>
                <w:highlight w:val="yellow"/>
                <w:lang w:val="en-CA" w:eastAsia="en-CA"/>
              </w:rPr>
              <w:t>5</w:t>
            </w:r>
            <w:r w:rsidRPr="00100329">
              <w:rPr>
                <w:color w:val="auto"/>
                <w:szCs w:val="24"/>
                <w:highlight w:val="yellow"/>
                <w:lang w:val="en-CA" w:eastAsia="en-CA"/>
              </w:rPr>
              <w:t>)</w:t>
            </w:r>
          </w:p>
        </w:tc>
      </w:tr>
    </w:tbl>
    <w:p w14:paraId="198C38B4" w14:textId="77777777" w:rsidR="000E7A56" w:rsidRPr="00A52AC2" w:rsidRDefault="000E7A56" w:rsidP="00A52AC2">
      <w:pPr>
        <w:spacing w:after="120"/>
        <w:ind w:firstLine="480"/>
        <w:rPr>
          <w:color w:val="000000" w:themeColor="text1"/>
          <w:szCs w:val="24"/>
          <w:highlight w:val="yellow"/>
          <w:lang w:val="en-CA"/>
        </w:rPr>
      </w:pPr>
      <w:r w:rsidRPr="00A52AC2">
        <w:rPr>
          <w:color w:val="000000" w:themeColor="text1"/>
          <w:szCs w:val="24"/>
          <w:highlight w:val="yellow"/>
          <w:lang w:val="en-CA"/>
        </w:rPr>
        <w:t>For internal consistency in screening-level comparisons, this review adopts a central real discount rate of 7.5%. A real discount-rate range of 5%–12% may be used only for sensitivity analysis and should not be presented as multiple base-case WACCs. Where nominal cash flows are modeled, a nominal discount rate must instead be used, with inflation treated consistently. Real cash flows must not be discounted using a nominal rate.</w:t>
      </w:r>
    </w:p>
    <w:p w14:paraId="67C01547" w14:textId="22A6C24B" w:rsidR="000E7A56" w:rsidRPr="00A52AC2" w:rsidRDefault="000E7A56" w:rsidP="00A52AC2">
      <w:pPr>
        <w:spacing w:after="120"/>
        <w:ind w:firstLine="480"/>
        <w:rPr>
          <w:color w:val="000000" w:themeColor="text1"/>
          <w:szCs w:val="24"/>
          <w:highlight w:val="yellow"/>
          <w:lang w:val="en-CA"/>
        </w:rPr>
      </w:pPr>
      <w:r w:rsidRPr="00A52AC2">
        <w:rPr>
          <w:color w:val="000000" w:themeColor="text1"/>
          <w:szCs w:val="24"/>
          <w:highlight w:val="yellow"/>
          <w:lang w:val="en-CA"/>
        </w:rPr>
        <w:t>A good project cash-flow model will contain:</w:t>
      </w:r>
    </w:p>
    <w:p w14:paraId="4EFD34F6" w14:textId="77777777" w:rsidR="000E7A56" w:rsidRPr="00A52AC2" w:rsidRDefault="000E7A56" w:rsidP="00A52AC2">
      <w:pPr>
        <w:pStyle w:val="Heading20"/>
        <w:numPr>
          <w:ilvl w:val="0"/>
          <w:numId w:val="24"/>
        </w:numPr>
        <w:rPr>
          <w:i w:val="0"/>
          <w:iCs/>
          <w:color w:val="auto"/>
          <w:highlight w:val="yellow"/>
          <w:lang w:val="en-CA"/>
        </w:rPr>
      </w:pPr>
      <w:r w:rsidRPr="00A52AC2">
        <w:rPr>
          <w:i w:val="0"/>
          <w:iCs/>
          <w:color w:val="auto"/>
          <w:highlight w:val="yellow"/>
          <w:lang w:val="en-CA"/>
        </w:rPr>
        <w:t>Capital costs for renewable generation, BESS, back-up power, interconnection, and electrical infrastructure.</w:t>
      </w:r>
    </w:p>
    <w:p w14:paraId="62E597FC" w14:textId="77777777" w:rsidR="000E7A56" w:rsidRPr="00A52AC2" w:rsidRDefault="000E7A56" w:rsidP="00A52AC2">
      <w:pPr>
        <w:pStyle w:val="Heading20"/>
        <w:numPr>
          <w:ilvl w:val="0"/>
          <w:numId w:val="24"/>
        </w:numPr>
        <w:rPr>
          <w:i w:val="0"/>
          <w:iCs/>
          <w:color w:val="auto"/>
          <w:highlight w:val="yellow"/>
          <w:lang w:val="en-CA"/>
        </w:rPr>
      </w:pPr>
      <w:r w:rsidRPr="00A52AC2">
        <w:rPr>
          <w:i w:val="0"/>
          <w:iCs/>
          <w:color w:val="auto"/>
          <w:highlight w:val="yellow"/>
          <w:lang w:val="en-CA"/>
        </w:rPr>
        <w:t>Engineering, procurement, construction, development, financing and contingency costs.</w:t>
      </w:r>
    </w:p>
    <w:p w14:paraId="1D04777D" w14:textId="77777777" w:rsidR="000E7A56" w:rsidRPr="00A52AC2" w:rsidRDefault="000E7A56" w:rsidP="00A52AC2">
      <w:pPr>
        <w:pStyle w:val="Heading20"/>
        <w:numPr>
          <w:ilvl w:val="0"/>
          <w:numId w:val="24"/>
        </w:numPr>
        <w:rPr>
          <w:i w:val="0"/>
          <w:iCs/>
          <w:color w:val="auto"/>
          <w:highlight w:val="yellow"/>
          <w:lang w:val="en-CA"/>
        </w:rPr>
      </w:pPr>
      <w:r w:rsidRPr="00A52AC2">
        <w:rPr>
          <w:i w:val="0"/>
          <w:iCs/>
          <w:color w:val="auto"/>
          <w:highlight w:val="yellow"/>
          <w:lang w:val="en-CA"/>
        </w:rPr>
        <w:t>O&amp;M – Set up expenses.</w:t>
      </w:r>
    </w:p>
    <w:p w14:paraId="4F68C130" w14:textId="77777777" w:rsidR="000E7A56" w:rsidRPr="00A52AC2" w:rsidRDefault="000E7A56" w:rsidP="00A52AC2">
      <w:pPr>
        <w:pStyle w:val="Heading20"/>
        <w:numPr>
          <w:ilvl w:val="0"/>
          <w:numId w:val="24"/>
        </w:numPr>
        <w:rPr>
          <w:i w:val="0"/>
          <w:iCs/>
          <w:color w:val="auto"/>
          <w:highlight w:val="yellow"/>
          <w:lang w:val="en-CA"/>
        </w:rPr>
      </w:pPr>
      <w:r w:rsidRPr="00A52AC2">
        <w:rPr>
          <w:i w:val="0"/>
          <w:iCs/>
          <w:color w:val="auto"/>
          <w:highlight w:val="yellow"/>
          <w:lang w:val="en-CA"/>
        </w:rPr>
        <w:t>Expenses for battery enhancement and replacements.</w:t>
      </w:r>
    </w:p>
    <w:p w14:paraId="00C832EC" w14:textId="77777777" w:rsidR="000E7A56" w:rsidRPr="00A52AC2" w:rsidRDefault="000E7A56" w:rsidP="00A52AC2">
      <w:pPr>
        <w:pStyle w:val="Heading20"/>
        <w:numPr>
          <w:ilvl w:val="0"/>
          <w:numId w:val="24"/>
        </w:numPr>
        <w:rPr>
          <w:i w:val="0"/>
          <w:iCs/>
          <w:color w:val="auto"/>
          <w:highlight w:val="yellow"/>
          <w:lang w:val="en-CA"/>
        </w:rPr>
      </w:pPr>
      <w:r w:rsidRPr="00A52AC2">
        <w:rPr>
          <w:i w:val="0"/>
          <w:iCs/>
          <w:color w:val="auto"/>
          <w:highlight w:val="yellow"/>
          <w:lang w:val="en-CA"/>
        </w:rPr>
        <w:t>Changing the main components such as the inverter, transformer, and others.</w:t>
      </w:r>
    </w:p>
    <w:p w14:paraId="1B562B1A" w14:textId="77777777" w:rsidR="000E7A56" w:rsidRPr="00A52AC2" w:rsidRDefault="000E7A56" w:rsidP="00A52AC2">
      <w:pPr>
        <w:pStyle w:val="Heading20"/>
        <w:numPr>
          <w:ilvl w:val="0"/>
          <w:numId w:val="24"/>
        </w:numPr>
        <w:rPr>
          <w:i w:val="0"/>
          <w:iCs/>
          <w:color w:val="auto"/>
          <w:highlight w:val="yellow"/>
          <w:lang w:val="en-CA"/>
        </w:rPr>
      </w:pPr>
      <w:r w:rsidRPr="00A52AC2">
        <w:rPr>
          <w:i w:val="0"/>
          <w:iCs/>
          <w:color w:val="auto"/>
          <w:highlight w:val="yellow"/>
          <w:lang w:val="en-CA"/>
        </w:rPr>
        <w:t>Purchase of grid-energy, capacity charges, demand charges, and tariff escalation.</w:t>
      </w:r>
    </w:p>
    <w:p w14:paraId="53C05418" w14:textId="77777777" w:rsidR="000E7A56" w:rsidRPr="00A52AC2" w:rsidRDefault="000E7A56" w:rsidP="00A52AC2">
      <w:pPr>
        <w:pStyle w:val="Heading20"/>
        <w:numPr>
          <w:ilvl w:val="0"/>
          <w:numId w:val="24"/>
        </w:numPr>
        <w:rPr>
          <w:i w:val="0"/>
          <w:iCs/>
          <w:color w:val="auto"/>
          <w:highlight w:val="yellow"/>
          <w:lang w:val="en-CA"/>
        </w:rPr>
      </w:pPr>
      <w:r w:rsidRPr="00A52AC2">
        <w:rPr>
          <w:i w:val="0"/>
          <w:iCs/>
          <w:color w:val="auto"/>
          <w:highlight w:val="yellow"/>
          <w:lang w:val="en-CA"/>
        </w:rPr>
        <w:lastRenderedPageBreak/>
        <w:t>Electricity purchase cost and demand charge savings.</w:t>
      </w:r>
    </w:p>
    <w:p w14:paraId="14670549" w14:textId="77777777" w:rsidR="000E7A56" w:rsidRPr="00A52AC2" w:rsidRDefault="000E7A56" w:rsidP="00A52AC2">
      <w:pPr>
        <w:pStyle w:val="Heading20"/>
        <w:numPr>
          <w:ilvl w:val="0"/>
          <w:numId w:val="24"/>
        </w:numPr>
        <w:rPr>
          <w:i w:val="0"/>
          <w:iCs/>
          <w:color w:val="auto"/>
          <w:highlight w:val="yellow"/>
          <w:lang w:val="en-CA"/>
        </w:rPr>
      </w:pPr>
      <w:r w:rsidRPr="00A52AC2">
        <w:rPr>
          <w:i w:val="0"/>
          <w:iCs/>
          <w:color w:val="auto"/>
          <w:highlight w:val="yellow"/>
          <w:lang w:val="en-CA"/>
        </w:rPr>
        <w:t>Revenue/settlement payments from PPA, if applicable.</w:t>
      </w:r>
    </w:p>
    <w:p w14:paraId="4F42742C" w14:textId="77777777" w:rsidR="000E7A56" w:rsidRPr="00A52AC2" w:rsidRDefault="000E7A56" w:rsidP="00A52AC2">
      <w:pPr>
        <w:pStyle w:val="Heading20"/>
        <w:numPr>
          <w:ilvl w:val="0"/>
          <w:numId w:val="24"/>
        </w:numPr>
        <w:rPr>
          <w:i w:val="0"/>
          <w:iCs/>
          <w:color w:val="auto"/>
          <w:highlight w:val="yellow"/>
          <w:lang w:val="en-CA"/>
        </w:rPr>
      </w:pPr>
      <w:r w:rsidRPr="00A52AC2">
        <w:rPr>
          <w:i w:val="0"/>
          <w:iCs/>
          <w:color w:val="auto"/>
          <w:highlight w:val="yellow"/>
          <w:lang w:val="en-CA"/>
        </w:rPr>
        <w:t>Any revenues generated through ancillary services and/or demand-response (where applicable).</w:t>
      </w:r>
    </w:p>
    <w:p w14:paraId="436F8DBB" w14:textId="77777777" w:rsidR="000E7A56" w:rsidRPr="00A52AC2" w:rsidRDefault="000E7A56" w:rsidP="00A52AC2">
      <w:pPr>
        <w:pStyle w:val="Heading20"/>
        <w:numPr>
          <w:ilvl w:val="0"/>
          <w:numId w:val="24"/>
        </w:numPr>
        <w:rPr>
          <w:i w:val="0"/>
          <w:iCs/>
          <w:color w:val="auto"/>
          <w:highlight w:val="yellow"/>
          <w:lang w:val="en-CA"/>
        </w:rPr>
      </w:pPr>
      <w:r w:rsidRPr="00A52AC2">
        <w:rPr>
          <w:i w:val="0"/>
          <w:iCs/>
          <w:color w:val="auto"/>
          <w:highlight w:val="yellow"/>
          <w:lang w:val="en-CA"/>
        </w:rPr>
        <w:t>Facility outages, efficiency losses, degradation and cutback.</w:t>
      </w:r>
    </w:p>
    <w:p w14:paraId="0BC64A5B" w14:textId="208A8F83" w:rsidR="000E7A56" w:rsidRPr="00A52AC2" w:rsidRDefault="000E7A56" w:rsidP="00A52AC2">
      <w:pPr>
        <w:pStyle w:val="Heading20"/>
        <w:numPr>
          <w:ilvl w:val="0"/>
          <w:numId w:val="24"/>
        </w:numPr>
        <w:rPr>
          <w:i w:val="0"/>
          <w:iCs/>
          <w:color w:val="auto"/>
          <w:highlight w:val="yellow"/>
          <w:lang w:val="en-CA"/>
        </w:rPr>
      </w:pPr>
      <w:r w:rsidRPr="00A52AC2">
        <w:rPr>
          <w:i w:val="0"/>
          <w:iCs/>
          <w:color w:val="auto"/>
          <w:highlight w:val="yellow"/>
          <w:lang w:val="en-CA"/>
        </w:rPr>
        <w:t>Applicable tax credits, depreciation, taxes and residual value.</w:t>
      </w:r>
    </w:p>
    <w:p w14:paraId="33BAA91C" w14:textId="7EB0667C" w:rsidR="000E7A56" w:rsidRPr="00A52AC2" w:rsidRDefault="000E7A56" w:rsidP="00A52AC2">
      <w:pPr>
        <w:spacing w:after="120"/>
        <w:ind w:firstLine="480"/>
        <w:rPr>
          <w:color w:val="000000" w:themeColor="text1"/>
          <w:szCs w:val="24"/>
          <w:highlight w:val="yellow"/>
          <w:lang w:val="en-CA"/>
        </w:rPr>
      </w:pPr>
      <w:r w:rsidRPr="00A52AC2">
        <w:rPr>
          <w:color w:val="000000" w:themeColor="text1"/>
          <w:szCs w:val="24"/>
          <w:highlight w:val="yellow"/>
          <w:lang w:val="en-CA"/>
        </w:rPr>
        <w:t>The NPV, IRR, and payback period of a representative 100 MW facility were previously reported to be $30–120 million, 14%–19%, and 6–11 years, respectively. These values have been deleted as the underlying project cash flows, capacity design, tax treatment, replacement schedule, electricity tariff and outputs for the scenarios have not been adequately documented. If they were not included, the figures would not be repeatable and would not be different from illustrative assumptions.</w:t>
      </w:r>
    </w:p>
    <w:p w14:paraId="1AF66374" w14:textId="2D7670EA" w:rsidR="000E7A56" w:rsidRPr="00A52AC2" w:rsidRDefault="000E7A56" w:rsidP="00286292">
      <w:pPr>
        <w:spacing w:after="120"/>
        <w:ind w:firstLine="480"/>
        <w:rPr>
          <w:color w:val="000000" w:themeColor="text1"/>
          <w:szCs w:val="24"/>
          <w:highlight w:val="yellow"/>
          <w:lang w:val="en-CA"/>
        </w:rPr>
      </w:pPr>
      <w:r w:rsidRPr="00A52AC2">
        <w:rPr>
          <w:color w:val="000000" w:themeColor="text1"/>
          <w:szCs w:val="24"/>
          <w:highlight w:val="yellow"/>
          <w:lang w:val="en-CA"/>
        </w:rPr>
        <w:t>Federal incentives also must be considered based on the law that governs the project construction and place-in-service dates. The US incentive framework has undergone significant updates since Public Law 119-21 in July 2025. Accel timelines are in effect for wind and solar projects that are seeking Sections 45Y and 48E eligibility, such as begin construction and placed in service deadlines, and additional restrictions</w:t>
      </w:r>
      <w:r w:rsidR="00A52AC2">
        <w:rPr>
          <w:color w:val="000000" w:themeColor="text1"/>
          <w:szCs w:val="24"/>
          <w:highlight w:val="yellow"/>
          <w:lang w:val="en-CA"/>
        </w:rPr>
        <w:fldChar w:fldCharType="begin"/>
      </w:r>
      <w:r w:rsidR="00286292">
        <w:rPr>
          <w:color w:val="000000" w:themeColor="text1"/>
          <w:szCs w:val="24"/>
          <w:highlight w:val="yellow"/>
          <w:lang w:val="en-CA"/>
        </w:rPr>
        <w:instrText xml:space="preserve"> ADDIN ZOTERO_ITEM CSL_CITATION {"citationID":"t87KCa5e","properties":{"unsorted":false,"formattedCitation":"[173]","plainCitation":"[173]","noteIndex":0},"citationItems":[{"id":2719,"uris":["http://zotero.org/users/9870935/items/MKVPUMBA"],"itemData":{"id":2719,"type":"document","title":"What’s News in Tax Analysis that matters from Washington National Tax","URL":"https://kpmg.com/kpmg-us/content/dam/kpmg/taxnewsflash/pdf/2026/01/tnf-wnit-energy-credits-jan-12-2026.pdf","author":[{"literal":"KPMG"}]}}],"schema":"https://github.com/citation-style-language/schema/raw/master/csl-citation.json"} </w:instrText>
      </w:r>
      <w:r w:rsidR="00A52AC2">
        <w:rPr>
          <w:color w:val="000000" w:themeColor="text1"/>
          <w:szCs w:val="24"/>
          <w:highlight w:val="yellow"/>
          <w:lang w:val="en-CA"/>
        </w:rPr>
        <w:fldChar w:fldCharType="separate"/>
      </w:r>
      <w:r w:rsidR="00286292" w:rsidRPr="00286292">
        <w:rPr>
          <w:highlight w:val="yellow"/>
          <w:lang w:val="en-CA"/>
        </w:rPr>
        <w:t>[173]</w:t>
      </w:r>
      <w:r w:rsidR="00A52AC2">
        <w:rPr>
          <w:color w:val="000000" w:themeColor="text1"/>
          <w:szCs w:val="24"/>
          <w:highlight w:val="yellow"/>
          <w:lang w:val="en-CA"/>
        </w:rPr>
        <w:fldChar w:fldCharType="end"/>
      </w:r>
      <w:r w:rsidRPr="00A52AC2">
        <w:rPr>
          <w:color w:val="000000" w:themeColor="text1"/>
          <w:szCs w:val="24"/>
          <w:highlight w:val="yellow"/>
          <w:lang w:val="en-CA"/>
        </w:rPr>
        <w:t xml:space="preserve">. </w:t>
      </w:r>
      <w:proofErr w:type="gramStart"/>
      <w:r w:rsidRPr="00A52AC2">
        <w:rPr>
          <w:color w:val="000000" w:themeColor="text1"/>
          <w:szCs w:val="24"/>
          <w:highlight w:val="yellow"/>
          <w:lang w:val="en-CA"/>
        </w:rPr>
        <w:t>So</w:t>
      </w:r>
      <w:proofErr w:type="gramEnd"/>
      <w:r w:rsidRPr="00A52AC2">
        <w:rPr>
          <w:color w:val="000000" w:themeColor="text1"/>
          <w:szCs w:val="24"/>
          <w:highlight w:val="yellow"/>
          <w:lang w:val="en-CA"/>
        </w:rPr>
        <w:t xml:space="preserve"> adopting this does not imply that every future project is automatically eligible for a 30% investment tax credit or that many can always be "stacked". Project by project eligibility should be determined with specialist tax advice.</w:t>
      </w:r>
    </w:p>
    <w:p w14:paraId="4DB0D478" w14:textId="184C856B" w:rsidR="00A52AC2" w:rsidRDefault="00A52AC2" w:rsidP="00A52AC2">
      <w:pPr>
        <w:pStyle w:val="Heading20"/>
        <w:jc w:val="both"/>
        <w:rPr>
          <w:color w:val="auto"/>
          <w:highlight w:val="yellow"/>
        </w:rPr>
      </w:pPr>
      <w:r w:rsidRPr="00807110">
        <w:rPr>
          <w:color w:val="auto"/>
          <w:highlight w:val="yellow"/>
        </w:rPr>
        <w:t>10.</w:t>
      </w:r>
      <w:r>
        <w:rPr>
          <w:color w:val="auto"/>
          <w:highlight w:val="yellow"/>
        </w:rPr>
        <w:t>5</w:t>
      </w:r>
      <w:r w:rsidRPr="00807110">
        <w:rPr>
          <w:color w:val="auto"/>
          <w:highlight w:val="yellow"/>
        </w:rPr>
        <w:t xml:space="preserve"> </w:t>
      </w:r>
      <w:r>
        <w:rPr>
          <w:color w:val="auto"/>
          <w:highlight w:val="yellow"/>
        </w:rPr>
        <w:t>Business Case and Critical Appraisal</w:t>
      </w:r>
    </w:p>
    <w:p w14:paraId="0C111F3D" w14:textId="7CF04783" w:rsidR="003342AC" w:rsidRPr="003342AC" w:rsidRDefault="003342AC" w:rsidP="003342AC">
      <w:pPr>
        <w:spacing w:after="120"/>
        <w:ind w:firstLine="480"/>
        <w:rPr>
          <w:color w:val="000000" w:themeColor="text1"/>
          <w:szCs w:val="24"/>
          <w:highlight w:val="yellow"/>
          <w:lang w:val="en-CA"/>
        </w:rPr>
      </w:pPr>
      <w:r w:rsidRPr="003342AC">
        <w:rPr>
          <w:color w:val="000000" w:themeColor="text1"/>
          <w:szCs w:val="24"/>
          <w:highlight w:val="yellow"/>
          <w:lang w:val="en-CA"/>
        </w:rPr>
        <w:t>There are four interconnected factors that support the business viability of AI data centers that use renewable energy.</w:t>
      </w:r>
    </w:p>
    <w:p w14:paraId="6CCEA258" w14:textId="09509CB5" w:rsidR="003342AC" w:rsidRPr="003342AC" w:rsidRDefault="003342AC" w:rsidP="00286292">
      <w:pPr>
        <w:spacing w:after="120"/>
        <w:ind w:firstLine="480"/>
        <w:rPr>
          <w:color w:val="000000" w:themeColor="text1"/>
          <w:szCs w:val="24"/>
          <w:highlight w:val="yellow"/>
          <w:lang w:val="en-CA"/>
        </w:rPr>
      </w:pPr>
      <w:r w:rsidRPr="003342AC">
        <w:rPr>
          <w:b/>
          <w:bCs/>
          <w:color w:val="000000" w:themeColor="text1"/>
          <w:szCs w:val="24"/>
          <w:highlight w:val="yellow"/>
          <w:lang w:val="en-CA"/>
        </w:rPr>
        <w:t xml:space="preserve">Energy-cost </w:t>
      </w:r>
      <w:r>
        <w:rPr>
          <w:b/>
          <w:bCs/>
          <w:color w:val="000000" w:themeColor="text1"/>
          <w:szCs w:val="24"/>
          <w:highlight w:val="yellow"/>
          <w:lang w:val="en-CA"/>
        </w:rPr>
        <w:t>M</w:t>
      </w:r>
      <w:r w:rsidRPr="003342AC">
        <w:rPr>
          <w:b/>
          <w:bCs/>
          <w:color w:val="000000" w:themeColor="text1"/>
          <w:szCs w:val="24"/>
          <w:highlight w:val="yellow"/>
          <w:lang w:val="en-CA"/>
        </w:rPr>
        <w:t>anagement</w:t>
      </w:r>
      <w:r>
        <w:rPr>
          <w:b/>
          <w:bCs/>
          <w:color w:val="000000" w:themeColor="text1"/>
          <w:szCs w:val="24"/>
          <w:highlight w:val="yellow"/>
          <w:lang w:val="en-CA"/>
        </w:rPr>
        <w:t>:</w:t>
      </w:r>
      <w:r w:rsidRPr="003342AC">
        <w:rPr>
          <w:color w:val="000000" w:themeColor="text1"/>
          <w:szCs w:val="24"/>
          <w:highlight w:val="yellow"/>
          <w:lang w:val="en-CA"/>
        </w:rPr>
        <w:t xml:space="preserve"> The cost of new solar and onshore wind are still competitive, and existing hybrid schemes show the cost of renewable electricity with battery storage can match the cost of conventional electricity generation in some markets</w:t>
      </w:r>
      <w:r w:rsidR="003511DA">
        <w:rPr>
          <w:color w:val="000000" w:themeColor="text1"/>
          <w:szCs w:val="24"/>
          <w:highlight w:val="yellow"/>
          <w:lang w:val="en-CA"/>
        </w:rPr>
        <w:fldChar w:fldCharType="begin"/>
      </w:r>
      <w:r w:rsidR="00286292">
        <w:rPr>
          <w:color w:val="000000" w:themeColor="text1"/>
          <w:szCs w:val="24"/>
          <w:highlight w:val="yellow"/>
          <w:lang w:val="en-CA"/>
        </w:rPr>
        <w:instrText xml:space="preserve"> ADDIN ZOTERO_ITEM CSL_CITATION {"citationID":"oYKlJ3go","properties":{"unsorted":false,"formattedCitation":"[170]","plainCitation":"[170]","noteIndex":0},"citationItems":[{"id":2716,"uris":["http://zotero.org/users/9870935/items/QM3FE6TY"],"itemData":{"id":2716,"type":"post-weblog","title":"Lazard’s Levelized Cost of Energy","URL":"https://www.lazard.com/research-insights/levelized-cost-of-energyplus-lcoeplus/","author":[{"literal":"LAZARD"}]}}],"schema":"https://github.com/citation-style-language/schema/raw/master/csl-citation.json"} </w:instrText>
      </w:r>
      <w:r w:rsidR="003511DA">
        <w:rPr>
          <w:color w:val="000000" w:themeColor="text1"/>
          <w:szCs w:val="24"/>
          <w:highlight w:val="yellow"/>
          <w:lang w:val="en-CA"/>
        </w:rPr>
        <w:fldChar w:fldCharType="separate"/>
      </w:r>
      <w:r w:rsidR="00286292" w:rsidRPr="00286292">
        <w:rPr>
          <w:highlight w:val="yellow"/>
          <w:lang w:val="en-CA"/>
        </w:rPr>
        <w:t>[170]</w:t>
      </w:r>
      <w:r w:rsidR="003511DA">
        <w:rPr>
          <w:color w:val="000000" w:themeColor="text1"/>
          <w:szCs w:val="24"/>
          <w:highlight w:val="yellow"/>
          <w:lang w:val="en-CA"/>
        </w:rPr>
        <w:fldChar w:fldCharType="end"/>
      </w:r>
      <w:r w:rsidRPr="003342AC">
        <w:rPr>
          <w:color w:val="000000" w:themeColor="text1"/>
          <w:szCs w:val="24"/>
          <w:highlight w:val="yellow"/>
          <w:lang w:val="en-CA"/>
        </w:rPr>
        <w:t>,</w:t>
      </w:r>
      <w:r w:rsidR="003511DA">
        <w:rPr>
          <w:color w:val="000000" w:themeColor="text1"/>
          <w:szCs w:val="24"/>
          <w:highlight w:val="yellow"/>
          <w:lang w:val="en-CA"/>
        </w:rPr>
        <w:fldChar w:fldCharType="begin"/>
      </w:r>
      <w:r w:rsidR="003511DA">
        <w:rPr>
          <w:color w:val="000000" w:themeColor="text1"/>
          <w:szCs w:val="24"/>
          <w:highlight w:val="yellow"/>
          <w:lang w:val="en-CA"/>
        </w:rPr>
        <w:instrText xml:space="preserve"> ADDIN ZOTERO_ITEM CSL_CITATION {"citationID":"wYIdAcMN","properties":{"unsorted":false,"formattedCitation":"[16]","plainCitation":"[16]","noteIndex":0},"citationItems":[{"id":1925,"uris":["http://zotero.org/users/9870935/items/ZT343IZI"],"itemData":{"id":1925,"type":"article-journal","language":"en","source":"Zotero","title":"Renewable power generation costs in 2024","URL":"https://www.rinnovabili.it/wp-content/uploads/2025/07/IRENA-RENEWABLE-POWER-GENERATION-COSTS-IN-2024.pdf"}}],"schema":"https://github.com/citation-style-language/schema/raw/master/csl-citation.json"} </w:instrText>
      </w:r>
      <w:r w:rsidR="003511DA">
        <w:rPr>
          <w:color w:val="000000" w:themeColor="text1"/>
          <w:szCs w:val="24"/>
          <w:highlight w:val="yellow"/>
          <w:lang w:val="en-CA"/>
        </w:rPr>
        <w:fldChar w:fldCharType="separate"/>
      </w:r>
      <w:r w:rsidR="003511DA" w:rsidRPr="003511DA">
        <w:rPr>
          <w:highlight w:val="yellow"/>
          <w:lang w:val="en-CA"/>
        </w:rPr>
        <w:t>[16]</w:t>
      </w:r>
      <w:r w:rsidR="003511DA">
        <w:rPr>
          <w:color w:val="000000" w:themeColor="text1"/>
          <w:szCs w:val="24"/>
          <w:highlight w:val="yellow"/>
          <w:lang w:val="en-CA"/>
        </w:rPr>
        <w:fldChar w:fldCharType="end"/>
      </w:r>
      <w:r w:rsidRPr="003342AC">
        <w:rPr>
          <w:color w:val="000000" w:themeColor="text1"/>
          <w:szCs w:val="24"/>
          <w:highlight w:val="yellow"/>
          <w:lang w:val="en-CA"/>
        </w:rPr>
        <w:t>. However, viability of the project is subject to resource quality, project financing, firming requirements, grid access, curtailment, and interconnection costs. Cost of the continuous data center service should not be estimated as Generation-only LCOE.</w:t>
      </w:r>
    </w:p>
    <w:p w14:paraId="2D9FCD90" w14:textId="5CEAC543" w:rsidR="003342AC" w:rsidRPr="003342AC" w:rsidRDefault="003342AC" w:rsidP="003342AC">
      <w:pPr>
        <w:spacing w:after="120"/>
        <w:ind w:firstLine="480"/>
        <w:rPr>
          <w:color w:val="000000" w:themeColor="text1"/>
          <w:szCs w:val="24"/>
          <w:highlight w:val="yellow"/>
          <w:lang w:val="en-CA"/>
        </w:rPr>
      </w:pPr>
      <w:r w:rsidRPr="00CA7AD5">
        <w:rPr>
          <w:b/>
          <w:bCs/>
          <w:color w:val="000000" w:themeColor="text1"/>
          <w:szCs w:val="24"/>
          <w:highlight w:val="yellow"/>
          <w:lang w:val="en-CA"/>
        </w:rPr>
        <w:t xml:space="preserve">Reliability and </w:t>
      </w:r>
      <w:r w:rsidR="00CA7AD5">
        <w:rPr>
          <w:b/>
          <w:bCs/>
          <w:color w:val="000000" w:themeColor="text1"/>
          <w:szCs w:val="24"/>
          <w:highlight w:val="yellow"/>
          <w:lang w:val="en-CA"/>
        </w:rPr>
        <w:t>R</w:t>
      </w:r>
      <w:r w:rsidRPr="00CA7AD5">
        <w:rPr>
          <w:b/>
          <w:bCs/>
          <w:color w:val="000000" w:themeColor="text1"/>
          <w:szCs w:val="24"/>
          <w:highlight w:val="yellow"/>
          <w:lang w:val="en-CA"/>
        </w:rPr>
        <w:t>esilience</w:t>
      </w:r>
      <w:r w:rsidR="00CA7AD5" w:rsidRPr="00EE49A4">
        <w:rPr>
          <w:b/>
          <w:bCs/>
          <w:color w:val="000000" w:themeColor="text1"/>
          <w:szCs w:val="24"/>
          <w:highlight w:val="yellow"/>
          <w:lang w:val="en-CA"/>
        </w:rPr>
        <w:t>:</w:t>
      </w:r>
      <w:r w:rsidRPr="003342AC">
        <w:rPr>
          <w:color w:val="000000" w:themeColor="text1"/>
          <w:szCs w:val="24"/>
          <w:highlight w:val="yellow"/>
          <w:lang w:val="en-CA"/>
        </w:rPr>
        <w:t xml:space="preserve"> On-site generation and storage can minimize exposure to some of the disturbances in the grid, offer short duration ride-through capability, and enable control of transitions to a backup supply. These resources are not sufficient, however, to ensure outage risk is eliminated, as reliability is also dependent upon distribution topology, protection coordination, common-mode failure, fuel availability, control systems and maintenance practices. The Uptime Institute also provides distribution of outage costs without setting a universal cost of $500,000 per hour for training clusters of </w:t>
      </w:r>
      <w:proofErr w:type="gramStart"/>
      <w:r w:rsidRPr="003342AC">
        <w:rPr>
          <w:color w:val="000000" w:themeColor="text1"/>
          <w:szCs w:val="24"/>
          <w:highlight w:val="yellow"/>
          <w:lang w:val="en-CA"/>
        </w:rPr>
        <w:t>AI</w:t>
      </w:r>
      <w:proofErr w:type="gramEnd"/>
      <w:r w:rsidRPr="003342AC">
        <w:rPr>
          <w:color w:val="000000" w:themeColor="text1"/>
          <w:szCs w:val="24"/>
          <w:highlight w:val="yellow"/>
          <w:lang w:val="en-CA"/>
        </w:rPr>
        <w:t>. The previous per-hour downtime value has been thus eliminated. Downtime costs for a project model should be based on the IT capacity and workload values of the affected facility, the time required for recovery, contractual penalties, and lost utilization.</w:t>
      </w:r>
    </w:p>
    <w:p w14:paraId="4F35DD51" w14:textId="08CC6A87" w:rsidR="003342AC" w:rsidRPr="003342AC" w:rsidRDefault="003342AC" w:rsidP="000B0F03">
      <w:pPr>
        <w:spacing w:after="120"/>
        <w:ind w:firstLine="480"/>
        <w:rPr>
          <w:color w:val="000000" w:themeColor="text1"/>
          <w:szCs w:val="24"/>
          <w:highlight w:val="yellow"/>
          <w:lang w:val="en-CA"/>
        </w:rPr>
      </w:pPr>
      <w:r w:rsidRPr="001F3982">
        <w:rPr>
          <w:b/>
          <w:bCs/>
          <w:color w:val="000000" w:themeColor="text1"/>
          <w:szCs w:val="24"/>
          <w:highlight w:val="yellow"/>
          <w:lang w:val="en-CA"/>
        </w:rPr>
        <w:t xml:space="preserve">Sustainability and </w:t>
      </w:r>
      <w:r w:rsidR="001F3982">
        <w:rPr>
          <w:b/>
          <w:bCs/>
          <w:color w:val="000000" w:themeColor="text1"/>
          <w:szCs w:val="24"/>
          <w:highlight w:val="yellow"/>
          <w:lang w:val="en-CA"/>
        </w:rPr>
        <w:t>C</w:t>
      </w:r>
      <w:r w:rsidRPr="001F3982">
        <w:rPr>
          <w:b/>
          <w:bCs/>
          <w:color w:val="000000" w:themeColor="text1"/>
          <w:szCs w:val="24"/>
          <w:highlight w:val="yellow"/>
          <w:lang w:val="en-CA"/>
        </w:rPr>
        <w:t xml:space="preserve">ompliance with </w:t>
      </w:r>
      <w:r w:rsidR="001F3982">
        <w:rPr>
          <w:b/>
          <w:bCs/>
          <w:color w:val="000000" w:themeColor="text1"/>
          <w:szCs w:val="24"/>
          <w:highlight w:val="yellow"/>
          <w:lang w:val="en-CA"/>
        </w:rPr>
        <w:t>R</w:t>
      </w:r>
      <w:r w:rsidRPr="001F3982">
        <w:rPr>
          <w:b/>
          <w:bCs/>
          <w:color w:val="000000" w:themeColor="text1"/>
          <w:szCs w:val="24"/>
          <w:highlight w:val="yellow"/>
          <w:lang w:val="en-CA"/>
        </w:rPr>
        <w:t>egulations</w:t>
      </w:r>
      <w:r w:rsidR="001F3982" w:rsidRPr="001F3982">
        <w:rPr>
          <w:b/>
          <w:bCs/>
          <w:color w:val="000000" w:themeColor="text1"/>
          <w:szCs w:val="24"/>
          <w:highlight w:val="yellow"/>
          <w:lang w:val="en-CA"/>
        </w:rPr>
        <w:t>:</w:t>
      </w:r>
      <w:r w:rsidRPr="003342AC">
        <w:rPr>
          <w:color w:val="000000" w:themeColor="text1"/>
          <w:szCs w:val="24"/>
          <w:highlight w:val="yellow"/>
          <w:lang w:val="en-CA"/>
        </w:rPr>
        <w:t xml:space="preserve"> Market-based Scope 2 emissions can be reduced through renewable </w:t>
      </w:r>
      <w:r w:rsidR="003511DA" w:rsidRPr="003342AC">
        <w:rPr>
          <w:color w:val="000000" w:themeColor="text1"/>
          <w:szCs w:val="24"/>
          <w:highlight w:val="yellow"/>
          <w:lang w:val="en-CA"/>
        </w:rPr>
        <w:t>procurement and</w:t>
      </w:r>
      <w:r w:rsidRPr="003342AC">
        <w:rPr>
          <w:color w:val="000000" w:themeColor="text1"/>
          <w:szCs w:val="24"/>
          <w:highlight w:val="yellow"/>
          <w:lang w:val="en-CA"/>
        </w:rPr>
        <w:t xml:space="preserve"> can help companies meet their clean energy goals. The </w:t>
      </w:r>
      <w:r w:rsidRPr="003342AC">
        <w:rPr>
          <w:color w:val="000000" w:themeColor="text1"/>
          <w:szCs w:val="24"/>
          <w:highlight w:val="yellow"/>
          <w:lang w:val="en-CA"/>
        </w:rPr>
        <w:lastRenderedPageBreak/>
        <w:t>monetary benefit of these advantages varies on reporting conditions, structures of the electricity contract, characteristics of renewable energy, relevant carbon prices and customer needs. Purchasing corporate sustainability claims based on PPAs or renewable-energy certificates should be separated from actual physical delivery on an hourly basis, as well as from 24/7 carbon-free energy matching</w:t>
      </w:r>
      <w:r w:rsidR="003511DA">
        <w:rPr>
          <w:color w:val="000000" w:themeColor="text1"/>
          <w:szCs w:val="24"/>
          <w:highlight w:val="yellow"/>
          <w:lang w:val="en-CA"/>
        </w:rPr>
        <w:fldChar w:fldCharType="begin"/>
      </w:r>
      <w:r w:rsidR="000B0F03">
        <w:rPr>
          <w:color w:val="000000" w:themeColor="text1"/>
          <w:szCs w:val="24"/>
          <w:highlight w:val="yellow"/>
          <w:lang w:val="en-CA"/>
        </w:rPr>
        <w:instrText xml:space="preserve"> ADDIN ZOTERO_ITEM CSL_CITATION {"citationID":"xwziHGBm","properties":{"unsorted":false,"formattedCitation":"[68], [69]","plainCitation":"[68], [69]","noteIndex":0},"citationItems":[{"id":2720,"uris":["http://zotero.org/users/9870935/items/HK3R4MRM"],"itemData":{"id":2720,"type":"document","title":"GHG Protocol Scope 2 Guidance","URL":"https://ghgprotocol.org/sites/default/files/2023-03/Scope%202%20Guidance.pdf","author":[{"literal":"Green House Gas Protocol"}]}},{"id":2721,"uris":["http://zotero.org/users/9870935/items/P43AYUI6"],"itemData":{"id":2721,"type":"post-weblog","title":"24/7 Carbon-free Energy Compact","URL":"https://www.un.org/en/energy-compacts/page/compact-247-carbon-free-energy","author":[{"literal":"UN Energy"}]}}],"schema":"https://github.com/citation-style-language/schema/raw/master/csl-citation.json"} </w:instrText>
      </w:r>
      <w:r w:rsidR="003511DA">
        <w:rPr>
          <w:color w:val="000000" w:themeColor="text1"/>
          <w:szCs w:val="24"/>
          <w:highlight w:val="yellow"/>
          <w:lang w:val="en-CA"/>
        </w:rPr>
        <w:fldChar w:fldCharType="separate"/>
      </w:r>
      <w:r w:rsidR="000B0F03" w:rsidRPr="000B0F03">
        <w:rPr>
          <w:highlight w:val="yellow"/>
          <w:lang w:val="en-CA"/>
        </w:rPr>
        <w:t>[68], [69]</w:t>
      </w:r>
      <w:r w:rsidR="003511DA">
        <w:rPr>
          <w:color w:val="000000" w:themeColor="text1"/>
          <w:szCs w:val="24"/>
          <w:highlight w:val="yellow"/>
          <w:lang w:val="en-CA"/>
        </w:rPr>
        <w:fldChar w:fldCharType="end"/>
      </w:r>
      <w:r w:rsidRPr="003342AC">
        <w:rPr>
          <w:color w:val="000000" w:themeColor="text1"/>
          <w:szCs w:val="24"/>
          <w:highlight w:val="yellow"/>
          <w:lang w:val="en-CA"/>
        </w:rPr>
        <w:t>.</w:t>
      </w:r>
    </w:p>
    <w:p w14:paraId="04B027E6" w14:textId="022AECF5" w:rsidR="003342AC" w:rsidRPr="003342AC" w:rsidRDefault="003342AC" w:rsidP="00286292">
      <w:pPr>
        <w:spacing w:after="120"/>
        <w:ind w:firstLine="480"/>
        <w:rPr>
          <w:color w:val="000000" w:themeColor="text1"/>
          <w:szCs w:val="24"/>
          <w:highlight w:val="yellow"/>
          <w:lang w:val="en-CA"/>
        </w:rPr>
      </w:pPr>
      <w:r w:rsidRPr="003511DA">
        <w:rPr>
          <w:b/>
          <w:bCs/>
          <w:color w:val="000000" w:themeColor="text1"/>
          <w:szCs w:val="24"/>
          <w:highlight w:val="yellow"/>
          <w:lang w:val="en-CA"/>
        </w:rPr>
        <w:t xml:space="preserve">Long-term </w:t>
      </w:r>
      <w:r w:rsidR="003511DA">
        <w:rPr>
          <w:b/>
          <w:bCs/>
          <w:color w:val="000000" w:themeColor="text1"/>
          <w:szCs w:val="24"/>
          <w:highlight w:val="yellow"/>
          <w:lang w:val="en-CA"/>
        </w:rPr>
        <w:t>R</w:t>
      </w:r>
      <w:r w:rsidRPr="003511DA">
        <w:rPr>
          <w:b/>
          <w:bCs/>
          <w:color w:val="000000" w:themeColor="text1"/>
          <w:szCs w:val="24"/>
          <w:highlight w:val="yellow"/>
          <w:lang w:val="en-CA"/>
        </w:rPr>
        <w:t xml:space="preserve">isk </w:t>
      </w:r>
      <w:r w:rsidR="003511DA">
        <w:rPr>
          <w:b/>
          <w:bCs/>
          <w:color w:val="000000" w:themeColor="text1"/>
          <w:szCs w:val="24"/>
          <w:highlight w:val="yellow"/>
          <w:lang w:val="en-CA"/>
        </w:rPr>
        <w:t>M</w:t>
      </w:r>
      <w:r w:rsidRPr="003511DA">
        <w:rPr>
          <w:b/>
          <w:bCs/>
          <w:color w:val="000000" w:themeColor="text1"/>
          <w:szCs w:val="24"/>
          <w:highlight w:val="yellow"/>
          <w:lang w:val="en-CA"/>
        </w:rPr>
        <w:t>anagement</w:t>
      </w:r>
      <w:r w:rsidR="003511DA">
        <w:rPr>
          <w:b/>
          <w:bCs/>
          <w:color w:val="000000" w:themeColor="text1"/>
          <w:szCs w:val="24"/>
          <w:highlight w:val="yellow"/>
          <w:lang w:val="en-CA"/>
        </w:rPr>
        <w:t>:</w:t>
      </w:r>
      <w:r w:rsidRPr="003342AC">
        <w:rPr>
          <w:color w:val="000000" w:themeColor="text1"/>
          <w:szCs w:val="24"/>
          <w:highlight w:val="yellow"/>
          <w:lang w:val="en-CA"/>
        </w:rPr>
        <w:t xml:space="preserve"> Long-term PPAs can mitigate some types of fuel and wholesale electricity price risk, but also pose settlement, counterparty, basis, curtailment and shape risks. The merits of PPA should therefore be considered in conjunction with the grid tariff, storage needs, flexibility and the load profile of the purchaser</w:t>
      </w:r>
      <w:r w:rsidR="003511DA">
        <w:rPr>
          <w:color w:val="000000" w:themeColor="text1"/>
          <w:szCs w:val="24"/>
          <w:highlight w:val="yellow"/>
          <w:lang w:val="en-CA"/>
        </w:rPr>
        <w:fldChar w:fldCharType="begin"/>
      </w:r>
      <w:r w:rsidR="00286292">
        <w:rPr>
          <w:color w:val="000000" w:themeColor="text1"/>
          <w:szCs w:val="24"/>
          <w:highlight w:val="yellow"/>
          <w:lang w:val="en-CA"/>
        </w:rPr>
        <w:instrText xml:space="preserve"> ADDIN ZOTERO_ITEM CSL_CITATION {"citationID":"pGf1JNIH","properties":{"unsorted":false,"formattedCitation":"[174], [175]","plainCitation":"[174], [175]","noteIndex":0},"citationItems":[{"id":2722,"uris":["http://zotero.org/users/9870935/items/5SC4PJND"],"itemData":{"id":2722,"type":"article-journal","container-title":"International Review of Economics &amp; Finance","DOI":"10.1016/j.iref.2025.104442","ISSN":"10590560","journalAbbreviation":"International Review of Economics &amp; Finance","language":"en","page":"104442","source":"DOI.org (Crossref)","title":"Carbon pricing and revenue growth valuation risk exposure","volume":"103","author":[{"family":"Duppati","given":"Geeta"}],"issued":{"date-parts":[["2025",10]]}}},{"id":2724,"uris":["http://zotero.org/users/9870935/items/U7SXPGAB"],"itemData":{"id":2724,"type":"document","title":"Risk Structure and Financial Hedging in Nodal Electricity Markets","URL":"https://www.oxfordenergy.org/wpcms/wp-content/uploads/2026/01/EL-61-Risk-Structure-and-Financial-Hedging.pdf","author":[{"literal":"Oxford"}]}}],"schema":"https://github.com/citation-style-language/schema/raw/master/csl-citation.json"} </w:instrText>
      </w:r>
      <w:r w:rsidR="003511DA">
        <w:rPr>
          <w:color w:val="000000" w:themeColor="text1"/>
          <w:szCs w:val="24"/>
          <w:highlight w:val="yellow"/>
          <w:lang w:val="en-CA"/>
        </w:rPr>
        <w:fldChar w:fldCharType="separate"/>
      </w:r>
      <w:r w:rsidR="00286292" w:rsidRPr="00286292">
        <w:rPr>
          <w:highlight w:val="yellow"/>
          <w:lang w:val="en-CA"/>
        </w:rPr>
        <w:t>[174], [175]</w:t>
      </w:r>
      <w:r w:rsidR="003511DA">
        <w:rPr>
          <w:color w:val="000000" w:themeColor="text1"/>
          <w:szCs w:val="24"/>
          <w:highlight w:val="yellow"/>
          <w:lang w:val="en-CA"/>
        </w:rPr>
        <w:fldChar w:fldCharType="end"/>
      </w:r>
      <w:r w:rsidR="003511DA">
        <w:rPr>
          <w:color w:val="000000" w:themeColor="text1"/>
          <w:szCs w:val="24"/>
          <w:highlight w:val="yellow"/>
          <w:lang w:val="en-CA"/>
        </w:rPr>
        <w:t>.</w:t>
      </w:r>
    </w:p>
    <w:p w14:paraId="7952092B" w14:textId="0764E054" w:rsidR="000E7A56" w:rsidRPr="00A7052F" w:rsidRDefault="003342AC" w:rsidP="00A7052F">
      <w:pPr>
        <w:spacing w:after="120"/>
        <w:ind w:firstLine="480"/>
        <w:rPr>
          <w:color w:val="000000" w:themeColor="text1"/>
          <w:szCs w:val="24"/>
          <w:highlight w:val="yellow"/>
          <w:lang w:val="en-CA"/>
        </w:rPr>
      </w:pPr>
      <w:r w:rsidRPr="003342AC">
        <w:rPr>
          <w:color w:val="000000" w:themeColor="text1"/>
          <w:szCs w:val="24"/>
          <w:highlight w:val="yellow"/>
          <w:lang w:val="en-CA"/>
        </w:rPr>
        <w:t xml:space="preserve">While there is some evidence for universal cost parity, a critical reading of the evidence would temper such sweeping claims. The cost benchmarks reported are from projects with varying locations, commissioning years, financing requirements, resource quality, tax treatment, storage time, and market structure. Case studies from companies are frequently company-provided and commercial cost surveys do not necessarily identify </w:t>
      </w:r>
      <w:proofErr w:type="gramStart"/>
      <w:r w:rsidRPr="003342AC">
        <w:rPr>
          <w:color w:val="000000" w:themeColor="text1"/>
          <w:szCs w:val="24"/>
          <w:highlight w:val="yellow"/>
          <w:lang w:val="en-CA"/>
        </w:rPr>
        <w:t>all of</w:t>
      </w:r>
      <w:proofErr w:type="gramEnd"/>
      <w:r w:rsidRPr="003342AC">
        <w:rPr>
          <w:color w:val="000000" w:themeColor="text1"/>
          <w:szCs w:val="24"/>
          <w:highlight w:val="yellow"/>
          <w:lang w:val="en-CA"/>
        </w:rPr>
        <w:t xml:space="preserve"> the assumptions made at project level. Moreover, there is no proof of 99.99% availability for comparisons. The results should therefore be read as a demonstration that renewable and hybrid systems can be cost competitive, not as a demonstration that each AI data center that uses renewable energy will be more cost effective than the grid. A site-specific, reproducible model must be developed for investment decisions based on existing load, resource, tariff, interconnection, reliability and financing information.</w:t>
      </w:r>
    </w:p>
    <w:p w14:paraId="1D05BDAA" w14:textId="77777777" w:rsidR="00FE013C" w:rsidRDefault="00FE013C" w:rsidP="004C16FF">
      <w:pPr>
        <w:pStyle w:val="Heading1"/>
        <w:keepNext/>
        <w:jc w:val="both"/>
      </w:pPr>
      <w:r>
        <w:t>11. Operational Strategies and Demand-Side Integration</w:t>
      </w:r>
    </w:p>
    <w:p w14:paraId="0049E287" w14:textId="6929574B" w:rsidR="00FE013C" w:rsidRDefault="00FE013C" w:rsidP="004C16FF">
      <w:pPr>
        <w:spacing w:after="120"/>
        <w:ind w:firstLine="480"/>
      </w:pPr>
      <w:r>
        <w:t xml:space="preserve">This section examines operational strategies that </w:t>
      </w:r>
      <w:proofErr w:type="spellStart"/>
      <w:r>
        <w:t>maximise</w:t>
      </w:r>
      <w:proofErr w:type="spellEnd"/>
      <w:r>
        <w:t xml:space="preserve"> renewable energy </w:t>
      </w:r>
      <w:proofErr w:type="spellStart"/>
      <w:r>
        <w:t>utilisation</w:t>
      </w:r>
      <w:proofErr w:type="spellEnd"/>
      <w:r>
        <w:t xml:space="preserve"> in AI data </w:t>
      </w:r>
      <w:r w:rsidR="00580BAE">
        <w:t>center</w:t>
      </w:r>
      <w:r>
        <w:t>s, with particular emphasis on demand-side management, workload flexibility, and real-time grid services. These strategies leverage the unique characteristics of AI workloads to create value that is not available in conventional electricity-consuming facilities.</w:t>
      </w:r>
    </w:p>
    <w:p w14:paraId="2D83F843" w14:textId="77777777" w:rsidR="00FE013C" w:rsidRDefault="00FE013C" w:rsidP="004C16FF">
      <w:pPr>
        <w:pStyle w:val="Heading20"/>
        <w:jc w:val="both"/>
        <w:rPr>
          <w:color w:val="auto"/>
        </w:rPr>
      </w:pPr>
      <w:r w:rsidRPr="00EB1FF0">
        <w:rPr>
          <w:color w:val="auto"/>
        </w:rPr>
        <w:t>1</w:t>
      </w:r>
      <w:r>
        <w:rPr>
          <w:color w:val="auto"/>
        </w:rPr>
        <w:t>1</w:t>
      </w:r>
      <w:r w:rsidRPr="00EB1FF0">
        <w:rPr>
          <w:color w:val="auto"/>
        </w:rPr>
        <w:t>.</w:t>
      </w:r>
      <w:r>
        <w:rPr>
          <w:color w:val="auto"/>
        </w:rPr>
        <w:t>1</w:t>
      </w:r>
      <w:r w:rsidRPr="00EB1FF0">
        <w:rPr>
          <w:color w:val="auto"/>
        </w:rPr>
        <w:t xml:space="preserve"> </w:t>
      </w:r>
      <w:r>
        <w:rPr>
          <w:color w:val="auto"/>
        </w:rPr>
        <w:t>Renewable Forecasting and Uncertainty</w:t>
      </w:r>
    </w:p>
    <w:p w14:paraId="3AD7E40E" w14:textId="71B069C5" w:rsidR="00FE013C" w:rsidRDefault="00FE013C" w:rsidP="001B74A6">
      <w:pPr>
        <w:spacing w:after="120"/>
        <w:ind w:firstLine="480"/>
      </w:pPr>
      <w:r w:rsidRPr="00F72FC8">
        <w:t>Accurate forecasting of renewable energy supplies is the key to implementing effective demand-side management. The accuracy of solar forecasting depends on the time scale forecasted (3–12</w:t>
      </w:r>
      <w:r>
        <w:t xml:space="preserve">% </w:t>
      </w:r>
      <w:r w:rsidRPr="00F72FC8">
        <w:t>MAPE for day-ahead forecasts using numerical weather prediction models; 3–8</w:t>
      </w:r>
      <w:r>
        <w:t xml:space="preserve">% </w:t>
      </w:r>
      <w:r w:rsidRPr="00F72FC8">
        <w:t>MAPE for intra-hour forecasts based on satellite observations and sky-camera networks; and less than 3</w:t>
      </w:r>
      <w:r>
        <w:t xml:space="preserve">% </w:t>
      </w:r>
      <w:r w:rsidRPr="00F72FC8">
        <w:t>MAPE for very short-term forecasting on the minute scale, according to persistence assumptions). Weather forecasting for wind is not as precise as solar forecasting, with day-ahead MAPE for renewables ranging from 10</w:t>
      </w:r>
      <w:r>
        <w:t xml:space="preserve">% </w:t>
      </w:r>
      <w:r w:rsidRPr="00F72FC8">
        <w:t>to 18</w:t>
      </w:r>
      <w:r>
        <w:t xml:space="preserve">% </w:t>
      </w:r>
      <w:r w:rsidRPr="00F72FC8">
        <w:t>based on a geographic area and terrain complexity. Machine learning post-processing based on LSTM and more sophisticated graph-based architectures has been shown to reduce MAPE by 20-30</w:t>
      </w:r>
      <w:r>
        <w:t xml:space="preserve">% </w:t>
      </w:r>
      <w:r w:rsidRPr="00F72FC8">
        <w:t>from NWP raw data, especially at lead times between 1 and 6 hours</w:t>
      </w:r>
      <w:r>
        <w:fldChar w:fldCharType="begin"/>
      </w:r>
      <w:r w:rsidR="001B74A6">
        <w:instrText xml:space="preserve"> ADDIN ZOTERO_ITEM CSL_CITATION {"citationID":"JrzmaHyH","properties":{"unsorted":false,"formattedCitation":"[143]","plainCitation":"[143]","noteIndex":0},"citationItems":[{"id":2112,"uris":["http://zotero.org/users/9870935/items/YCQ57T5E"],"itemData":{"id":2112,"type":"article-journal","container-title":"Progress in Energy and Combustion Science","DOI":"10.1016/j.pecs.2013.06.002","ISSN":"03601285","issue":"6","journalAbbreviation":"Progress in Energy and Combustion Science","language":"en","page":"535-576","source":"DOI.org (Crossref)","title":"Solar forecasting methods for renewable energy integration","volume":"39","author":[{"family":"Inman","given":"Rich H."},{"family":"Pedro","given":"Hugo T.C."},{"family":"Coimbra","given":"Carlos F.M."}],"issued":{"date-parts":[["2013",12]]}}}],"schema":"https://github.com/citation-style-language/schema/raw/master/csl-citation.json"} </w:instrText>
      </w:r>
      <w:r>
        <w:fldChar w:fldCharType="separate"/>
      </w:r>
      <w:r w:rsidR="001B74A6" w:rsidRPr="001B74A6">
        <w:t>[143]</w:t>
      </w:r>
      <w:r>
        <w:fldChar w:fldCharType="end"/>
      </w:r>
      <w:r w:rsidRPr="00F72FC8">
        <w:t>.</w:t>
      </w:r>
    </w:p>
    <w:p w14:paraId="0754BA6A" w14:textId="696561E5" w:rsidR="00FE013C" w:rsidRPr="00F72FC8" w:rsidRDefault="00FE013C" w:rsidP="004C16FF">
      <w:pPr>
        <w:spacing w:after="120"/>
        <w:ind w:firstLine="480"/>
      </w:pPr>
      <w:r w:rsidRPr="00F914E9">
        <w:t xml:space="preserve">Uncertainty also flows through the dispatch </w:t>
      </w:r>
      <w:r w:rsidR="00030122" w:rsidRPr="00F914E9">
        <w:t>optimization</w:t>
      </w:r>
      <w:r w:rsidRPr="00F914E9">
        <w:t xml:space="preserve"> process, and the control system must have reserves to accommodate forecast errors. Non-conservative dispatch strategies, such as planning for an optimistic energy supply, can lead to sub-optimal economic results but maintain reliability. Stochastic </w:t>
      </w:r>
      <w:r w:rsidR="00030122" w:rsidRPr="00F914E9">
        <w:t>optimization</w:t>
      </w:r>
      <w:r w:rsidRPr="00F914E9">
        <w:t xml:space="preserve"> methods explicitly capture the uncertainty in the forecasting process by incorporating probability distributions into the </w:t>
      </w:r>
      <w:r w:rsidR="00030122" w:rsidRPr="00F914E9">
        <w:t>optimization</w:t>
      </w:r>
      <w:r w:rsidRPr="00F914E9">
        <w:t xml:space="preserve">, offering a more delicate trade-off between </w:t>
      </w:r>
      <w:r w:rsidRPr="00F914E9">
        <w:lastRenderedPageBreak/>
        <w:t>economic efficiency and reliability. Considering the uncertainty in forecasting and increased grid volatility, the framework suggests maintaining a minimum reserve margin of 15–20</w:t>
      </w:r>
      <w:r>
        <w:t xml:space="preserve">% </w:t>
      </w:r>
      <w:r w:rsidRPr="00F914E9">
        <w:t xml:space="preserve">above the forecast of renewable shortfall </w:t>
      </w:r>
      <w:r w:rsidRPr="000812E0">
        <w:t>[177]</w:t>
      </w:r>
      <w:r w:rsidRPr="00F914E9">
        <w:t>.</w:t>
      </w:r>
    </w:p>
    <w:p w14:paraId="5880395E" w14:textId="77777777" w:rsidR="00FE013C" w:rsidRPr="00F914E9" w:rsidRDefault="00FE013C" w:rsidP="004C16FF">
      <w:pPr>
        <w:pStyle w:val="Heading20"/>
        <w:jc w:val="both"/>
        <w:rPr>
          <w:color w:val="auto"/>
        </w:rPr>
      </w:pPr>
      <w:r w:rsidRPr="00EB1FF0">
        <w:rPr>
          <w:color w:val="auto"/>
        </w:rPr>
        <w:t>1</w:t>
      </w:r>
      <w:r>
        <w:rPr>
          <w:color w:val="auto"/>
        </w:rPr>
        <w:t>1</w:t>
      </w:r>
      <w:r w:rsidRPr="00EB1FF0">
        <w:rPr>
          <w:color w:val="auto"/>
        </w:rPr>
        <w:t>.</w:t>
      </w:r>
      <w:r>
        <w:rPr>
          <w:color w:val="auto"/>
        </w:rPr>
        <w:t>2</w:t>
      </w:r>
      <w:r w:rsidRPr="00EB1FF0">
        <w:rPr>
          <w:color w:val="auto"/>
        </w:rPr>
        <w:t xml:space="preserve"> </w:t>
      </w:r>
      <w:r>
        <w:rPr>
          <w:color w:val="auto"/>
        </w:rPr>
        <w:t xml:space="preserve">AI Workload Scheduling and Load Shifting </w:t>
      </w:r>
    </w:p>
    <w:p w14:paraId="4A25A237" w14:textId="7F1CE18C" w:rsidR="00FE013C" w:rsidRPr="00AA4A79" w:rsidRDefault="00FE013C" w:rsidP="00286292">
      <w:pPr>
        <w:spacing w:after="120"/>
        <w:ind w:firstLine="480"/>
      </w:pPr>
      <w:r w:rsidRPr="00F914E9">
        <w:t>AI workload scheduling is the first paradigm shift in the DSG and takes advantage of the flexibility of many workloads to schedule them to coincide with the availability of green electricity. Training workloads, which are the most power-intensive but also the most flexible, can be deferred by hours to days without impacting project timelines, as long as the total compute time budgets are maintained</w:t>
      </w:r>
      <w:r>
        <w:fldChar w:fldCharType="begin"/>
      </w:r>
      <w:r w:rsidR="00286292">
        <w:instrText xml:space="preserve"> ADDIN ZOTERO_ITEM CSL_CITATION {"citationID":"PsWoDqZ3","properties":{"unsorted":false,"formattedCitation":"[176]","plainCitation":"[176]","noteIndex":0},"citationItems":[{"id":2256,"uris":["http://zotero.org/users/9870935/items/CYR5QZSI"],"itemData":{"id":2256,"type":"article-journal","container-title":"European Law Blog","DOI":"10.21428/9885764c.f93298cf","language":"en","source":"DOI.org (Crossref)","title":"Towards Planet-Proof Computing:Ten Key Elements EU Data Centre Sustainability Policy Should Take Onboard","title-short":"Towards Planet-Proof Computing","URL":"https://www.europeanlawblog.eu/pub/1jb3tzus","author":[{"family":"Commins","given":"Jessica"},{"family":"Irion","given":"Kristina"}],"accessed":{"date-parts":[["2026",6,14]]},"issued":{"date-parts":[["2025",3,18]]}}}],"schema":"https://github.com/citation-style-language/schema/raw/master/csl-citation.json"} </w:instrText>
      </w:r>
      <w:r>
        <w:fldChar w:fldCharType="separate"/>
      </w:r>
      <w:r w:rsidR="00286292" w:rsidRPr="00286292">
        <w:t>[176]</w:t>
      </w:r>
      <w:r>
        <w:fldChar w:fldCharType="end"/>
      </w:r>
      <w:r w:rsidRPr="00F914E9">
        <w:t>. For example, a frontier model with a training energy of 10,000-50,000 MWh can, in theory, be spread over a longer training duration to ramp down the peak power consumption if the training algorithm can be checkpointed and resumed later.</w:t>
      </w:r>
      <w:r>
        <w:t xml:space="preserve"> </w:t>
      </w:r>
    </w:p>
    <w:p w14:paraId="20CCF45F" w14:textId="7985AA7D" w:rsidR="00FE013C" w:rsidRPr="00AE36CD" w:rsidRDefault="00FE013C" w:rsidP="004C16FF">
      <w:pPr>
        <w:spacing w:after="120"/>
        <w:ind w:firstLine="480"/>
      </w:pPr>
      <w:r w:rsidRPr="00AE36CD">
        <w:t xml:space="preserve">Latency requirements make the scheduling challenge for inference workloads more complicated. The interaction with users depends on sub-100ms response times and must not be postponed, as in real-time inference, the user will be waiting for a response to the action. Batch inference (including image processing, document processing, or model scoring) can be flexed for minutes to hours and is suitable for load shifting. </w:t>
      </w:r>
      <w:r w:rsidRPr="00120E08">
        <w:t xml:space="preserve">A tiered scheduling approach — </w:t>
      </w:r>
      <w:r w:rsidR="00030122" w:rsidRPr="00120E08">
        <w:t>prioritizing</w:t>
      </w:r>
      <w:r w:rsidRPr="00120E08">
        <w:t xml:space="preserve"> real-time inference, then batch inference, then training workloads, then background tasks — provides a systematic method for allocating limited renewable energy across competing compute demands</w:t>
      </w:r>
      <w:r w:rsidRPr="00AE36CD">
        <w:t>.</w:t>
      </w:r>
    </w:p>
    <w:p w14:paraId="71C79290" w14:textId="77796BB1" w:rsidR="00FE013C" w:rsidRPr="00AE36CD" w:rsidRDefault="00FE013C" w:rsidP="004C16FF">
      <w:pPr>
        <w:spacing w:after="120"/>
        <w:ind w:firstLine="480"/>
      </w:pPr>
      <w:r w:rsidRPr="00AE36CD">
        <w:t xml:space="preserve">The EMS maintains a renewable availability API that provides </w:t>
      </w:r>
      <w:r w:rsidR="00030122" w:rsidRPr="00AE36CD">
        <w:t>24–48-hour</w:t>
      </w:r>
      <w:r w:rsidRPr="00AE36CD">
        <w:t xml:space="preserve"> forecasts that indicate the portion of the workload that can be achieved without depending on non-renewable resources. The scheduler will ask this API for the period of the day when there is excess renewable generation to schedule lower priority workloads. Cost incentive measures, such as internal carbon pricing and shadow electricity prices based on the marginal cost of renewable energy, offer economic signals for application teams to </w:t>
      </w:r>
      <w:r w:rsidR="00030122" w:rsidRPr="00AE36CD">
        <w:t>optimize</w:t>
      </w:r>
      <w:r w:rsidRPr="00AE36CD">
        <w:t xml:space="preserve"> energy efficiency and align with renewable energy resources.</w:t>
      </w:r>
    </w:p>
    <w:p w14:paraId="104E850B" w14:textId="77777777" w:rsidR="00FE013C" w:rsidRPr="00E75DCC" w:rsidRDefault="00FE013C" w:rsidP="004C16FF">
      <w:pPr>
        <w:pStyle w:val="Heading20"/>
        <w:jc w:val="both"/>
        <w:rPr>
          <w:color w:val="auto"/>
        </w:rPr>
      </w:pPr>
      <w:bookmarkStart w:id="6" w:name="_Toc100078"/>
      <w:r w:rsidRPr="00E75DCC">
        <w:rPr>
          <w:color w:val="auto"/>
        </w:rPr>
        <w:t>11.3 Multi-Facility Load Balancing and Geographic Diversity</w:t>
      </w:r>
      <w:bookmarkEnd w:id="6"/>
    </w:p>
    <w:p w14:paraId="51E7AA66" w14:textId="35B2876C" w:rsidR="007D29E8" w:rsidRPr="007D29E8" w:rsidRDefault="007D29E8" w:rsidP="007D29E8">
      <w:pPr>
        <w:spacing w:after="120"/>
        <w:ind w:firstLine="480"/>
        <w:rPr>
          <w:highlight w:val="yellow"/>
        </w:rPr>
      </w:pPr>
      <w:r w:rsidRPr="007D29E8">
        <w:rPr>
          <w:highlight w:val="yellow"/>
        </w:rPr>
        <w:t>Multi-facility load balancing may exploit differences in renewable-resource availability across geographically distributed data centers. Geographic diversification can reduce aggregate renewable-generation variability when renewable-production profiles are weakly correlated; however, the magnitude of the benefit depends on geographic separation, weather systems, transmission availability, workload portability, network latency, and temporal resolution. Consequently, any reduction in storage requirements or renewable-generation variability must be quantified through geographically resolved chronological analysis rather than assumed from a universal percentage</w:t>
      </w:r>
      <w:r>
        <w:rPr>
          <w:highlight w:val="yellow"/>
        </w:rPr>
        <w:fldChar w:fldCharType="begin"/>
      </w:r>
      <w:r>
        <w:rPr>
          <w:highlight w:val="yellow"/>
        </w:rPr>
        <w:instrText xml:space="preserve"> ADDIN ZOTERO_ITEM CSL_CITATION {"citationID":"knd2GV6A","properties":{"unsorted":false,"formattedCitation":"[20], [106], [107]","plainCitation":"[20], [106], [107]","noteIndex":0},"citationItems":[{"id":1929,"uris":["http://zotero.org/users/9870935/items/E595FMYI"],"itemData":{"id":1929,"type":"article-journal","container-title":"Renewable Energy","DOI":"10.1016/j.renene.2022.10.060","ISSN":"09601481","journalAbbreviation":"Renewable Energy","language":"en","page":"111-123","source":"DOI.org (Crossref)","title":"Temporal complementarity and value of wind-PV hybrid systems across the United States","volume":"201","author":[{"family":"Harrison-Atlas","given":"Dylan"},{"family":"Murphy","given":"Caitlin"},{"family":"Schleifer","given":"Anna"},{"family":"Grue","given":"Nicholas"}],"issued":{"date-parts":[["2022",12]]}}},{"id":2063,"uris":["http://zotero.org/users/9870935/items/47PEXHYC"],"itemData":{"id":2063,"type":"article-journal","container-title":"Communications Earth &amp; Environment","DOI":"10.1038/s43247-024-01850-5","ISSN":"2662-4435","issue":"1","journalAbbreviation":"Commun Earth Environ","language":"en","page":"661","source":"DOI.org (Crossref)","title":"Renewable energy quality trilemma and coincident wind and solar droughts","volume":"5","author":[{"family":"Li","given":"Mingquan"},{"family":"Ma","given":"Qingyuan"},{"family":"Shan","given":"Rui"},{"family":"Abdulla","given":"Ahmed"},{"family":"Virguez","given":"Edgar"},{"family":"Gao","given":"Shuo"},{"family":"Patiño-Echeverri","given":"Dalia"}],"issued":{"date-parts":[["2024",11,6]]}}},{"id":2064,"uris":["http://zotero.org/users/9870935/items/R5YJIQU4"],"itemData":{"id":2064,"type":"article-journal","container-title":"Renewable Energy","DOI":"10.1016/j.renene.2019.02.060","ISSN":"09601481","journalAbbreviation":"Renewable Energy","language":"en","page":"251-260","source":"DOI.org (Crossref)","title":"Future changes, or lack thereof, in the temporal variability of the combined wind-plus-solar power production in Europe","volume":"139","author":[{"family":"Jerez","given":"S."},{"family":"Tobin","given":"I."},{"family":"Turco","given":"M."},{"family":"Jiménez-Guerrero","given":"P."},{"family":"Vautard","given":"R."},{"family":"Montávez","given":"J.P."}],"issued":{"date-parts":[["2019",8]]}}}],"schema":"https://github.com/citation-style-language/schema/raw/master/csl-citation.json"} </w:instrText>
      </w:r>
      <w:r>
        <w:rPr>
          <w:highlight w:val="yellow"/>
        </w:rPr>
        <w:fldChar w:fldCharType="separate"/>
      </w:r>
      <w:r w:rsidRPr="007D29E8">
        <w:rPr>
          <w:highlight w:val="yellow"/>
        </w:rPr>
        <w:t>[20], [106], [107]</w:t>
      </w:r>
      <w:r>
        <w:rPr>
          <w:highlight w:val="yellow"/>
        </w:rPr>
        <w:fldChar w:fldCharType="end"/>
      </w:r>
    </w:p>
    <w:p w14:paraId="4ECB9782" w14:textId="4F43046F" w:rsidR="007D29E8" w:rsidRPr="007D29E8" w:rsidRDefault="007D29E8" w:rsidP="007D29E8">
      <w:pPr>
        <w:spacing w:after="120"/>
        <w:ind w:firstLine="480"/>
        <w:rPr>
          <w:highlight w:val="yellow"/>
        </w:rPr>
      </w:pPr>
      <w:r w:rsidRPr="007D29E8">
        <w:rPr>
          <w:highlight w:val="yellow"/>
        </w:rPr>
        <w:t>A practical application of this concept involves operators with facilities located in different climatic regions and electricity markets. Differences in weather conditions, renewable-resource availability, electricity prices, and time zones may create opportunities to schedule eligible workloads at locations with more favorable operating conditions. However, the effectiveness of such strategies depends on the operational characteristics of the workload and the ability to transfer computational tasks among facilities without violating technical or commercial constraints.</w:t>
      </w:r>
    </w:p>
    <w:p w14:paraId="1AC60B10" w14:textId="465BEA94" w:rsidR="007D29E8" w:rsidRPr="007D29E8" w:rsidRDefault="007D29E8" w:rsidP="007D29E8">
      <w:pPr>
        <w:spacing w:after="120"/>
        <w:ind w:firstLine="480"/>
        <w:rPr>
          <w:highlight w:val="yellow"/>
        </w:rPr>
      </w:pPr>
      <w:r w:rsidRPr="007D29E8">
        <w:rPr>
          <w:highlight w:val="yellow"/>
        </w:rPr>
        <w:t xml:space="preserve">Technical constraints on multi-facility workload balancing include network latency, which may limit the geographic relocation of latency-sensitive applications, data-residency requirements that </w:t>
      </w:r>
      <w:r w:rsidRPr="007D29E8">
        <w:rPr>
          <w:highlight w:val="yellow"/>
        </w:rPr>
        <w:lastRenderedPageBreak/>
        <w:t>mandate processing within specific jurisdictions, inter-facility communication bandwidth, cybersecurity requirements, and the cost of transferring large datasets between regions. Consequently, not all workloads are suitable for geographic distribution.</w:t>
      </w:r>
    </w:p>
    <w:p w14:paraId="5B19B28C" w14:textId="0D2CE5A4" w:rsidR="007D29E8" w:rsidRPr="007D29E8" w:rsidRDefault="007D29E8" w:rsidP="007D29E8">
      <w:pPr>
        <w:spacing w:after="120"/>
        <w:ind w:firstLine="480"/>
        <w:rPr>
          <w:highlight w:val="yellow"/>
        </w:rPr>
      </w:pPr>
      <w:r w:rsidRPr="007D29E8">
        <w:rPr>
          <w:highlight w:val="yellow"/>
        </w:rPr>
        <w:t>Workloads most compatible with geographic balancing typically include model-training tasks, batch-processing applications, selected analytics workloads, and other computational processes that can tolerate delayed execution or limited geographic relocation. In contrast, real-time inference services and latency-sensitive applications generally require local execution and are therefore less suitable for large-scale geographic shifting. Successful implementation of multi-facility balancing strategies requires coordination among workload schedulers, renewable-generation forecasts, electricity-market signals, network availability, and service-level agreement requirements.</w:t>
      </w:r>
    </w:p>
    <w:p w14:paraId="0A1CD979" w14:textId="0029DF04" w:rsidR="007D29E8" w:rsidRPr="007D29E8" w:rsidRDefault="00FE013C" w:rsidP="007D29E8">
      <w:pPr>
        <w:pStyle w:val="Heading20"/>
        <w:jc w:val="both"/>
        <w:rPr>
          <w:color w:val="auto"/>
        </w:rPr>
      </w:pPr>
      <w:r w:rsidRPr="00E75DCC">
        <w:rPr>
          <w:color w:val="auto"/>
        </w:rPr>
        <w:t>11.</w:t>
      </w:r>
      <w:r>
        <w:rPr>
          <w:color w:val="auto"/>
        </w:rPr>
        <w:t>4</w:t>
      </w:r>
      <w:r w:rsidRPr="00E75DCC">
        <w:rPr>
          <w:color w:val="auto"/>
        </w:rPr>
        <w:t xml:space="preserve"> </w:t>
      </w:r>
      <w:r w:rsidRPr="00C33AC1">
        <w:rPr>
          <w:color w:val="auto"/>
        </w:rPr>
        <w:t>Real-Time Demand Response and Grid Services</w:t>
      </w:r>
    </w:p>
    <w:p w14:paraId="2BCA6182" w14:textId="3A30A473" w:rsidR="007D29E8" w:rsidRPr="007D29E8" w:rsidRDefault="007D29E8" w:rsidP="00286292">
      <w:pPr>
        <w:spacing w:after="120"/>
        <w:ind w:firstLine="480"/>
        <w:rPr>
          <w:highlight w:val="yellow"/>
        </w:rPr>
      </w:pPr>
      <w:r w:rsidRPr="007D29E8">
        <w:rPr>
          <w:highlight w:val="yellow"/>
        </w:rPr>
        <w:t>Data-center battery systems and flexible computing loads can participate in demand-response and ancillary-service programs where electricity-market rules permit. These services can support grid reliability while potentially creating additional value streams for facility operators. One important application is primary frequency response (PFR), in which battery-storage systems or controllable loads automatically adjust power consumption or injection within seconds following a frequency disturbance. Fast-response resources are increasingly important in power systems with high penetrations of inverter-based renewable generation because they can help compensate for declining synchronous inertia and support system stability</w:t>
      </w:r>
      <w:r>
        <w:rPr>
          <w:highlight w:val="yellow"/>
        </w:rPr>
        <w:fldChar w:fldCharType="begin"/>
      </w:r>
      <w:r w:rsidR="00286292">
        <w:rPr>
          <w:highlight w:val="yellow"/>
        </w:rPr>
        <w:instrText xml:space="preserve"> ADDIN ZOTERO_ITEM CSL_CITATION {"citationID":"EjzMVRkt","properties":{"unsorted":false,"formattedCitation":"[116], [177]","plainCitation":"[116], [177]","noteIndex":0},"citationItems":[{"id":2215,"uris":["http://zotero.org/users/9870935/items/6KYBNJ5X"],"itemData":{"id":2215,"type":"article-journal","abstract":"Abstract\n            Recently, various distributed energy resources are significantly integrated into the modern power systems. This introduction of distributed energy resource‐rich systems can cause various power quality issues, due to their uncertainties and capacity variations. Therefore, it is crucial to establish energy balance between generation and demand to improve power system's reliability and stability and to minimize energy costs without sacrificing customers’ comfort or utility. In this regard, power system flexibility concept is highlighted as a robust and cost‐effective energy management system, especially on the demand side, to provide consumers’ demands with an acceptable level of power quality. Accordingly, here, a comprehensive review of recent developments in the power system flexibility and demand‐side management strategies and demand response programs are provided to include mainly classifications, estimation methods, distributed energy resource modelling approaches, infrastructure requirements, and applications. In addition, current research topics for applying power system flexibility solutions and demand‐side management strategies based on modern power system operation are deliberated. Also, prominent challenges, research trends, and future perspectives are discussed. Finally, this review article aims to be an appropriate reference for comprehensive research trends in the power system flexibility concept in general and in demand‐side management strategies and demand response programs, specifically.","container-title":"IET Generation, Transmission &amp; Distribution","DOI":"10.1049/gtd2.13204","ISSN":"1751-8687, 1751-8695","issue":"13","journalAbbreviation":"IET Generation Trans &amp;amp; Dist","language":"en","page":"2259-2300","source":"DOI.org (Crossref)","title":"Recent developments of demand‐side management towards flexible DER‐rich power systems: A systematic review","title-short":"Recent developments of demand‐side management towards flexible DER‐rich power systems","volume":"18","author":[{"family":"Mousa","given":"Hossam H. H."},{"family":"Mahmoud","given":"Karar"},{"family":"Lehtonen","given":"Matti"}],"issued":{"date-parts":[["2024",7]]}}},{"id":2214,"uris":["http://zotero.org/users/9870935/items/L3VF7GNN"],"itemData":{"id":2214,"type":"article-journal","abstract":"This study discusses synthetic inertia from the perspective of a transmission system operator and compares it to fast frequency response based on frequency deviation. A clear distinction of the meanings between these concepts is discussed, the basis of which is a description of their characteristics. A contribution and the purpose is the clarification of these concepts in addition to share the perspectives of a transmission system operator. The frequency response of a power system based on the Nordic system is examined for future scenarios with large amounts of wind power. Conclusions are drawn regarding the benefit of synthetic inertia compared with fast frequency response based on frequency deviation.","container-title":"IET Renewable Power Generation","DOI":"10.1049/iet-rpg.2017.0370","ISSN":"1752-1416, 1752-1424","issue":"5","journalAbbreviation":"IET Renewable Power Gen","language":"en","page":"507-514","source":"DOI.org (Crossref)","title":"Synthetic inertia versus fast frequency response: a definition","title-short":"Synthetic inertia versus fast frequency response","volume":"12","author":[{"family":"Eriksson","given":"Robert"},{"family":"Modig","given":"Niklas"},{"family":"Elkington","given":"Katherine"}],"issued":{"date-parts":[["2018",4]]}}}],"schema":"https://github.com/citation-style-language/schema/raw/master/csl-citation.json"} </w:instrText>
      </w:r>
      <w:r>
        <w:rPr>
          <w:highlight w:val="yellow"/>
        </w:rPr>
        <w:fldChar w:fldCharType="separate"/>
      </w:r>
      <w:r w:rsidR="00286292" w:rsidRPr="00286292">
        <w:rPr>
          <w:highlight w:val="yellow"/>
        </w:rPr>
        <w:t>[116], [177]</w:t>
      </w:r>
      <w:r>
        <w:rPr>
          <w:highlight w:val="yellow"/>
        </w:rPr>
        <w:fldChar w:fldCharType="end"/>
      </w:r>
      <w:r w:rsidRPr="007D29E8">
        <w:rPr>
          <w:highlight w:val="yellow"/>
        </w:rPr>
        <w:t>.</w:t>
      </w:r>
    </w:p>
    <w:p w14:paraId="6A5765B8" w14:textId="462E56E1" w:rsidR="007D29E8" w:rsidRPr="007D29E8" w:rsidRDefault="007D29E8" w:rsidP="007D29E8">
      <w:pPr>
        <w:spacing w:after="120"/>
        <w:ind w:firstLine="480"/>
        <w:rPr>
          <w:highlight w:val="yellow"/>
        </w:rPr>
      </w:pPr>
      <w:r w:rsidRPr="007D29E8">
        <w:rPr>
          <w:highlight w:val="yellow"/>
        </w:rPr>
        <w:t>Advanced battery energy storage systems can also provide reserve services, demand-response participation, ramp-rate support, and other balancing functions depending on local market requirements and technical capabilities. Similarly, AI-enabled workload management can act as a flexible demand-side resource by adjusting selected computational workloads in response to grid conditions, electricity prices, or renewable-energy availability</w:t>
      </w:r>
      <w:r>
        <w:rPr>
          <w:highlight w:val="yellow"/>
        </w:rPr>
        <w:fldChar w:fldCharType="begin"/>
      </w:r>
      <w:r>
        <w:rPr>
          <w:highlight w:val="yellow"/>
        </w:rPr>
        <w:instrText xml:space="preserve"> ADDIN ZOTERO_ITEM CSL_CITATION {"citationID":"1kyVFO1r","properties":{"unsorted":false,"formattedCitation":"[63], [116]","plainCitation":"[63], [116]","noteIndex":0},"citationItems":[{"id":2119,"uris":["http://zotero.org/users/9870935/items/HCPVHF7M"],"itemData":{"id":2119,"type":"article-journal","container-title":"Energy Reports","DOI":"10.1016/j.egyr.2025.03.020","ISSN":"23524847","journalAbbreviation":"Energy Reports","language":"en","page":"3661-3671","source":"DOI.org (Crossref)","title":"Data centres as a source of flexibility for power systems","volume":"13","author":[{"family":"Takci","given":"Mehmet Türker"},{"family":"Qadrdan","given":"Meysam"},{"family":"Summers","given":"Jon"},{"family":"Gustafsson","given":"Jonas"}],"issued":{"date-parts":[["2025",6]]}}},{"id":2215,"uris":["http://zotero.org/users/9870935/items/6KYBNJ5X"],"itemData":{"id":2215,"type":"article-journal","abstract":"Abstract\n            Recently, various distributed energy resources are significantly integrated into the modern power systems. This introduction of distributed energy resource‐rich systems can cause various power quality issues, due to their uncertainties and capacity variations. Therefore, it is crucial to establish energy balance between generation and demand to improve power system's reliability and stability and to minimize energy costs without sacrificing customers’ comfort or utility. In this regard, power system flexibility concept is highlighted as a robust and cost‐effective energy management system, especially on the demand side, to provide consumers’ demands with an acceptable level of power quality. Accordingly, here, a comprehensive review of recent developments in the power system flexibility and demand‐side management strategies and demand response programs are provided to include mainly classifications, estimation methods, distributed energy resource modelling approaches, infrastructure requirements, and applications. In addition, current research topics for applying power system flexibility solutions and demand‐side management strategies based on modern power system operation are deliberated. Also, prominent challenges, research trends, and future perspectives are discussed. Finally, this review article aims to be an appropriate reference for comprehensive research trends in the power system flexibility concept in general and in demand‐side management strategies and demand response programs, specifically.","container-title":"IET Generation, Transmission &amp; Distribution","DOI":"10.1049/gtd2.13204","ISSN":"1751-8687, 1751-8695","issue":"13","journalAbbreviation":"IET Generation Trans &amp;amp; Dist","language":"en","page":"2259-2300","source":"DOI.org (Crossref)","title":"Recent developments of demand‐side management towards flexible DER‐rich power systems: A systematic review","title-short":"Recent developments of demand‐side management towards flexible DER‐rich power systems","volume":"18","author":[{"family":"Mousa","given":"Hossam H. H."},{"family":"Mahmoud","given":"Karar"},{"family":"Lehtonen","given":"Matti"}],"issued":{"date-parts":[["2024",7]]}}}],"schema":"https://github.com/citation-style-language/schema/raw/master/csl-citation.json"} </w:instrText>
      </w:r>
      <w:r>
        <w:rPr>
          <w:highlight w:val="yellow"/>
        </w:rPr>
        <w:fldChar w:fldCharType="separate"/>
      </w:r>
      <w:r w:rsidRPr="007D29E8">
        <w:rPr>
          <w:highlight w:val="yellow"/>
        </w:rPr>
        <w:t>[63], [116]</w:t>
      </w:r>
      <w:r>
        <w:rPr>
          <w:highlight w:val="yellow"/>
        </w:rPr>
        <w:fldChar w:fldCharType="end"/>
      </w:r>
      <w:r w:rsidRPr="007D29E8">
        <w:rPr>
          <w:highlight w:val="yellow"/>
        </w:rPr>
        <w:t>.</w:t>
      </w:r>
    </w:p>
    <w:p w14:paraId="5CAAFF17" w14:textId="582D3243" w:rsidR="007D29E8" w:rsidRPr="007D29E8" w:rsidRDefault="007D29E8" w:rsidP="007D29E8">
      <w:pPr>
        <w:spacing w:after="120"/>
        <w:ind w:firstLine="480"/>
        <w:rPr>
          <w:highlight w:val="yellow"/>
        </w:rPr>
      </w:pPr>
      <w:r w:rsidRPr="007D29E8">
        <w:rPr>
          <w:highlight w:val="yellow"/>
        </w:rPr>
        <w:t>Voltage-support services represent another potential grid-service application. Grid-forming and voltage-source-control (VSC) inverters can provide reactive-power support and voltage regulation without necessarily affecting active-power production, thereby contributing to power-quality management and local grid stability</w:t>
      </w:r>
      <w:r>
        <w:rPr>
          <w:highlight w:val="yellow"/>
        </w:rPr>
        <w:fldChar w:fldCharType="begin"/>
      </w:r>
      <w:r>
        <w:rPr>
          <w:highlight w:val="yellow"/>
        </w:rPr>
        <w:instrText xml:space="preserve"> ADDIN ZOTERO_ITEM CSL_CITATION {"citationID":"7fApsYgC","properties":{"unsorted":false,"formattedCitation":"[18], [162]","plainCitation":"[18], [162]","noteIndex":0},"citationItems":[{"id":1927,"uris":["http://zotero.org/users/9870935/items/PZK7R79L"],"itemData":{"id":1927,"type":"article-journal","abstract":"The penetration of distributed energy resources in electrical grids has been steadily increasing in an effort to reduce greenhouse gas emissions. Inverters, as interfaces between distributed energy resources and grids, have become critical assets in modern power systems. In recent years, the development and application of grid-forming inverters have gained significant traction due to their capability of supporting power grid operations. A comprehensive review of grid-forming inverters is presented for power system applications. A comparison between grid-forming inverters and grid-following inverters is conducted in terms of their functionalities to highlight the potential of grid-forming inverter technologies in support of power system stability and resiliency. In addition, advanced control strategies integrated into grid-forming inverters under various operation conditions are presented through reviewing the innovations introduced in recent literature and in industrial applications. This paper is intended to provide an updated reference regarding grid-forming inverters for power system applications to researchers and practitioners in the field of power electronics.","container-title":"Chinese Journal of Electrical Engineering","DOI":"10.23919/CJEE.2022.000001","ISSN":"2096-1529","issue":"1","journalAbbreviation":"Chin. J. Electr. Eng.","language":"en","page":"1-15","source":"DOI.org (Crossref)","title":"Review of Grid-forming Inverters in Support of Power System Operation","volume":"8","author":[{"family":"Song","given":"Guanhong"},{"family":"Cao","given":"Bo"},{"family":"Chang","given":"Liuchen"}],"issued":{"date-parts":[["2022",3]]}}},{"id":1100,"uris":["http://zotero.org/users/9870935/items/E7VUD4ZH"],"itemData":{"id":1100,"type":"article-journal","abstract":"Abstract\n            \n              The worldwide electricity network is undergoing a crucial transformation, shifting from traditional synchronous generators to inverter‐based renewable energy sources (IRESs). This shift is expected to reduce the grid's available fault level (AFL), potentially impacting grid functionality, particularly during the integration of IRESs into weak grids. This paper examines the challenges associated with weak grids, focusing on the steady‐state and dynamic stability of IRES when integrated into these systems. In the steady‐state analysis, the effects of AFL, injected power volume, and grid characteristics on the steady‐state voltage at the point of interconnection were explored. For dynamic stability, eigenvalue and\n              H\n              2\n              norm analyses are used for evaluation. Sensitivity analysis is conducted to assess the impact of these factors on the stability of IRESs connected to weak grids. A detailed case study using the IEEE 39 bus test power system is included to demonstrate our findings, where the steady‐state and dynamic stability of IRES connected to the test system are assessed using the proposed methods. The accuracy of these analyses is confirmed by extensive simulation studies on the OPAL‐RT real‐time digital simulator platform.","container-title":"IET Energy Systems Integration","DOI":"10.1049/esi2.12151","ISSN":"2516-8401, 2516-8401","issue":"4","journalAbbreviation":"IET Energy Syst Integration","language":"en","page":"525-544","source":"DOI.org (Crossref)","title":"Stability assessment of inverter‐based renewable energy sources integrated to weak grids","volume":"6","author":[{"family":"Saleem","given":"M. I."},{"family":"Saha","given":"S."},{"family":"Izhar","given":"U."},{"family":"Ang","given":"L."}],"issued":{"date-parts":[["2024",12]]}}}],"schema":"https://github.com/citation-style-language/schema/raw/master/csl-citation.json"} </w:instrText>
      </w:r>
      <w:r>
        <w:rPr>
          <w:highlight w:val="yellow"/>
        </w:rPr>
        <w:fldChar w:fldCharType="separate"/>
      </w:r>
      <w:r w:rsidRPr="007D29E8">
        <w:rPr>
          <w:highlight w:val="yellow"/>
        </w:rPr>
        <w:t>[18], [162]</w:t>
      </w:r>
      <w:r>
        <w:rPr>
          <w:highlight w:val="yellow"/>
        </w:rPr>
        <w:fldChar w:fldCharType="end"/>
      </w:r>
      <w:r w:rsidRPr="007D29E8">
        <w:rPr>
          <w:highlight w:val="yellow"/>
        </w:rPr>
        <w:t>. The ability of renewable-generation and storage systems to supply reactive power can be particularly valuable in weak-grid environments where voltage support and dynamic system-strength services are required.</w:t>
      </w:r>
    </w:p>
    <w:p w14:paraId="557A034A" w14:textId="62F6045B" w:rsidR="007D29E8" w:rsidRPr="007D29E8" w:rsidRDefault="007D29E8" w:rsidP="007D29E8">
      <w:pPr>
        <w:spacing w:after="120"/>
        <w:ind w:firstLine="480"/>
      </w:pPr>
      <w:r w:rsidRPr="007D29E8">
        <w:rPr>
          <w:highlight w:val="yellow"/>
        </w:rPr>
        <w:t>Although ancillary-service participation may provide additional economic value, the achievable revenues depend on market structure, qualification requirements, performance obligations, resource availability, battery degradation costs, and locational factors. Consequently, project-specific market analysis is required before assigning economic value to frequency-response, voltage-support, reserve, or demand-response services. Generalized revenue estimates should not be assumed because ancillary-service prices and participation rules vary significantly among electricity markets</w:t>
      </w:r>
      <w:r>
        <w:rPr>
          <w:highlight w:val="yellow"/>
        </w:rPr>
        <w:fldChar w:fldCharType="begin"/>
      </w:r>
      <w:r>
        <w:rPr>
          <w:highlight w:val="yellow"/>
        </w:rPr>
        <w:instrText xml:space="preserve"> ADDIN ZOTERO_ITEM CSL_CITATION {"citationID":"uVx1lzOH","properties":{"unsorted":false,"formattedCitation":"[63], [116]","plainCitation":"[63], [116]","noteIndex":0},"citationItems":[{"id":2119,"uris":["http://zotero.org/users/9870935/items/HCPVHF7M"],"itemData":{"id":2119,"type":"article-journal","container-title":"Energy Reports","DOI":"10.1016/j.egyr.2025.03.020","ISSN":"23524847","journalAbbreviation":"Energy Reports","language":"en","page":"3661-3671","source":"DOI.org (Crossref)","title":"Data centres as a source of flexibility for power systems","volume":"13","author":[{"family":"Takci","given":"Mehmet Türker"},{"family":"Qadrdan","given":"Meysam"},{"family":"Summers","given":"Jon"},{"family":"Gustafsson","given":"Jonas"}],"issued":{"date-parts":[["2025",6]]}}},{"id":2215,"uris":["http://zotero.org/users/9870935/items/6KYBNJ5X"],"itemData":{"id":2215,"type":"article-journal","abstract":"Abstract\n            Recently, various distributed energy resources are significantly integrated into the modern power systems. This introduction of distributed energy resource‐rich systems can cause various power quality issues, due to their uncertainties and capacity variations. Therefore, it is crucial to establish energy balance between generation and demand to improve power system's reliability and stability and to minimize energy costs without sacrificing customers’ comfort or utility. In this regard, power system flexibility concept is highlighted as a robust and cost‐effective energy management system, especially on the demand side, to provide consumers’ demands with an acceptable level of power quality. Accordingly, here, a comprehensive review of recent developments in the power system flexibility and demand‐side management strategies and demand response programs are provided to include mainly classifications, estimation methods, distributed energy resource modelling approaches, infrastructure requirements, and applications. In addition, current research topics for applying power system flexibility solutions and demand‐side management strategies based on modern power system operation are deliberated. Also, prominent challenges, research trends, and future perspectives are discussed. Finally, this review article aims to be an appropriate reference for comprehensive research trends in the power system flexibility concept in general and in demand‐side management strategies and demand response programs, specifically.","container-title":"IET Generation, Transmission &amp; Distribution","DOI":"10.1049/gtd2.13204","ISSN":"1751-8687, 1751-8695","issue":"13","journalAbbreviation":"IET Generation Trans &amp;amp; Dist","language":"en","page":"2259-2300","source":"DOI.org (Crossref)","title":"Recent developments of demand‐side management towards flexible DER‐rich power systems: A systematic review","title-short":"Recent developments of demand‐side management towards flexible DER‐rich power systems","volume":"18","author":[{"family":"Mousa","given":"Hossam H. H."},{"family":"Mahmoud","given":"Karar"},{"family":"Lehtonen","given":"Matti"}],"issued":{"date-parts":[["2024",7]]}}}],"schema":"https://github.com/citation-style-language/schema/raw/master/csl-citation.json"} </w:instrText>
      </w:r>
      <w:r>
        <w:rPr>
          <w:highlight w:val="yellow"/>
        </w:rPr>
        <w:fldChar w:fldCharType="separate"/>
      </w:r>
      <w:r w:rsidRPr="007D29E8">
        <w:rPr>
          <w:highlight w:val="yellow"/>
        </w:rPr>
        <w:t>[63], [116]</w:t>
      </w:r>
      <w:r>
        <w:rPr>
          <w:highlight w:val="yellow"/>
        </w:rPr>
        <w:fldChar w:fldCharType="end"/>
      </w:r>
      <w:r w:rsidRPr="007D29E8">
        <w:rPr>
          <w:highlight w:val="yellow"/>
        </w:rPr>
        <w:t>.</w:t>
      </w:r>
    </w:p>
    <w:p w14:paraId="7FB6D186" w14:textId="1BE258EB" w:rsidR="00FE013C" w:rsidRPr="00C34C89" w:rsidRDefault="00FE013C" w:rsidP="004C16FF">
      <w:pPr>
        <w:pStyle w:val="Heading20"/>
        <w:jc w:val="both"/>
        <w:rPr>
          <w:color w:val="auto"/>
        </w:rPr>
      </w:pPr>
      <w:r w:rsidRPr="00E75DCC">
        <w:rPr>
          <w:color w:val="auto"/>
        </w:rPr>
        <w:t>11.</w:t>
      </w:r>
      <w:r>
        <w:rPr>
          <w:color w:val="auto"/>
        </w:rPr>
        <w:t>5</w:t>
      </w:r>
      <w:r w:rsidRPr="00E75DCC">
        <w:rPr>
          <w:color w:val="auto"/>
        </w:rPr>
        <w:t xml:space="preserve"> </w:t>
      </w:r>
      <w:r>
        <w:t>Energy Management System and Control Architecture</w:t>
      </w:r>
    </w:p>
    <w:p w14:paraId="23910089" w14:textId="286212C1" w:rsidR="00FE013C" w:rsidRDefault="00FE013C" w:rsidP="00286292">
      <w:pPr>
        <w:spacing w:after="120"/>
        <w:ind w:firstLine="480"/>
      </w:pPr>
      <w:r w:rsidRPr="00C34C89">
        <w:t xml:space="preserve">Here, the EMS uses a hierarchical control system architecture with three timescales and varying control objectives. Level 1 (device-level) reacts to changes in frequency and voltage in milliseconds to deliver the primary frequency response and voltage regulation via the inverter/battery controller. </w:t>
      </w:r>
      <w:r w:rsidRPr="00C34C89">
        <w:lastRenderedPageBreak/>
        <w:t xml:space="preserve">With 24-to-48-hour horizons and model predictive control, Level 2 (facility-level) implements dispatch </w:t>
      </w:r>
      <w:r w:rsidR="008F5C4B" w:rsidRPr="00C34C89">
        <w:t>optimization</w:t>
      </w:r>
      <w:r w:rsidRPr="00C34C89">
        <w:t xml:space="preserve"> hours, achieving a balance of </w:t>
      </w:r>
      <w:r w:rsidR="008F5C4B" w:rsidRPr="00C34C89">
        <w:t>minimizing</w:t>
      </w:r>
      <w:r w:rsidRPr="00C34C89">
        <w:t xml:space="preserve"> energy cost/and or carbon emissions while maintaining reliability targets. Level 3 (corporate level) is responsible for the allocation of resources across multiple facilities, routing workloads to facilities whose renewable conditions are most </w:t>
      </w:r>
      <w:r w:rsidR="008F5C4B" w:rsidRPr="00C34C89">
        <w:t>favorable and</w:t>
      </w:r>
      <w:r w:rsidRPr="00C34C89">
        <w:t xml:space="preserve"> coordinating inter-facility energy exchanges.</w:t>
      </w:r>
      <w:r>
        <w:t xml:space="preserve"> </w:t>
      </w:r>
      <w:r w:rsidRPr="00C34C89">
        <w:t xml:space="preserve">The EMS's capabilities encompass forecasting, </w:t>
      </w:r>
      <w:r w:rsidR="008F5C4B" w:rsidRPr="00C34C89">
        <w:t>optimization</w:t>
      </w:r>
      <w:r w:rsidRPr="00C34C89">
        <w:t xml:space="preserve">, monitoring, and cyber security. Forecast modules include solar, wind, and load forecasts over a range of time scales. </w:t>
      </w:r>
      <w:r w:rsidR="008F5C4B" w:rsidRPr="00C34C89">
        <w:t>Optimization</w:t>
      </w:r>
      <w:r w:rsidRPr="00C34C89">
        <w:t xml:space="preserve"> modules formulate and solve the dispatch problem as a mixed-integer linear program (MILP) or use heuristic algorithms for real-time decision-making. Data collection modules gather information from metering points around the site and deliver dashboards, trending, alarms, and automated reporting</w:t>
      </w:r>
      <w:r>
        <w:fldChar w:fldCharType="begin"/>
      </w:r>
      <w:r w:rsidR="00286292">
        <w:instrText xml:space="preserve"> ADDIN ZOTERO_ITEM CSL_CITATION {"citationID":"HnuRFse8","properties":{"unsorted":false,"formattedCitation":"[178]","plainCitation":"[178]","noteIndex":0},"citationItems":[{"id":2122,"uris":["http://zotero.org/users/9870935/items/JQYYBKN7"],"itemData":{"id":2122,"type":"article-journal","abstract":"As data centers grow and face energy challenges, traditional thermal management struggles with dynamic loads, multi-scale coupling, and heterogeneous control. This review examines AI-driven solutions for energy efficiency, focusing on integrating deep learning and reinforcement learning. Key innovations include physics-data hybrid models and constrained RL controllers, achieving PUE&lt;1.2, a 55.7% reduction in fan energy, and enhanced thermal stability. Challenges remain in explainable decision-making, hardware compatibility, and the complexity of multi-physics simulation. Our evaluation framework emphasizes PUE and energy savings, advocating for future advancements in digital twins, edge AI deployment, and renewable cooling integration. Policy-supported AI implementation could increase annual energy savings to 8-12%, promoting sustainable digital infrastructure. Future research should explore multi-scale optimization, reliable AI mechanisms, and renewable-cooling coordination to meet dynamic demand and support carbon neutrality goals.","container-title":"International Journal of Applied Science","DOI":"10.30560/ijas.v8n3p108","ISSN":"2576-7259, 2576-7240","issue":"3","journalAbbreviation":"IJAS","language":"en","license":"http://creativecommons.org/licenses/by/4.0","page":"p108","source":"DOI.org (Crossref)","title":"A Review on AI-Driven Optimization of Data Center Energy Efficiency and Thermal Management","volume":"8","author":[{"family":"Li","given":"Xiyong"},{"family":"Zhao","given":"Zhiming"},{"family":"Jiang","given":"Xiangjun"},{"family":"Chen","given":"Yingmei"},{"family":"He","given":"Ruxuan"}],"issued":{"date-parts":[["2025",9,27]]}}}],"schema":"https://github.com/citation-style-language/schema/raw/master/csl-citation.json"} </w:instrText>
      </w:r>
      <w:r>
        <w:fldChar w:fldCharType="separate"/>
      </w:r>
      <w:r w:rsidR="00286292" w:rsidRPr="00286292">
        <w:t>[178]</w:t>
      </w:r>
      <w:r>
        <w:fldChar w:fldCharType="end"/>
      </w:r>
      <w:r w:rsidRPr="00C34C89">
        <w:t xml:space="preserve">. </w:t>
      </w:r>
    </w:p>
    <w:p w14:paraId="0CCE4F2E" w14:textId="77777777" w:rsidR="00FE013C" w:rsidRPr="00F56D3B" w:rsidRDefault="00FE013C" w:rsidP="004C16FF">
      <w:pPr>
        <w:pStyle w:val="Heading1"/>
        <w:keepNext/>
        <w:jc w:val="both"/>
        <w:rPr>
          <w:lang w:val="en-US"/>
        </w:rPr>
      </w:pPr>
      <w:r>
        <w:t>12. Regulatory, Policy, and Sustainability</w:t>
      </w:r>
    </w:p>
    <w:p w14:paraId="61C04F28" w14:textId="696E9B9E" w:rsidR="00FE013C" w:rsidRDefault="00FE013C" w:rsidP="004C16FF">
      <w:pPr>
        <w:spacing w:after="120"/>
        <w:ind w:firstLine="480"/>
      </w:pPr>
      <w:r>
        <w:t xml:space="preserve">This section examines the regulatory environment, policy frameworks, and sustainability standards that govern the design and operation of renewable-powered data </w:t>
      </w:r>
      <w:r w:rsidR="00580BAE">
        <w:t>center</w:t>
      </w:r>
      <w:r>
        <w:t>s. Effective navigation of this landscape is essential for project permitting, interconnection, and long-term compliance with evolving environmental requirements of the industry.</w:t>
      </w:r>
    </w:p>
    <w:p w14:paraId="29A99B42" w14:textId="77777777" w:rsidR="00FE013C" w:rsidRDefault="00FE013C" w:rsidP="004C16FF">
      <w:pPr>
        <w:pStyle w:val="Heading20"/>
        <w:jc w:val="both"/>
      </w:pPr>
      <w:r w:rsidRPr="00E75DCC">
        <w:rPr>
          <w:color w:val="auto"/>
        </w:rPr>
        <w:t>1</w:t>
      </w:r>
      <w:r>
        <w:rPr>
          <w:color w:val="auto"/>
        </w:rPr>
        <w:t>2.1</w:t>
      </w:r>
      <w:r w:rsidRPr="00E75DCC">
        <w:rPr>
          <w:color w:val="auto"/>
        </w:rPr>
        <w:t xml:space="preserve"> </w:t>
      </w:r>
      <w:r>
        <w:t>Grid Interconnection Standards</w:t>
      </w:r>
    </w:p>
    <w:p w14:paraId="6AB5F1C4" w14:textId="04357F1B" w:rsidR="00FE013C" w:rsidRDefault="00FE013C" w:rsidP="00286292">
      <w:pPr>
        <w:spacing w:after="120"/>
        <w:ind w:firstLine="480"/>
      </w:pPr>
      <w:r w:rsidRPr="00BE55EA">
        <w:t xml:space="preserve">Grid Interconnection Standards are technology and operational criteria that distributed energy resources must abide by </w:t>
      </w:r>
      <w:r w:rsidR="00DB7639" w:rsidRPr="00BE55EA">
        <w:t>getting</w:t>
      </w:r>
      <w:r w:rsidRPr="00BE55EA">
        <w:t xml:space="preserve"> connected to the main power grid. Up to now, the basis of distribution-level interconnections is IEEE 1547. On the data </w:t>
      </w:r>
      <w:r w:rsidR="00580BAE">
        <w:t>center</w:t>
      </w:r>
      <w:r w:rsidRPr="00BE55EA">
        <w:t xml:space="preserve"> scale, which typically involves medium-voltage or transmission-voltage installation with generation capacity ranging from 10 to 100 MW, the relevant standards that apply are IEEE 2800-2022 and Inverter-based resources (IBRs) </w:t>
      </w:r>
      <w:r>
        <w:fldChar w:fldCharType="begin"/>
      </w:r>
      <w:r w:rsidR="00286292">
        <w:instrText xml:space="preserve"> ADDIN ZOTERO_ITEM CSL_CITATION {"citationID":"PikiXW36","properties":{"unsorted":false,"formattedCitation":"[179]","plainCitation":"[179]","noteIndex":0},"citationItems":[{"id":2189,"uris":["http://zotero.org/users/9870935/items/U4Y7SALQ"],"itemData":{"id":2189,"type":"article-journal","abstract":"The generator side of inverter-based resources (IBRs) interfaced with back-to-back converters is electrically decoupled from the grid. During electrical faults, grid-following IBRs behave as voltagedependent current sources due to grid code requirements and converter control. This paper presents NewtonRaphson formulations for estimating short-circuit currents from IBRs using novel power ﬂow modeling approaches to address voltage-dependent current sources. The work shows how to represent dq0 current injections, which are typically implemented in control architectures based on phase-locked loops. The power ﬂow formulations are adapted to capture grid codes with diﬀerent characteristics, such as the injection of negative-sequence currents during unbalanced faults. Comparisons against a ﬁeld-validated electromagnetic transients (EMT) model reveal mean absolute errors of less than 0.5% for the proposed approach when estimating steady-state short-circuit currents from type IV wind turbine generators under grid-following control.","container-title":"IEEE Open Access Journal of Power and Energy","DOI":"10.1109/OAJPE.2026.3673646","ISSN":"2687-7910","journalAbbreviation":"IEEE Open J. Power Energy","language":"en","license":"https://creativecommons.org/licenses/by/4.0/legalcode","page":"229-239","source":"DOI.org (Crossref)","title":"Power Flow-Based Estimation of Short-Circuit Currents From Inverter-Based Resources","volume":"13","author":[{"family":"Abritta","given":"Ramon"},{"family":"Guerreiro","given":"Gabriel M. G."},{"family":"Pavlov","given":"Alexey"},{"family":"Tore Børresen","given":"Børre"},{"family":"Tedeschi","given":"Elisabetta"},{"family":"Sharma","given":"Ranjan"},{"family":"Da Silva Junior","given":"Ivo C."}],"issued":{"date-parts":[["2026"]]}}}],"schema":"https://github.com/citation-style-language/schema/raw/master/csl-citation.json"} </w:instrText>
      </w:r>
      <w:r>
        <w:fldChar w:fldCharType="separate"/>
      </w:r>
      <w:r w:rsidR="00286292" w:rsidRPr="00286292">
        <w:t>[179]</w:t>
      </w:r>
      <w:r>
        <w:fldChar w:fldCharType="end"/>
      </w:r>
      <w:r w:rsidRPr="00BE55EA">
        <w:t xml:space="preserve">. IBRs deployed in low-system-strength zones will soon become increasingly common in data </w:t>
      </w:r>
      <w:r w:rsidR="00580BAE">
        <w:t>center</w:t>
      </w:r>
      <w:r w:rsidRPr="00BE55EA">
        <w:t>s, where the short circuit ratio (SCR) becomes an important measurement of grid stability to guarantee the stability of control</w:t>
      </w:r>
      <w:r>
        <w:fldChar w:fldCharType="begin"/>
      </w:r>
      <w:r w:rsidR="00286292">
        <w:instrText xml:space="preserve"> ADDIN ZOTERO_ITEM CSL_CITATION {"citationID":"XthWHI4E","properties":{"unsorted":false,"formattedCitation":"[137], [180]","plainCitation":"[137], [180]","noteIndex":0},"citationItems":[{"id":2097,"uris":["http://zotero.org/users/9870935/items/KGQXJHH9"],"itemData":{"id":2097,"type":"article-journal","container-title":"IEEE Access","DOI":"10.1109/ACCESS.2025.3546491","ISSN":"2169-3536","journalAbbreviation":"IEEE Access","license":"https://creativecommons.org/licenses/by/4.0/legalcode","page":"39912-39934","source":"DOI.org (Crossref)","title":"Power System Stability With High Penetration of Renewable Energy Sources: Challenges, Assessment, and Mitigation Strategies","title-short":"Power System Stability With High Penetration of Renewable Energy Sources","volume":"13","author":[{"family":"Ali","given":"Jana Sheikh"},{"family":"Qiblawey","given":"Yazan"},{"family":"Alassi","given":"Abdulrahman"},{"family":"Massoud","given":"Ahmed M."},{"family":"Muyeen","given":"S. M."},{"family":"Abu-Rub","given":"Haitham"}],"issued":{"date-parts":[["2025"]]}}},{"id":2196,"uris":["http://zotero.org/users/9870935/items/RLD3GZD9"],"itemData":{"id":2196,"type":"document","title":"Transmission Interconnection Roadmap","URL":"https://www.energy.gov/sites/default/files/2024-04/i2X%20Transmission%20Interconnection%20Roadmap.pdf","author":[{"literal":"i2X"}]}}],"schema":"https://github.com/citation-style-language/schema/raw/master/csl-citation.json"} </w:instrText>
      </w:r>
      <w:r>
        <w:fldChar w:fldCharType="separate"/>
      </w:r>
      <w:r w:rsidR="00286292" w:rsidRPr="00286292">
        <w:t>[137], [180]</w:t>
      </w:r>
      <w:r>
        <w:fldChar w:fldCharType="end"/>
      </w:r>
      <w:r w:rsidRPr="00BE55EA">
        <w:t xml:space="preserve">. In today's interconnection studies, IBR fault ride-through and dynamic voltage support during transients are given significant attention. </w:t>
      </w:r>
      <w:r w:rsidRPr="002458A7">
        <w:t xml:space="preserve">FERC Order 2023 (issued July 2023, with implementation ongoing through 2027) represented a major reform </w:t>
      </w:r>
      <w:r w:rsidRPr="00493D72">
        <w:t xml:space="preserve">of transmission interconnection procedures by shifting to cluster studies and </w:t>
      </w:r>
      <w:r w:rsidR="00DB7639" w:rsidRPr="00493D72">
        <w:t>penalizing</w:t>
      </w:r>
      <w:r w:rsidRPr="00493D72">
        <w:t xml:space="preserve"> study delays. However, its implementation across regional transmission operators (RTOs) remains an ongoing challenge; as of the end of 2025, over 2,060 GW of generation and storage capacity was actively stalled in interconnection queues</w:t>
      </w:r>
      <w:r>
        <w:fldChar w:fldCharType="begin"/>
      </w:r>
      <w:r w:rsidR="00286292">
        <w:instrText xml:space="preserve"> ADDIN ZOTERO_ITEM CSL_CITATION {"citationID":"Px6p0cAj","properties":{"unsorted":false,"formattedCitation":"[181]","plainCitation":"[181]","noteIndex":0},"citationItems":[{"id":2190,"uris":["http://zotero.org/users/9870935/items/YT24FZW9"],"itemData":{"id":2190,"type":"article-journal","DOI":"10.13140/RG.2.2.12274.67520","language":"en","publisher":"Lawrence Berkeley National Laboratory","source":"DOI.org (Datacite)","title":"Up: 2025 Edition, Characteristics of Power Plants Seeking Transmission Interconnection As of the End of 2024","title-short":"Up","URL":"https://www.researchgate.net/doi/10.13140/RG.2.2.12274.67520","author":[{"family":"Rand","given":"Joseph"},{"family":"Manderlink","given":"Nick"},{"family":"Zhang","given":"Steven"},{"family":"Kahrl","given":"Fredrich"},{"family":"Jeong","given":"Seongeun"},{"family":"Gorman","given":"Will"},{"family":"Kemp","given":"Julie Mulvaney"},{"family":"Seel","given":"Joachim"},{"family":"Wiser","given":"Ryan"},{"literal":"chris talley"}],"accessed":{"date-parts":[["2026",6,6]]},"issued":{"date-parts":[["2025"]]}}}],"schema":"https://github.com/citation-style-language/schema/raw/master/csl-citation.json"} </w:instrText>
      </w:r>
      <w:r>
        <w:fldChar w:fldCharType="separate"/>
      </w:r>
      <w:r w:rsidR="00286292" w:rsidRPr="00286292">
        <w:t>[181]</w:t>
      </w:r>
      <w:r>
        <w:fldChar w:fldCharType="end"/>
      </w:r>
      <w:r w:rsidRPr="00493D72">
        <w:t>.</w:t>
      </w:r>
    </w:p>
    <w:p w14:paraId="6108CE48" w14:textId="77777777" w:rsidR="00FE013C" w:rsidRDefault="00FE013C" w:rsidP="004C16FF">
      <w:pPr>
        <w:pStyle w:val="Heading20"/>
        <w:jc w:val="both"/>
      </w:pPr>
      <w:r w:rsidRPr="00E75DCC">
        <w:rPr>
          <w:color w:val="auto"/>
        </w:rPr>
        <w:t>1</w:t>
      </w:r>
      <w:r>
        <w:rPr>
          <w:color w:val="auto"/>
        </w:rPr>
        <w:t>2.2</w:t>
      </w:r>
      <w:r w:rsidRPr="00E75DCC">
        <w:rPr>
          <w:color w:val="auto"/>
        </w:rPr>
        <w:t xml:space="preserve"> </w:t>
      </w:r>
      <w:r>
        <w:t>Renewable Energy Policies and Mandates</w:t>
      </w:r>
    </w:p>
    <w:p w14:paraId="29DE9772" w14:textId="3B63135D" w:rsidR="00FE013C" w:rsidRPr="00EB3CAD" w:rsidRDefault="00FE013C" w:rsidP="00286292">
      <w:pPr>
        <w:spacing w:after="120"/>
        <w:ind w:firstLine="480"/>
      </w:pPr>
      <w:r w:rsidRPr="00EB3CAD">
        <w:t>Renewable Portfolio Standards (RPS) and Clean Energy Standards (CES) require utilities to buy a percentage of electricity from renewables. State-level calls for corporate renewable procurement persist in the United States. However, as AI workloads continue to ramp up at an unprecedented rate, they have rapidly accelerated the shift in procurement moves, projecting up to 945 TWh yearly worldwide by 2030</w:t>
      </w:r>
      <w:r>
        <w:fldChar w:fldCharType="begin"/>
      </w:r>
      <w:r w:rsidR="00286292">
        <w:instrText xml:space="preserve"> ADDIN ZOTERO_ITEM CSL_CITATION {"citationID":"2uQLzaxM","properties":{"unsorted":false,"formattedCitation":"[182]","plainCitation":"[182]","noteIndex":0},"citationItems":[{"id":2191,"uris":["http://zotero.org/users/9870935/items/PGQT4HIW"],"itemData":{"id":2191,"type":"document","title":"ENVIRONMENTAL COST OF AI'S ENERGY USE","author":[{"family":"UN","given":""}]}}],"schema":"https://github.com/citation-style-language/schema/raw/master/csl-citation.json"} </w:instrText>
      </w:r>
      <w:r>
        <w:fldChar w:fldCharType="separate"/>
      </w:r>
      <w:r w:rsidR="00286292" w:rsidRPr="00286292">
        <w:t>[182]</w:t>
      </w:r>
      <w:r>
        <w:fldChar w:fldCharType="end"/>
      </w:r>
      <w:r w:rsidRPr="00EB3CAD">
        <w:t xml:space="preserve">. In response to this demand, leading data </w:t>
      </w:r>
      <w:r w:rsidR="00580BAE">
        <w:t>center</w:t>
      </w:r>
      <w:r w:rsidRPr="00EB3CAD">
        <w:t xml:space="preserve"> companies are turning to nuclear generation partnership arrangements alongside traditional wind and solar PPAs to obtain baseload zero-carbon electricity. The EU Renewable Energy Directive (RED III) lays out a legal 42.5</w:t>
      </w:r>
      <w:r>
        <w:t xml:space="preserve">% </w:t>
      </w:r>
      <w:r w:rsidRPr="00EB3CAD">
        <w:lastRenderedPageBreak/>
        <w:t>RE target in Europe until 2030. This legislation (reported requirements) is now functioning as a catalyst for the creation of direct corporate PPAs and clean generation schemes</w:t>
      </w:r>
      <w:r>
        <w:fldChar w:fldCharType="begin"/>
      </w:r>
      <w:r w:rsidR="00286292">
        <w:instrText xml:space="preserve"> ADDIN ZOTERO_ITEM CSL_CITATION {"citationID":"ufdpjCHf","properties":{"unsorted":false,"formattedCitation":"[183]","plainCitation":"[183]","noteIndex":0},"citationItems":[{"id":2193,"uris":["http://zotero.org/users/9870935/items/VDQUTJZK"],"itemData":{"id":2193,"type":"document","title":"Powering AI: How Do Data Centers Affect Renewable Energy Investment?","URL":"https://papers.ssrn.com/sol3/papers.cfm?abstract_id=6426079","author":[{"literal":"Alexander Heiss"},{"literal":"Zacharias Sautner"},{"literal":"Zacharias Sautner"}]}}],"schema":"https://github.com/citation-style-language/schema/raw/master/csl-citation.json"} </w:instrText>
      </w:r>
      <w:r>
        <w:fldChar w:fldCharType="separate"/>
      </w:r>
      <w:r w:rsidR="00286292" w:rsidRPr="00286292">
        <w:t>[183]</w:t>
      </w:r>
      <w:r>
        <w:fldChar w:fldCharType="end"/>
      </w:r>
      <w:r w:rsidRPr="00EB3CAD">
        <w:t>.</w:t>
      </w:r>
    </w:p>
    <w:p w14:paraId="5B64AA7B" w14:textId="77777777" w:rsidR="00FE013C" w:rsidRDefault="00FE013C" w:rsidP="004C16FF">
      <w:pPr>
        <w:pStyle w:val="Heading20"/>
        <w:jc w:val="both"/>
      </w:pPr>
      <w:r w:rsidRPr="00E75DCC">
        <w:rPr>
          <w:color w:val="auto"/>
        </w:rPr>
        <w:t>1</w:t>
      </w:r>
      <w:r>
        <w:rPr>
          <w:color w:val="auto"/>
        </w:rPr>
        <w:t>2.3</w:t>
      </w:r>
      <w:r w:rsidRPr="00E75DCC">
        <w:rPr>
          <w:color w:val="auto"/>
        </w:rPr>
        <w:t xml:space="preserve"> </w:t>
      </w:r>
      <w:r>
        <w:t>Carbon Accounting and Environmental Reporting</w:t>
      </w:r>
    </w:p>
    <w:p w14:paraId="3FED281F" w14:textId="2FE18B2D" w:rsidR="00FE013C" w:rsidRDefault="00FE013C" w:rsidP="000B0F03">
      <w:pPr>
        <w:spacing w:after="120"/>
        <w:ind w:firstLine="480"/>
      </w:pPr>
      <w:r w:rsidRPr="00AC40BA">
        <w:t xml:space="preserve">The standard framework for corporate carbon accounting is the Greenhouse Gas (GHG) Protocol. Scope 2 emissions include those arising from purchased electricity, using either location-based or market-based accounting methods. The transition to 24/7 carbon-free Energy (CFE) – pairing every hour of electricity usage with carbon-free electricity generation – has proven to be the new benchmark for data </w:t>
      </w:r>
      <w:r w:rsidR="00580BAE">
        <w:t>center</w:t>
      </w:r>
      <w:r w:rsidRPr="00AC40BA">
        <w:t xml:space="preserve"> sustainability. </w:t>
      </w:r>
      <w:r w:rsidRPr="00BD018A">
        <w:t>Implementing 24/7 CFE requires sub-hourly granular data, advanced forecasting, and stringent temporal and spatial carbon accounting frameworks to verify continuous clean energy alignment and prevent the double-counting of clean energy attributes</w:t>
      </w:r>
      <w:r>
        <w:fldChar w:fldCharType="begin"/>
      </w:r>
      <w:r w:rsidR="000B0F03">
        <w:instrText xml:space="preserve"> ADDIN ZOTERO_ITEM CSL_CITATION {"citationID":"n6iDXFFL","properties":{"unsorted":false,"formattedCitation":"[67]","plainCitation":"[67]","noteIndex":0},"citationItems":[{"id":2194,"uris":["http://zotero.org/users/9870935/items/HM8VYHDA"],"itemData":{"id":2194,"type":"article-journal","container-title":"Joule","DOI":"10.1016/j.joule.2023.12.007","ISSN":"25424351","issue":"2","journalAbbreviation":"Joule","language":"en","page":"374-400","source":"DOI.org (Crossref)","title":"System-level impacts of voluntary carbon-free electricity procurement strategies","volume":"8","author":[{"family":"Xu","given":"Qingyu"},{"family":"Ricks","given":"Wilson"},{"family":"Manocha","given":"Aneesha"},{"family":"Patankar","given":"Neha"},{"family":"Jenkins","given":"Jesse D."}],"issued":{"date-parts":[["2024",2]]}}}],"schema":"https://github.com/citation-style-language/schema/raw/master/csl-citation.json"} </w:instrText>
      </w:r>
      <w:r>
        <w:fldChar w:fldCharType="separate"/>
      </w:r>
      <w:r w:rsidR="000B0F03" w:rsidRPr="000B0F03">
        <w:t>[67]</w:t>
      </w:r>
      <w:r>
        <w:fldChar w:fldCharType="end"/>
      </w:r>
      <w:r w:rsidRPr="00AC40BA">
        <w:t>.</w:t>
      </w:r>
    </w:p>
    <w:p w14:paraId="0828F546" w14:textId="77777777" w:rsidR="00FE013C" w:rsidRDefault="00FE013C" w:rsidP="004C16FF">
      <w:pPr>
        <w:pStyle w:val="Heading20"/>
        <w:jc w:val="both"/>
      </w:pPr>
      <w:r w:rsidRPr="00E75DCC">
        <w:rPr>
          <w:color w:val="auto"/>
        </w:rPr>
        <w:t>1</w:t>
      </w:r>
      <w:r>
        <w:rPr>
          <w:color w:val="auto"/>
        </w:rPr>
        <w:t>2.4</w:t>
      </w:r>
      <w:r w:rsidRPr="00E75DCC">
        <w:rPr>
          <w:color w:val="auto"/>
        </w:rPr>
        <w:t xml:space="preserve"> </w:t>
      </w:r>
      <w:r>
        <w:t>Environmental Impact Assessment</w:t>
      </w:r>
    </w:p>
    <w:p w14:paraId="265620E6" w14:textId="6222593A" w:rsidR="00FE013C" w:rsidRPr="00AC40BA" w:rsidRDefault="00FE013C" w:rsidP="00286292">
      <w:pPr>
        <w:spacing w:after="120"/>
        <w:ind w:firstLine="480"/>
      </w:pPr>
      <w:r w:rsidRPr="006E439E">
        <w:t xml:space="preserve">The environmental footprint of renewable energy projects and data </w:t>
      </w:r>
      <w:r w:rsidR="00580BAE">
        <w:t>center</w:t>
      </w:r>
      <w:r w:rsidRPr="006E439E">
        <w:t xml:space="preserve">s with artificial intelligence needs to be </w:t>
      </w:r>
      <w:r w:rsidR="00DB7639" w:rsidRPr="006E439E">
        <w:t>minimized</w:t>
      </w:r>
      <w:r w:rsidRPr="006E439E">
        <w:t xml:space="preserve">. Cooling systems for data </w:t>
      </w:r>
      <w:r w:rsidR="00580BAE">
        <w:t>center</w:t>
      </w:r>
      <w:r w:rsidRPr="006E439E">
        <w:t xml:space="preserve">s offer a clear choice between electric-powered air cooling and water-powered evaporative cooling. Before the AI revolution, </w:t>
      </w:r>
      <w:r w:rsidRPr="003D0802">
        <w:t xml:space="preserve">data </w:t>
      </w:r>
      <w:r w:rsidR="00580BAE">
        <w:t>center</w:t>
      </w:r>
      <w:r w:rsidRPr="003D0802">
        <w:t>s in the U.S. alone consumed an estimated 17.4 billion gallons of water per year as of 2014, a figure that has grown substantially with AI infrastructure buildout</w:t>
      </w:r>
      <w:r>
        <w:fldChar w:fldCharType="begin"/>
      </w:r>
      <w:r>
        <w:instrText xml:space="preserve"> ADDIN ZOTERO_ITEM CSL_CITATION {"citationID":"IDGo5Rau","properties":{"unsorted":false,"formattedCitation":"[2]","plainCitation":"[2]","noteIndex":0},"citationItems":[{"id":1899,"uris":["http://zotero.org/users/9870935/items/DSZ4EYRB"],"itemData":{"id":1899,"type":"report","DOI":"10.2172/1372902","language":"en","number":"LBNL--1005775, 1372902","page":"LBNL--1005775, 1372902","source":"DOI.org (Crossref)","title":"United States Data Center Energy Usage Report","URL":"http://www.osti.gov/servlets/purl/1372902/","author":[{"family":"Shehabi","given":"Arman"},{"family":"Smith","given":"Sarah"},{"family":"Sartor","given":"Dale"},{"family":"Brown","given":"Richard"},{"family":"Herrlin","given":"Magnus"},{"family":"Koomey","given":"Jonathan"},{"family":"Masanet","given":"Eric"},{"family":"Horner","given":"Nathaniel"},{"family":"Azevedo","given":"Inês"},{"family":"Lintner","given":"William"}],"accessed":{"date-parts":[["2026",5,10]]},"issued":{"date-parts":[["2016",6,1]]}}}],"schema":"https://github.com/citation-style-language/schema/raw/master/csl-citation.json"} </w:instrText>
      </w:r>
      <w:r>
        <w:fldChar w:fldCharType="separate"/>
      </w:r>
      <w:r w:rsidRPr="00BE4FC7">
        <w:t>[2]</w:t>
      </w:r>
      <w:r>
        <w:fldChar w:fldCharType="end"/>
      </w:r>
      <w:r w:rsidRPr="006E439E">
        <w:t>, and as demand for hyperscale facilities grows, it is estimated that their water consumption will scale up substantially. By 2030, the water consumption generated by global AI activity could exceed the minimum annual requirement for each person's domestic needs by 1.3 billion people</w:t>
      </w:r>
      <w:r>
        <w:t>, while b</w:t>
      </w:r>
      <w:r w:rsidRPr="006E439E">
        <w:t xml:space="preserve">iodiversity and land use effects vary by site. Moreover, the short lifespan, which tech giants </w:t>
      </w:r>
      <w:r w:rsidR="00DB7639" w:rsidRPr="006E439E">
        <w:t>favor</w:t>
      </w:r>
      <w:r w:rsidRPr="006E439E">
        <w:t xml:space="preserve"> in their AI hardware, is leading to an electronic waste problem: by 2030, the total amount of AI infrastructure expected to contribute to e-waste is up to 2.5M </w:t>
      </w:r>
      <w:r w:rsidR="00DB7639" w:rsidRPr="006E439E">
        <w:t>tons</w:t>
      </w:r>
      <w:r w:rsidRPr="006E439E">
        <w:t xml:space="preserve"> each year </w:t>
      </w:r>
      <w:r>
        <w:fldChar w:fldCharType="begin"/>
      </w:r>
      <w:r w:rsidR="00286292">
        <w:instrText xml:space="preserve"> ADDIN ZOTERO_ITEM CSL_CITATION {"citationID":"dmjkCpIF","properties":{"unsorted":false,"formattedCitation":"[182]","plainCitation":"[182]","noteIndex":0},"citationItems":[{"id":2191,"uris":["http://zotero.org/users/9870935/items/PGQT4HIW"],"itemData":{"id":2191,"type":"document","title":"ENVIRONMENTAL COST OF AI'S ENERGY USE","author":[{"family":"UN","given":""}]}}],"schema":"https://github.com/citation-style-language/schema/raw/master/csl-citation.json"} </w:instrText>
      </w:r>
      <w:r>
        <w:fldChar w:fldCharType="separate"/>
      </w:r>
      <w:r w:rsidR="00286292" w:rsidRPr="00286292">
        <w:t>[182]</w:t>
      </w:r>
      <w:r>
        <w:fldChar w:fldCharType="end"/>
      </w:r>
      <w:r w:rsidRPr="006E439E">
        <w:t>.</w:t>
      </w:r>
    </w:p>
    <w:p w14:paraId="5138E04F" w14:textId="77777777" w:rsidR="00FE013C" w:rsidRDefault="00FE013C" w:rsidP="004C16FF">
      <w:pPr>
        <w:pStyle w:val="Heading20"/>
        <w:jc w:val="both"/>
      </w:pPr>
      <w:r w:rsidRPr="00E75DCC">
        <w:rPr>
          <w:color w:val="auto"/>
        </w:rPr>
        <w:t>1</w:t>
      </w:r>
      <w:r>
        <w:rPr>
          <w:color w:val="auto"/>
        </w:rPr>
        <w:t>2.5</w:t>
      </w:r>
      <w:r w:rsidRPr="00E75DCC">
        <w:rPr>
          <w:color w:val="auto"/>
        </w:rPr>
        <w:t xml:space="preserve"> </w:t>
      </w:r>
      <w:r>
        <w:t>Regulatory Barriers and Opportunities</w:t>
      </w:r>
    </w:p>
    <w:p w14:paraId="0E021EDA" w14:textId="520BED26" w:rsidR="00FE013C" w:rsidRDefault="00FE013C" w:rsidP="00286292">
      <w:pPr>
        <w:spacing w:after="120"/>
        <w:ind w:firstLine="480"/>
      </w:pPr>
      <w:r w:rsidRPr="00C57C71">
        <w:t xml:space="preserve">Interconnection queue congestion is a major regulatory barrier for renewable-powered data </w:t>
      </w:r>
      <w:r w:rsidR="00580BAE">
        <w:t>center</w:t>
      </w:r>
      <w:r w:rsidRPr="00C57C71">
        <w:t xml:space="preserve">s today. In the past decade, the number of requests has grown substantially, and 2500 to 3,000 new requests have been submitted for new interconnection capacity of 400-750 GW/year. This has left a significant backlog, which is delaying efforts to integrate clean energy. Other hurdles involving distributed generation include distribution system design barriers (one-way power flow, no bidirectional), permitting barriers (environmental review, building permits/approvals, utility coordination), and opposition from incumbent utilities.  Alternative routes exist, such as community choice aggregation (CCA) and green tariff programs, and interconnection complexity and costs can be mitigated with behind-the-meter exemptions. Policy recommendations based on the framework analysis are (1) streamline interconnection following the FERC Order 2023 format, including practices such as the U.S. Department of Energy's i2X roadmap to automate data collection and </w:t>
      </w:r>
      <w:r w:rsidR="00DB7639" w:rsidRPr="00C57C71">
        <w:t>standardize</w:t>
      </w:r>
      <w:r w:rsidRPr="00C57C71">
        <w:t xml:space="preserve"> cluster study parameters; (2) continue and increase renewable energy tax credits (ITC and PTC) to provide grid investment certainty; (3) clarify and update zoning and building code requirements to support on-site renewable generation and storage; (4) ensure grid data </w:t>
      </w:r>
      <w:r w:rsidR="00580BAE">
        <w:t>center</w:t>
      </w:r>
      <w:r w:rsidRPr="00C57C71">
        <w:t xml:space="preserve">s are viable through an aggressive research program in the area of 24/7 CFE accounting methodology, establishing a transparent, </w:t>
      </w:r>
      <w:r w:rsidR="00DB7639" w:rsidRPr="00C57C71">
        <w:t>standardized</w:t>
      </w:r>
      <w:r w:rsidRPr="00C57C71">
        <w:t xml:space="preserve"> approach to 24/7 CFE accounting for the stability of IBRs operating on weak </w:t>
      </w:r>
      <w:r w:rsidRPr="00C57C71">
        <w:lastRenderedPageBreak/>
        <w:t xml:space="preserve">grids; and (5) support grid </w:t>
      </w:r>
      <w:r w:rsidR="00DB7639" w:rsidRPr="00C57C71">
        <w:t>modernization</w:t>
      </w:r>
      <w:r w:rsidRPr="00C57C71">
        <w:t xml:space="preserve"> research with a focus on the stability of IBRs (Inverter-Based Resources) on weak grids to achieve data </w:t>
      </w:r>
      <w:r w:rsidR="00580BAE">
        <w:t>center</w:t>
      </w:r>
      <w:r w:rsidRPr="00C57C71">
        <w:t xml:space="preserve"> reliability</w:t>
      </w:r>
      <w:r>
        <w:fldChar w:fldCharType="begin"/>
      </w:r>
      <w:r w:rsidR="00286292">
        <w:instrText xml:space="preserve"> ADDIN ZOTERO_ITEM CSL_CITATION {"citationID":"3kR8mlfQ","properties":{"unsorted":false,"formattedCitation":"[180], [184]","plainCitation":"[180], [184]","noteIndex":0},"citationItems":[{"id":2175,"uris":["http://zotero.org/users/9870935/items/YE4EN6MK"],"itemData":{"id":2175,"type":"document","title":"2026 Annual Planning Outlook","URL":"https://www.ieso.ca/-/media/Files/IESO/Document-Library/planning-forecasts/apo/2026/2026-APO-Demand-Forecast-Module.pdf","author":[{"family":"IESO","given":""}]}},{"id":2196,"uris":["http://zotero.org/users/9870935/items/RLD3GZD9"],"itemData":{"id":2196,"type":"document","title":"Transmission Interconnection Roadmap","URL":"https://www.energy.gov/sites/default/files/2024-04/i2X%20Transmission%20Interconnection%20Roadmap.pdf","author":[{"literal":"i2X"}]}}],"schema":"https://github.com/citation-style-language/schema/raw/master/csl-citation.json"} </w:instrText>
      </w:r>
      <w:r>
        <w:fldChar w:fldCharType="separate"/>
      </w:r>
      <w:r w:rsidR="00286292" w:rsidRPr="00286292">
        <w:t>[180], [184]</w:t>
      </w:r>
      <w:r>
        <w:fldChar w:fldCharType="end"/>
      </w:r>
      <w:r w:rsidRPr="00C57C71">
        <w:t xml:space="preserve">.  </w:t>
      </w:r>
    </w:p>
    <w:p w14:paraId="0266571C" w14:textId="77777777" w:rsidR="00FE013C" w:rsidRPr="002108A4" w:rsidRDefault="00FE013C" w:rsidP="004C16FF">
      <w:pPr>
        <w:pStyle w:val="Heading20"/>
        <w:jc w:val="both"/>
      </w:pPr>
      <w:r w:rsidRPr="00E75DCC">
        <w:rPr>
          <w:color w:val="auto"/>
        </w:rPr>
        <w:t>1</w:t>
      </w:r>
      <w:r>
        <w:rPr>
          <w:color w:val="auto"/>
        </w:rPr>
        <w:t>2.6</w:t>
      </w:r>
      <w:r w:rsidRPr="00E75DCC">
        <w:rPr>
          <w:color w:val="auto"/>
        </w:rPr>
        <w:t xml:space="preserve"> </w:t>
      </w:r>
      <w:r>
        <w:t>Sustainability Certifications and Reporting</w:t>
      </w:r>
    </w:p>
    <w:p w14:paraId="2B286C58" w14:textId="37F54A3C" w:rsidR="00FE013C" w:rsidRDefault="00FE013C" w:rsidP="00286292">
      <w:pPr>
        <w:spacing w:after="120"/>
        <w:ind w:firstLine="480"/>
      </w:pPr>
      <w:r w:rsidRPr="002108A4">
        <w:t xml:space="preserve">Voluntary sustainability certifications are rapidly becoming regulatory compliance frameworks. Approximately 50,000 companies are subject to the European Union's Corporate Sustainability Reporting Directive (CSRD), which has introduced uniform reporting standards for Environmental, Social, and Governance (ESG) metrics. At the same time, the International Sustainability Standards Board (ISSB) has developed a global foundation for sustainability finance disclosures that has changed corporate accountability in S1 and S2 IFRS Sustainability-related financial disclosures.  As a result, multinational data </w:t>
      </w:r>
      <w:r w:rsidR="00580BAE">
        <w:t>center</w:t>
      </w:r>
      <w:r w:rsidRPr="002108A4">
        <w:t xml:space="preserve"> operators now need to gather and cross-validate granular data points across all their operational footprints and supply chains. Concerns regarding the digital industry's increasing environmental footprint have resulted in a comprehensive framework of EU laws and policy that seeks to build climate-neutral and energy-efficient data </w:t>
      </w:r>
      <w:r w:rsidR="00580BAE">
        <w:t>center</w:t>
      </w:r>
      <w:r w:rsidRPr="002108A4">
        <w:t>s by 2030. LEGACY Standards, such as LEED and ISO 50001 and the Uptime Institute's Tier Standard, are still significant benchmarks to use during operation, but are increasingly being incorporated into these higher-level compliance frameworks</w:t>
      </w:r>
      <w:r>
        <w:fldChar w:fldCharType="begin"/>
      </w:r>
      <w:r w:rsidR="00286292">
        <w:instrText xml:space="preserve"> ADDIN ZOTERO_ITEM CSL_CITATION {"citationID":"uVwMO1fa","properties":{"unsorted":false,"formattedCitation":"[176], [185]","plainCitation":"[176], [185]","noteIndex":0},"citationItems":[{"id":2256,"uris":["http://zotero.org/users/9870935/items/CYR5QZSI"],"itemData":{"id":2256,"type":"article-journal","container-title":"European Law Blog","DOI":"10.21428/9885764c.f93298cf","language":"en","source":"DOI.org (Crossref)","title":"Towards Planet-Proof Computing:Ten Key Elements EU Data Centre Sustainability Policy Should Take Onboard","title-short":"Towards Planet-Proof Computing","URL":"https://www.europeanlawblog.eu/pub/1jb3tzus","author":[{"family":"Commins","given":"Jessica"},{"family":"Irion","given":"Kristina"}],"accessed":{"date-parts":[["2026",6,14]]},"issued":{"date-parts":[["2025",3,18]]}}},{"id":2197,"uris":["http://zotero.org/users/9870935/items/53ICUFBJ"],"itemData":{"id":2197,"type":"article-journal","abstract":"Expanding ESG disclosure mandates under the Corporate Sustainability Reporting Directive (CSRD) and the International Sustainability Standards Board (ISSB) have driven rising demand for artificial intelligence (AI) and data analytics capable of supporting sustainability reporting and verification at scale. Nevertheless, the scholarly literature remains dispersed across discrete disciplinary fields—natural language processing, machine learning, auditing, and regulatory compliance—with limited integrative synthesis. To address this gap, the present study conducts a PRISMA 2020-compliant systematic review of 45 peer-reviewed articles indexed in Scopus and published between 2020 and 2025. The methodology combines bibliometric mapping through VOSviewer with qualitative thematic content analysis. Findings document a rapidly expanding field exhibiting a compound annual growth rate of 91.9%. Four principal thematic dimensions emerge: (i) NLP and text mining for ESG disclosure analysis; (ii) machine learning for ESG scoring and corporate performance; (iii) AI-enabled ESG assurance, auditing, and governance; and (iv) regulatory frameworks and the digital transformation of sustainability reporting. The evidence indicates that AI is progressively reshaping ESG disclosure from a largely narrative and self-reported practice into a data-driven, independently verifiable transparency system. These developments carry substantive implications for regulators, corporate practitioners, assurance providers, and investors seeking to strengthen the reliability and comparability of sustainability disclosures.","container-title":"Sustainability","DOI":"10.3390/su18115393","ISSN":"2071-1050","issue":"11","journalAbbreviation":"Sustainability","language":"en","page":"5393","source":"DOI.org (Crossref)","title":"AI and Data Analytics in Sustainable Financial Reporting and ESG Disclosure: A Systematic Literature Review","title-short":"AI and Data Analytics in Sustainable Financial Reporting and ESG Disclosure","volume":"18","author":[{"family":"Vilchez Olivares","given":"Percy Antonio"},{"family":"Astorga De La Cruz","given":"Brandelt Jesús"}],"issued":{"date-parts":[["2026",5,27]]}}}],"schema":"https://github.com/citation-style-language/schema/raw/master/csl-citation.json"} </w:instrText>
      </w:r>
      <w:r>
        <w:fldChar w:fldCharType="separate"/>
      </w:r>
      <w:r w:rsidR="00286292" w:rsidRPr="00286292">
        <w:t>[176], [185]</w:t>
      </w:r>
      <w:r>
        <w:fldChar w:fldCharType="end"/>
      </w:r>
      <w:r w:rsidRPr="002108A4">
        <w:t>.</w:t>
      </w:r>
    </w:p>
    <w:p w14:paraId="558776F0" w14:textId="7F1A6DDB" w:rsidR="00CA1249" w:rsidRDefault="00CA1249" w:rsidP="00CA1249">
      <w:pPr>
        <w:pStyle w:val="Heading1"/>
        <w:keepNext/>
        <w:jc w:val="both"/>
      </w:pPr>
      <w:r>
        <w:t>13. Limitation</w:t>
      </w:r>
    </w:p>
    <w:p w14:paraId="2F3CEABC" w14:textId="737FE69A" w:rsidR="006A6177" w:rsidRPr="006A6177" w:rsidRDefault="006A6177" w:rsidP="006A6177">
      <w:pPr>
        <w:spacing w:after="120"/>
        <w:ind w:firstLine="480"/>
        <w:rPr>
          <w:highlight w:val="yellow"/>
        </w:rPr>
      </w:pPr>
      <w:r w:rsidRPr="006A6177">
        <w:rPr>
          <w:highlight w:val="yellow"/>
        </w:rPr>
        <w:t>Several limitations have been considered, for example, when interpreting the results and applying the proposed methodology here it implies that this review gives a comprehensive framework to the planning, integration and operation of AI data centers powered by renewables.</w:t>
      </w:r>
    </w:p>
    <w:p w14:paraId="33061452" w14:textId="0CBEA213" w:rsidR="006A6177" w:rsidRPr="006A6177" w:rsidRDefault="006A6177" w:rsidP="006A6177">
      <w:pPr>
        <w:spacing w:after="120"/>
        <w:ind w:firstLine="480"/>
        <w:rPr>
          <w:highlight w:val="yellow"/>
        </w:rPr>
      </w:pPr>
      <w:proofErr w:type="gramStart"/>
      <w:r w:rsidRPr="006A6177">
        <w:rPr>
          <w:highlight w:val="yellow"/>
        </w:rPr>
        <w:t>First of all</w:t>
      </w:r>
      <w:proofErr w:type="gramEnd"/>
      <w:r w:rsidRPr="006A6177">
        <w:rPr>
          <w:highlight w:val="yellow"/>
        </w:rPr>
        <w:t xml:space="preserve">, the structure is built based on a systematic review of published literature, industry reports, existing standards, and easily accessible case studies, instead of a single operational site. Thus, the framework is to be taken as a decision support methodology that is not to be read as an engineering standard. The framework outlines key technical, economic, operational and sustainability factors but will leave room for further engineering studies at project level to be performed in </w:t>
      </w:r>
      <w:proofErr w:type="spellStart"/>
      <w:r w:rsidRPr="006A6177">
        <w:rPr>
          <w:highlight w:val="yellow"/>
        </w:rPr>
        <w:t>realising</w:t>
      </w:r>
      <w:proofErr w:type="spellEnd"/>
      <w:r w:rsidRPr="006A6177">
        <w:rPr>
          <w:highlight w:val="yellow"/>
        </w:rPr>
        <w:t xml:space="preserve"> these.</w:t>
      </w:r>
    </w:p>
    <w:p w14:paraId="281C107D" w14:textId="4B2699EC" w:rsidR="006A6177" w:rsidRPr="006A6177" w:rsidRDefault="006A6177" w:rsidP="006A6177">
      <w:pPr>
        <w:spacing w:after="120"/>
        <w:ind w:firstLine="480"/>
        <w:rPr>
          <w:highlight w:val="yellow"/>
        </w:rPr>
      </w:pPr>
      <w:r w:rsidRPr="006A6177">
        <w:rPr>
          <w:highlight w:val="yellow"/>
        </w:rPr>
        <w:t>Second, the proposed program requires several site-specific inputs such as renewable resource quality, electricity market conditions, interconnection availability, climate characteristics, water availability, and regulatory requirements. Consequently, the technology-selected, the storage requirements, the assured results, and the economic return can differ significantly from one location to another. The framework is, therefore, not an exhaustive set of design recommendations but an organized methodology for evaluating.</w:t>
      </w:r>
    </w:p>
    <w:p w14:paraId="486CBD9E" w14:textId="7F6CF593" w:rsidR="006A6177" w:rsidRPr="006A6177" w:rsidRDefault="006A6177" w:rsidP="006A6177">
      <w:pPr>
        <w:spacing w:after="120"/>
        <w:ind w:firstLine="480"/>
        <w:rPr>
          <w:highlight w:val="yellow"/>
        </w:rPr>
      </w:pPr>
      <w:r w:rsidRPr="006A6177">
        <w:rPr>
          <w:highlight w:val="yellow"/>
        </w:rPr>
        <w:t>Third, the technology-selection part deliberately does not recommend one specific optimum technology configuration. Installation of renewable-energy portfolios, storage technologies, backup systems and grid-support arrangements should be determined based on site-specific technical and economic information. The framework therefore does not ensure that the same technology mix will enjoy an advantage in each project, regardless of the shared reliability or sustainability goals.</w:t>
      </w:r>
    </w:p>
    <w:p w14:paraId="0937BDE4" w14:textId="71EF2BB7" w:rsidR="006A6177" w:rsidRPr="006A6177" w:rsidRDefault="006A6177" w:rsidP="006A6177">
      <w:pPr>
        <w:spacing w:after="120"/>
        <w:ind w:firstLine="480"/>
        <w:rPr>
          <w:highlight w:val="yellow"/>
        </w:rPr>
      </w:pPr>
      <w:r w:rsidRPr="006A6177">
        <w:rPr>
          <w:highlight w:val="yellow"/>
        </w:rPr>
        <w:t xml:space="preserve">Fourth, the economic analyses summarized in this review are mostly derived </w:t>
      </w:r>
      <w:proofErr w:type="gramStart"/>
      <w:r w:rsidRPr="006A6177">
        <w:rPr>
          <w:highlight w:val="yellow"/>
        </w:rPr>
        <w:t>from literature</w:t>
      </w:r>
      <w:proofErr w:type="gramEnd"/>
      <w:r w:rsidRPr="006A6177">
        <w:rPr>
          <w:highlight w:val="yellow"/>
        </w:rPr>
        <w:t xml:space="preserve"> referenced benchmarks, such as published capital-cost ranges, battery-storage prices, levelized cost </w:t>
      </w:r>
      <w:r w:rsidRPr="006A6177">
        <w:rPr>
          <w:highlight w:val="yellow"/>
        </w:rPr>
        <w:lastRenderedPageBreak/>
        <w:t xml:space="preserve">estimates, and electricity-market indicators. The uncertainties regarding these values apply to technology learning curves, supply-chain conditions, commodity prices, financing assumptions, tariff structure, inflation, change of tax policy, and regional market conditions. </w:t>
      </w:r>
      <w:proofErr w:type="gramStart"/>
      <w:r w:rsidRPr="006A6177">
        <w:rPr>
          <w:highlight w:val="yellow"/>
        </w:rPr>
        <w:t>Thus</w:t>
      </w:r>
      <w:proofErr w:type="gramEnd"/>
      <w:r w:rsidRPr="006A6177">
        <w:rPr>
          <w:highlight w:val="yellow"/>
        </w:rPr>
        <w:t xml:space="preserve"> it is wise that the economic outcomes here are treated as illustrative references rather than investment grade economic figures.</w:t>
      </w:r>
    </w:p>
    <w:p w14:paraId="56318F13" w14:textId="648F8BB3" w:rsidR="006A6177" w:rsidRPr="006A6177" w:rsidRDefault="006A6177" w:rsidP="006A6177">
      <w:pPr>
        <w:spacing w:after="120"/>
        <w:ind w:firstLine="480"/>
        <w:rPr>
          <w:highlight w:val="yellow"/>
        </w:rPr>
      </w:pPr>
      <w:r w:rsidRPr="006A6177">
        <w:rPr>
          <w:highlight w:val="yellow"/>
        </w:rPr>
        <w:t>Fifth, one of the most promising characteristics of the framework is the flexibility of workload; however, real-world considerations such as operation and commercialization limit that implementation. While these types of workloads may move to other timelines or other locations, the degree to which training, analytics, and batch-processing is flexible is determined by service-level agreements, data-residency needs, cyber security due diligence, model-development timelines, checkpointing capabilities, network delay, and customer expectations. Thus, theoretical flexibility potential in the framework must not be read as such being achievable in all cases.</w:t>
      </w:r>
    </w:p>
    <w:p w14:paraId="3CD5CCE1" w14:textId="0682D770" w:rsidR="006A6177" w:rsidRPr="006A6177" w:rsidRDefault="006A6177" w:rsidP="006A6177">
      <w:pPr>
        <w:spacing w:after="120"/>
        <w:ind w:firstLine="480"/>
        <w:rPr>
          <w:highlight w:val="yellow"/>
        </w:rPr>
      </w:pPr>
      <w:r w:rsidRPr="006A6177">
        <w:rPr>
          <w:highlight w:val="yellow"/>
        </w:rPr>
        <w:t>Sixth, according to the planning criterion, the reliability assessment is configured to 99.99% availability per year, and the adequacy is checked by Loss of Load Expectation (LOLE). These measures are common and are used for system planning, but they are not detailed enough to capture every aspect of the operational reliability. Equipment redundancy and common-mode failures, maintenance practices, protection-system design, fuel supply, cybersecurity events, extreme weather and the reliability of the upstream utility-system also affect the actual performance of facilities. Thus, a LOLE of acceptable values does not guarantee a specific operational uptime.</w:t>
      </w:r>
    </w:p>
    <w:p w14:paraId="34A251B7" w14:textId="533A8165" w:rsidR="006A6177" w:rsidRPr="006A6177" w:rsidRDefault="006A6177" w:rsidP="006A6177">
      <w:pPr>
        <w:spacing w:after="120"/>
        <w:ind w:firstLine="480"/>
        <w:rPr>
          <w:highlight w:val="yellow"/>
        </w:rPr>
      </w:pPr>
      <w:r w:rsidRPr="006A6177">
        <w:rPr>
          <w:highlight w:val="yellow"/>
        </w:rPr>
        <w:t xml:space="preserve">The seventh, sustainability assessment </w:t>
      </w:r>
      <w:proofErr w:type="gramStart"/>
      <w:r w:rsidRPr="006A6177">
        <w:rPr>
          <w:highlight w:val="yellow"/>
        </w:rPr>
        <w:t>includes and</w:t>
      </w:r>
      <w:proofErr w:type="gramEnd"/>
      <w:r w:rsidRPr="006A6177">
        <w:rPr>
          <w:highlight w:val="yellow"/>
        </w:rPr>
        <w:t xml:space="preserve"> reports on greenhouse gas emissions, renewable energy purchase, carbon-free energy matching, performance of the cooling system and water use; but the quality and amount of information on the environment varies between studies and organizations. A lot of metrics that hyperscale operators provide are published with or without disclosure - they might not reflect the whole narrative, </w:t>
      </w:r>
      <w:proofErr w:type="gramStart"/>
      <w:r w:rsidRPr="006A6177">
        <w:rPr>
          <w:highlight w:val="yellow"/>
        </w:rPr>
        <w:t>method, or</w:t>
      </w:r>
      <w:proofErr w:type="gramEnd"/>
      <w:r w:rsidRPr="006A6177">
        <w:rPr>
          <w:highlight w:val="yellow"/>
        </w:rPr>
        <w:t xml:space="preserve"> boundaries, certain assumptions, or verification practices. Therefore, it is essential to make comparisons cautiously between different organizations.</w:t>
      </w:r>
    </w:p>
    <w:p w14:paraId="07F349C8" w14:textId="1B6A2C84" w:rsidR="006A6177" w:rsidRPr="006A6177" w:rsidRDefault="006A6177" w:rsidP="006A6177">
      <w:pPr>
        <w:spacing w:after="120"/>
        <w:ind w:firstLine="480"/>
        <w:rPr>
          <w:highlight w:val="yellow"/>
        </w:rPr>
      </w:pPr>
      <w:r w:rsidRPr="006A6177">
        <w:rPr>
          <w:highlight w:val="yellow"/>
        </w:rPr>
        <w:t>Finally, Water Usage Effectiveness (WUE) and cooling-system factors are included, but the literature currently available is limited for implementing long-term interactions between the specific cooling systems in AI, renewable energy and water use, and climate resilience. Further research is needed to assess the trade-offs of energy efficiency, water usage, operational reliability and environmental impact over the life cycle.</w:t>
      </w:r>
    </w:p>
    <w:p w14:paraId="1EF88E90" w14:textId="14805C86" w:rsidR="006A6177" w:rsidRPr="006A6177" w:rsidRDefault="006A6177" w:rsidP="006A6177">
      <w:pPr>
        <w:spacing w:after="120"/>
        <w:ind w:firstLine="480"/>
        <w:rPr>
          <w:highlight w:val="yellow"/>
        </w:rPr>
      </w:pPr>
      <w:r w:rsidRPr="006A6177">
        <w:rPr>
          <w:highlight w:val="yellow"/>
        </w:rPr>
        <w:t>Ninth, the framework supports emerging technologies like long-duration energy storage, hydrogen systems, advanced cooling architectures, and 24/7 carbon-free energy procurement, but many of these technologies are in varying stages of commercialization. Technical and economic conclusions in this review could significantly change in the future as technology advances.</w:t>
      </w:r>
    </w:p>
    <w:p w14:paraId="7AB038FF" w14:textId="4081F278" w:rsidR="00CA1249" w:rsidRDefault="006A6177" w:rsidP="006A6177">
      <w:pPr>
        <w:spacing w:after="120"/>
        <w:ind w:firstLine="480"/>
      </w:pPr>
      <w:proofErr w:type="gramStart"/>
      <w:r w:rsidRPr="006A6177">
        <w:rPr>
          <w:highlight w:val="yellow"/>
        </w:rPr>
        <w:t>Last but not least</w:t>
      </w:r>
      <w:proofErr w:type="gramEnd"/>
      <w:r w:rsidRPr="006A6177">
        <w:rPr>
          <w:highlight w:val="yellow"/>
        </w:rPr>
        <w:t>, the AI and energy markets are undergoing significant change. Factors influencing the applicability of specific assumptions and benchmarks over time, such as changes to computing architectures, accelerator efficiency, cooling technology, electricity markets and carbon-accounting standards, renewable-energy costs, storage technologies, and regulatory frameworks. Valuation, based on the project's ongoing operation, and regular review and revision of the framework will therefore be required to ensure its relevance and accuracy.</w:t>
      </w:r>
    </w:p>
    <w:p w14:paraId="48D13507" w14:textId="67E579D5" w:rsidR="00FE013C" w:rsidRDefault="00FE013C" w:rsidP="004C16FF">
      <w:pPr>
        <w:pStyle w:val="Heading1"/>
        <w:keepNext/>
        <w:jc w:val="both"/>
      </w:pPr>
      <w:r>
        <w:lastRenderedPageBreak/>
        <w:t>1</w:t>
      </w:r>
      <w:r w:rsidR="00CA1249">
        <w:t>4</w:t>
      </w:r>
      <w:r>
        <w:t>. Conclusions</w:t>
      </w:r>
    </w:p>
    <w:p w14:paraId="1CEC1BD8" w14:textId="77777777" w:rsidR="00FE013C" w:rsidRPr="00F56D3B" w:rsidRDefault="00FE013C" w:rsidP="004C16FF">
      <w:pPr>
        <w:spacing w:after="120"/>
        <w:ind w:firstLine="480"/>
      </w:pPr>
      <w:r w:rsidRPr="00527524">
        <w:t>This review presents a seven-component framework for designing, deploying, and operating AI data centers powered by renewable energy. The framework integrates site assessment and resource evaluation, technology mix optimization, electrical architecture design, hierarchical control and dispatch strategies, demand-side workload flexibility, economic viability modeling, and sustainability and resilience compliance into a single unified methodology. This framework connects engineering, operational, financial, and regulatory considerations, whereas prior research primarily addressed either technical performance or economic feasibility in isolation. By placing renewable generation, energy storage, grid connection, and workload scheduling within one analytical structure, this framework provides a scalable, deployable path to reliable and cost-effective clean energy for AI computing infrastructure.</w:t>
      </w:r>
    </w:p>
    <w:p w14:paraId="28F50031" w14:textId="64656486" w:rsidR="00FE013C" w:rsidRDefault="00FE013C" w:rsidP="004C16FF">
      <w:pPr>
        <w:pStyle w:val="Heading20"/>
        <w:jc w:val="both"/>
      </w:pPr>
      <w:r w:rsidRPr="00E75DCC">
        <w:rPr>
          <w:color w:val="auto"/>
        </w:rPr>
        <w:t>1</w:t>
      </w:r>
      <w:r w:rsidR="00CA1249">
        <w:rPr>
          <w:color w:val="auto"/>
        </w:rPr>
        <w:t>4</w:t>
      </w:r>
      <w:r>
        <w:rPr>
          <w:color w:val="auto"/>
        </w:rPr>
        <w:t>.1</w:t>
      </w:r>
      <w:r w:rsidRPr="00E75DCC">
        <w:rPr>
          <w:color w:val="auto"/>
        </w:rPr>
        <w:t xml:space="preserve"> </w:t>
      </w:r>
      <w:r w:rsidRPr="007275B1">
        <w:t>Key Technical Findings</w:t>
      </w:r>
    </w:p>
    <w:p w14:paraId="66DBF886" w14:textId="3DE09E41" w:rsidR="00407699" w:rsidRPr="00407699" w:rsidRDefault="00FE013C" w:rsidP="00407699">
      <w:pPr>
        <w:spacing w:after="120"/>
        <w:ind w:firstLine="480"/>
        <w:rPr>
          <w:highlight w:val="yellow"/>
          <w:lang w:val="en-CA"/>
        </w:rPr>
      </w:pPr>
      <w:r w:rsidRPr="00E46991">
        <w:rPr>
          <w:highlight w:val="yellow"/>
        </w:rPr>
        <w:t xml:space="preserve">The cost trajectories of renewable energy and storage technologies are firmly established. Since 2010, solar PV installed costs have dropped by more than 90%, with current utility-scale prices in the range of $0.70 to $1.20/W depending on project scale and geography. Wind and solar generation profiles exhibit strong seasonal complementarity, improving system reliability while reducing storage requirements. </w:t>
      </w:r>
      <w:r w:rsidR="00F02BE4" w:rsidRPr="00E46991">
        <w:rPr>
          <w:highlight w:val="yellow"/>
          <w:lang w:val="en-CA"/>
        </w:rPr>
        <w:t>Geographic diversification and complementary renewable-resource portfolios can reduce aggregate renewable-generation variability and may decrease storage requirements compared with single-technology deployments. The magnitude of this benefit is location-specific and should be evaluated using chronological resource and load data</w:t>
      </w:r>
      <w:r w:rsidRPr="00E46991">
        <w:rPr>
          <w:highlight w:val="yellow"/>
        </w:rPr>
        <w:t xml:space="preserve">. Lithium iron phosphate (LFP) battery systems remain the dominant short-to-medium duration storage technology for data </w:t>
      </w:r>
      <w:r w:rsidR="00580BAE" w:rsidRPr="00E46991">
        <w:rPr>
          <w:highlight w:val="yellow"/>
        </w:rPr>
        <w:t>center</w:t>
      </w:r>
      <w:r w:rsidRPr="00E46991">
        <w:rPr>
          <w:highlight w:val="yellow"/>
        </w:rPr>
        <w:t xml:space="preserve"> applications. </w:t>
      </w:r>
      <w:r w:rsidR="00407699" w:rsidRPr="00407699">
        <w:rPr>
          <w:highlight w:val="yellow"/>
          <w:lang w:val="en-CA"/>
        </w:rPr>
        <w:t>The volume-weighted average lithium-ion battery-pack price declined to approximately USD 108/kWh in 2025. Continued cost reductions are anticipated as manufacturing scale and technology maturity increase; however, future cost trajectories remain uncertain and depend on technology development, supply-chain conditions, and market dynamics.</w:t>
      </w:r>
    </w:p>
    <w:p w14:paraId="776C5149" w14:textId="1FDA09AB" w:rsidR="00FE013C" w:rsidRPr="00CA1249" w:rsidRDefault="00FE013C" w:rsidP="00407699">
      <w:pPr>
        <w:spacing w:after="120"/>
        <w:ind w:firstLine="480"/>
        <w:rPr>
          <w:color w:val="auto"/>
        </w:rPr>
      </w:pPr>
      <w:r w:rsidRPr="00E75DCC">
        <w:rPr>
          <w:color w:val="auto"/>
        </w:rPr>
        <w:t>1</w:t>
      </w:r>
      <w:r w:rsidR="00CA1249">
        <w:rPr>
          <w:color w:val="auto"/>
        </w:rPr>
        <w:t>4</w:t>
      </w:r>
      <w:r>
        <w:rPr>
          <w:color w:val="auto"/>
        </w:rPr>
        <w:t>.2</w:t>
      </w:r>
      <w:r w:rsidRPr="00E75DCC">
        <w:rPr>
          <w:color w:val="auto"/>
        </w:rPr>
        <w:t xml:space="preserve"> </w:t>
      </w:r>
      <w:r w:rsidRPr="00CA1249">
        <w:rPr>
          <w:color w:val="auto"/>
        </w:rPr>
        <w:t>Key Economic Findings</w:t>
      </w:r>
    </w:p>
    <w:p w14:paraId="6D72B7AA" w14:textId="77777777" w:rsidR="0020794C" w:rsidRPr="0020794C" w:rsidRDefault="0020794C" w:rsidP="0020794C">
      <w:pPr>
        <w:spacing w:after="120"/>
        <w:ind w:firstLine="480"/>
        <w:rPr>
          <w:highlight w:val="yellow"/>
        </w:rPr>
      </w:pPr>
      <w:r w:rsidRPr="0020794C">
        <w:rPr>
          <w:highlight w:val="yellow"/>
        </w:rPr>
        <w:t>The economic attractiveness of renewable-powered AI data centers increasingly depends on local electricity prices, renewable-resource quality, financing conditions, storage requirements, interconnection costs, and applicable policy incentives. As these factors differ substantially among projects, financial outcomes should be evaluated through project-specific cash-flow analysis rather than generalized across facilities.</w:t>
      </w:r>
    </w:p>
    <w:p w14:paraId="2A002337" w14:textId="4FB9A0A0" w:rsidR="00FE013C" w:rsidRDefault="00FE013C" w:rsidP="004C16FF">
      <w:pPr>
        <w:pStyle w:val="Heading20"/>
        <w:jc w:val="both"/>
      </w:pPr>
      <w:r w:rsidRPr="00E75DCC">
        <w:rPr>
          <w:color w:val="auto"/>
        </w:rPr>
        <w:t>1</w:t>
      </w:r>
      <w:r w:rsidR="00CA1249">
        <w:rPr>
          <w:color w:val="auto"/>
        </w:rPr>
        <w:t>4</w:t>
      </w:r>
      <w:r>
        <w:rPr>
          <w:color w:val="auto"/>
        </w:rPr>
        <w:t>.3</w:t>
      </w:r>
      <w:r w:rsidRPr="00E75DCC">
        <w:rPr>
          <w:color w:val="auto"/>
        </w:rPr>
        <w:t xml:space="preserve"> </w:t>
      </w:r>
      <w:r w:rsidRPr="00B64FB3">
        <w:t>Implementation Recommendations</w:t>
      </w:r>
    </w:p>
    <w:p w14:paraId="717BFFCC" w14:textId="1FAC0689" w:rsidR="006216B7" w:rsidRPr="006216B7" w:rsidRDefault="006216B7" w:rsidP="004C16FF">
      <w:pPr>
        <w:spacing w:after="120"/>
        <w:ind w:firstLine="480"/>
        <w:rPr>
          <w:highlight w:val="yellow"/>
        </w:rPr>
      </w:pPr>
      <w:r w:rsidRPr="006216B7">
        <w:rPr>
          <w:highlight w:val="yellow"/>
        </w:rPr>
        <w:t xml:space="preserve">Probabilistic storage sizing methodologies like Loss of Load Expectation (LOLE) are suggested over deterministic worst case storage sizing methodologies for operators with middle consumption sizes (10 to 100 MW), as these techniques </w:t>
      </w:r>
      <w:proofErr w:type="gramStart"/>
      <w:r w:rsidRPr="006216B7">
        <w:rPr>
          <w:highlight w:val="yellow"/>
        </w:rPr>
        <w:t>take into account</w:t>
      </w:r>
      <w:proofErr w:type="gramEnd"/>
      <w:r w:rsidRPr="006216B7">
        <w:rPr>
          <w:highlight w:val="yellow"/>
        </w:rPr>
        <w:t xml:space="preserve"> the variability of renewable resources, internal uncertainties, and reliability requirements. Geographic load-balancing and multi-regional renewables procurement needs to be considered at the outset of planning for hyperscale facilities larger than 100 MW. Deploying distributed renewable portfolios and coordinating workload allocation can provide operational flexibility and lower aggregate renewable generation variability, though this </w:t>
      </w:r>
      <w:r w:rsidRPr="006216B7">
        <w:rPr>
          <w:highlight w:val="yellow"/>
        </w:rPr>
        <w:lastRenderedPageBreak/>
        <w:t>storage benefit comes with project-specific factors influencing resource complementarity, transmission availability, workload properties, and possible operational constraints.</w:t>
      </w:r>
    </w:p>
    <w:p w14:paraId="434F0A2E" w14:textId="753B7FF3" w:rsidR="00FE013C" w:rsidRPr="00F56D3B" w:rsidRDefault="00FE013C" w:rsidP="004C16FF">
      <w:pPr>
        <w:pStyle w:val="Heading1"/>
        <w:keepNext/>
        <w:jc w:val="both"/>
        <w:rPr>
          <w:lang w:val="en-US"/>
        </w:rPr>
      </w:pPr>
      <w:r>
        <w:t>1</w:t>
      </w:r>
      <w:r w:rsidR="00CA1249">
        <w:t>5</w:t>
      </w:r>
      <w:r>
        <w:t>. Future Research Directions and Emerging Technologies</w:t>
      </w:r>
    </w:p>
    <w:p w14:paraId="4A464C65" w14:textId="3A4A9EE6" w:rsidR="00FE013C" w:rsidRDefault="00FE013C" w:rsidP="004C16FF">
      <w:pPr>
        <w:spacing w:after="120"/>
        <w:ind w:firstLine="480"/>
      </w:pPr>
      <w:r>
        <w:t xml:space="preserve">This section identifies unresolved research questions and next-generation technologies that will shape the evolution of renewable-powered data </w:t>
      </w:r>
      <w:r w:rsidR="00580BAE">
        <w:t>center</w:t>
      </w:r>
      <w:r>
        <w:t>s in the coming decade and beyond. The analysis distinguishes between near-term opportunities (1–5 years), medium-term developments (5–10 years), and long-term transformations (10+ years).</w:t>
      </w:r>
    </w:p>
    <w:p w14:paraId="05ED95B0" w14:textId="0793E41D" w:rsidR="00FE013C" w:rsidRPr="00035D77" w:rsidRDefault="00FE013C" w:rsidP="004C16FF">
      <w:pPr>
        <w:pStyle w:val="Heading20"/>
        <w:jc w:val="both"/>
        <w:rPr>
          <w:color w:val="auto"/>
        </w:rPr>
      </w:pPr>
      <w:bookmarkStart w:id="7" w:name="_Toc100090"/>
      <w:r w:rsidRPr="00035D77">
        <w:rPr>
          <w:color w:val="auto"/>
        </w:rPr>
        <w:t>1</w:t>
      </w:r>
      <w:r w:rsidR="00CA1249">
        <w:rPr>
          <w:color w:val="auto"/>
        </w:rPr>
        <w:t>5</w:t>
      </w:r>
      <w:r w:rsidRPr="00035D77">
        <w:rPr>
          <w:color w:val="auto"/>
        </w:rPr>
        <w:t>.1 Next-Generation Computing Paradigms</w:t>
      </w:r>
      <w:bookmarkEnd w:id="7"/>
    </w:p>
    <w:p w14:paraId="06942FFF" w14:textId="225636AA" w:rsidR="00FE013C" w:rsidRDefault="00FE013C" w:rsidP="00286292">
      <w:pPr>
        <w:spacing w:after="120"/>
        <w:ind w:firstLine="480"/>
      </w:pPr>
      <w:r>
        <w:t xml:space="preserve">Although quantum computing is not necessarily meant to out-compete classical GPUs in the AI training and inference space, it does come with its own set of energy demands. Current quantum processors are cryogenically cooled to near-absolute-zero (10-20 </w:t>
      </w:r>
      <w:r w:rsidR="004C1E8D">
        <w:t>millikelvin</w:t>
      </w:r>
      <w:r>
        <w:t>) and require 1-10 kW of cooling for every 10 qubits</w:t>
      </w:r>
      <w:r>
        <w:fldChar w:fldCharType="begin"/>
      </w:r>
      <w:r w:rsidR="00286292">
        <w:instrText xml:space="preserve"> ADDIN ZOTERO_ITEM CSL_CITATION {"citationID":"1crukupb","properties":{"unsorted":false,"formattedCitation":"[176]","plainCitation":"[176]","noteIndex":0},"citationItems":[{"id":2256,"uris":["http://zotero.org/users/9870935/items/CYR5QZSI"],"itemData":{"id":2256,"type":"article-journal","container-title":"European Law Blog","DOI":"10.21428/9885764c.f93298cf","language":"en","source":"DOI.org (Crossref)","title":"Towards Planet-Proof Computing:Ten Key Elements EU Data Centre Sustainability Policy Should Take Onboard","title-short":"Towards Planet-Proof Computing","URL":"https://www.europeanlawblog.eu/pub/1jb3tzus","author":[{"family":"Commins","given":"Jessica"},{"family":"Irion","given":"Kristina"}],"accessed":{"date-parts":[["2026",6,14]]},"issued":{"date-parts":[["2025",3,18]]}}}],"schema":"https://github.com/citation-style-language/schema/raw/master/csl-citation.json"} </w:instrText>
      </w:r>
      <w:r>
        <w:fldChar w:fldCharType="separate"/>
      </w:r>
      <w:r w:rsidR="00286292" w:rsidRPr="00286292">
        <w:t>[176]</w:t>
      </w:r>
      <w:r>
        <w:fldChar w:fldCharType="end"/>
      </w:r>
      <w:r>
        <w:t xml:space="preserve">. The overall energy impact of the data </w:t>
      </w:r>
      <w:r w:rsidR="00580BAE">
        <w:t>center</w:t>
      </w:r>
      <w:r>
        <w:t xml:space="preserve"> will be small; however, quantum operations require very stable power generation to avoid state decoherence.</w:t>
      </w:r>
    </w:p>
    <w:p w14:paraId="7E01FFCE" w14:textId="33320B88" w:rsidR="00FE013C" w:rsidRDefault="00FE013C" w:rsidP="00286292">
      <w:pPr>
        <w:spacing w:after="120"/>
        <w:ind w:firstLine="480"/>
      </w:pPr>
      <w:r>
        <w:t>Neuromorphic computing relies on spiking neural networks to replicate biological neural computation and could yield order-of-magnitude energy savings. Implementations of 'neuromorphic' architectures have shown as much as 100 times greater energy efficiency than state-of-the-art GPUs for certain pattern recognition applications that are event driven</w:t>
      </w:r>
      <w:r>
        <w:fldChar w:fldCharType="begin"/>
      </w:r>
      <w:r w:rsidR="00286292">
        <w:instrText xml:space="preserve"> ADDIN ZOTERO_ITEM CSL_CITATION {"citationID":"nhFiMoUD","properties":{"unsorted":false,"formattedCitation":"[186]","plainCitation":"[186]","noteIndex":0},"citationItems":[{"id":2203,"uris":["http://zotero.org/users/9870935/items/FURGV6FQ"],"itemData":{"id":2203,"type":"article-journal","container-title":"Nature Computational Science","DOI":"10.1038/s43588-021-00184-y","ISSN":"2662-8457","issue":"1","journalAbbreviation":"Nat Comput Sci","language":"en","page":"10-19","source":"DOI.org (Crossref)","title":"Opportunities for neuromorphic computing algorithms and applications","volume":"2","author":[{"family":"Schuman","given":"Catherine D."},{"family":"Kulkarni","given":"Shruti R."},{"family":"Parsa","given":"Maryam"},{"family":"Mitchell","given":"J. Parker"},{"family":"Date","given":"Prasanna"},{"family":"Kay","given":"Bill"}],"issued":{"date-parts":[["2022",1,31]]}}}],"schema":"https://github.com/citation-style-language/schema/raw/master/csl-citation.json"} </w:instrText>
      </w:r>
      <w:r>
        <w:fldChar w:fldCharType="separate"/>
      </w:r>
      <w:r w:rsidR="00286292" w:rsidRPr="00286292">
        <w:t>[186]</w:t>
      </w:r>
      <w:r>
        <w:fldChar w:fldCharType="end"/>
      </w:r>
      <w:r>
        <w:t>. Yet, a less-developed software ecosystem and the inability of dominant models based on transformers to support the DGX ecosystem of neuromorphic training approaches have stood as an obstacle to widespread adoption.</w:t>
      </w:r>
    </w:p>
    <w:p w14:paraId="2DBF8E8D" w14:textId="1BAFD0F6" w:rsidR="00FE013C" w:rsidRDefault="00FE013C" w:rsidP="00286292">
      <w:pPr>
        <w:spacing w:after="120"/>
        <w:ind w:firstLine="480"/>
      </w:pPr>
      <w:r>
        <w:t>Photonic (optical) computing and interconnects represent the most imminent paradigm shift for AI energy reduction. An increasing number of photonic interconnects are available commercially and help to solve the serious power constraint problem of copper wiring for GPU clusters by scaling down the energy per bit needed for data communication by one order of magnitude. In addition, analogue optical computing processors have demonstrated a level of inference that is greater than 160 TOPS/W (trillion operations per second per watt) in laboratories</w:t>
      </w:r>
      <w:r>
        <w:fldChar w:fldCharType="begin"/>
      </w:r>
      <w:r w:rsidR="00286292">
        <w:instrText xml:space="preserve"> ADDIN ZOTERO_ITEM CSL_CITATION {"citationID":"ZGhHTglV","properties":{"unsorted":false,"formattedCitation":"[187]","plainCitation":"[187]","noteIndex":0},"citationItems":[{"id":2207,"uris":["http://zotero.org/users/9870935/items/7C2QV3UH"],"itemData":{"id":2207,"type":"article-journal","abstract":"Panel-scale reconfigurable photonic interconnects on a glass substrate up to 500-mm × 500-mm or larger are envisioned by proposing a novel photonic switch fabric that enables all directional panel-edgeto-panel-edge reach without the need for active repeaters while offering high communication bandwidth, planar-direction reconfigurability, low energy consumption, and compelling data bandwidth density for heterogeneous integration of an in-package AI computing system on a single glass-substrate photonic interposer exceeding thousands of centimeters square. The proposed approach focuses on reconfigurable photonic interconnects, which are integration-compatible with commercial processor chiplets and 3D highbandwidth memory (HBM) stacks on a large-area glass substrate, to create a novel panel-scale heterogeneously integrated interposer or package enabling low-energy and high-capacity wavelengthdivision-multiplexing (WDM) optical data links using advanced high-speed optical modulators, broadband photodetectors, novel optical crossbar switches with multi-layer waveguides, and in-package frequency comb sources.","language":"en","source":"Zotero","title":"Panel-Scale Reconfigurable Photonic Interconnects for Scalable AI Computation","author":[{"family":"Hsueh","given":"Tzu-Chien"}]}}],"schema":"https://github.com/citation-style-language/schema/raw/master/csl-citation.json"} </w:instrText>
      </w:r>
      <w:r>
        <w:fldChar w:fldCharType="separate"/>
      </w:r>
      <w:r w:rsidR="00286292" w:rsidRPr="00286292">
        <w:t>[187]</w:t>
      </w:r>
      <w:r>
        <w:fldChar w:fldCharType="end"/>
      </w:r>
      <w:r>
        <w:t>.</w:t>
      </w:r>
    </w:p>
    <w:p w14:paraId="28CC95DC" w14:textId="34481DFB" w:rsidR="00FE013C" w:rsidRPr="00131821" w:rsidRDefault="00FE013C" w:rsidP="004C16FF">
      <w:pPr>
        <w:pStyle w:val="Heading20"/>
        <w:jc w:val="both"/>
        <w:rPr>
          <w:color w:val="auto"/>
        </w:rPr>
      </w:pPr>
      <w:r w:rsidRPr="00131821">
        <w:rPr>
          <w:color w:val="auto"/>
        </w:rPr>
        <w:t>1</w:t>
      </w:r>
      <w:r w:rsidR="00CA1249">
        <w:rPr>
          <w:color w:val="auto"/>
        </w:rPr>
        <w:t>5</w:t>
      </w:r>
      <w:r w:rsidRPr="00131821">
        <w:rPr>
          <w:color w:val="auto"/>
        </w:rPr>
        <w:t>.2 Advanced Energy Storage Technologies</w:t>
      </w:r>
    </w:p>
    <w:p w14:paraId="4B9DDC35" w14:textId="1AE90573" w:rsidR="00FE013C" w:rsidRDefault="00FE013C" w:rsidP="00286292">
      <w:pPr>
        <w:spacing w:after="120"/>
        <w:ind w:firstLine="480"/>
      </w:pPr>
      <w:r>
        <w:t xml:space="preserve">A near-term possible improvement for high-density, low-footprint energy storage is solid-state and lithium-metal batteries, which promise 2–3 times the energy density of today's lithium-ion batteries. </w:t>
      </w:r>
      <w:r w:rsidR="004C1E8D">
        <w:t>Commercialization</w:t>
      </w:r>
      <w:r>
        <w:t xml:space="preserve"> for stationary storage applications is now moving rapidly, and stationary pricing is expected to reach parity with LFP chemistries by the end of the decade</w:t>
      </w:r>
      <w:r>
        <w:fldChar w:fldCharType="begin"/>
      </w:r>
      <w:r w:rsidR="00286292">
        <w:instrText xml:space="preserve"> ADDIN ZOTERO_ITEM CSL_CITATION {"citationID":"AOjUg4op","properties":{"unsorted":false,"formattedCitation":"[188]","plainCitation":"[188]","noteIndex":0},"citationItems":[{"id":2208,"uris":["http://zotero.org/users/9870935/items/29T75H2K"],"itemData":{"id":2208,"type":"article-journal","container-title":"Electrochemical Energy Reviews","DOI":"10.1007/s41918-018-0022-z","ISSN":"2520-8489, 2520-8136","issue":"1","journalAbbreviation":"Electrochem. Energ. Rev.","language":"en","page":"1-28","source":"DOI.org (Crossref)","title":"Automotive Li-Ion Batteries: Current Status and Future Perspectives","title-short":"Automotive Li-Ion Batteries","volume":"2","author":[{"family":"Ding","given":"Yuanli"},{"family":"Cano","given":"Zachary P."},{"family":"Yu","given":"Aiping"},{"family":"Lu","given":"Jun"},{"family":"Chen","given":"Zhongwei"}],"issued":{"date-parts":[["2019",3]]}}}],"schema":"https://github.com/citation-style-language/schema/raw/master/csl-citation.json"} </w:instrText>
      </w:r>
      <w:r>
        <w:fldChar w:fldCharType="separate"/>
      </w:r>
      <w:r w:rsidR="00286292" w:rsidRPr="00286292">
        <w:t>[188]</w:t>
      </w:r>
      <w:r>
        <w:fldChar w:fldCharType="end"/>
      </w:r>
      <w:r>
        <w:t>.</w:t>
      </w:r>
    </w:p>
    <w:p w14:paraId="0215BB71" w14:textId="2D2997AE" w:rsidR="00FE013C" w:rsidRPr="002108A4" w:rsidRDefault="00FE013C" w:rsidP="001B74A6">
      <w:pPr>
        <w:spacing w:after="120"/>
        <w:ind w:firstLine="480"/>
      </w:pPr>
      <w:r>
        <w:t>Form Energy's iron air battery technology moved from pilot projects to gigawatt-scale commercial production in 2026, which is critical for 24/7 carbon-free energy matching. Iron-air deployments are designed for multi-day storage time and a considerably lower cost than lithium-ion batteries, constituting a paradigm shift for</w:t>
      </w:r>
      <w:r w:rsidR="004C1E8D">
        <w:t xml:space="preserve"> data center </w:t>
      </w:r>
      <w:r>
        <w:t>that must span multi-day renewable energy deficits</w:t>
      </w:r>
      <w:r>
        <w:fldChar w:fldCharType="begin"/>
      </w:r>
      <w:r w:rsidR="001B74A6">
        <w:instrText xml:space="preserve"> ADDIN ZOTERO_ITEM CSL_CITATION {"citationID":"kXk4XAc1","properties":{"unsorted":false,"formattedCitation":"[121]","plainCitation":"[121]","noteIndex":0},"citationItems":[{"id":2210,"uris":["http://zotero.org/users/9870935/items/B883UNJW"],"itemData":{"id":2210,"type":"article-journal","container-title":"Journal of Energy Storage","DOI":"10.1016/j.est.2026.120679","ISSN":"2352152X","journalAbbreviation":"Journal of Energy Storage","language":"en","page":"120679","source":"DOI.org (Crossref)","title":"A comparison of long duration energy storage technologies based on levelized cost of storage","volume":"153","author":[{"family":"Friedel","given":"Leonhard"},{"family":"Grenz","given":"Jana"},{"family":"Hagist","given":"Christian"}],"issued":{"date-parts":[["2026",4]]}}}],"schema":"https://github.com/citation-style-language/schema/raw/master/csl-citation.json"} </w:instrText>
      </w:r>
      <w:r>
        <w:fldChar w:fldCharType="separate"/>
      </w:r>
      <w:r w:rsidR="001B74A6" w:rsidRPr="001B74A6">
        <w:t>[121]</w:t>
      </w:r>
      <w:r>
        <w:fldChar w:fldCharType="end"/>
      </w:r>
      <w:r>
        <w:t xml:space="preserve">. A low-carbon hydrogen source can provide seasonal storage times. Now, costs need to drop dramatically, from $2/kg to less than $1/kg, for economic viability in data </w:t>
      </w:r>
      <w:r w:rsidR="00580BAE">
        <w:t>center</w:t>
      </w:r>
      <w:r>
        <w:t xml:space="preserve"> backup </w:t>
      </w:r>
      <w:r>
        <w:lastRenderedPageBreak/>
        <w:t xml:space="preserve">applications—a long-term target of massive amounts of </w:t>
      </w:r>
      <w:r w:rsidR="004C1E8D">
        <w:t>electrolyze</w:t>
      </w:r>
      <w:r>
        <w:t xml:space="preserve"> scale-up and reductions in renewable electricity cost.</w:t>
      </w:r>
    </w:p>
    <w:p w14:paraId="16C49DE4" w14:textId="66B5DC1E" w:rsidR="00FE013C" w:rsidRDefault="00FE013C" w:rsidP="004C16FF">
      <w:pPr>
        <w:pStyle w:val="Heading20"/>
        <w:jc w:val="both"/>
      </w:pPr>
      <w:r w:rsidRPr="00131821">
        <w:rPr>
          <w:color w:val="auto"/>
        </w:rPr>
        <w:t>1</w:t>
      </w:r>
      <w:r w:rsidR="00CA1249">
        <w:rPr>
          <w:color w:val="auto"/>
        </w:rPr>
        <w:t>5</w:t>
      </w:r>
      <w:r w:rsidRPr="00131821">
        <w:rPr>
          <w:color w:val="auto"/>
        </w:rPr>
        <w:t>.</w:t>
      </w:r>
      <w:r>
        <w:rPr>
          <w:color w:val="auto"/>
        </w:rPr>
        <w:t>3</w:t>
      </w:r>
      <w:r w:rsidRPr="00131821">
        <w:rPr>
          <w:color w:val="auto"/>
        </w:rPr>
        <w:t xml:space="preserve"> </w:t>
      </w:r>
      <w:r>
        <w:t>AI and Machine Learning for Grid Optimization</w:t>
      </w:r>
    </w:p>
    <w:p w14:paraId="0FEA0462" w14:textId="3B2DE26A" w:rsidR="00FE013C" w:rsidRPr="00593464" w:rsidRDefault="00FE013C" w:rsidP="00286292">
      <w:pPr>
        <w:spacing w:after="120"/>
        <w:ind w:firstLine="480"/>
      </w:pPr>
      <w:r w:rsidRPr="00593464">
        <w:t xml:space="preserve">Machine learning is being applied in many ways across the grid, be it forecasting, real-time dispatch, or predictive maintenance. Technologies such as </w:t>
      </w:r>
      <w:proofErr w:type="spellStart"/>
      <w:r w:rsidRPr="00593464">
        <w:t>spatio</w:t>
      </w:r>
      <w:proofErr w:type="spellEnd"/>
      <w:r w:rsidRPr="00593464">
        <w:t>-temporal networks and transformer-based time-series models have been shown to boost the accuracy of solar and wind forecasts by 20–30% compared to traditional numerical weather prediction models</w:t>
      </w:r>
      <w:r>
        <w:fldChar w:fldCharType="begin"/>
      </w:r>
      <w:r w:rsidR="001B74A6">
        <w:instrText xml:space="preserve"> ADDIN ZOTERO_ITEM CSL_CITATION {"citationID":"IpOR4aDm","properties":{"unsorted":false,"formattedCitation":"[121]","plainCitation":"[121]","noteIndex":0},"citationItems":[{"id":2210,"uris":["http://zotero.org/users/9870935/items/B883UNJW"],"itemData":{"id":2210,"type":"article-journal","container-title":"Journal of Energy Storage","DOI":"10.1016/j.est.2026.120679","ISSN":"2352152X","journalAbbreviation":"Journal of Energy Storage","language":"en","page":"120679","source":"DOI.org (Crossref)","title":"A comparison of long duration energy storage technologies based on levelized cost of storage","volume":"153","author":[{"family":"Friedel","given":"Leonhard"},{"family":"Grenz","given":"Jana"},{"family":"Hagist","given":"Christian"}],"issued":{"date-parts":[["2026",4]]}}}],"schema":"https://github.com/citation-style-language/schema/raw/master/csl-citation.json"} </w:instrText>
      </w:r>
      <w:r>
        <w:fldChar w:fldCharType="separate"/>
      </w:r>
      <w:r w:rsidR="001B74A6" w:rsidRPr="001B74A6">
        <w:t>[121]</w:t>
      </w:r>
      <w:r>
        <w:fldChar w:fldCharType="end"/>
      </w:r>
      <w:r w:rsidRPr="00593464">
        <w:t xml:space="preserve">. Reinforcement learning (RL) agents are known to be highly effective in learning optimal policies for multi-microgrid dispatch, consistently outperforming conventional rule-based or purely deterministic approaches in complex multi-objective </w:t>
      </w:r>
      <w:r w:rsidR="004C1E8D" w:rsidRPr="00593464">
        <w:t>optimization</w:t>
      </w:r>
      <w:r w:rsidRPr="00593464">
        <w:t xml:space="preserve"> problems, while continuously interacting with simulated environments. Additionally, systems for predictive maintenance with applications based on anomaly detection algorithms on the edge can detect trends in insulation and mechanical degradation of equipment in substations at an early stage. This is proactive maintenance (before catastrophic fault) that can be scheduled and </w:t>
      </w:r>
      <w:r w:rsidR="004C1E8D" w:rsidRPr="00593464">
        <w:t>minimize</w:t>
      </w:r>
      <w:r w:rsidRPr="00593464">
        <w:t xml:space="preserve"> unplanned downtime in the facility. Developing autonomous grid control with AI is challenging because of the lack of ability to </w:t>
      </w:r>
      <w:r w:rsidR="004C1E8D" w:rsidRPr="00593464">
        <w:t>generalize</w:t>
      </w:r>
      <w:r w:rsidRPr="00593464">
        <w:t xml:space="preserve"> the models and provide guarantees over the training distribution, especially for high-impact, low-frequency extreme weather events</w:t>
      </w:r>
      <w:r>
        <w:fldChar w:fldCharType="begin"/>
      </w:r>
      <w:r w:rsidR="00286292">
        <w:instrText xml:space="preserve"> ADDIN ZOTERO_ITEM CSL_CITATION {"citationID":"rSU4U6il","properties":{"unsorted":false,"formattedCitation":"[189]","plainCitation":"[189]","noteIndex":0},"citationItems":[{"id":2212,"uris":["http://zotero.org/users/9870935/items/VXAENHHC"],"itemData":{"id":2212,"type":"article","abstract":"Safe Reinforcement Learning (SafeRL) is the subﬁeld of reinforcement learning that explicitly deals with safety constraints during the learning and deployment of agents. This survey provides a mathematically rigorous overview of SafeRL formulations based on Constrained Markov Decision Processes (CMDPs) and extensions to Multi-Agent Safe RL (SafeMARL). We review theoretical foundations of CMDPs, covering deﬁnitions, constrained optimization techniques, and fundamental theorems. We then summarize state-of-the-art algorithms in SafeRL for single agents, including policy gradient methods with safety guarantees and safe exploration strategies, as well as recent advances in SafeMARL for cooperative and competitive settings. Additionally, we propose ﬁve open research problems to advance the ﬁeld, with three focusing on SafeMARL. Each problem is described with motivation, key challenges, and related prior work. This survey is intended as a technical guide for researchers interested in SafeRL and SafeMARL, highlighting key concepts, methods, and open future research directions.","DOI":"10.48550/arXiv.2505.17342","language":"en","note":"arXiv:2505.17342 [cs.LG]","number":"arXiv:2505.17342","publisher":"arXiv","source":"arXiv.org","title":"A Survey of Safe Reinforcement Learning and Constrained MDPs: A Technical Survey on Single-Agent and Multi-Agent Safety","title-short":"A Survey of Safe Reinforcement Learning and Constrained MDPs","URL":"http://arxiv.org/abs/2505.17342","author":[{"family":"Kushwaha","given":"Ankita"},{"family":"Ravish","given":"Kiran"},{"family":"Lamba","given":"Preeti"},{"family":"Kumar","given":"Pawan"}],"accessed":{"date-parts":[["2026",6,6]]},"issued":{"date-parts":[["2026",4,29]]}}}],"schema":"https://github.com/citation-style-language/schema/raw/master/csl-citation.json"} </w:instrText>
      </w:r>
      <w:r>
        <w:fldChar w:fldCharType="separate"/>
      </w:r>
      <w:r w:rsidR="00286292" w:rsidRPr="00286292">
        <w:t>[189]</w:t>
      </w:r>
      <w:r>
        <w:fldChar w:fldCharType="end"/>
      </w:r>
      <w:r w:rsidRPr="00593464">
        <w:t>.</w:t>
      </w:r>
    </w:p>
    <w:p w14:paraId="1FB6D1D6" w14:textId="12CC9507" w:rsidR="00FE013C" w:rsidRPr="00593464" w:rsidRDefault="00FE013C" w:rsidP="004C16FF">
      <w:pPr>
        <w:pStyle w:val="Heading20"/>
        <w:jc w:val="both"/>
        <w:rPr>
          <w:color w:val="auto"/>
        </w:rPr>
      </w:pPr>
      <w:r w:rsidRPr="00593464">
        <w:rPr>
          <w:color w:val="auto"/>
        </w:rPr>
        <w:t>1</w:t>
      </w:r>
      <w:r w:rsidR="00CA1249">
        <w:rPr>
          <w:color w:val="auto"/>
        </w:rPr>
        <w:t>5</w:t>
      </w:r>
      <w:r w:rsidRPr="00593464">
        <w:rPr>
          <w:color w:val="auto"/>
        </w:rPr>
        <w:t>.4 Challenges for a 100 percent Renewable Grid</w:t>
      </w:r>
    </w:p>
    <w:p w14:paraId="439CB4FE" w14:textId="4D540729" w:rsidR="00FE013C" w:rsidRPr="00180502" w:rsidRDefault="00FE013C" w:rsidP="00286292">
      <w:pPr>
        <w:spacing w:after="120"/>
        <w:ind w:firstLine="480"/>
      </w:pPr>
      <w:r w:rsidRPr="00180502">
        <w:t>The structural stability challenges faced by power systems operating with a renewable penetration of more than 80</w:t>
      </w:r>
      <w:r>
        <w:t xml:space="preserve">% </w:t>
      </w:r>
      <w:r w:rsidRPr="00180502">
        <w:t>are qualitatively different from those faced by power systems operating in a traditional manner. Conventional thermal generation has been retired, leaving frequency nadir and rate of change of frequency (</w:t>
      </w:r>
      <w:proofErr w:type="spellStart"/>
      <w:r w:rsidRPr="00180502">
        <w:t>RoCoF</w:t>
      </w:r>
      <w:proofErr w:type="spellEnd"/>
      <w:r w:rsidRPr="00180502">
        <w:t xml:space="preserve">) dynamics as a significant challenge. In this operating environment, fast acting Inverter Based Resources (IBRs) with Grid-Forming Control (GFC) is required to provide synthetic inertia and help stabilize sub-second frequency deviations </w:t>
      </w:r>
      <w:r>
        <w:fldChar w:fldCharType="begin"/>
      </w:r>
      <w:r w:rsidR="00286292">
        <w:instrText xml:space="preserve"> ADDIN ZOTERO_ITEM CSL_CITATION {"citationID":"TKwvq3OP","properties":{"unsorted":false,"formattedCitation":"[177]","plainCitation":"[177]","noteIndex":0},"citationItems":[{"id":2214,"uris":["http://zotero.org/users/9870935/items/L3VF7GNN"],"itemData":{"id":2214,"type":"article-journal","abstract":"This study discusses synthetic inertia from the perspective of a transmission system operator and compares it to fast frequency response based on frequency deviation. A clear distinction of the meanings between these concepts is discussed, the basis of which is a description of their characteristics. A contribution and the purpose is the clarification of these concepts in addition to share the perspectives of a transmission system operator. The frequency response of a power system based on the Nordic system is examined for future scenarios with large amounts of wind power. Conclusions are drawn regarding the benefit of synthetic inertia compared with fast frequency response based on frequency deviation.","container-title":"IET Renewable Power Generation","DOI":"10.1049/iet-rpg.2017.0370","ISSN":"1752-1416, 1752-1424","issue":"5","journalAbbreviation":"IET Renewable Power Gen","language":"en","page":"507-514","source":"DOI.org (Crossref)","title":"Synthetic inertia versus fast frequency response: a definition","title-short":"Synthetic inertia versus fast frequency response","volume":"12","author":[{"family":"Eriksson","given":"Robert"},{"family":"Modig","given":"Niklas"},{"family":"Elkington","given":"Katherine"}],"issued":{"date-parts":[["2018",4]]}}}],"schema":"https://github.com/citation-style-language/schema/raw/master/csl-citation.json"} </w:instrText>
      </w:r>
      <w:r>
        <w:fldChar w:fldCharType="separate"/>
      </w:r>
      <w:r w:rsidR="00286292" w:rsidRPr="00286292">
        <w:t>[177]</w:t>
      </w:r>
      <w:r>
        <w:fldChar w:fldCharType="end"/>
      </w:r>
      <w:r w:rsidRPr="00180502">
        <w:t>.</w:t>
      </w:r>
    </w:p>
    <w:p w14:paraId="6DD83B3A" w14:textId="0D271D86" w:rsidR="00FE013C" w:rsidRPr="00180502" w:rsidRDefault="00FE013C" w:rsidP="00286292">
      <w:pPr>
        <w:spacing w:after="120"/>
        <w:ind w:firstLine="480"/>
      </w:pPr>
      <w:r w:rsidRPr="00180502">
        <w:t>Moreover, weak grid conditions, such as low system strength and low short circuit ratios (SCR), pose serious risks of control interaction and transient voltage instability when operating the equipment. With a growing number of deep generation oversupply and deep generation undersupply events, the system needs to be highly coordinated from the millisecond level of dynamic voltage support to seasonal energy storage dispatch</w:t>
      </w:r>
      <w:r>
        <w:fldChar w:fldCharType="begin"/>
      </w:r>
      <w:r w:rsidR="00286292">
        <w:instrText xml:space="preserve"> ADDIN ZOTERO_ITEM CSL_CITATION {"citationID":"g1phXAsO","properties":{"unsorted":false,"formattedCitation":"[179]","plainCitation":"[179]","noteIndex":0},"citationItems":[{"id":2189,"uris":["http://zotero.org/users/9870935/items/U4Y7SALQ"],"itemData":{"id":2189,"type":"article-journal","abstract":"The generator side of inverter-based resources (IBRs) interfaced with back-to-back converters is electrically decoupled from the grid. During electrical faults, grid-following IBRs behave as voltagedependent current sources due to grid code requirements and converter control. This paper presents NewtonRaphson formulations for estimating short-circuit currents from IBRs using novel power ﬂow modeling approaches to address voltage-dependent current sources. The work shows how to represent dq0 current injections, which are typically implemented in control architectures based on phase-locked loops. The power ﬂow formulations are adapted to capture grid codes with diﬀerent characteristics, such as the injection of negative-sequence currents during unbalanced faults. Comparisons against a ﬁeld-validated electromagnetic transients (EMT) model reveal mean absolute errors of less than 0.5% for the proposed approach when estimating steady-state short-circuit currents from type IV wind turbine generators under grid-following control.","container-title":"IEEE Open Access Journal of Power and Energy","DOI":"10.1109/OAJPE.2026.3673646","ISSN":"2687-7910","journalAbbreviation":"IEEE Open J. Power Energy","language":"en","license":"https://creativecommons.org/licenses/by/4.0/legalcode","page":"229-239","source":"DOI.org (Crossref)","title":"Power Flow-Based Estimation of Short-Circuit Currents From Inverter-Based Resources","volume":"13","author":[{"family":"Abritta","given":"Ramon"},{"family":"Guerreiro","given":"Gabriel M. G."},{"family":"Pavlov","given":"Alexey"},{"family":"Tore Børresen","given":"Børre"},{"family":"Tedeschi","given":"Elisabetta"},{"family":"Sharma","given":"Ranjan"},{"family":"Da Silva Junior","given":"Ivo C."}],"issued":{"date-parts":[["2026"]]}}}],"schema":"https://github.com/citation-style-language/schema/raw/master/csl-citation.json"} </w:instrText>
      </w:r>
      <w:r>
        <w:fldChar w:fldCharType="separate"/>
      </w:r>
      <w:r w:rsidR="00286292" w:rsidRPr="00286292">
        <w:t>[179]</w:t>
      </w:r>
      <w:r>
        <w:fldChar w:fldCharType="end"/>
      </w:r>
      <w:r w:rsidRPr="00180502">
        <w:t>.</w:t>
      </w:r>
    </w:p>
    <w:p w14:paraId="1B6520CD" w14:textId="3866FF3B" w:rsidR="00FE013C" w:rsidRDefault="00FE013C" w:rsidP="007D29E8">
      <w:pPr>
        <w:spacing w:after="120"/>
        <w:ind w:firstLine="480"/>
      </w:pPr>
      <w:r w:rsidRPr="00180502">
        <w:t xml:space="preserve">Unlike conventional loads, data </w:t>
      </w:r>
      <w:r w:rsidR="00580BAE">
        <w:t>center</w:t>
      </w:r>
      <w:r w:rsidRPr="00180502">
        <w:t xml:space="preserve">s can be used to stabilize low-inertia grids. They can run as "anchor loads" and help ensure financial certainty for new clean energy projects. At the same time, data </w:t>
      </w:r>
      <w:r w:rsidR="00580BAE">
        <w:t>center</w:t>
      </w:r>
      <w:r w:rsidRPr="00180502">
        <w:t>s can use their on-site battery energy storage systems (BESS) and flexible computing architectures to provide the balancing authority with much-needed frequency response (FR), primary frequency response (PFR), and automated demand response (ADR) services at speeds that can be as rapid as a few seconds or as instantaneous as a few milliseconds</w:t>
      </w:r>
      <w:r>
        <w:fldChar w:fldCharType="begin"/>
      </w:r>
      <w:r w:rsidR="007D29E8">
        <w:instrText xml:space="preserve"> ADDIN ZOTERO_ITEM CSL_CITATION {"citationID":"3pIrnlsx","properties":{"unsorted":false,"formattedCitation":"[116]","plainCitation":"[116]","noteIndex":0},"citationItems":[{"id":2215,"uris":["http://zotero.org/users/9870935/items/6KYBNJ5X"],"itemData":{"id":2215,"type":"article-journal","abstract":"Abstract\n            Recently, various distributed energy resources are significantly integrated into the modern power systems. This introduction of distributed energy resource‐rich systems can cause various power quality issues, due to their uncertainties and capacity variations. Therefore, it is crucial to establish energy balance between generation and demand to improve power system's reliability and stability and to minimize energy costs without sacrificing customers’ comfort or utility. In this regard, power system flexibility concept is highlighted as a robust and cost‐effective energy management system, especially on the demand side, to provide consumers’ demands with an acceptable level of power quality. Accordingly, here, a comprehensive review of recent developments in the power system flexibility and demand‐side management strategies and demand response programs are provided to include mainly classifications, estimation methods, distributed energy resource modelling approaches, infrastructure requirements, and applications. In addition, current research topics for applying power system flexibility solutions and demand‐side management strategies based on modern power system operation are deliberated. Also, prominent challenges, research trends, and future perspectives are discussed. Finally, this review article aims to be an appropriate reference for comprehensive research trends in the power system flexibility concept in general and in demand‐side management strategies and demand response programs, specifically.","container-title":"IET Generation, Transmission &amp; Distribution","DOI":"10.1049/gtd2.13204","ISSN":"1751-8687, 1751-8695","issue":"13","journalAbbreviation":"IET Generation Trans &amp;amp; Dist","language":"en","page":"2259-2300","source":"DOI.org (Crossref)","title":"Recent developments of demand‐side management towards flexible DER‐rich power systems: A systematic review","title-short":"Recent developments of demand‐side management towards flexible DER‐rich power systems","volume":"18","author":[{"family":"Mousa","given":"Hossam H. H."},{"family":"Mahmoud","given":"Karar"},{"family":"Lehtonen","given":"Matti"}],"issued":{"date-parts":[["2024",7]]}}}],"schema":"https://github.com/citation-style-language/schema/raw/master/csl-citation.json"} </w:instrText>
      </w:r>
      <w:r>
        <w:fldChar w:fldCharType="separate"/>
      </w:r>
      <w:r w:rsidR="007D29E8" w:rsidRPr="007D29E8">
        <w:t>[116]</w:t>
      </w:r>
      <w:r>
        <w:fldChar w:fldCharType="end"/>
      </w:r>
      <w:r w:rsidRPr="00180502">
        <w:t>.</w:t>
      </w:r>
    </w:p>
    <w:p w14:paraId="11A80E59" w14:textId="74FCC2A5" w:rsidR="00FE013C" w:rsidRPr="00593464" w:rsidRDefault="00FE013C" w:rsidP="004C16FF">
      <w:pPr>
        <w:pStyle w:val="Heading20"/>
        <w:jc w:val="both"/>
        <w:rPr>
          <w:color w:val="auto"/>
        </w:rPr>
      </w:pPr>
      <w:r w:rsidRPr="00593464">
        <w:rPr>
          <w:color w:val="auto"/>
        </w:rPr>
        <w:t>1</w:t>
      </w:r>
      <w:r w:rsidR="00CA1249">
        <w:rPr>
          <w:color w:val="auto"/>
        </w:rPr>
        <w:t>5</w:t>
      </w:r>
      <w:r w:rsidRPr="00593464">
        <w:rPr>
          <w:color w:val="auto"/>
        </w:rPr>
        <w:t>.</w:t>
      </w:r>
      <w:r>
        <w:rPr>
          <w:color w:val="auto"/>
        </w:rPr>
        <w:t>5</w:t>
      </w:r>
      <w:r w:rsidRPr="00593464">
        <w:rPr>
          <w:color w:val="auto"/>
        </w:rPr>
        <w:t xml:space="preserve"> </w:t>
      </w:r>
      <w:r>
        <w:t>Integration with Grid Modernization</w:t>
      </w:r>
    </w:p>
    <w:p w14:paraId="773B36CF" w14:textId="3F9422C5" w:rsidR="00FE013C" w:rsidRPr="00931E05" w:rsidRDefault="00FE013C" w:rsidP="00286292">
      <w:pPr>
        <w:spacing w:after="120"/>
        <w:ind w:firstLine="480"/>
      </w:pPr>
      <w:r w:rsidRPr="00931E05">
        <w:t xml:space="preserve">Smart grid technologies, including advanced distribution automation, </w:t>
      </w:r>
      <w:r w:rsidR="004C1E8D" w:rsidRPr="00931E05">
        <w:t>localized</w:t>
      </w:r>
      <w:r w:rsidRPr="00931E05">
        <w:t xml:space="preserve"> microgrid designs, and power bidirectionality, are creating fertile ground for deep data </w:t>
      </w:r>
      <w:r w:rsidR="00580BAE">
        <w:t>center</w:t>
      </w:r>
      <w:r w:rsidRPr="00931E05">
        <w:t xml:space="preserve"> integration. </w:t>
      </w:r>
      <w:r w:rsidR="004C1E8D" w:rsidRPr="00931E05">
        <w:t>Optimized</w:t>
      </w:r>
      <w:r w:rsidRPr="00931E05">
        <w:t xml:space="preserve"> vehicle-to-grid (V2G) multi-facility aggregation could decrease a data </w:t>
      </w:r>
      <w:r w:rsidR="00580BAE">
        <w:t>center</w:t>
      </w:r>
      <w:r w:rsidRPr="00931E05">
        <w:t xml:space="preserve"> 's stationary battery footprint by 30–50</w:t>
      </w:r>
      <w:r>
        <w:t>%</w:t>
      </w:r>
      <w:r w:rsidRPr="00931E05">
        <w:t xml:space="preserve"> by using co-located vehicle fleet infrastructure facilities as a single energy </w:t>
      </w:r>
      <w:r w:rsidRPr="00931E05">
        <w:lastRenderedPageBreak/>
        <w:t xml:space="preserve">buffer. Another obvious </w:t>
      </w:r>
      <w:r w:rsidR="004C1E8D" w:rsidRPr="00931E05">
        <w:t>optimization</w:t>
      </w:r>
      <w:r w:rsidRPr="00931E05">
        <w:t xml:space="preserve"> path is thermal </w:t>
      </w:r>
      <w:r w:rsidR="004C1E8D" w:rsidRPr="00931E05">
        <w:t>modernization</w:t>
      </w:r>
      <w:r w:rsidRPr="00931E05">
        <w:t>. Hype</w:t>
      </w:r>
      <w:r>
        <w:t>r</w:t>
      </w:r>
      <w:r w:rsidRPr="00931E05">
        <w:t xml:space="preserve">scale facilities are quickly moving to liquid cooling loops to support high-density AI clusters and are rejecting high-grade waste heat, often </w:t>
      </w:r>
      <w:proofErr w:type="gramStart"/>
      <w:r w:rsidRPr="00931E05">
        <w:t>in excess of</w:t>
      </w:r>
      <w:proofErr w:type="gramEnd"/>
      <w:r w:rsidRPr="00931E05">
        <w:t xml:space="preserve"> 60°C. This increased temperature resource enables very effective integration with nearby municipal district heating or district cooling systems and/or adjacent industrial processes, resulting in a significant reduction in the comprehensive power usage effectiveness (PUE) and total resource effectiveness (TRE) of the facility</w:t>
      </w:r>
      <w:r>
        <w:fldChar w:fldCharType="begin"/>
      </w:r>
      <w:r w:rsidR="00286292">
        <w:instrText xml:space="preserve"> ADDIN ZOTERO_ITEM CSL_CITATION {"citationID":"Gz8clESV","properties":{"unsorted":false,"formattedCitation":"[190]","plainCitation":"[190]","noteIndex":0},"citationItems":[{"id":2216,"uris":["http://zotero.org/users/9870935/items/ZB9XVSAF"],"itemData":{"id":2216,"type":"article-journal","container-title":"Heliyon","DOI":"10.1016/j.heliyon.2024.e29087","ISSN":"24058440","issue":"7","journalAbbreviation":"Heliyon","language":"en","page":"e29087","source":"DOI.org (Crossref)","title":"Cost and environmental analysis and optimization of a new and green three-level waste heat recovery-based cogeneration cycle: A comparative study","title-short":"Cost and environmental analysis and optimization of a new and green three-level waste heat recovery-based cogeneration cycle","volume":"10","author":[{"family":"Nikafshan Rad","given":"Hima"},{"family":"Ghasemi","given":"Amir"},{"family":"Marefati","given":"Mohammad"}],"issued":{"date-parts":[["2024",4]]}}}],"schema":"https://github.com/citation-style-language/schema/raw/master/csl-citation.json"} </w:instrText>
      </w:r>
      <w:r>
        <w:fldChar w:fldCharType="separate"/>
      </w:r>
      <w:r w:rsidR="00286292" w:rsidRPr="00286292">
        <w:t>[190]</w:t>
      </w:r>
      <w:r>
        <w:fldChar w:fldCharType="end"/>
      </w:r>
      <w:r w:rsidRPr="00931E05">
        <w:t>.</w:t>
      </w:r>
    </w:p>
    <w:p w14:paraId="35B2922B" w14:textId="429BBD70" w:rsidR="00FE013C" w:rsidRPr="00593464" w:rsidRDefault="00FE013C" w:rsidP="004C16FF">
      <w:pPr>
        <w:pStyle w:val="Heading20"/>
        <w:jc w:val="both"/>
        <w:rPr>
          <w:color w:val="auto"/>
        </w:rPr>
      </w:pPr>
      <w:r w:rsidRPr="00593464">
        <w:rPr>
          <w:color w:val="auto"/>
        </w:rPr>
        <w:t>1</w:t>
      </w:r>
      <w:r w:rsidR="00CA1249">
        <w:rPr>
          <w:color w:val="auto"/>
        </w:rPr>
        <w:t>5</w:t>
      </w:r>
      <w:r w:rsidRPr="00593464">
        <w:rPr>
          <w:color w:val="auto"/>
        </w:rPr>
        <w:t>.</w:t>
      </w:r>
      <w:r>
        <w:rPr>
          <w:color w:val="auto"/>
        </w:rPr>
        <w:t>6</w:t>
      </w:r>
      <w:r w:rsidRPr="00593464">
        <w:rPr>
          <w:color w:val="auto"/>
        </w:rPr>
        <w:t xml:space="preserve"> </w:t>
      </w:r>
      <w:r>
        <w:t>Recommendations for Future Research</w:t>
      </w:r>
    </w:p>
    <w:p w14:paraId="1E9E55E9" w14:textId="09591719" w:rsidR="00FE013C" w:rsidRPr="00CE10B6" w:rsidRDefault="00FE013C" w:rsidP="004C16FF">
      <w:pPr>
        <w:pStyle w:val="ListParagraph"/>
        <w:numPr>
          <w:ilvl w:val="0"/>
          <w:numId w:val="7"/>
        </w:numPr>
        <w:spacing w:after="120"/>
      </w:pPr>
      <w:r>
        <w:rPr>
          <w:b/>
          <w:bCs/>
        </w:rPr>
        <w:t>Near</w:t>
      </w:r>
      <w:r w:rsidRPr="00B42D4C">
        <w:rPr>
          <w:b/>
          <w:bCs/>
        </w:rPr>
        <w:t>-Term Goals (</w:t>
      </w:r>
      <w:r>
        <w:rPr>
          <w:b/>
          <w:bCs/>
        </w:rPr>
        <w:t>1</w:t>
      </w:r>
      <w:r w:rsidRPr="00B42D4C">
        <w:rPr>
          <w:b/>
          <w:bCs/>
        </w:rPr>
        <w:t xml:space="preserve"> to </w:t>
      </w:r>
      <w:r>
        <w:rPr>
          <w:b/>
          <w:bCs/>
        </w:rPr>
        <w:t>5</w:t>
      </w:r>
      <w:r w:rsidRPr="00B42D4C">
        <w:rPr>
          <w:b/>
          <w:bCs/>
        </w:rPr>
        <w:t xml:space="preserve"> Years):</w:t>
      </w:r>
      <w:r w:rsidRPr="00CE10B6">
        <w:t xml:space="preserve"> Implement sub-hour 24/7 CFE tracking protocols in a standard way (using cryptographic granular certificates); </w:t>
      </w:r>
      <w:r w:rsidR="004C1E8D" w:rsidRPr="00CE10B6">
        <w:t>utilize</w:t>
      </w:r>
      <w:r w:rsidRPr="00CE10B6">
        <w:t xml:space="preserve"> the stability of the control loop in the grid-forming inverter (GFI) under low SCR conditions to validate the stability of the control loop within data </w:t>
      </w:r>
      <w:r w:rsidR="00580BAE">
        <w:t>center</w:t>
      </w:r>
      <w:r w:rsidRPr="00CE10B6">
        <w:t xml:space="preserve"> (DC) microgrids; and field-test AI-based workload shifting in correlation with local distribution constraint signals.</w:t>
      </w:r>
    </w:p>
    <w:p w14:paraId="3B52A0C4" w14:textId="5D99B1C0" w:rsidR="00FE013C" w:rsidRPr="00CE10B6" w:rsidRDefault="00FE013C" w:rsidP="004C16FF">
      <w:pPr>
        <w:pStyle w:val="ListParagraph"/>
        <w:numPr>
          <w:ilvl w:val="0"/>
          <w:numId w:val="7"/>
        </w:numPr>
        <w:spacing w:after="120"/>
      </w:pPr>
      <w:r w:rsidRPr="00B42D4C">
        <w:rPr>
          <w:b/>
          <w:bCs/>
        </w:rPr>
        <w:t>Medium-Term Priorities (5 to 10 years):</w:t>
      </w:r>
      <w:r w:rsidRPr="00CE10B6">
        <w:t xml:space="preserve"> Assess the ways in which LDES and LLAES assets can be scaled up for use in a seasonal manner for data </w:t>
      </w:r>
      <w:r w:rsidR="00580BAE">
        <w:t>center</w:t>
      </w:r>
      <w:r w:rsidRPr="00CE10B6">
        <w:t xml:space="preserve"> backup; determine the lifecycle degradation of LDES and LLAES assets when they are scaled up; identify multiple-party co-</w:t>
      </w:r>
      <w:r w:rsidR="004C1E8D" w:rsidRPr="00CE10B6">
        <w:t>optimization</w:t>
      </w:r>
      <w:r w:rsidRPr="00CE10B6">
        <w:t xml:space="preserve"> algorithms for cross-sector thermal coupling between liquid-cooled data </w:t>
      </w:r>
      <w:r w:rsidR="00580BAE">
        <w:t>center</w:t>
      </w:r>
      <w:r w:rsidRPr="00CE10B6">
        <w:t xml:space="preserve">s and district utility networks; and </w:t>
      </w:r>
      <w:r w:rsidR="004C1E8D" w:rsidRPr="00CE10B6">
        <w:t>characterize</w:t>
      </w:r>
      <w:r w:rsidRPr="00CE10B6">
        <w:t xml:space="preserve"> wide-area coordination challenges of multi-gigawatt data </w:t>
      </w:r>
      <w:r w:rsidR="00580BAE">
        <w:t>center</w:t>
      </w:r>
      <w:r w:rsidRPr="00CE10B6">
        <w:t xml:space="preserve"> clusters operating in 100 percent inverted-dominated grids.</w:t>
      </w:r>
    </w:p>
    <w:p w14:paraId="6BEE3FDD" w14:textId="77777777" w:rsidR="00FE013C" w:rsidRPr="00CE10B6" w:rsidRDefault="00FE013C" w:rsidP="004C16FF">
      <w:pPr>
        <w:pStyle w:val="ListParagraph"/>
        <w:numPr>
          <w:ilvl w:val="0"/>
          <w:numId w:val="7"/>
        </w:numPr>
        <w:spacing w:after="120"/>
      </w:pPr>
      <w:r w:rsidRPr="00B42D4C">
        <w:rPr>
          <w:b/>
          <w:bCs/>
        </w:rPr>
        <w:t>Medium-to long-term priorities (10+ years):</w:t>
      </w:r>
      <w:r w:rsidRPr="00CE10B6">
        <w:t xml:space="preserve"> Demonstrate the operational scalability of analogue optical and neuromorphic computing concepts for handling full production workloads for supporting AI training; validate the economic and logistical feasibility of large-scale green hydrogen ecosystems for providing multi-week, seasonal backup power using zero-emission energy; and develop plug-and-play standards for fully </w:t>
      </w:r>
      <w:proofErr w:type="spellStart"/>
      <w:r w:rsidRPr="00CE10B6">
        <w:t>decentralised</w:t>
      </w:r>
      <w:proofErr w:type="spellEnd"/>
      <w:r w:rsidRPr="00CE10B6">
        <w:t>, self-healing autonomous microgrids operating in island mode.</w:t>
      </w:r>
    </w:p>
    <w:p w14:paraId="2E14F81F" w14:textId="77777777" w:rsidR="00FE013C" w:rsidRDefault="00FE013C" w:rsidP="004C16FF">
      <w:pPr>
        <w:pStyle w:val="Heading10"/>
        <w:jc w:val="both"/>
        <w:rPr>
          <w:color w:val="auto"/>
        </w:rPr>
      </w:pPr>
      <w:r>
        <w:rPr>
          <w:color w:val="auto"/>
        </w:rPr>
        <w:t>References</w:t>
      </w:r>
    </w:p>
    <w:p w14:paraId="0A4A8673" w14:textId="77777777" w:rsidR="00286292" w:rsidRDefault="00BB50D5" w:rsidP="00286292">
      <w:pPr>
        <w:pStyle w:val="Bibliography"/>
      </w:pPr>
      <w:r>
        <w:rPr>
          <w:color w:val="auto"/>
        </w:rPr>
        <w:fldChar w:fldCharType="begin"/>
      </w:r>
      <w:r w:rsidR="007F0967">
        <w:rPr>
          <w:color w:val="auto"/>
        </w:rPr>
        <w:instrText xml:space="preserve"> ADDIN ZOTERO_BIBL {"uncited":[],"omitted":[],"custom":[]} CSL_BIBLIOGRAPHY </w:instrText>
      </w:r>
      <w:r>
        <w:rPr>
          <w:color w:val="auto"/>
        </w:rPr>
        <w:fldChar w:fldCharType="separate"/>
      </w:r>
      <w:r w:rsidR="00286292">
        <w:t>[1]</w:t>
      </w:r>
      <w:r w:rsidR="00286292">
        <w:tab/>
        <w:t xml:space="preserve">IEA, “Data </w:t>
      </w:r>
      <w:proofErr w:type="spellStart"/>
      <w:r w:rsidR="00286292">
        <w:t>Centres</w:t>
      </w:r>
      <w:proofErr w:type="spellEnd"/>
      <w:r w:rsidR="00286292">
        <w:t xml:space="preserve"> and Data Transmission Networks.” [Online]. Available: https://www.iea.org/energy-system/buildings/data-centres-and-data-transmission-networks</w:t>
      </w:r>
    </w:p>
    <w:p w14:paraId="68149DA0" w14:textId="77777777" w:rsidR="00286292" w:rsidRDefault="00286292" w:rsidP="00286292">
      <w:pPr>
        <w:pStyle w:val="Bibliography"/>
      </w:pPr>
      <w:r>
        <w:t>[2]</w:t>
      </w:r>
      <w:r>
        <w:tab/>
        <w:t xml:space="preserve">A. Shehabi </w:t>
      </w:r>
      <w:r>
        <w:rPr>
          <w:i/>
          <w:iCs/>
        </w:rPr>
        <w:t>et al.</w:t>
      </w:r>
      <w:r>
        <w:t xml:space="preserve">, “United States Data Center Energy Usage Report,” LBNL--1005775, 1372902, Jun. 2016. </w:t>
      </w:r>
      <w:proofErr w:type="spellStart"/>
      <w:r>
        <w:t>doi</w:t>
      </w:r>
      <w:proofErr w:type="spellEnd"/>
      <w:r>
        <w:t>: 10.2172/1372902.</w:t>
      </w:r>
    </w:p>
    <w:p w14:paraId="79EFF7A3" w14:textId="77777777" w:rsidR="00286292" w:rsidRDefault="00286292" w:rsidP="00286292">
      <w:pPr>
        <w:pStyle w:val="Bibliography"/>
      </w:pPr>
      <w:r>
        <w:t>[3]</w:t>
      </w:r>
      <w:r>
        <w:tab/>
        <w:t>IEA, “Energy and AI.” Accessed: Apr. 10, 2025. [Online]. Available: https://www.iea.org/reports/energy-and-ai</w:t>
      </w:r>
    </w:p>
    <w:p w14:paraId="05FC135E" w14:textId="77777777" w:rsidR="00286292" w:rsidRDefault="00286292" w:rsidP="00286292">
      <w:pPr>
        <w:pStyle w:val="Bibliography"/>
      </w:pPr>
      <w:r>
        <w:t>[4]</w:t>
      </w:r>
      <w:r>
        <w:tab/>
        <w:t xml:space="preserve">D. Patterson </w:t>
      </w:r>
      <w:r>
        <w:rPr>
          <w:i/>
          <w:iCs/>
        </w:rPr>
        <w:t>et al.</w:t>
      </w:r>
      <w:r>
        <w:t xml:space="preserve">, “Carbon Emissions and Large Neural Network Training,” 2021, </w:t>
      </w:r>
      <w:proofErr w:type="spellStart"/>
      <w:r>
        <w:rPr>
          <w:i/>
          <w:iCs/>
        </w:rPr>
        <w:t>arXiv</w:t>
      </w:r>
      <w:proofErr w:type="spellEnd"/>
      <w:r>
        <w:t xml:space="preserve">. </w:t>
      </w:r>
      <w:proofErr w:type="spellStart"/>
      <w:r>
        <w:t>doi</w:t>
      </w:r>
      <w:proofErr w:type="spellEnd"/>
      <w:r>
        <w:t>: 10.48550/ARXIV.2104.10350.</w:t>
      </w:r>
    </w:p>
    <w:p w14:paraId="327FA709" w14:textId="77777777" w:rsidR="00286292" w:rsidRDefault="00286292" w:rsidP="00286292">
      <w:pPr>
        <w:pStyle w:val="Bibliography"/>
      </w:pPr>
      <w:r>
        <w:t>[5]</w:t>
      </w:r>
      <w:r>
        <w:tab/>
        <w:t xml:space="preserve">E. </w:t>
      </w:r>
      <w:proofErr w:type="spellStart"/>
      <w:r>
        <w:t>Strubell</w:t>
      </w:r>
      <w:proofErr w:type="spellEnd"/>
      <w:r>
        <w:t xml:space="preserve">, A. Ganesh, and A. McCallum, “Energy and Policy Considerations for Deep Learning in NLP,” 2019, </w:t>
      </w:r>
      <w:proofErr w:type="spellStart"/>
      <w:r>
        <w:rPr>
          <w:i/>
          <w:iCs/>
        </w:rPr>
        <w:t>arXiv</w:t>
      </w:r>
      <w:proofErr w:type="spellEnd"/>
      <w:r>
        <w:t xml:space="preserve">. </w:t>
      </w:r>
      <w:proofErr w:type="spellStart"/>
      <w:r>
        <w:t>doi</w:t>
      </w:r>
      <w:proofErr w:type="spellEnd"/>
      <w:r>
        <w:t>: 10.48550/ARXIV.1906.02243.</w:t>
      </w:r>
    </w:p>
    <w:p w14:paraId="6637CC59" w14:textId="77777777" w:rsidR="00286292" w:rsidRDefault="00286292" w:rsidP="00286292">
      <w:pPr>
        <w:pStyle w:val="Bibliography"/>
      </w:pPr>
      <w:r>
        <w:t>[6]</w:t>
      </w:r>
      <w:r>
        <w:tab/>
        <w:t xml:space="preserve">F. </w:t>
      </w:r>
      <w:proofErr w:type="spellStart"/>
      <w:r>
        <w:t>Jeanquartier</w:t>
      </w:r>
      <w:proofErr w:type="spellEnd"/>
      <w:r>
        <w:t xml:space="preserve"> </w:t>
      </w:r>
      <w:r>
        <w:rPr>
          <w:i/>
          <w:iCs/>
        </w:rPr>
        <w:t>et al.</w:t>
      </w:r>
      <w:r>
        <w:t xml:space="preserve">, “Assessing the carbon footprint of language models: Towards sustainability in AI,” </w:t>
      </w:r>
      <w:proofErr w:type="spellStart"/>
      <w:r>
        <w:rPr>
          <w:i/>
          <w:iCs/>
        </w:rPr>
        <w:t>Resour</w:t>
      </w:r>
      <w:proofErr w:type="spellEnd"/>
      <w:r>
        <w:rPr>
          <w:i/>
          <w:iCs/>
        </w:rPr>
        <w:t xml:space="preserve">. </w:t>
      </w:r>
      <w:proofErr w:type="spellStart"/>
      <w:r>
        <w:rPr>
          <w:i/>
          <w:iCs/>
        </w:rPr>
        <w:t>Conserv</w:t>
      </w:r>
      <w:proofErr w:type="spellEnd"/>
      <w:r>
        <w:rPr>
          <w:i/>
          <w:iCs/>
        </w:rPr>
        <w:t xml:space="preserve">. </w:t>
      </w:r>
      <w:proofErr w:type="spellStart"/>
      <w:r>
        <w:rPr>
          <w:i/>
          <w:iCs/>
        </w:rPr>
        <w:t>Recycl</w:t>
      </w:r>
      <w:proofErr w:type="spellEnd"/>
      <w:r>
        <w:rPr>
          <w:i/>
          <w:iCs/>
        </w:rPr>
        <w:t>.</w:t>
      </w:r>
      <w:r>
        <w:t xml:space="preserve">, vol. 226, p. 108670, Feb. 2026, </w:t>
      </w:r>
      <w:proofErr w:type="spellStart"/>
      <w:r>
        <w:t>doi</w:t>
      </w:r>
      <w:proofErr w:type="spellEnd"/>
      <w:r>
        <w:t>: 10.1016/j.resconrec.2025.108670.</w:t>
      </w:r>
    </w:p>
    <w:p w14:paraId="05A7687F" w14:textId="77777777" w:rsidR="00286292" w:rsidRDefault="00286292" w:rsidP="00286292">
      <w:pPr>
        <w:pStyle w:val="Bibliography"/>
      </w:pPr>
      <w:r>
        <w:lastRenderedPageBreak/>
        <w:t>[7]</w:t>
      </w:r>
      <w:r>
        <w:tab/>
        <w:t xml:space="preserve">J. Shi, Z. Yang, and D. Lo, “Efficient and Green Large Language Models for Software Engineering: Literature Review, Vision, and the Road Ahead,” Dec. 04, 2024, </w:t>
      </w:r>
      <w:proofErr w:type="spellStart"/>
      <w:r>
        <w:rPr>
          <w:i/>
          <w:iCs/>
        </w:rPr>
        <w:t>arXiv</w:t>
      </w:r>
      <w:proofErr w:type="spellEnd"/>
      <w:r>
        <w:t xml:space="preserve">: arXiv:2404.04566. </w:t>
      </w:r>
      <w:proofErr w:type="spellStart"/>
      <w:r>
        <w:t>doi</w:t>
      </w:r>
      <w:proofErr w:type="spellEnd"/>
      <w:r>
        <w:t>: 10.48550/arXiv.2404.04566.</w:t>
      </w:r>
    </w:p>
    <w:p w14:paraId="026094C6" w14:textId="77777777" w:rsidR="00286292" w:rsidRDefault="00286292" w:rsidP="00286292">
      <w:pPr>
        <w:pStyle w:val="Bibliography"/>
      </w:pPr>
      <w:r>
        <w:t>[8]</w:t>
      </w:r>
      <w:r>
        <w:tab/>
        <w:t xml:space="preserve">X. Chen, X. Wang, A. </w:t>
      </w:r>
      <w:proofErr w:type="spellStart"/>
      <w:r>
        <w:t>Colacelli</w:t>
      </w:r>
      <w:proofErr w:type="spellEnd"/>
      <w:r>
        <w:t xml:space="preserve">, M. Lee, and L. Xie, “Electricity Demand and Grid Impacts of AI Data Centers: Challenges and Prospects,” Nov. 26, 2025, </w:t>
      </w:r>
      <w:proofErr w:type="spellStart"/>
      <w:r>
        <w:rPr>
          <w:i/>
          <w:iCs/>
        </w:rPr>
        <w:t>arXiv</w:t>
      </w:r>
      <w:proofErr w:type="spellEnd"/>
      <w:r>
        <w:t xml:space="preserve">: arXiv:2509.07218. </w:t>
      </w:r>
      <w:proofErr w:type="spellStart"/>
      <w:r>
        <w:t>doi</w:t>
      </w:r>
      <w:proofErr w:type="spellEnd"/>
      <w:r>
        <w:t>: 10.48550/arXiv.2509.07218.</w:t>
      </w:r>
    </w:p>
    <w:p w14:paraId="4E383217" w14:textId="77777777" w:rsidR="00286292" w:rsidRDefault="00286292" w:rsidP="00286292">
      <w:pPr>
        <w:pStyle w:val="Bibliography"/>
      </w:pPr>
      <w:r>
        <w:t>[9]</w:t>
      </w:r>
      <w:r>
        <w:tab/>
        <w:t xml:space="preserve">D. Donnellan </w:t>
      </w:r>
      <w:r>
        <w:rPr>
          <w:i/>
          <w:iCs/>
        </w:rPr>
        <w:t>et al.</w:t>
      </w:r>
      <w:r>
        <w:t>, “Uptime Institute Global Data Center Survey 2024,” 2024, [Online]. Available: https://uptimeinstitute.com/resources/research-and-reports/uptime-institute-global-data-center-survey-results-2024</w:t>
      </w:r>
    </w:p>
    <w:p w14:paraId="5CE6851B" w14:textId="77777777" w:rsidR="00286292" w:rsidRDefault="00286292" w:rsidP="00286292">
      <w:pPr>
        <w:pStyle w:val="Bibliography"/>
      </w:pPr>
      <w:r>
        <w:t>[10]</w:t>
      </w:r>
      <w:r>
        <w:tab/>
        <w:t xml:space="preserve">M. Andersch </w:t>
      </w:r>
      <w:r>
        <w:rPr>
          <w:i/>
          <w:iCs/>
        </w:rPr>
        <w:t>et al.</w:t>
      </w:r>
      <w:r>
        <w:t>, “NVIDIA Hopper Architecture In-Depth”, [Online]. Available: https://developer.nvidia.com/blog/nvidia-hopper-architecture-in-depth/</w:t>
      </w:r>
    </w:p>
    <w:p w14:paraId="128D4B1B" w14:textId="77777777" w:rsidR="00286292" w:rsidRDefault="00286292" w:rsidP="00286292">
      <w:pPr>
        <w:pStyle w:val="Bibliography"/>
      </w:pPr>
      <w:r>
        <w:t>[11]</w:t>
      </w:r>
      <w:r>
        <w:tab/>
        <w:t xml:space="preserve">K. Calvin </w:t>
      </w:r>
      <w:r>
        <w:rPr>
          <w:i/>
          <w:iCs/>
        </w:rPr>
        <w:t>et al.</w:t>
      </w:r>
      <w:r>
        <w:t xml:space="preserve">, “IPCC, 2023: Climate Change 2023: Synthesis Report. Contribution of Working Groups I, II and III to the Sixth Assessment Report of the Intergovernmental Panel on Climate Change [Core Writing Team, H. Lee and J. Romero (eds.)]. IPCC, Geneva, Switzerland.,” Intergovernmental Panel on Climate Change (IPCC), Jul. 2023. </w:t>
      </w:r>
      <w:proofErr w:type="spellStart"/>
      <w:r>
        <w:t>doi</w:t>
      </w:r>
      <w:proofErr w:type="spellEnd"/>
      <w:r>
        <w:t>: 10.59327/IPCC/AR6-9789291691647.</w:t>
      </w:r>
    </w:p>
    <w:p w14:paraId="51870CAB" w14:textId="77777777" w:rsidR="00286292" w:rsidRDefault="00286292" w:rsidP="00286292">
      <w:pPr>
        <w:pStyle w:val="Bibliography"/>
      </w:pPr>
      <w:r>
        <w:t>[12]</w:t>
      </w:r>
      <w:r>
        <w:tab/>
        <w:t>“Driving sustainable innovation for society.” [Online]. Available: https://datacenters.google/operating-sustainably/</w:t>
      </w:r>
    </w:p>
    <w:p w14:paraId="44FDEF5C" w14:textId="77777777" w:rsidR="00286292" w:rsidRDefault="00286292" w:rsidP="00286292">
      <w:pPr>
        <w:pStyle w:val="Bibliography"/>
      </w:pPr>
      <w:r>
        <w:t>[13]</w:t>
      </w:r>
      <w:r>
        <w:tab/>
        <w:t xml:space="preserve">D. Feldman </w:t>
      </w:r>
      <w:r>
        <w:rPr>
          <w:i/>
          <w:iCs/>
        </w:rPr>
        <w:t>et al.</w:t>
      </w:r>
      <w:r>
        <w:t xml:space="preserve">, “Spring 2024 Solar Industry Update,” NREL/PR--7A40-90042, 2376145, MainId:91820, May 2024. </w:t>
      </w:r>
      <w:proofErr w:type="spellStart"/>
      <w:r>
        <w:t>doi</w:t>
      </w:r>
      <w:proofErr w:type="spellEnd"/>
      <w:r>
        <w:t>: 10.2172/2376145.</w:t>
      </w:r>
    </w:p>
    <w:p w14:paraId="5CD48432" w14:textId="77777777" w:rsidR="00286292" w:rsidRDefault="00286292" w:rsidP="00286292">
      <w:pPr>
        <w:pStyle w:val="Bibliography"/>
      </w:pPr>
      <w:r>
        <w:t>[14]</w:t>
      </w:r>
      <w:r>
        <w:tab/>
        <w:t>IRENA, “Renewable power generation costs in 2023”, [Online]. Available: https://www.irena.org/-/media/Files/IRENA/Agency/Publication/2024/Sep/IRENA_Renewable_power_generation_costs_in_2023.pdf</w:t>
      </w:r>
    </w:p>
    <w:p w14:paraId="5FE061F5" w14:textId="77777777" w:rsidR="00286292" w:rsidRDefault="00286292" w:rsidP="00286292">
      <w:pPr>
        <w:pStyle w:val="Bibliography"/>
      </w:pPr>
      <w:r>
        <w:t>[15]</w:t>
      </w:r>
      <w:r>
        <w:tab/>
        <w:t>IEA, “Wind.” Accessed: Feb. 25, 2025. [Online]. Available: https://www.iea.org/energy-system/renewables/wind</w:t>
      </w:r>
    </w:p>
    <w:p w14:paraId="3E1ACE25" w14:textId="77777777" w:rsidR="00286292" w:rsidRDefault="00286292" w:rsidP="00286292">
      <w:pPr>
        <w:pStyle w:val="Bibliography"/>
      </w:pPr>
      <w:r>
        <w:t>[16]</w:t>
      </w:r>
      <w:r>
        <w:tab/>
        <w:t>“Renewable power generation costs in 2024”, [Online]. Available: https://www.rinnovabili.it/wp-content/uploads/2025/07/IRENA-RENEWABLE-POWER-GENERATION-COSTS-IN-2024.pdf</w:t>
      </w:r>
    </w:p>
    <w:p w14:paraId="256328A0" w14:textId="77777777" w:rsidR="00286292" w:rsidRDefault="00286292" w:rsidP="00286292">
      <w:pPr>
        <w:pStyle w:val="Bibliography"/>
      </w:pPr>
      <w:r>
        <w:t>[17]</w:t>
      </w:r>
      <w:r>
        <w:tab/>
        <w:t>BNEF, “BNEF: Lithium-ion battery pack prices fall to $108/kWh, stationary storage becomes lowest price segment.” Accessed: Dec. 09, 2025. [Online]. Available: https://www.ess-news.com/2025/12/09/bnef-lithium-ion-battery-pack-prices-fall-to-108-kwh-stationary-storage-becomes-lowest-price-segment/</w:t>
      </w:r>
    </w:p>
    <w:p w14:paraId="681A4B07" w14:textId="77777777" w:rsidR="00286292" w:rsidRDefault="00286292" w:rsidP="00286292">
      <w:pPr>
        <w:pStyle w:val="Bibliography"/>
      </w:pPr>
      <w:r>
        <w:t>[18]</w:t>
      </w:r>
      <w:r>
        <w:tab/>
        <w:t xml:space="preserve">G. Song, B. Cao, and L. Chang, “Review of Grid-forming Inverters in Support of Power System Operation,” </w:t>
      </w:r>
      <w:r>
        <w:rPr>
          <w:i/>
          <w:iCs/>
        </w:rPr>
        <w:t xml:space="preserve">Chin. J. </w:t>
      </w:r>
      <w:proofErr w:type="spellStart"/>
      <w:r>
        <w:rPr>
          <w:i/>
          <w:iCs/>
        </w:rPr>
        <w:t>Electr</w:t>
      </w:r>
      <w:proofErr w:type="spellEnd"/>
      <w:r>
        <w:rPr>
          <w:i/>
          <w:iCs/>
        </w:rPr>
        <w:t>. Eng.</w:t>
      </w:r>
      <w:r>
        <w:t xml:space="preserve">, vol. 8, no. 1, pp. 1–15, Mar. 2022, </w:t>
      </w:r>
      <w:proofErr w:type="spellStart"/>
      <w:r>
        <w:t>doi</w:t>
      </w:r>
      <w:proofErr w:type="spellEnd"/>
      <w:r>
        <w:t>: 10.23919/CJEE.2022.000001.</w:t>
      </w:r>
    </w:p>
    <w:p w14:paraId="53BD41A1" w14:textId="77777777" w:rsidR="00286292" w:rsidRDefault="00286292" w:rsidP="00286292">
      <w:pPr>
        <w:pStyle w:val="Bibliography"/>
      </w:pPr>
      <w:r>
        <w:t>[19]</w:t>
      </w:r>
      <w:r>
        <w:tab/>
        <w:t xml:space="preserve">G. </w:t>
      </w:r>
      <w:proofErr w:type="spellStart"/>
      <w:r>
        <w:t>Rostirolla</w:t>
      </w:r>
      <w:proofErr w:type="spellEnd"/>
      <w:r>
        <w:t xml:space="preserve"> </w:t>
      </w:r>
      <w:r>
        <w:rPr>
          <w:i/>
          <w:iCs/>
        </w:rPr>
        <w:t>et al.</w:t>
      </w:r>
      <w:r>
        <w:t xml:space="preserve">, “A survey of challenges and solutions for the integration of renewable energy in datacenters,” </w:t>
      </w:r>
      <w:r>
        <w:rPr>
          <w:i/>
          <w:iCs/>
        </w:rPr>
        <w:t>Renew. Sustain. Energy Rev.</w:t>
      </w:r>
      <w:r>
        <w:t xml:space="preserve">, vol. 155, p. 111787, Mar. 2022, </w:t>
      </w:r>
      <w:proofErr w:type="spellStart"/>
      <w:r>
        <w:t>doi</w:t>
      </w:r>
      <w:proofErr w:type="spellEnd"/>
      <w:r>
        <w:t>: 10.1016/j.rser.2021.111787.</w:t>
      </w:r>
    </w:p>
    <w:p w14:paraId="1E8BA185" w14:textId="77777777" w:rsidR="00286292" w:rsidRDefault="00286292" w:rsidP="00286292">
      <w:pPr>
        <w:pStyle w:val="Bibliography"/>
      </w:pPr>
      <w:r>
        <w:t>[20]</w:t>
      </w:r>
      <w:r>
        <w:tab/>
        <w:t xml:space="preserve">D. Harrison-Atlas, C. Murphy, A. Schleifer, and N. Grue, “Temporal complementarity and value of wind-PV hybrid systems across the United States,” </w:t>
      </w:r>
      <w:r>
        <w:rPr>
          <w:i/>
          <w:iCs/>
        </w:rPr>
        <w:t>Renew. Energy</w:t>
      </w:r>
      <w:r>
        <w:t xml:space="preserve">, vol. 201, pp. 111–123, Dec. 2022, </w:t>
      </w:r>
      <w:proofErr w:type="spellStart"/>
      <w:r>
        <w:t>doi</w:t>
      </w:r>
      <w:proofErr w:type="spellEnd"/>
      <w:r>
        <w:t>: 10.1016/j.renene.2022.10.060.</w:t>
      </w:r>
    </w:p>
    <w:p w14:paraId="6DC03199" w14:textId="77777777" w:rsidR="00286292" w:rsidRDefault="00286292" w:rsidP="00286292">
      <w:pPr>
        <w:pStyle w:val="Bibliography"/>
      </w:pPr>
      <w:r>
        <w:t>[21]</w:t>
      </w:r>
      <w:r>
        <w:tab/>
        <w:t xml:space="preserve">C. Wu, X.-P. Zhang, and M. Sterling, “Solar power generation intermittency and aggregation,” </w:t>
      </w:r>
      <w:r>
        <w:rPr>
          <w:i/>
          <w:iCs/>
        </w:rPr>
        <w:t>Sci. Rep.</w:t>
      </w:r>
      <w:r>
        <w:t xml:space="preserve">, vol. 12, no. 1, p. 1363, Jan. 2022, </w:t>
      </w:r>
      <w:proofErr w:type="spellStart"/>
      <w:r>
        <w:t>doi</w:t>
      </w:r>
      <w:proofErr w:type="spellEnd"/>
      <w:r>
        <w:t>: 10.1038/s41598-022-05247-2.</w:t>
      </w:r>
    </w:p>
    <w:p w14:paraId="013BA2F6" w14:textId="77777777" w:rsidR="00286292" w:rsidRDefault="00286292" w:rsidP="00286292">
      <w:pPr>
        <w:pStyle w:val="Bibliography"/>
      </w:pPr>
      <w:r>
        <w:lastRenderedPageBreak/>
        <w:t>[22]</w:t>
      </w:r>
      <w:r>
        <w:tab/>
      </w:r>
      <w:r>
        <w:rPr>
          <w:i/>
          <w:iCs/>
        </w:rPr>
        <w:t>IEEE Standard for Harmonic Control in Electric Power Systems</w:t>
      </w:r>
      <w:r>
        <w:t xml:space="preserve">. </w:t>
      </w:r>
      <w:proofErr w:type="spellStart"/>
      <w:r>
        <w:t>doi</w:t>
      </w:r>
      <w:proofErr w:type="spellEnd"/>
      <w:r>
        <w:t>: 10.1109/IEEESTD.2022.9848440.</w:t>
      </w:r>
    </w:p>
    <w:p w14:paraId="67E76BE4" w14:textId="77777777" w:rsidR="00286292" w:rsidRDefault="00286292" w:rsidP="00286292">
      <w:pPr>
        <w:pStyle w:val="Bibliography"/>
      </w:pPr>
      <w:r>
        <w:t>[23]</w:t>
      </w:r>
      <w:r>
        <w:tab/>
        <w:t>M. C. Offutt and L. Zhu, “Data Centers and Their Energy Consumption: Frequently Asked Questions”, [Online]. Available: https://www.congress.gov/crs_external_products/R/PDF/R48646/R48646.1.pdf</w:t>
      </w:r>
    </w:p>
    <w:p w14:paraId="3422F055" w14:textId="77777777" w:rsidR="00286292" w:rsidRDefault="00286292" w:rsidP="00286292">
      <w:pPr>
        <w:pStyle w:val="Bibliography"/>
      </w:pPr>
      <w:r>
        <w:t>[24]</w:t>
      </w:r>
      <w:r>
        <w:tab/>
        <w:t>“Improvements to Generator Interconnection Procedures and Agreements.” Accessed: Sep. 06, 2023. [Online]. Available: https://www.federalregister.gov/documents/2023/09/06/2023-16628/improvements-to-generator-interconnection-procedures-and-agreements</w:t>
      </w:r>
    </w:p>
    <w:p w14:paraId="3B6ABE67" w14:textId="77777777" w:rsidR="00286292" w:rsidRDefault="00286292" w:rsidP="00286292">
      <w:pPr>
        <w:pStyle w:val="Bibliography"/>
      </w:pPr>
      <w:r>
        <w:t>[25]</w:t>
      </w:r>
      <w:r>
        <w:tab/>
        <w:t xml:space="preserve">S. Cai and Z. Gou, “Towards energy-efficient data centers: A comprehensive review of passive and active cooling strategies,” </w:t>
      </w:r>
      <w:r>
        <w:rPr>
          <w:i/>
          <w:iCs/>
        </w:rPr>
        <w:t>Energy Built Environ.</w:t>
      </w:r>
      <w:r>
        <w:t xml:space="preserve">, vol. 7, no. 1, pp. 206–226, Feb. 2026, </w:t>
      </w:r>
      <w:proofErr w:type="spellStart"/>
      <w:r>
        <w:t>doi</w:t>
      </w:r>
      <w:proofErr w:type="spellEnd"/>
      <w:r>
        <w:t>: 10.1016/j.enbenv.2024.08.009.</w:t>
      </w:r>
    </w:p>
    <w:p w14:paraId="091740E0" w14:textId="77777777" w:rsidR="00286292" w:rsidRDefault="00286292" w:rsidP="00286292">
      <w:pPr>
        <w:pStyle w:val="Bibliography"/>
      </w:pPr>
      <w:r>
        <w:t>[26]</w:t>
      </w:r>
      <w:r>
        <w:tab/>
        <w:t xml:space="preserve">R. Mural </w:t>
      </w:r>
      <w:r>
        <w:rPr>
          <w:i/>
          <w:iCs/>
        </w:rPr>
        <w:t>et al.</w:t>
      </w:r>
      <w:r>
        <w:t>, “AI, Data Centers, and the U.S. Electric Grid: A Watershed Moment”, [Online]. Available: https://www.belfercenter.org/research-analysis/ai-data-centers-us-electric-grid</w:t>
      </w:r>
    </w:p>
    <w:p w14:paraId="5C20817A" w14:textId="77777777" w:rsidR="00286292" w:rsidRDefault="00286292" w:rsidP="00286292">
      <w:pPr>
        <w:pStyle w:val="Bibliography"/>
      </w:pPr>
      <w:r>
        <w:t>[27]</w:t>
      </w:r>
      <w:r>
        <w:tab/>
        <w:t xml:space="preserve">C. Zhao, W. Gao, F. Nie, and H. Zhou, “A Survey of GPU Multitasking Methods Supported by Hardware Architecture,” </w:t>
      </w:r>
      <w:r>
        <w:rPr>
          <w:i/>
          <w:iCs/>
        </w:rPr>
        <w:t xml:space="preserve">IEEE Trans. Parallel </w:t>
      </w:r>
      <w:proofErr w:type="spellStart"/>
      <w:r>
        <w:rPr>
          <w:i/>
          <w:iCs/>
        </w:rPr>
        <w:t>Distrib</w:t>
      </w:r>
      <w:proofErr w:type="spellEnd"/>
      <w:r>
        <w:rPr>
          <w:i/>
          <w:iCs/>
        </w:rPr>
        <w:t>. Syst.</w:t>
      </w:r>
      <w:r>
        <w:t xml:space="preserve">, vol. 33, no. 6, pp. 1451–1463, Jun. 2022, </w:t>
      </w:r>
      <w:proofErr w:type="spellStart"/>
      <w:r>
        <w:t>doi</w:t>
      </w:r>
      <w:proofErr w:type="spellEnd"/>
      <w:r>
        <w:t>: 10.1109/TPDS.2021.3115630.</w:t>
      </w:r>
    </w:p>
    <w:p w14:paraId="661416AF" w14:textId="77777777" w:rsidR="00286292" w:rsidRDefault="00286292" w:rsidP="00286292">
      <w:pPr>
        <w:pStyle w:val="Bibliography"/>
      </w:pPr>
      <w:r>
        <w:t>[28]</w:t>
      </w:r>
      <w:r>
        <w:tab/>
        <w:t>V. Avelar and P. Donovan, “How 6 AI Attributes Change Data Center Design”, [Online]. Available: https://download.schneider-electric.com/files?p_Doc_Ref=SPD_WP110_EN&amp;p_enDocType=White+Paper&amp;p_File_Name=WP110_V3_1_EN.pdf</w:t>
      </w:r>
    </w:p>
    <w:p w14:paraId="2BB730F6" w14:textId="77777777" w:rsidR="00286292" w:rsidRDefault="00286292" w:rsidP="00286292">
      <w:pPr>
        <w:pStyle w:val="Bibliography"/>
      </w:pPr>
      <w:r>
        <w:t>[29]</w:t>
      </w:r>
      <w:r>
        <w:tab/>
        <w:t xml:space="preserve">T. B. Brown </w:t>
      </w:r>
      <w:r>
        <w:rPr>
          <w:i/>
          <w:iCs/>
        </w:rPr>
        <w:t>et al.</w:t>
      </w:r>
      <w:r>
        <w:t xml:space="preserve">, “Language Models are Few-Shot Learners,” 2020, </w:t>
      </w:r>
      <w:proofErr w:type="spellStart"/>
      <w:r>
        <w:rPr>
          <w:i/>
          <w:iCs/>
        </w:rPr>
        <w:t>arXiv</w:t>
      </w:r>
      <w:proofErr w:type="spellEnd"/>
      <w:r>
        <w:t xml:space="preserve">. </w:t>
      </w:r>
      <w:proofErr w:type="spellStart"/>
      <w:r>
        <w:t>doi</w:t>
      </w:r>
      <w:proofErr w:type="spellEnd"/>
      <w:r>
        <w:t>: 10.48550/ARXIV.2005.14165.</w:t>
      </w:r>
    </w:p>
    <w:p w14:paraId="2DDE0ABC" w14:textId="77777777" w:rsidR="00286292" w:rsidRDefault="00286292" w:rsidP="00286292">
      <w:pPr>
        <w:pStyle w:val="Bibliography"/>
      </w:pPr>
      <w:r>
        <w:t>[30]</w:t>
      </w:r>
      <w:r>
        <w:tab/>
        <w:t>M. Raza, “Carbon Literacy for Generative AI: Visualizing Training Emissions Through Human-Scale Equivalents”, [Online]. Available: https://openreview.net/forum?id=86NT1eVitH&amp;referrer=%5Bthe%20profile%20of%20Mahveen%20Raza%5D(%2Fprofile%3Fid%3D~Mahveen_Raza1)</w:t>
      </w:r>
    </w:p>
    <w:p w14:paraId="3A4E9F12" w14:textId="77777777" w:rsidR="00286292" w:rsidRDefault="00286292" w:rsidP="00286292">
      <w:pPr>
        <w:pStyle w:val="Bibliography"/>
      </w:pPr>
      <w:r>
        <w:t>[31]</w:t>
      </w:r>
      <w:r>
        <w:tab/>
        <w:t>Google, “Growing the internet while reducing energy consumption.” [Online]. Available: https://datacenters.google/efficiency/</w:t>
      </w:r>
    </w:p>
    <w:p w14:paraId="75394808" w14:textId="77777777" w:rsidR="00286292" w:rsidRDefault="00286292" w:rsidP="00286292">
      <w:pPr>
        <w:pStyle w:val="Bibliography"/>
      </w:pPr>
      <w:r>
        <w:t>[32]</w:t>
      </w:r>
      <w:r>
        <w:tab/>
        <w:t xml:space="preserve">D. Al Kez, A. M. Foley, F. W. B. M. Hasan Wong, A. Dolfi, and G. Srinivasan, “AI-driven cooling technologies for high-performance data </w:t>
      </w:r>
      <w:proofErr w:type="spellStart"/>
      <w:r>
        <w:t>centres</w:t>
      </w:r>
      <w:proofErr w:type="spellEnd"/>
      <w:r>
        <w:t xml:space="preserve">: state-of-the-art review and future directions,” </w:t>
      </w:r>
      <w:r>
        <w:rPr>
          <w:i/>
          <w:iCs/>
        </w:rPr>
        <w:t>Sustain. Energy Technol. Assess.</w:t>
      </w:r>
      <w:r>
        <w:t xml:space="preserve">, vol. 82, p. 104511, Oct. 2025, </w:t>
      </w:r>
      <w:proofErr w:type="spellStart"/>
      <w:r>
        <w:t>doi</w:t>
      </w:r>
      <w:proofErr w:type="spellEnd"/>
      <w:r>
        <w:t>: 10.1016/j.seta.2025.104511.</w:t>
      </w:r>
    </w:p>
    <w:p w14:paraId="318D5A96" w14:textId="77777777" w:rsidR="00286292" w:rsidRDefault="00286292" w:rsidP="00286292">
      <w:pPr>
        <w:pStyle w:val="Bibliography"/>
      </w:pPr>
      <w:r>
        <w:t>[33]</w:t>
      </w:r>
      <w:r>
        <w:tab/>
        <w:t xml:space="preserve">X. Zhang, T. Lindberg, N. Xiong, V. Vyatkin, and A. Mousavi, “Cooling Energy Consumption Investigation of Data Center IT Room with Vertical Placed Server,” </w:t>
      </w:r>
      <w:r>
        <w:rPr>
          <w:i/>
          <w:iCs/>
        </w:rPr>
        <w:t>Energy Procedia</w:t>
      </w:r>
      <w:r>
        <w:t xml:space="preserve">, vol. 105, pp. 2047–2052, May 2017, </w:t>
      </w:r>
      <w:proofErr w:type="spellStart"/>
      <w:r>
        <w:t>doi</w:t>
      </w:r>
      <w:proofErr w:type="spellEnd"/>
      <w:r>
        <w:t>: 10.1016/j.egypro.2017.03.581.</w:t>
      </w:r>
    </w:p>
    <w:p w14:paraId="16D8F3C0" w14:textId="77777777" w:rsidR="00286292" w:rsidRDefault="00286292" w:rsidP="00286292">
      <w:pPr>
        <w:pStyle w:val="Bibliography"/>
      </w:pPr>
      <w:r>
        <w:t>[34]</w:t>
      </w:r>
      <w:r>
        <w:tab/>
        <w:t xml:space="preserve">M. </w:t>
      </w:r>
      <w:proofErr w:type="spellStart"/>
      <w:r>
        <w:t>Azarifar</w:t>
      </w:r>
      <w:proofErr w:type="spellEnd"/>
      <w:r>
        <w:t xml:space="preserve">, M. Arik, and J.-Y. Chang, “Liquid cooling of data centers: A necessity facing challenges,” </w:t>
      </w:r>
      <w:r>
        <w:rPr>
          <w:i/>
          <w:iCs/>
        </w:rPr>
        <w:t>Appl. Therm. Eng.</w:t>
      </w:r>
      <w:r>
        <w:t xml:space="preserve">, vol. 247, p. 123112, Jun. 2024, </w:t>
      </w:r>
      <w:proofErr w:type="spellStart"/>
      <w:r>
        <w:t>doi</w:t>
      </w:r>
      <w:proofErr w:type="spellEnd"/>
      <w:r>
        <w:t>: 10.1016/j.applthermaleng.2024.123112.</w:t>
      </w:r>
    </w:p>
    <w:p w14:paraId="1C0BDCA0" w14:textId="77777777" w:rsidR="00286292" w:rsidRDefault="00286292" w:rsidP="00286292">
      <w:pPr>
        <w:pStyle w:val="Bibliography"/>
      </w:pPr>
      <w:r>
        <w:t>[35]</w:t>
      </w:r>
      <w:r>
        <w:tab/>
        <w:t xml:space="preserve">D. Zhou </w:t>
      </w:r>
      <w:r>
        <w:rPr>
          <w:i/>
          <w:iCs/>
        </w:rPr>
        <w:t>et al.</w:t>
      </w:r>
      <w:r>
        <w:t xml:space="preserve">, “Accelerating liquid cooling adoption in data centers: necessity, challenges and solutions,” </w:t>
      </w:r>
      <w:r>
        <w:rPr>
          <w:i/>
          <w:iCs/>
        </w:rPr>
        <w:t>Technol. Rev. Carbon Neutrality</w:t>
      </w:r>
      <w:r>
        <w:t xml:space="preserve">, p. 9550014, Dec. 2025, </w:t>
      </w:r>
      <w:proofErr w:type="spellStart"/>
      <w:r>
        <w:t>doi</w:t>
      </w:r>
      <w:proofErr w:type="spellEnd"/>
      <w:r>
        <w:t>: 10.26599/TRCN.2025.9550014.</w:t>
      </w:r>
    </w:p>
    <w:p w14:paraId="0E1BB1BB" w14:textId="77777777" w:rsidR="00286292" w:rsidRDefault="00286292" w:rsidP="00286292">
      <w:pPr>
        <w:pStyle w:val="Bibliography"/>
      </w:pPr>
      <w:r>
        <w:t>[36]</w:t>
      </w:r>
      <w:r>
        <w:tab/>
        <w:t xml:space="preserve">J. Hurni </w:t>
      </w:r>
      <w:r>
        <w:rPr>
          <w:i/>
          <w:iCs/>
        </w:rPr>
        <w:t>et al.</w:t>
      </w:r>
      <w:r>
        <w:t>, “Over 31%-efficient perovskite–</w:t>
      </w:r>
      <w:proofErr w:type="spellStart"/>
      <w:r>
        <w:t>TOPCon</w:t>
      </w:r>
      <w:proofErr w:type="spellEnd"/>
      <w:r>
        <w:t xml:space="preserve"> solar cells enabled by </w:t>
      </w:r>
      <w:proofErr w:type="spellStart"/>
      <w:r>
        <w:t>AlO</w:t>
      </w:r>
      <w:proofErr w:type="spellEnd"/>
      <w:r>
        <w:rPr>
          <w:vertAlign w:val="subscript"/>
        </w:rPr>
        <w:t xml:space="preserve"> </w:t>
      </w:r>
      <w:proofErr w:type="gramStart"/>
      <w:r>
        <w:rPr>
          <w:i/>
          <w:iCs/>
          <w:vertAlign w:val="subscript"/>
        </w:rPr>
        <w:t>x</w:t>
      </w:r>
      <w:r>
        <w:rPr>
          <w:vertAlign w:val="subscript"/>
        </w:rPr>
        <w:t xml:space="preserve"> </w:t>
      </w:r>
      <w:r>
        <w:t xml:space="preserve"> -</w:t>
      </w:r>
      <w:proofErr w:type="gramEnd"/>
      <w:r>
        <w:t xml:space="preserve">based hydrogenation and front sub-micron texturing,” </w:t>
      </w:r>
      <w:r>
        <w:rPr>
          <w:i/>
          <w:iCs/>
        </w:rPr>
        <w:t>EES Sol.</w:t>
      </w:r>
      <w:r>
        <w:t xml:space="preserve">, vol. 1, no. 5, pp. 732–735, 2025, </w:t>
      </w:r>
      <w:proofErr w:type="spellStart"/>
      <w:r>
        <w:t>doi</w:t>
      </w:r>
      <w:proofErr w:type="spellEnd"/>
      <w:r>
        <w:t>: 10.1039/D5EL00105F.</w:t>
      </w:r>
    </w:p>
    <w:p w14:paraId="577E10F9" w14:textId="77777777" w:rsidR="00286292" w:rsidRDefault="00286292" w:rsidP="00286292">
      <w:pPr>
        <w:pStyle w:val="Bibliography"/>
      </w:pPr>
      <w:r>
        <w:lastRenderedPageBreak/>
        <w:t>[37]</w:t>
      </w:r>
      <w:r>
        <w:tab/>
        <w:t xml:space="preserve">G. Galioto, G. Vitale, A. Sferlazza, G. Lullo, and G. C. Giaconia, “Wide and Ultrawide Bandgap Power Semiconductors: A Comprehensive System-Level Review,” </w:t>
      </w:r>
      <w:r>
        <w:rPr>
          <w:i/>
          <w:iCs/>
        </w:rPr>
        <w:t>Electronics</w:t>
      </w:r>
      <w:r>
        <w:t xml:space="preserve">, vol. 15, no. 4, p. 835, Feb. 2026, </w:t>
      </w:r>
      <w:proofErr w:type="spellStart"/>
      <w:r>
        <w:t>doi</w:t>
      </w:r>
      <w:proofErr w:type="spellEnd"/>
      <w:r>
        <w:t>: 10.3390/electronics15040835.</w:t>
      </w:r>
    </w:p>
    <w:p w14:paraId="1A5E0996" w14:textId="77777777" w:rsidR="00286292" w:rsidRDefault="00286292" w:rsidP="00286292">
      <w:pPr>
        <w:pStyle w:val="Bibliography"/>
      </w:pPr>
      <w:r>
        <w:t>[38]</w:t>
      </w:r>
      <w:r>
        <w:tab/>
        <w:t xml:space="preserve">P. </w:t>
      </w:r>
      <w:proofErr w:type="spellStart"/>
      <w:r>
        <w:t>Blecich</w:t>
      </w:r>
      <w:proofErr w:type="spellEnd"/>
      <w:r>
        <w:t xml:space="preserve">, I. </w:t>
      </w:r>
      <w:proofErr w:type="spellStart"/>
      <w:r>
        <w:t>Bonefačić</w:t>
      </w:r>
      <w:proofErr w:type="spellEnd"/>
      <w:r>
        <w:t xml:space="preserve">, T. </w:t>
      </w:r>
      <w:proofErr w:type="spellStart"/>
      <w:r>
        <w:t>Senčić</w:t>
      </w:r>
      <w:proofErr w:type="spellEnd"/>
      <w:r>
        <w:t xml:space="preserve">, and I. Wolf, “Resilience Under Heatwaves: Croatia’s Power System During the July 2024 Heatwave and the Role of Variable Renewable Energy by 2030,” </w:t>
      </w:r>
      <w:r>
        <w:rPr>
          <w:i/>
          <w:iCs/>
        </w:rPr>
        <w:t>Appl. Sci.</w:t>
      </w:r>
      <w:r>
        <w:t xml:space="preserve">, vol. 15, no. 12, p. 6440, Jun. 2025, </w:t>
      </w:r>
      <w:proofErr w:type="spellStart"/>
      <w:r>
        <w:t>doi</w:t>
      </w:r>
      <w:proofErr w:type="spellEnd"/>
      <w:r>
        <w:t>: 10.3390/app15126440.</w:t>
      </w:r>
    </w:p>
    <w:p w14:paraId="24A26CE7" w14:textId="77777777" w:rsidR="00286292" w:rsidRDefault="00286292" w:rsidP="00286292">
      <w:pPr>
        <w:pStyle w:val="Bibliography"/>
      </w:pPr>
      <w:r>
        <w:t>[39]</w:t>
      </w:r>
      <w:r>
        <w:tab/>
        <w:t xml:space="preserve">G. Gülen, J. Das, and M. H. Young, “Assessing Economic Costs of Two Reliable Generation Mix Scenarios in the ERCOT System,” </w:t>
      </w:r>
      <w:r>
        <w:rPr>
          <w:i/>
          <w:iCs/>
        </w:rPr>
        <w:t>Energies</w:t>
      </w:r>
      <w:r>
        <w:t xml:space="preserve">, vol. 19, no. 9, p. 2195, May 2026, </w:t>
      </w:r>
      <w:proofErr w:type="spellStart"/>
      <w:r>
        <w:t>doi</w:t>
      </w:r>
      <w:proofErr w:type="spellEnd"/>
      <w:r>
        <w:t>: 10.3390/en19092195.</w:t>
      </w:r>
    </w:p>
    <w:p w14:paraId="0638903F" w14:textId="77777777" w:rsidR="00286292" w:rsidRDefault="00286292" w:rsidP="00286292">
      <w:pPr>
        <w:pStyle w:val="Bibliography"/>
      </w:pPr>
      <w:r>
        <w:t>[40]</w:t>
      </w:r>
      <w:r>
        <w:tab/>
        <w:t xml:space="preserve">A. McCoy </w:t>
      </w:r>
      <w:r>
        <w:rPr>
          <w:i/>
          <w:iCs/>
        </w:rPr>
        <w:t>et al.</w:t>
      </w:r>
      <w:r>
        <w:t>, “Offshore Wind Market Report: 2024 Edition”, [Online]. Available: https://docs.nlr.gov/docs/fy24osti/90897.pdf</w:t>
      </w:r>
    </w:p>
    <w:p w14:paraId="43026873" w14:textId="77777777" w:rsidR="00286292" w:rsidRDefault="00286292" w:rsidP="00286292">
      <w:pPr>
        <w:pStyle w:val="Bibliography"/>
      </w:pPr>
      <w:r>
        <w:t>[41]</w:t>
      </w:r>
      <w:r>
        <w:tab/>
        <w:t xml:space="preserve">N. Lukač, G. Štumberger, and B. </w:t>
      </w:r>
      <w:proofErr w:type="spellStart"/>
      <w:r>
        <w:t>Žalik</w:t>
      </w:r>
      <w:proofErr w:type="spellEnd"/>
      <w:r>
        <w:t xml:space="preserve">, “Wind resource assessment using airborne LiDAR data and smoothed particle hydrodynamics,” </w:t>
      </w:r>
      <w:r>
        <w:rPr>
          <w:i/>
          <w:iCs/>
        </w:rPr>
        <w:t xml:space="preserve">Environ. Model. </w:t>
      </w:r>
      <w:proofErr w:type="spellStart"/>
      <w:r>
        <w:rPr>
          <w:i/>
          <w:iCs/>
        </w:rPr>
        <w:t>Softw</w:t>
      </w:r>
      <w:proofErr w:type="spellEnd"/>
      <w:r>
        <w:rPr>
          <w:i/>
          <w:iCs/>
        </w:rPr>
        <w:t>.</w:t>
      </w:r>
      <w:r>
        <w:t xml:space="preserve">, vol. 95, pp. 1–12, Sep. 2017, </w:t>
      </w:r>
      <w:proofErr w:type="spellStart"/>
      <w:r>
        <w:t>doi</w:t>
      </w:r>
      <w:proofErr w:type="spellEnd"/>
      <w:r>
        <w:t>: 10.1016/j.envsoft.2017.05.006.</w:t>
      </w:r>
    </w:p>
    <w:p w14:paraId="4E6DDA05" w14:textId="77777777" w:rsidR="00286292" w:rsidRDefault="00286292" w:rsidP="00286292">
      <w:pPr>
        <w:pStyle w:val="Bibliography"/>
      </w:pPr>
      <w:r>
        <w:t>[42]</w:t>
      </w:r>
      <w:r>
        <w:tab/>
        <w:t xml:space="preserve">E. Virguez </w:t>
      </w:r>
      <w:r>
        <w:rPr>
          <w:i/>
          <w:iCs/>
        </w:rPr>
        <w:t>et al.</w:t>
      </w:r>
      <w:r>
        <w:t xml:space="preserve">, “Renewable energy quality trilemma and coincident wind and solar droughts”, </w:t>
      </w:r>
      <w:proofErr w:type="spellStart"/>
      <w:r>
        <w:t>doi</w:t>
      </w:r>
      <w:proofErr w:type="spellEnd"/>
      <w:r>
        <w:t>: 10.17615/C4JD-4Y42.</w:t>
      </w:r>
    </w:p>
    <w:p w14:paraId="6751CE47" w14:textId="77777777" w:rsidR="00286292" w:rsidRDefault="00286292" w:rsidP="00286292">
      <w:pPr>
        <w:pStyle w:val="Bibliography"/>
      </w:pPr>
      <w:r>
        <w:t>[43]</w:t>
      </w:r>
      <w:r>
        <w:tab/>
        <w:t xml:space="preserve">M. Bošnjaković, N. Veljić, J. T. Božič, and S. Muhič, “SWOT-AHP Analysis of the Importance and Adoption of Pumped-Storage Hydropower,” </w:t>
      </w:r>
      <w:r>
        <w:rPr>
          <w:i/>
          <w:iCs/>
        </w:rPr>
        <w:t>Technologies</w:t>
      </w:r>
      <w:r>
        <w:t xml:space="preserve">, vol. 13, no. 7, p. 305, Jul. 2025, </w:t>
      </w:r>
      <w:proofErr w:type="spellStart"/>
      <w:r>
        <w:t>doi</w:t>
      </w:r>
      <w:proofErr w:type="spellEnd"/>
      <w:r>
        <w:t>: 10.3390/technologies13070305.</w:t>
      </w:r>
    </w:p>
    <w:p w14:paraId="4863592D" w14:textId="77777777" w:rsidR="00286292" w:rsidRDefault="00286292" w:rsidP="00286292">
      <w:pPr>
        <w:pStyle w:val="Bibliography"/>
      </w:pPr>
      <w:r>
        <w:t>[44]</w:t>
      </w:r>
      <w:r>
        <w:tab/>
        <w:t xml:space="preserve">M. Catania, F. Parolin, F. Fattori, and P. </w:t>
      </w:r>
      <w:proofErr w:type="spellStart"/>
      <w:r>
        <w:t>Colbertaldo</w:t>
      </w:r>
      <w:proofErr w:type="spellEnd"/>
      <w:r>
        <w:t xml:space="preserve">, “The role of hydropower in </w:t>
      </w:r>
      <w:proofErr w:type="spellStart"/>
      <w:r>
        <w:t>decarbonisation</w:t>
      </w:r>
      <w:proofErr w:type="spellEnd"/>
      <w:r>
        <w:t xml:space="preserve"> scenarios,” </w:t>
      </w:r>
      <w:r>
        <w:rPr>
          <w:i/>
          <w:iCs/>
        </w:rPr>
        <w:t>Renew. Energy</w:t>
      </w:r>
      <w:r>
        <w:t xml:space="preserve">, vol. 236, p. 121411, Dec. 2024, </w:t>
      </w:r>
      <w:proofErr w:type="spellStart"/>
      <w:r>
        <w:t>doi</w:t>
      </w:r>
      <w:proofErr w:type="spellEnd"/>
      <w:r>
        <w:t>: 10.1016/j.renene.2024.121411.</w:t>
      </w:r>
    </w:p>
    <w:p w14:paraId="2660F5F5" w14:textId="77777777" w:rsidR="00286292" w:rsidRDefault="00286292" w:rsidP="00286292">
      <w:pPr>
        <w:pStyle w:val="Bibliography"/>
      </w:pPr>
      <w:r>
        <w:t>[45]</w:t>
      </w:r>
      <w:r>
        <w:tab/>
        <w:t xml:space="preserve">S. Evro, A. </w:t>
      </w:r>
      <w:proofErr w:type="spellStart"/>
      <w:r>
        <w:t>Ajumobi</w:t>
      </w:r>
      <w:proofErr w:type="spellEnd"/>
      <w:r>
        <w:t xml:space="preserve">, D. Mayon, and O. S. </w:t>
      </w:r>
      <w:proofErr w:type="spellStart"/>
      <w:r>
        <w:t>Tomomewo</w:t>
      </w:r>
      <w:proofErr w:type="spellEnd"/>
      <w:r>
        <w:t xml:space="preserve">, “Navigating battery choices: A comparative study of lithium iron phosphate and nickel manganese cobalt battery technologies,” </w:t>
      </w:r>
      <w:r>
        <w:rPr>
          <w:i/>
          <w:iCs/>
        </w:rPr>
        <w:t>Future Batter.</w:t>
      </w:r>
      <w:r>
        <w:t xml:space="preserve">, vol. 4, p. 100007, Dec. 2024, </w:t>
      </w:r>
      <w:proofErr w:type="spellStart"/>
      <w:r>
        <w:t>doi</w:t>
      </w:r>
      <w:proofErr w:type="spellEnd"/>
      <w:r>
        <w:t>: 10.1016/j.fub.2024.100007.</w:t>
      </w:r>
    </w:p>
    <w:p w14:paraId="70C86CFA" w14:textId="77777777" w:rsidR="00286292" w:rsidRDefault="00286292" w:rsidP="00286292">
      <w:pPr>
        <w:pStyle w:val="Bibliography"/>
      </w:pPr>
      <w:r>
        <w:t>[46]</w:t>
      </w:r>
      <w:r>
        <w:tab/>
        <w:t xml:space="preserve">K. Chandra Bhowmik, Md. A. Rahman, Md. M. Billah, and A. Paul, “From Lithium‐Ion to Sodium‐Ion Batteries for Sustainable Energy Storage: A Comprehensive Review on Recent Research Advancements and Perspectives,” </w:t>
      </w:r>
      <w:r>
        <w:rPr>
          <w:i/>
          <w:iCs/>
        </w:rPr>
        <w:t>Chem. Rec.</w:t>
      </w:r>
      <w:r>
        <w:t xml:space="preserve">, vol. 24, no. 12, p. e202400176, Dec. 2024, </w:t>
      </w:r>
      <w:proofErr w:type="spellStart"/>
      <w:r>
        <w:t>doi</w:t>
      </w:r>
      <w:proofErr w:type="spellEnd"/>
      <w:r>
        <w:t>: 10.1002/tcr.202400176.</w:t>
      </w:r>
    </w:p>
    <w:p w14:paraId="54099CC5" w14:textId="77777777" w:rsidR="00286292" w:rsidRDefault="00286292" w:rsidP="00286292">
      <w:pPr>
        <w:pStyle w:val="Bibliography"/>
      </w:pPr>
      <w:r>
        <w:t>[47]</w:t>
      </w:r>
      <w:r>
        <w:tab/>
        <w:t xml:space="preserve">A. </w:t>
      </w:r>
      <w:proofErr w:type="spellStart"/>
      <w:r>
        <w:t>Barzigar</w:t>
      </w:r>
      <w:proofErr w:type="spellEnd"/>
      <w:r>
        <w:t xml:space="preserve">, E. </w:t>
      </w:r>
      <w:proofErr w:type="spellStart"/>
      <w:r>
        <w:t>Ebadati</w:t>
      </w:r>
      <w:proofErr w:type="spellEnd"/>
      <w:r>
        <w:t xml:space="preserve">, A. S. Mujumdar, and S. M. </w:t>
      </w:r>
      <w:proofErr w:type="spellStart"/>
      <w:r>
        <w:t>Hosseinalipour</w:t>
      </w:r>
      <w:proofErr w:type="spellEnd"/>
      <w:r>
        <w:t xml:space="preserve">, “A comprehensive review of vanadium redox flow batteries: Principles, benefits, and applications,” </w:t>
      </w:r>
      <w:r>
        <w:rPr>
          <w:i/>
          <w:iCs/>
        </w:rPr>
        <w:t>Res.</w:t>
      </w:r>
      <w:r>
        <w:t xml:space="preserve">, vol. 2, no. 4, p. 100767, Dec. 2025, </w:t>
      </w:r>
      <w:proofErr w:type="spellStart"/>
      <w:r>
        <w:t>doi</w:t>
      </w:r>
      <w:proofErr w:type="spellEnd"/>
      <w:r>
        <w:t>: 10.1016/j.nexres.2025.100767.</w:t>
      </w:r>
    </w:p>
    <w:p w14:paraId="0FD0056A" w14:textId="77777777" w:rsidR="00286292" w:rsidRDefault="00286292" w:rsidP="00286292">
      <w:pPr>
        <w:pStyle w:val="Bibliography"/>
      </w:pPr>
      <w:r>
        <w:t>[48]</w:t>
      </w:r>
      <w:r>
        <w:tab/>
        <w:t xml:space="preserve">M. M. Rana, H. Mo, G. M. Shafiullah, L. Qiao, and D. Dong, “Optimal sizing of battery storage for cost-effective peak shaving in regional distribution networks,” </w:t>
      </w:r>
      <w:r>
        <w:rPr>
          <w:i/>
          <w:iCs/>
        </w:rPr>
        <w:t>J. Energy Storage</w:t>
      </w:r>
      <w:r>
        <w:t xml:space="preserve">, vol. 141, p. 119502, Jan. 2026, </w:t>
      </w:r>
      <w:proofErr w:type="spellStart"/>
      <w:r>
        <w:t>doi</w:t>
      </w:r>
      <w:proofErr w:type="spellEnd"/>
      <w:r>
        <w:t>: 10.1016/j.est.2025.119502.</w:t>
      </w:r>
    </w:p>
    <w:p w14:paraId="3A6C70CD" w14:textId="77777777" w:rsidR="00286292" w:rsidRDefault="00286292" w:rsidP="00286292">
      <w:pPr>
        <w:pStyle w:val="Bibliography"/>
      </w:pPr>
      <w:r>
        <w:t>[49]</w:t>
      </w:r>
      <w:r>
        <w:tab/>
        <w:t xml:space="preserve">Z. Ma, “From Grid-Following to Grid-Forming: A Review of Converter Technology Paradigm Shift and Its Applications in Renewable-Rich Power Systems,” </w:t>
      </w:r>
      <w:r>
        <w:rPr>
          <w:i/>
          <w:iCs/>
        </w:rPr>
        <w:t>Adv. Eng. Res. Possibilities Chall.</w:t>
      </w:r>
      <w:r>
        <w:t xml:space="preserve">, vol. 2, no. 2, p. 37, Aug. 2025, </w:t>
      </w:r>
      <w:proofErr w:type="spellStart"/>
      <w:r>
        <w:t>doi</w:t>
      </w:r>
      <w:proofErr w:type="spellEnd"/>
      <w:r>
        <w:t>: 10.63313/AERpc.9047.</w:t>
      </w:r>
    </w:p>
    <w:p w14:paraId="6D303246" w14:textId="77777777" w:rsidR="00286292" w:rsidRDefault="00286292" w:rsidP="00286292">
      <w:pPr>
        <w:pStyle w:val="Bibliography"/>
      </w:pPr>
      <w:r>
        <w:t>[50]</w:t>
      </w:r>
      <w:r>
        <w:tab/>
      </w:r>
      <w:r>
        <w:rPr>
          <w:i/>
          <w:iCs/>
        </w:rPr>
        <w:t>IEEE Standard for Interconnection and Interoperability of Inverter-Based Resources (IBRs) Interconnecting with Associated Transmission Electric Power Systems</w:t>
      </w:r>
      <w:r>
        <w:t xml:space="preserve">. </w:t>
      </w:r>
      <w:proofErr w:type="spellStart"/>
      <w:r>
        <w:t>doi</w:t>
      </w:r>
      <w:proofErr w:type="spellEnd"/>
      <w:r>
        <w:t>: 10.1109/IEEESTD.2022.9762253.</w:t>
      </w:r>
    </w:p>
    <w:p w14:paraId="6D05A468" w14:textId="77777777" w:rsidR="00286292" w:rsidRDefault="00286292" w:rsidP="00286292">
      <w:pPr>
        <w:pStyle w:val="Bibliography"/>
      </w:pPr>
      <w:r>
        <w:t>[51]</w:t>
      </w:r>
      <w:r>
        <w:tab/>
        <w:t xml:space="preserve">S. Shelar, D. Bankar, and S. Bakre, “Review of revisions of IEEE 519 Standard on Power System Harmonics (1981 to 2022),” in </w:t>
      </w:r>
      <w:r>
        <w:rPr>
          <w:i/>
          <w:iCs/>
        </w:rPr>
        <w:t>2024 21st International Conference on Harmonics and Quality of Power (ICHQP)</w:t>
      </w:r>
      <w:r>
        <w:t xml:space="preserve">, Chengdu, China: IEEE, Oct. 2024, pp. 415–420. </w:t>
      </w:r>
      <w:proofErr w:type="spellStart"/>
      <w:r>
        <w:t>doi</w:t>
      </w:r>
      <w:proofErr w:type="spellEnd"/>
      <w:r>
        <w:t>: 10.1109/ICHQP61174.2024.10768696.</w:t>
      </w:r>
    </w:p>
    <w:p w14:paraId="0C812916" w14:textId="77777777" w:rsidR="00286292" w:rsidRDefault="00286292" w:rsidP="00286292">
      <w:pPr>
        <w:pStyle w:val="Bibliography"/>
      </w:pPr>
      <w:r>
        <w:lastRenderedPageBreak/>
        <w:t>[52]</w:t>
      </w:r>
      <w:r>
        <w:tab/>
        <w:t>Google, “Google Environmental Report 2025.” [Online]. Available: https://sustainability.google/reports/google-2025-environmental-report/</w:t>
      </w:r>
    </w:p>
    <w:p w14:paraId="5211FBD8" w14:textId="77777777" w:rsidR="00286292" w:rsidRDefault="00286292" w:rsidP="00286292">
      <w:pPr>
        <w:pStyle w:val="Bibliography"/>
      </w:pPr>
      <w:r>
        <w:t>[53]</w:t>
      </w:r>
      <w:r>
        <w:tab/>
        <w:t xml:space="preserve">O. A. </w:t>
      </w:r>
      <w:proofErr w:type="spellStart"/>
      <w:r>
        <w:t>Mavisclara</w:t>
      </w:r>
      <w:proofErr w:type="spellEnd"/>
      <w:r>
        <w:t xml:space="preserve"> </w:t>
      </w:r>
      <w:r>
        <w:rPr>
          <w:i/>
          <w:iCs/>
        </w:rPr>
        <w:t>et al.</w:t>
      </w:r>
      <w:r>
        <w:t xml:space="preserve">, “The AI-Driven Energy Surge: A comprehensive review of sustainable power solutions for data centers,” </w:t>
      </w:r>
      <w:r>
        <w:rPr>
          <w:i/>
          <w:iCs/>
        </w:rPr>
        <w:t>Glob. J. Eng. Technol. Adv.</w:t>
      </w:r>
      <w:r>
        <w:t xml:space="preserve">, vol. 24, no. 3, pp. 328–344, Sep. 2025, </w:t>
      </w:r>
      <w:proofErr w:type="spellStart"/>
      <w:r>
        <w:t>doi</w:t>
      </w:r>
      <w:proofErr w:type="spellEnd"/>
      <w:r>
        <w:t>: 10.30574/gjeta.2025.24.3.0279.</w:t>
      </w:r>
    </w:p>
    <w:p w14:paraId="16F778EB" w14:textId="77777777" w:rsidR="00286292" w:rsidRDefault="00286292" w:rsidP="00286292">
      <w:pPr>
        <w:pStyle w:val="Bibliography"/>
      </w:pPr>
      <w:r>
        <w:t>[54]</w:t>
      </w:r>
      <w:r>
        <w:tab/>
        <w:t>Meta, “2025 Sustainability Report.” [Online]. Available: https://sustainability.atmeta.com/wp-content/uploads/2025/08/Meta_2025-Sustainability-Report.pdf</w:t>
      </w:r>
    </w:p>
    <w:p w14:paraId="2EE694FB" w14:textId="77777777" w:rsidR="00286292" w:rsidRDefault="00286292" w:rsidP="00286292">
      <w:pPr>
        <w:pStyle w:val="Bibliography"/>
      </w:pPr>
      <w:r>
        <w:t>[55]</w:t>
      </w:r>
      <w:r>
        <w:tab/>
      </w:r>
      <w:proofErr w:type="spellStart"/>
      <w:r>
        <w:t>BloombergNEF</w:t>
      </w:r>
      <w:proofErr w:type="spellEnd"/>
      <w:r>
        <w:t>, “Corporate Clean Energy Buying Fell in 2025 After Nearly a Decade of Growth.” [Online]. Available: https://about.bnef.com/insights/clean-energy/corporate-clean-energy-buying-fell-in-2025-after-nearly-a-decade-of-growth/</w:t>
      </w:r>
    </w:p>
    <w:p w14:paraId="5EEE3135" w14:textId="77777777" w:rsidR="00286292" w:rsidRDefault="00286292" w:rsidP="00286292">
      <w:pPr>
        <w:pStyle w:val="Bibliography"/>
      </w:pPr>
      <w:r>
        <w:t>[56]</w:t>
      </w:r>
      <w:r>
        <w:tab/>
        <w:t>Y. Panchal, S. Dubey, and R. Pathak, “Exploring the Future of Cloud Computing: A Comprehensive Study of Microsoft’s Underwater Data Centers,” vol. 12, no. 3, 2025, [Online]. Available: https://www.taylorfrancis.com/chapters/edit/10.1201/9781003492160-7/exploring-cloud-computing-platforms-metrics-used-compare-cloud-service-providers-parul-dubey-arvind-kumar-tiwari</w:t>
      </w:r>
    </w:p>
    <w:p w14:paraId="72E297CA" w14:textId="77777777" w:rsidR="00286292" w:rsidRDefault="00286292" w:rsidP="00286292">
      <w:pPr>
        <w:pStyle w:val="Bibliography"/>
      </w:pPr>
      <w:r>
        <w:t>[57]</w:t>
      </w:r>
      <w:r>
        <w:tab/>
        <w:t>K. Simon, “Project Natick — Microsoft’s Self-sufficient Underwater Datacenters”, [Online]. Available: https://www.researchgate.net/publication/328214732_Project_Natick-Microsoft’s_Self-sufficient_Underwater_Datacenters</w:t>
      </w:r>
    </w:p>
    <w:p w14:paraId="79E622E8" w14:textId="77777777" w:rsidR="00286292" w:rsidRDefault="00286292" w:rsidP="00286292">
      <w:pPr>
        <w:pStyle w:val="Bibliography"/>
      </w:pPr>
      <w:r>
        <w:t>[58]</w:t>
      </w:r>
      <w:r>
        <w:tab/>
        <w:t xml:space="preserve">G. Gülen, J. Das, and M. H. Young, “Assessing Economic Costs of Two Reliable Generation Mix Scenarios in the ERCOT System,” </w:t>
      </w:r>
      <w:r>
        <w:rPr>
          <w:i/>
          <w:iCs/>
        </w:rPr>
        <w:t>Energies</w:t>
      </w:r>
      <w:r>
        <w:t xml:space="preserve">, vol. 19, no. 9, p. 2195, May 2026, </w:t>
      </w:r>
      <w:proofErr w:type="spellStart"/>
      <w:r>
        <w:t>doi</w:t>
      </w:r>
      <w:proofErr w:type="spellEnd"/>
      <w:r>
        <w:t>: 10.3390/en19092195.</w:t>
      </w:r>
    </w:p>
    <w:p w14:paraId="0CD6084F" w14:textId="77777777" w:rsidR="00286292" w:rsidRDefault="00286292" w:rsidP="00286292">
      <w:pPr>
        <w:pStyle w:val="Bibliography"/>
      </w:pPr>
      <w:r>
        <w:t>[59]</w:t>
      </w:r>
      <w:r>
        <w:tab/>
        <w:t>Equinix, “Sustainability Report 2025.” [Online]. Available: https://delivery-p112322-e1154416.adobeaemcloud.com/adobe/assets/deliver/urn:aaid:aem:116e6fc1-6217-4132-8fcf-1dc7096396df/Equinix-Inc_2025_Sustainability-Report.pdf</w:t>
      </w:r>
    </w:p>
    <w:p w14:paraId="0A097314" w14:textId="77777777" w:rsidR="00286292" w:rsidRDefault="00286292" w:rsidP="00286292">
      <w:pPr>
        <w:pStyle w:val="Bibliography"/>
      </w:pPr>
      <w:r>
        <w:t>[60]</w:t>
      </w:r>
      <w:r>
        <w:tab/>
        <w:t>Apple, “Environmental Progress Report.” [Online]. Available: https://www.apple.com/environment/pdf/Apple_Environmental_Progress_Report_2025.pdf</w:t>
      </w:r>
    </w:p>
    <w:p w14:paraId="27907878" w14:textId="77777777" w:rsidR="00286292" w:rsidRDefault="00286292" w:rsidP="00286292">
      <w:pPr>
        <w:pStyle w:val="Bibliography"/>
      </w:pPr>
      <w:r>
        <w:t>[61]</w:t>
      </w:r>
      <w:r>
        <w:tab/>
        <w:t xml:space="preserve">R. D. Zimmerman, C. E. Murillo-Sanchez, and R. J. Thomas, “MATPOWER: Steady-State Operations, Planning, and Analysis Tools for Power Systems Research and Education,” </w:t>
      </w:r>
      <w:r>
        <w:rPr>
          <w:i/>
          <w:iCs/>
        </w:rPr>
        <w:t>IEEE Trans. Power Syst.</w:t>
      </w:r>
      <w:r>
        <w:t xml:space="preserve">, vol. 26, no. 1, pp. 12–19, Feb. 2011, </w:t>
      </w:r>
      <w:proofErr w:type="spellStart"/>
      <w:r>
        <w:t>doi</w:t>
      </w:r>
      <w:proofErr w:type="spellEnd"/>
      <w:r>
        <w:t>: 10.1109/TPWRS.2010.2051168.</w:t>
      </w:r>
    </w:p>
    <w:p w14:paraId="6C6A61E4" w14:textId="77777777" w:rsidR="00286292" w:rsidRDefault="00286292" w:rsidP="00286292">
      <w:pPr>
        <w:pStyle w:val="Bibliography"/>
      </w:pPr>
      <w:r>
        <w:t>[62]</w:t>
      </w:r>
      <w:r>
        <w:tab/>
        <w:t xml:space="preserve">J. C. Das, </w:t>
      </w:r>
      <w:r>
        <w:rPr>
          <w:i/>
          <w:iCs/>
        </w:rPr>
        <w:t>Power System Harmonics and Passive Filter Designs</w:t>
      </w:r>
      <w:r>
        <w:t xml:space="preserve">, 1st ed. Wiley, 2015. </w:t>
      </w:r>
      <w:proofErr w:type="spellStart"/>
      <w:r>
        <w:t>doi</w:t>
      </w:r>
      <w:proofErr w:type="spellEnd"/>
      <w:r>
        <w:t>: 10.1002/9781118887059.</w:t>
      </w:r>
    </w:p>
    <w:p w14:paraId="483A60E9" w14:textId="77777777" w:rsidR="00286292" w:rsidRDefault="00286292" w:rsidP="00286292">
      <w:pPr>
        <w:pStyle w:val="Bibliography"/>
      </w:pPr>
      <w:r>
        <w:t>[63]</w:t>
      </w:r>
      <w:r>
        <w:tab/>
        <w:t xml:space="preserve">M. T. </w:t>
      </w:r>
      <w:proofErr w:type="spellStart"/>
      <w:r>
        <w:t>Takci</w:t>
      </w:r>
      <w:proofErr w:type="spellEnd"/>
      <w:r>
        <w:t xml:space="preserve">, M. </w:t>
      </w:r>
      <w:proofErr w:type="spellStart"/>
      <w:r>
        <w:t>Qadrdan</w:t>
      </w:r>
      <w:proofErr w:type="spellEnd"/>
      <w:r>
        <w:t xml:space="preserve">, J. Summers, and J. Gustafsson, “Data </w:t>
      </w:r>
      <w:proofErr w:type="spellStart"/>
      <w:r>
        <w:t>centres</w:t>
      </w:r>
      <w:proofErr w:type="spellEnd"/>
      <w:r>
        <w:t xml:space="preserve"> as a source of flexibility for power systems,” </w:t>
      </w:r>
      <w:r>
        <w:rPr>
          <w:i/>
          <w:iCs/>
        </w:rPr>
        <w:t>Energy Rep.</w:t>
      </w:r>
      <w:r>
        <w:t xml:space="preserve">, vol. 13, pp. 3661–3671, Jun. 2025, </w:t>
      </w:r>
      <w:proofErr w:type="spellStart"/>
      <w:r>
        <w:t>doi</w:t>
      </w:r>
      <w:proofErr w:type="spellEnd"/>
      <w:r>
        <w:t>: 10.1016/j.egyr.2025.03.020.</w:t>
      </w:r>
    </w:p>
    <w:p w14:paraId="02A4B8DE" w14:textId="77777777" w:rsidR="00286292" w:rsidRDefault="00286292" w:rsidP="00286292">
      <w:pPr>
        <w:pStyle w:val="Bibliography"/>
      </w:pPr>
      <w:r>
        <w:t>[64]</w:t>
      </w:r>
      <w:r>
        <w:tab/>
        <w:t>Lazard, “Levelized Cost of Energy.” [Online]. Available: https://www.lazard.com/media/eijnqja3/lazards-lcoeplus-june-2025.pdf</w:t>
      </w:r>
    </w:p>
    <w:p w14:paraId="0454D78C" w14:textId="77777777" w:rsidR="00286292" w:rsidRDefault="00286292" w:rsidP="00286292">
      <w:pPr>
        <w:pStyle w:val="Bibliography"/>
      </w:pPr>
      <w:r>
        <w:t>[65]</w:t>
      </w:r>
      <w:r>
        <w:tab/>
        <w:t xml:space="preserve">O. Kay, R. Reaser, and R. Taylor, “Processing Power: The Effect of Data Centers on Wholesale Electricity Markets,” </w:t>
      </w:r>
      <w:r>
        <w:rPr>
          <w:i/>
          <w:iCs/>
        </w:rPr>
        <w:t>Fed. Reserve Bank Dallas Work. Pap.</w:t>
      </w:r>
      <w:r>
        <w:t xml:space="preserve">, vol. 2026, no. 2606, Mar. 2026, </w:t>
      </w:r>
      <w:proofErr w:type="spellStart"/>
      <w:r>
        <w:t>doi</w:t>
      </w:r>
      <w:proofErr w:type="spellEnd"/>
      <w:r>
        <w:t>: 10.24149/wp2606.</w:t>
      </w:r>
    </w:p>
    <w:p w14:paraId="45DDC07F" w14:textId="77777777" w:rsidR="00286292" w:rsidRDefault="00286292" w:rsidP="00286292">
      <w:pPr>
        <w:pStyle w:val="Bibliography"/>
      </w:pPr>
      <w:r>
        <w:t>[66]</w:t>
      </w:r>
      <w:r>
        <w:tab/>
      </w:r>
      <w:proofErr w:type="spellStart"/>
      <w:r>
        <w:t>leveltenenergy</w:t>
      </w:r>
      <w:proofErr w:type="spellEnd"/>
      <w:r>
        <w:t>, “https://www.leveltenenergy.com/post/levelten-north-american-ppa-price-index-q1-2026.” [Online]. Available: https://www.leveltenenergy.com/post/levelten-north-american-ppa-price-index-q1-2026</w:t>
      </w:r>
    </w:p>
    <w:p w14:paraId="672EA02B" w14:textId="77777777" w:rsidR="00286292" w:rsidRDefault="00286292" w:rsidP="00286292">
      <w:pPr>
        <w:pStyle w:val="Bibliography"/>
      </w:pPr>
      <w:r>
        <w:lastRenderedPageBreak/>
        <w:t>[67]</w:t>
      </w:r>
      <w:r>
        <w:tab/>
        <w:t xml:space="preserve">Q. Xu, W. Ricks, A. Manocha, N. Patankar, and J. D. Jenkins, “System-level impacts of voluntary carbon-free electricity procurement strategies,” </w:t>
      </w:r>
      <w:r>
        <w:rPr>
          <w:i/>
          <w:iCs/>
        </w:rPr>
        <w:t>Joule</w:t>
      </w:r>
      <w:r>
        <w:t xml:space="preserve">, vol. 8, no. 2, pp. 374–400, Feb. 2024, </w:t>
      </w:r>
      <w:proofErr w:type="spellStart"/>
      <w:r>
        <w:t>doi</w:t>
      </w:r>
      <w:proofErr w:type="spellEnd"/>
      <w:r>
        <w:t>: 10.1016/j.joule.2023.12.007.</w:t>
      </w:r>
    </w:p>
    <w:p w14:paraId="02C36C97" w14:textId="77777777" w:rsidR="00286292" w:rsidRDefault="00286292" w:rsidP="00286292">
      <w:pPr>
        <w:pStyle w:val="Bibliography"/>
      </w:pPr>
      <w:r>
        <w:t>[68]</w:t>
      </w:r>
      <w:r>
        <w:tab/>
        <w:t>Green House Gas Protocol, “GHG Protocol Scope 2 Guidance.” [Online]. Available: https://ghgprotocol.org/sites/default/files/2023-03/Scope%202%20Guidance.pdf</w:t>
      </w:r>
    </w:p>
    <w:p w14:paraId="1E297D9A" w14:textId="77777777" w:rsidR="00286292" w:rsidRDefault="00286292" w:rsidP="00286292">
      <w:pPr>
        <w:pStyle w:val="Bibliography"/>
      </w:pPr>
      <w:r>
        <w:t>[69]</w:t>
      </w:r>
      <w:r>
        <w:tab/>
        <w:t>UN Energy, “24/7 Carbon-free Energy Compact.” [Online]. Available: https://www.un.org/en/energy-compacts/page/compact-247-carbon-free-energy</w:t>
      </w:r>
    </w:p>
    <w:p w14:paraId="38C43EE3" w14:textId="77777777" w:rsidR="00286292" w:rsidRDefault="00286292" w:rsidP="00286292">
      <w:pPr>
        <w:pStyle w:val="Bibliography"/>
      </w:pPr>
      <w:r>
        <w:t>[70]</w:t>
      </w:r>
      <w:r>
        <w:tab/>
        <w:t xml:space="preserve">T. </w:t>
      </w:r>
      <w:proofErr w:type="spellStart"/>
      <w:r>
        <w:t>Sukprasert</w:t>
      </w:r>
      <w:proofErr w:type="spellEnd"/>
      <w:r>
        <w:t xml:space="preserve">, A. Souza, N. Bashir, D. Irwin, and P. Shenoy, “On the Limitations of Carbon-Aware Temporal and Spatial Workload Shifting in the Cloud,” in </w:t>
      </w:r>
      <w:r>
        <w:rPr>
          <w:i/>
          <w:iCs/>
        </w:rPr>
        <w:t>Proceedings of the Nineteenth European Conference on Computer Systems</w:t>
      </w:r>
      <w:r>
        <w:t xml:space="preserve">, Athens Greece: ACM, Apr. 2024, pp. 924–941. </w:t>
      </w:r>
      <w:proofErr w:type="spellStart"/>
      <w:r>
        <w:t>doi</w:t>
      </w:r>
      <w:proofErr w:type="spellEnd"/>
      <w:r>
        <w:t>: 10.1145/3627703.3650079.</w:t>
      </w:r>
    </w:p>
    <w:p w14:paraId="5BAD4EF3" w14:textId="77777777" w:rsidR="00286292" w:rsidRDefault="00286292" w:rsidP="00286292">
      <w:pPr>
        <w:pStyle w:val="Bibliography"/>
      </w:pPr>
      <w:r>
        <w:t>[71]</w:t>
      </w:r>
      <w:r>
        <w:tab/>
        <w:t xml:space="preserve">Y. Xie </w:t>
      </w:r>
      <w:r>
        <w:rPr>
          <w:i/>
          <w:iCs/>
        </w:rPr>
        <w:t>et al.</w:t>
      </w:r>
      <w:r>
        <w:t xml:space="preserve">, “A high-fidelity online monitoring algorithm for multiple physical fields in battery pack,” </w:t>
      </w:r>
      <w:r>
        <w:rPr>
          <w:i/>
          <w:iCs/>
        </w:rPr>
        <w:t>Appl. Energy</w:t>
      </w:r>
      <w:r>
        <w:t xml:space="preserve">, vol. 398, p. 126443, Nov. 2025, </w:t>
      </w:r>
      <w:proofErr w:type="spellStart"/>
      <w:r>
        <w:t>doi</w:t>
      </w:r>
      <w:proofErr w:type="spellEnd"/>
      <w:r>
        <w:t>: 10.1016/j.apenergy.2025.126443.</w:t>
      </w:r>
    </w:p>
    <w:p w14:paraId="22BA9ADE" w14:textId="77777777" w:rsidR="00286292" w:rsidRDefault="00286292" w:rsidP="00286292">
      <w:pPr>
        <w:pStyle w:val="Bibliography"/>
      </w:pPr>
      <w:r>
        <w:t>[72]</w:t>
      </w:r>
      <w:r>
        <w:tab/>
        <w:t xml:space="preserve">J. </w:t>
      </w:r>
      <w:proofErr w:type="spellStart"/>
      <w:r>
        <w:t>Vaičys</w:t>
      </w:r>
      <w:proofErr w:type="spellEnd"/>
      <w:r>
        <w:t xml:space="preserve">, S. Gudžius, A. Jonaitis, R. Račkienė, A. Blinov, and D. </w:t>
      </w:r>
      <w:proofErr w:type="spellStart"/>
      <w:r>
        <w:t>Peftitsis</w:t>
      </w:r>
      <w:proofErr w:type="spellEnd"/>
      <w:r>
        <w:t xml:space="preserve">, “A case study of </w:t>
      </w:r>
      <w:proofErr w:type="spellStart"/>
      <w:r>
        <w:t>optimising</w:t>
      </w:r>
      <w:proofErr w:type="spellEnd"/>
      <w:r>
        <w:t xml:space="preserve"> energy storage dispatch: Convex </w:t>
      </w:r>
      <w:proofErr w:type="spellStart"/>
      <w:r>
        <w:t>optimisation</w:t>
      </w:r>
      <w:proofErr w:type="spellEnd"/>
      <w:r>
        <w:t xml:space="preserve"> approach with degradation considerations,” </w:t>
      </w:r>
      <w:r>
        <w:rPr>
          <w:i/>
          <w:iCs/>
        </w:rPr>
        <w:t>J. Energy Storage</w:t>
      </w:r>
      <w:r>
        <w:t xml:space="preserve">, vol. 97, p. 112941, Sep. 2024, </w:t>
      </w:r>
      <w:proofErr w:type="spellStart"/>
      <w:r>
        <w:t>doi</w:t>
      </w:r>
      <w:proofErr w:type="spellEnd"/>
      <w:r>
        <w:t>: 10.1016/j.est.2024.112941.</w:t>
      </w:r>
    </w:p>
    <w:p w14:paraId="6BD40146" w14:textId="77777777" w:rsidR="00286292" w:rsidRDefault="00286292" w:rsidP="00286292">
      <w:pPr>
        <w:pStyle w:val="Bibliography"/>
      </w:pPr>
      <w:r>
        <w:t>[73]</w:t>
      </w:r>
      <w:r>
        <w:tab/>
        <w:t xml:space="preserve">T. Jaradat and T. Khatib, “A review of battery energy storage system for renewable energy penetration in electrical power system: Environmental impact, sizing methods, market features, and policy frameworks,” </w:t>
      </w:r>
      <w:r>
        <w:rPr>
          <w:i/>
          <w:iCs/>
        </w:rPr>
        <w:t>Future Batter.</w:t>
      </w:r>
      <w:r>
        <w:t xml:space="preserve">, vol. 7, p. 100106, Sep. 2025, </w:t>
      </w:r>
      <w:proofErr w:type="spellStart"/>
      <w:r>
        <w:t>doi</w:t>
      </w:r>
      <w:proofErr w:type="spellEnd"/>
      <w:r>
        <w:t>: 10.1016/j.fub.2025.100106.</w:t>
      </w:r>
    </w:p>
    <w:p w14:paraId="3F41D756" w14:textId="77777777" w:rsidR="00286292" w:rsidRDefault="00286292" w:rsidP="00286292">
      <w:pPr>
        <w:pStyle w:val="Bibliography"/>
      </w:pPr>
      <w:r>
        <w:t>[74]</w:t>
      </w:r>
      <w:r>
        <w:tab/>
      </w:r>
      <w:r>
        <w:rPr>
          <w:i/>
          <w:iCs/>
        </w:rPr>
        <w:t>IEEE Recommended Practice for the Design of Reliable Industrial and Commercial Power Systems (Gold Book)</w:t>
      </w:r>
      <w:r>
        <w:t xml:space="preserve">. </w:t>
      </w:r>
      <w:proofErr w:type="spellStart"/>
      <w:r>
        <w:t>doi</w:t>
      </w:r>
      <w:proofErr w:type="spellEnd"/>
      <w:r>
        <w:t>: 10.1109/IEEESTD.1998.89291.</w:t>
      </w:r>
    </w:p>
    <w:p w14:paraId="5BEED04A" w14:textId="77777777" w:rsidR="00286292" w:rsidRDefault="00286292" w:rsidP="00286292">
      <w:pPr>
        <w:pStyle w:val="Bibliography"/>
      </w:pPr>
      <w:r>
        <w:t>[75]</w:t>
      </w:r>
      <w:r>
        <w:tab/>
        <w:t xml:space="preserve">I. Keskin and G. </w:t>
      </w:r>
      <w:proofErr w:type="spellStart"/>
      <w:r>
        <w:t>Soykan</w:t>
      </w:r>
      <w:proofErr w:type="spellEnd"/>
      <w:r>
        <w:t xml:space="preserve">, “Reliability, availability, and life-cycle cost (LCC) analysis of combined cooling, heating and power (CCHP) integration to data centers considering electricity and cooling supplies,” </w:t>
      </w:r>
      <w:r>
        <w:rPr>
          <w:i/>
          <w:iCs/>
        </w:rPr>
        <w:t>Energy Convers. Manag.</w:t>
      </w:r>
      <w:r>
        <w:t xml:space="preserve">, vol. 291, p. 117254, Sep. 2023, </w:t>
      </w:r>
      <w:proofErr w:type="spellStart"/>
      <w:r>
        <w:t>doi</w:t>
      </w:r>
      <w:proofErr w:type="spellEnd"/>
      <w:r>
        <w:t>: 10.1016/j.enconman.2023.117254.</w:t>
      </w:r>
    </w:p>
    <w:p w14:paraId="73B97CBF" w14:textId="77777777" w:rsidR="00286292" w:rsidRDefault="00286292" w:rsidP="00286292">
      <w:pPr>
        <w:pStyle w:val="Bibliography"/>
      </w:pPr>
      <w:r>
        <w:t>[76]</w:t>
      </w:r>
      <w:r>
        <w:tab/>
        <w:t xml:space="preserve">Nguyen Anh Huy and X. T. Nguyen, “Data center energy assessment process and energy efficiency metrics,” 2025, </w:t>
      </w:r>
      <w:proofErr w:type="spellStart"/>
      <w:r>
        <w:t>doi</w:t>
      </w:r>
      <w:proofErr w:type="spellEnd"/>
      <w:r>
        <w:t>: 10.13140/RG.2.2.27710.75845.</w:t>
      </w:r>
    </w:p>
    <w:p w14:paraId="2DF3B1BC" w14:textId="77777777" w:rsidR="00286292" w:rsidRDefault="00286292" w:rsidP="00286292">
      <w:pPr>
        <w:pStyle w:val="Bibliography"/>
      </w:pPr>
      <w:r>
        <w:t>[77]</w:t>
      </w:r>
      <w:r>
        <w:tab/>
        <w:t xml:space="preserve">J. Gavrila Mailuhu, M. A.F. </w:t>
      </w:r>
      <w:proofErr w:type="spellStart"/>
      <w:r>
        <w:t>Haurissa</w:t>
      </w:r>
      <w:proofErr w:type="spellEnd"/>
      <w:r>
        <w:t xml:space="preserve">, and M. </w:t>
      </w:r>
      <w:proofErr w:type="spellStart"/>
      <w:r>
        <w:t>Jamlaay</w:t>
      </w:r>
      <w:proofErr w:type="spellEnd"/>
      <w:r>
        <w:t xml:space="preserve">, “Design </w:t>
      </w:r>
      <w:proofErr w:type="gramStart"/>
      <w:r>
        <w:t>And</w:t>
      </w:r>
      <w:proofErr w:type="gramEnd"/>
      <w:r>
        <w:t xml:space="preserve"> Construction </w:t>
      </w:r>
      <w:proofErr w:type="gramStart"/>
      <w:r>
        <w:t>Of</w:t>
      </w:r>
      <w:proofErr w:type="gramEnd"/>
      <w:r>
        <w:t xml:space="preserve"> Automatic Transfer Switch (ATS) System </w:t>
      </w:r>
      <w:proofErr w:type="gramStart"/>
      <w:r>
        <w:t>With</w:t>
      </w:r>
      <w:proofErr w:type="gramEnd"/>
      <w:r>
        <w:t xml:space="preserve"> Backup Control System </w:t>
      </w:r>
      <w:proofErr w:type="gramStart"/>
      <w:r>
        <w:t>In</w:t>
      </w:r>
      <w:proofErr w:type="gramEnd"/>
      <w:r>
        <w:t xml:space="preserve"> Hybrid Power Plant (PLN - PLTS - GENSET),” </w:t>
      </w:r>
      <w:r>
        <w:rPr>
          <w:i/>
          <w:iCs/>
        </w:rPr>
        <w:t>Int. J. Sci. Technol. Manag.</w:t>
      </w:r>
      <w:r>
        <w:t xml:space="preserve">, vol. 6, no. 3, pp. 520–527, Jun. 2025, </w:t>
      </w:r>
      <w:proofErr w:type="spellStart"/>
      <w:r>
        <w:t>doi</w:t>
      </w:r>
      <w:proofErr w:type="spellEnd"/>
      <w:r>
        <w:t>: 10.46729/</w:t>
      </w:r>
      <w:proofErr w:type="gramStart"/>
      <w:r>
        <w:t>ijstm.v</w:t>
      </w:r>
      <w:proofErr w:type="gramEnd"/>
      <w:r>
        <w:t>6i3.1316.</w:t>
      </w:r>
    </w:p>
    <w:p w14:paraId="78F646FF" w14:textId="77777777" w:rsidR="00286292" w:rsidRDefault="00286292" w:rsidP="00286292">
      <w:pPr>
        <w:pStyle w:val="Bibliography"/>
      </w:pPr>
      <w:r>
        <w:t>[78]</w:t>
      </w:r>
      <w:r>
        <w:tab/>
        <w:t xml:space="preserve">S. Narayanaswamy, P. D. Patel, I. Karlin, A. Gupta, S. Saripalli, and J. Guo, “Datacenter Energy Optimized Power Profiles,” 2025, </w:t>
      </w:r>
      <w:proofErr w:type="spellStart"/>
      <w:r>
        <w:rPr>
          <w:i/>
          <w:iCs/>
        </w:rPr>
        <w:t>arXiv</w:t>
      </w:r>
      <w:proofErr w:type="spellEnd"/>
      <w:r>
        <w:t xml:space="preserve">. </w:t>
      </w:r>
      <w:proofErr w:type="spellStart"/>
      <w:r>
        <w:t>doi</w:t>
      </w:r>
      <w:proofErr w:type="spellEnd"/>
      <w:r>
        <w:t>: 10.48550/ARXIV.2510.03872.</w:t>
      </w:r>
    </w:p>
    <w:p w14:paraId="1B0E8C57" w14:textId="77777777" w:rsidR="00286292" w:rsidRDefault="00286292" w:rsidP="00286292">
      <w:pPr>
        <w:pStyle w:val="Bibliography"/>
      </w:pPr>
      <w:r>
        <w:t>[79]</w:t>
      </w:r>
      <w:r>
        <w:tab/>
        <w:t>V. Singhania, S. Aga, and M. A. Ibrahim, “</w:t>
      </w:r>
      <w:proofErr w:type="spellStart"/>
      <w:r>
        <w:t>FinGraV</w:t>
      </w:r>
      <w:proofErr w:type="spellEnd"/>
      <w:r>
        <w:t xml:space="preserve">: Methodology for Fine-Grain GPU Power Visibility and Insights,” Mar. 28, 2025, </w:t>
      </w:r>
      <w:proofErr w:type="spellStart"/>
      <w:r>
        <w:rPr>
          <w:i/>
          <w:iCs/>
        </w:rPr>
        <w:t>arXiv</w:t>
      </w:r>
      <w:proofErr w:type="spellEnd"/>
      <w:r>
        <w:t xml:space="preserve">: arXiv:2412.12426. </w:t>
      </w:r>
      <w:proofErr w:type="spellStart"/>
      <w:r>
        <w:t>doi</w:t>
      </w:r>
      <w:proofErr w:type="spellEnd"/>
      <w:r>
        <w:t>: 10.48550/arXiv.2412.12426.</w:t>
      </w:r>
    </w:p>
    <w:p w14:paraId="182AA812" w14:textId="77777777" w:rsidR="00286292" w:rsidRDefault="00286292" w:rsidP="00286292">
      <w:pPr>
        <w:pStyle w:val="Bibliography"/>
      </w:pPr>
      <w:r>
        <w:t>[80]</w:t>
      </w:r>
      <w:r>
        <w:tab/>
        <w:t xml:space="preserve">Z. Yang, G. He, Y. Li, Y. Sun, W. Luo, and W. Zhang, “Thermal management in </w:t>
      </w:r>
      <w:proofErr w:type="spellStart"/>
      <w:r>
        <w:t>copackaged</w:t>
      </w:r>
      <w:proofErr w:type="spellEnd"/>
      <w:r>
        <w:t xml:space="preserve"> optics: from device assembly to system operation,” </w:t>
      </w:r>
      <w:r>
        <w:rPr>
          <w:i/>
          <w:iCs/>
        </w:rPr>
        <w:t>Adv. Photonics Nexus</w:t>
      </w:r>
      <w:r>
        <w:t xml:space="preserve">, vol. 5, no. 03, Mar. 2026, </w:t>
      </w:r>
      <w:proofErr w:type="spellStart"/>
      <w:r>
        <w:t>doi</w:t>
      </w:r>
      <w:proofErr w:type="spellEnd"/>
      <w:r>
        <w:t>: 10.1117/1.APN.5.3.034001.</w:t>
      </w:r>
    </w:p>
    <w:p w14:paraId="377E7270" w14:textId="77777777" w:rsidR="00286292" w:rsidRDefault="00286292" w:rsidP="00286292">
      <w:pPr>
        <w:pStyle w:val="Bibliography"/>
      </w:pPr>
      <w:r>
        <w:t>[81]</w:t>
      </w:r>
      <w:r>
        <w:tab/>
        <w:t xml:space="preserve">S. Mohammadi </w:t>
      </w:r>
      <w:r>
        <w:rPr>
          <w:i/>
          <w:iCs/>
        </w:rPr>
        <w:t>et al.</w:t>
      </w:r>
      <w:r>
        <w:t xml:space="preserve">, “Grid Integration of AI Data Centers: A Critical Review of Energy Storage Solutions,” May 05, 2026, </w:t>
      </w:r>
      <w:proofErr w:type="spellStart"/>
      <w:r>
        <w:rPr>
          <w:i/>
          <w:iCs/>
        </w:rPr>
        <w:t>arXiv</w:t>
      </w:r>
      <w:proofErr w:type="spellEnd"/>
      <w:r>
        <w:t xml:space="preserve">: arXiv:2603.00415. </w:t>
      </w:r>
      <w:proofErr w:type="spellStart"/>
      <w:r>
        <w:t>doi</w:t>
      </w:r>
      <w:proofErr w:type="spellEnd"/>
      <w:r>
        <w:t>: 10.48550/arXiv.2603.00415.</w:t>
      </w:r>
    </w:p>
    <w:p w14:paraId="08F8F980" w14:textId="77777777" w:rsidR="00286292" w:rsidRDefault="00286292" w:rsidP="00286292">
      <w:pPr>
        <w:pStyle w:val="Bibliography"/>
      </w:pPr>
      <w:r>
        <w:lastRenderedPageBreak/>
        <w:t>[82]</w:t>
      </w:r>
      <w:r>
        <w:tab/>
        <w:t xml:space="preserve">Niranchana Radhakrishnan, “Optimizing Data Centre Energy Efficiency with Dynamic Resource Allocation and Intelligent Cooling Management through Machine Learning,” </w:t>
      </w:r>
      <w:r>
        <w:rPr>
          <w:i/>
          <w:iCs/>
        </w:rPr>
        <w:t xml:space="preserve">J. </w:t>
      </w:r>
      <w:proofErr w:type="spellStart"/>
      <w:r>
        <w:rPr>
          <w:i/>
          <w:iCs/>
        </w:rPr>
        <w:t>Electr</w:t>
      </w:r>
      <w:proofErr w:type="spellEnd"/>
      <w:r>
        <w:rPr>
          <w:i/>
          <w:iCs/>
        </w:rPr>
        <w:t>. Syst.</w:t>
      </w:r>
      <w:r>
        <w:t xml:space="preserve">, vol. 20, no. 3s, pp. 286–293, Apr. 2024, </w:t>
      </w:r>
      <w:proofErr w:type="spellStart"/>
      <w:r>
        <w:t>doi</w:t>
      </w:r>
      <w:proofErr w:type="spellEnd"/>
      <w:r>
        <w:t>: 10.52783/jes.1287.</w:t>
      </w:r>
    </w:p>
    <w:p w14:paraId="52884990" w14:textId="77777777" w:rsidR="00286292" w:rsidRDefault="00286292" w:rsidP="00286292">
      <w:pPr>
        <w:pStyle w:val="Bibliography"/>
      </w:pPr>
      <w:r>
        <w:t>[83]</w:t>
      </w:r>
      <w:r>
        <w:tab/>
        <w:t xml:space="preserve">T. W. A. Putra, N. D. Setiawan, and R. </w:t>
      </w:r>
      <w:proofErr w:type="spellStart"/>
      <w:r>
        <w:t>Rusito</w:t>
      </w:r>
      <w:proofErr w:type="spellEnd"/>
      <w:r>
        <w:t xml:space="preserve">, “The Use of Machine Learning for Efficient Energy Management in Big Data-Based Computing Systems,” </w:t>
      </w:r>
      <w:r>
        <w:rPr>
          <w:i/>
          <w:iCs/>
        </w:rPr>
        <w:t>J. Technol. Inform. Eng.</w:t>
      </w:r>
      <w:r>
        <w:t xml:space="preserve">, vol. 3, no. 3, pp. 324–336, Dec. 2024, </w:t>
      </w:r>
      <w:proofErr w:type="spellStart"/>
      <w:r>
        <w:t>doi</w:t>
      </w:r>
      <w:proofErr w:type="spellEnd"/>
      <w:r>
        <w:t>: 10.51903/</w:t>
      </w:r>
      <w:proofErr w:type="gramStart"/>
      <w:r>
        <w:t>jtie.v</w:t>
      </w:r>
      <w:proofErr w:type="gramEnd"/>
      <w:r>
        <w:t>3i3.202.</w:t>
      </w:r>
    </w:p>
    <w:p w14:paraId="517AFDA4" w14:textId="77777777" w:rsidR="00286292" w:rsidRDefault="00286292" w:rsidP="00286292">
      <w:pPr>
        <w:pStyle w:val="Bibliography"/>
      </w:pPr>
      <w:r>
        <w:t>[84]</w:t>
      </w:r>
      <w:r>
        <w:tab/>
        <w:t>IEC, “Electrical Energy Storage.” [Online]. Available: https://iec.ch/system/files/2019-09/content/media/files/iec_wp-electrical_energy_storage-en.pdf</w:t>
      </w:r>
    </w:p>
    <w:p w14:paraId="76615EBB" w14:textId="77777777" w:rsidR="00286292" w:rsidRDefault="00286292" w:rsidP="00286292">
      <w:pPr>
        <w:pStyle w:val="Bibliography"/>
      </w:pPr>
      <w:r>
        <w:t>[85]</w:t>
      </w:r>
      <w:r>
        <w:tab/>
        <w:t xml:space="preserve">Y. Sheng </w:t>
      </w:r>
      <w:r>
        <w:rPr>
          <w:i/>
          <w:iCs/>
        </w:rPr>
        <w:t>et al.</w:t>
      </w:r>
      <w:r>
        <w:t xml:space="preserve">, “Power for AI Data Centers: Energy Demand, Grid Impacts, Challenges and Perspectives,” </w:t>
      </w:r>
      <w:r>
        <w:rPr>
          <w:i/>
          <w:iCs/>
        </w:rPr>
        <w:t>Energies</w:t>
      </w:r>
      <w:r>
        <w:t xml:space="preserve">, vol. 19, no. 3, p. 722, Jan. 2026, </w:t>
      </w:r>
      <w:proofErr w:type="spellStart"/>
      <w:r>
        <w:t>doi</w:t>
      </w:r>
      <w:proofErr w:type="spellEnd"/>
      <w:r>
        <w:t>: 10.3390/en19030722.</w:t>
      </w:r>
    </w:p>
    <w:p w14:paraId="107C2A31" w14:textId="77777777" w:rsidR="00286292" w:rsidRDefault="00286292" w:rsidP="00286292">
      <w:pPr>
        <w:pStyle w:val="Bibliography"/>
      </w:pPr>
      <w:r>
        <w:t>[86]</w:t>
      </w:r>
      <w:r>
        <w:tab/>
        <w:t xml:space="preserve">E. Eslami, “Air Quality and Greenhouse Gas Emissions Assessment of Data Centers in Texas: Quantifying Impacts and Environmental Tradeoffs,” 2025, </w:t>
      </w:r>
      <w:proofErr w:type="spellStart"/>
      <w:r>
        <w:rPr>
          <w:i/>
          <w:iCs/>
        </w:rPr>
        <w:t>arXiv</w:t>
      </w:r>
      <w:proofErr w:type="spellEnd"/>
      <w:r>
        <w:t xml:space="preserve">. </w:t>
      </w:r>
      <w:proofErr w:type="spellStart"/>
      <w:r>
        <w:t>doi</w:t>
      </w:r>
      <w:proofErr w:type="spellEnd"/>
      <w:r>
        <w:t>: 10.48550/ARXIV.2509.21312.</w:t>
      </w:r>
    </w:p>
    <w:p w14:paraId="066B4FD4" w14:textId="77777777" w:rsidR="00286292" w:rsidRDefault="00286292" w:rsidP="00286292">
      <w:pPr>
        <w:pStyle w:val="Bibliography"/>
      </w:pPr>
      <w:r>
        <w:t>[87]</w:t>
      </w:r>
      <w:r>
        <w:tab/>
        <w:t xml:space="preserve">Y. Tang, X. Bai, C. Jin, Y. Fu, W. Mao, and X. Xu, “Experimental and numerical study on the thermal environment of a data center,” </w:t>
      </w:r>
      <w:r>
        <w:rPr>
          <w:i/>
          <w:iCs/>
        </w:rPr>
        <w:t>Build. Environ.</w:t>
      </w:r>
      <w:r>
        <w:t xml:space="preserve">, vol. 212, p. 108741, Mar. 2022, </w:t>
      </w:r>
      <w:proofErr w:type="spellStart"/>
      <w:r>
        <w:t>doi</w:t>
      </w:r>
      <w:proofErr w:type="spellEnd"/>
      <w:r>
        <w:t>: 10.1016/j.buildenv.2021.108741.</w:t>
      </w:r>
    </w:p>
    <w:p w14:paraId="5DE22A11" w14:textId="77777777" w:rsidR="00286292" w:rsidRDefault="00286292" w:rsidP="00286292">
      <w:pPr>
        <w:pStyle w:val="Bibliography"/>
      </w:pPr>
      <w:r>
        <w:t>[88]</w:t>
      </w:r>
      <w:r>
        <w:tab/>
        <w:t xml:space="preserve">C. S. D. and S. </w:t>
      </w:r>
      <w:proofErr w:type="spellStart"/>
      <w:r>
        <w:t>Abimannan</w:t>
      </w:r>
      <w:proofErr w:type="spellEnd"/>
      <w:r>
        <w:t xml:space="preserve">, “Energy Efficient Free Cooling System for Data Centers,” in </w:t>
      </w:r>
      <w:r>
        <w:rPr>
          <w:i/>
          <w:iCs/>
        </w:rPr>
        <w:t>2011 IEEE Third International Conference on Cloud Computing Technology and Science</w:t>
      </w:r>
      <w:r>
        <w:t xml:space="preserve">, Athens, Greece: IEEE, Nov. 2011, pp. 646–651. </w:t>
      </w:r>
      <w:proofErr w:type="spellStart"/>
      <w:r>
        <w:t>doi</w:t>
      </w:r>
      <w:proofErr w:type="spellEnd"/>
      <w:r>
        <w:t>: 10.1109/CloudCom.2011.100.</w:t>
      </w:r>
    </w:p>
    <w:p w14:paraId="4874B4E7" w14:textId="77777777" w:rsidR="00286292" w:rsidRDefault="00286292" w:rsidP="00286292">
      <w:pPr>
        <w:pStyle w:val="Bibliography"/>
      </w:pPr>
      <w:r>
        <w:t>[89]</w:t>
      </w:r>
      <w:r>
        <w:tab/>
        <w:t xml:space="preserve">J. Yuan, Y. Yan, X. Zhang, X. Kong, and T. Zhang, “Coupling of flexible phase change materials and servers for improving the security of data centers in emergency situations,” </w:t>
      </w:r>
      <w:r>
        <w:rPr>
          <w:i/>
          <w:iCs/>
        </w:rPr>
        <w:t>Appl. Therm. Eng.</w:t>
      </w:r>
      <w:r>
        <w:t xml:space="preserve">, vol. 242, p. 122439, Apr. 2024, </w:t>
      </w:r>
      <w:proofErr w:type="spellStart"/>
      <w:r>
        <w:t>doi</w:t>
      </w:r>
      <w:proofErr w:type="spellEnd"/>
      <w:r>
        <w:t>: 10.1016/j.applthermaleng.2024.122439.</w:t>
      </w:r>
    </w:p>
    <w:p w14:paraId="404CDCE2" w14:textId="77777777" w:rsidR="00286292" w:rsidRDefault="00286292" w:rsidP="00286292">
      <w:pPr>
        <w:pStyle w:val="Bibliography"/>
      </w:pPr>
      <w:r>
        <w:t>[90]</w:t>
      </w:r>
      <w:r>
        <w:tab/>
      </w:r>
      <w:r>
        <w:rPr>
          <w:i/>
          <w:iCs/>
        </w:rPr>
        <w:t>IEEE Recommended Practice for Powering and Grounding Electronic Equipment</w:t>
      </w:r>
      <w:r>
        <w:t xml:space="preserve">. </w:t>
      </w:r>
      <w:proofErr w:type="spellStart"/>
      <w:r>
        <w:t>doi</w:t>
      </w:r>
      <w:proofErr w:type="spellEnd"/>
      <w:r>
        <w:t>: 10.1109/IEEESTD.1999.90559.</w:t>
      </w:r>
    </w:p>
    <w:p w14:paraId="5FC29135" w14:textId="77777777" w:rsidR="00286292" w:rsidRDefault="00286292" w:rsidP="00286292">
      <w:pPr>
        <w:pStyle w:val="Bibliography"/>
      </w:pPr>
      <w:r>
        <w:t>[91]</w:t>
      </w:r>
      <w:r>
        <w:tab/>
        <w:t>R. Siddique, “Active Power Filters for Harmonic Mitigation in Power Systems”.</w:t>
      </w:r>
    </w:p>
    <w:p w14:paraId="4649868E" w14:textId="77777777" w:rsidR="00286292" w:rsidRDefault="00286292" w:rsidP="00286292">
      <w:pPr>
        <w:pStyle w:val="Bibliography"/>
      </w:pPr>
      <w:r>
        <w:t>[92]</w:t>
      </w:r>
      <w:r>
        <w:tab/>
        <w:t xml:space="preserve">A. Santos, G. Duggan, S. Frank, D. Gerber, and D. Zimmerle, “Endpoint Use Efficiency Comparison for AC and DC Power Distribution in Commercial Buildings,” </w:t>
      </w:r>
      <w:r>
        <w:rPr>
          <w:i/>
          <w:iCs/>
        </w:rPr>
        <w:t>Energies</w:t>
      </w:r>
      <w:r>
        <w:t xml:space="preserve">, vol. 14, no. 18, p. 5863, Sep. 2021, </w:t>
      </w:r>
      <w:proofErr w:type="spellStart"/>
      <w:r>
        <w:t>doi</w:t>
      </w:r>
      <w:proofErr w:type="spellEnd"/>
      <w:r>
        <w:t>: 10.3390/en14185863.</w:t>
      </w:r>
    </w:p>
    <w:p w14:paraId="0DBBC96F" w14:textId="77777777" w:rsidR="00286292" w:rsidRDefault="00286292" w:rsidP="00286292">
      <w:pPr>
        <w:pStyle w:val="Bibliography"/>
      </w:pPr>
      <w:r>
        <w:t>[93]</w:t>
      </w:r>
      <w:r>
        <w:tab/>
        <w:t xml:space="preserve">A. F. Snyder and M. T. G. Stuber, “The ANSI C12 protocol suite - updated and now with network capabilities,” in </w:t>
      </w:r>
      <w:r>
        <w:rPr>
          <w:i/>
          <w:iCs/>
        </w:rPr>
        <w:t>2007 Power Systems Conference: Advanced Metering, Protection, Control, Communication, and Distributed Resources</w:t>
      </w:r>
      <w:r>
        <w:t xml:space="preserve">, Clemson, SC, USA: IEEE, Mar. 2007, pp. 117–122. </w:t>
      </w:r>
      <w:proofErr w:type="spellStart"/>
      <w:r>
        <w:t>doi</w:t>
      </w:r>
      <w:proofErr w:type="spellEnd"/>
      <w:r>
        <w:t>: 10.1109/PSAMP.2007.4740906.</w:t>
      </w:r>
    </w:p>
    <w:p w14:paraId="782B649D" w14:textId="77777777" w:rsidR="00286292" w:rsidRDefault="00286292" w:rsidP="00286292">
      <w:pPr>
        <w:pStyle w:val="Bibliography"/>
      </w:pPr>
      <w:r>
        <w:t>[94]</w:t>
      </w:r>
      <w:r>
        <w:tab/>
        <w:t xml:space="preserve">J. Li, C. Wang, and Y. Liu, “AI Driven Virtual Power Plants: A Comprehensive Review,” Jan. 22, 2026, </w:t>
      </w:r>
      <w:r>
        <w:rPr>
          <w:i/>
          <w:iCs/>
        </w:rPr>
        <w:t>Engineering</w:t>
      </w:r>
      <w:r>
        <w:t xml:space="preserve">. </w:t>
      </w:r>
      <w:proofErr w:type="spellStart"/>
      <w:r>
        <w:t>doi</w:t>
      </w:r>
      <w:proofErr w:type="spellEnd"/>
      <w:r>
        <w:t>: 10.20944/preprints</w:t>
      </w:r>
      <w:proofErr w:type="gramStart"/>
      <w:r>
        <w:t>202601.1691.v</w:t>
      </w:r>
      <w:proofErr w:type="gramEnd"/>
      <w:r>
        <w:t>1.</w:t>
      </w:r>
    </w:p>
    <w:p w14:paraId="33BFCB34" w14:textId="77777777" w:rsidR="00286292" w:rsidRDefault="00286292" w:rsidP="00286292">
      <w:pPr>
        <w:pStyle w:val="Bibliography"/>
      </w:pPr>
      <w:r>
        <w:t>[95]</w:t>
      </w:r>
      <w:r>
        <w:tab/>
        <w:t xml:space="preserve">S. Jadhav and Z. Liu, “Digital Twin-Based Cooling System Optimization for Data Center,” 2026, </w:t>
      </w:r>
      <w:proofErr w:type="spellStart"/>
      <w:r>
        <w:rPr>
          <w:i/>
          <w:iCs/>
        </w:rPr>
        <w:t>arXiv</w:t>
      </w:r>
      <w:proofErr w:type="spellEnd"/>
      <w:r>
        <w:t xml:space="preserve">. </w:t>
      </w:r>
      <w:proofErr w:type="spellStart"/>
      <w:r>
        <w:t>doi</w:t>
      </w:r>
      <w:proofErr w:type="spellEnd"/>
      <w:r>
        <w:t>: 10.48550/ARXIV.2603.01198.</w:t>
      </w:r>
    </w:p>
    <w:p w14:paraId="5FE36095" w14:textId="77777777" w:rsidR="00286292" w:rsidRDefault="00286292" w:rsidP="00286292">
      <w:pPr>
        <w:pStyle w:val="Bibliography"/>
      </w:pPr>
      <w:r>
        <w:t>[96]</w:t>
      </w:r>
      <w:r>
        <w:tab/>
        <w:t>NREL, “National Renewable Energy Laboratory (NREL).” [Online]. Available: https://atb.nrel.gov/</w:t>
      </w:r>
    </w:p>
    <w:p w14:paraId="30FD140A" w14:textId="77777777" w:rsidR="00286292" w:rsidRDefault="00286292" w:rsidP="00286292">
      <w:pPr>
        <w:pStyle w:val="Bibliography"/>
      </w:pPr>
      <w:r>
        <w:t>[97]</w:t>
      </w:r>
      <w:r>
        <w:tab/>
        <w:t xml:space="preserve">E. Förstner </w:t>
      </w:r>
      <w:r>
        <w:rPr>
          <w:i/>
          <w:iCs/>
        </w:rPr>
        <w:t>et al.</w:t>
      </w:r>
      <w:r>
        <w:t xml:space="preserve">, “Photovoltaic system reduces grid voltage waveform distortions in the frequency range from 700 Hz to 1250 Hz,” 2026, </w:t>
      </w:r>
      <w:proofErr w:type="spellStart"/>
      <w:r>
        <w:t>doi</w:t>
      </w:r>
      <w:proofErr w:type="spellEnd"/>
      <w:r>
        <w:t>: 10.5445/IR/1000191363.</w:t>
      </w:r>
    </w:p>
    <w:p w14:paraId="77F68A49" w14:textId="77777777" w:rsidR="00286292" w:rsidRDefault="00286292" w:rsidP="00286292">
      <w:pPr>
        <w:pStyle w:val="Bibliography"/>
      </w:pPr>
      <w:r>
        <w:t>[98]</w:t>
      </w:r>
      <w:r>
        <w:tab/>
        <w:t xml:space="preserve">L. Liu, H. Matayoshi, M. E. Lotfy, M. Datta, and T. </w:t>
      </w:r>
      <w:proofErr w:type="spellStart"/>
      <w:r>
        <w:t>Senjyu</w:t>
      </w:r>
      <w:proofErr w:type="spellEnd"/>
      <w:r>
        <w:t xml:space="preserve">, “Load Frequency Control Using Demand Response and Storage Battery by Considering Renewable Energy Sources,” </w:t>
      </w:r>
      <w:r>
        <w:rPr>
          <w:i/>
          <w:iCs/>
        </w:rPr>
        <w:t>Energies</w:t>
      </w:r>
      <w:r>
        <w:t xml:space="preserve">, vol. 11, no. 12, p. 3412, Dec. 2018, </w:t>
      </w:r>
      <w:proofErr w:type="spellStart"/>
      <w:r>
        <w:t>doi</w:t>
      </w:r>
      <w:proofErr w:type="spellEnd"/>
      <w:r>
        <w:t>: 10.3390/en11123412.</w:t>
      </w:r>
    </w:p>
    <w:p w14:paraId="48241DBC" w14:textId="77777777" w:rsidR="00286292" w:rsidRDefault="00286292" w:rsidP="00286292">
      <w:pPr>
        <w:pStyle w:val="Bibliography"/>
      </w:pPr>
      <w:r>
        <w:lastRenderedPageBreak/>
        <w:t>[99]</w:t>
      </w:r>
      <w:r>
        <w:tab/>
        <w:t xml:space="preserve">O. </w:t>
      </w:r>
      <w:proofErr w:type="spellStart"/>
      <w:r>
        <w:t>Ndindayino</w:t>
      </w:r>
      <w:proofErr w:type="spellEnd"/>
      <w:r>
        <w:t xml:space="preserve">, A. Puel, and J. Meyers, “Effect of blockage on wind turbine power and wake development,” Feb. 12, 2025, </w:t>
      </w:r>
      <w:r>
        <w:rPr>
          <w:i/>
          <w:iCs/>
        </w:rPr>
        <w:t>Fluid mechanics/Wakes and wind farm aerodynamics</w:t>
      </w:r>
      <w:r>
        <w:t xml:space="preserve">. </w:t>
      </w:r>
      <w:proofErr w:type="spellStart"/>
      <w:r>
        <w:t>doi</w:t>
      </w:r>
      <w:proofErr w:type="spellEnd"/>
      <w:r>
        <w:t>: 10.5194/wes-2025-6.</w:t>
      </w:r>
    </w:p>
    <w:p w14:paraId="2C95A205" w14:textId="77777777" w:rsidR="00286292" w:rsidRDefault="00286292" w:rsidP="00286292">
      <w:pPr>
        <w:pStyle w:val="Bibliography"/>
      </w:pPr>
      <w:r>
        <w:t>[100]</w:t>
      </w:r>
      <w:r>
        <w:tab/>
        <w:t xml:space="preserve">P. </w:t>
      </w:r>
      <w:proofErr w:type="spellStart"/>
      <w:r>
        <w:t>Toufani</w:t>
      </w:r>
      <w:proofErr w:type="spellEnd"/>
      <w:r>
        <w:t xml:space="preserve">, E. C. Karakoyun, E. Nadar, O. B. Fosso, and A. S. Kocaman, “Optimization of pumped hydro energy storage systems under uncertainty: A review,” </w:t>
      </w:r>
      <w:r>
        <w:rPr>
          <w:i/>
          <w:iCs/>
        </w:rPr>
        <w:t>J. Energy Storage</w:t>
      </w:r>
      <w:r>
        <w:t xml:space="preserve">, vol. 73, p. 109306, Dec. 2023, </w:t>
      </w:r>
      <w:proofErr w:type="spellStart"/>
      <w:r>
        <w:t>doi</w:t>
      </w:r>
      <w:proofErr w:type="spellEnd"/>
      <w:r>
        <w:t>: 10.1016/j.est.2023.109306.</w:t>
      </w:r>
    </w:p>
    <w:p w14:paraId="037562CD" w14:textId="77777777" w:rsidR="00286292" w:rsidRDefault="00286292" w:rsidP="00286292">
      <w:pPr>
        <w:pStyle w:val="Bibliography"/>
      </w:pPr>
      <w:r>
        <w:t>[101]</w:t>
      </w:r>
      <w:r>
        <w:tab/>
        <w:t xml:space="preserve">J. F. S. De Paula, J. L. De Souza Silva, M. V. De Paula, G. </w:t>
      </w:r>
      <w:proofErr w:type="spellStart"/>
      <w:r>
        <w:t>Fraidenraich</w:t>
      </w:r>
      <w:proofErr w:type="spellEnd"/>
      <w:r>
        <w:t xml:space="preserve">, and T. A. Dos Santos Barros, “A Two-Stage Methodology for Accurate PV Energy Yield Estimation Using Satellite Weather Data and PV Modeling Python Library,” in </w:t>
      </w:r>
      <w:r>
        <w:rPr>
          <w:i/>
          <w:iCs/>
        </w:rPr>
        <w:t>2025 Brazilian Power Electronics Conference (COBEP)</w:t>
      </w:r>
      <w:r>
        <w:t xml:space="preserve">, Vitoria, Brazil: IEEE, Oct. 2025, pp. 1–6. </w:t>
      </w:r>
      <w:proofErr w:type="spellStart"/>
      <w:r>
        <w:t>doi</w:t>
      </w:r>
      <w:proofErr w:type="spellEnd"/>
      <w:r>
        <w:t>: 10.1109/COBEP66423.2025.11231587.</w:t>
      </w:r>
    </w:p>
    <w:p w14:paraId="495C02CD" w14:textId="77777777" w:rsidR="00286292" w:rsidRDefault="00286292" w:rsidP="00286292">
      <w:pPr>
        <w:pStyle w:val="Bibliography"/>
      </w:pPr>
      <w:r>
        <w:t>[102]</w:t>
      </w:r>
      <w:r>
        <w:tab/>
        <w:t xml:space="preserve">M. Ernst and J. Gooday, “Methodology for generating high time resolution typical meteorological year data for accurate photovoltaic energy yield modelling,” </w:t>
      </w:r>
      <w:r>
        <w:rPr>
          <w:i/>
          <w:iCs/>
        </w:rPr>
        <w:t>Sol. Energy</w:t>
      </w:r>
      <w:r>
        <w:t xml:space="preserve">, vol. 189, pp. 299–306, Sep. 2019, </w:t>
      </w:r>
      <w:proofErr w:type="spellStart"/>
      <w:r>
        <w:t>doi</w:t>
      </w:r>
      <w:proofErr w:type="spellEnd"/>
      <w:r>
        <w:t>: 10.1016/j.solener.2019.07.069.</w:t>
      </w:r>
    </w:p>
    <w:p w14:paraId="69E45261" w14:textId="77777777" w:rsidR="00286292" w:rsidRDefault="00286292" w:rsidP="00286292">
      <w:pPr>
        <w:pStyle w:val="Bibliography"/>
      </w:pPr>
      <w:r>
        <w:t>[103]</w:t>
      </w:r>
      <w:r>
        <w:tab/>
        <w:t xml:space="preserve">A. K. Nassar </w:t>
      </w:r>
      <w:r>
        <w:rPr>
          <w:i/>
          <w:iCs/>
        </w:rPr>
        <w:t>et al.</w:t>
      </w:r>
      <w:r>
        <w:t xml:space="preserve">, “Multi-criteria GIS-based approach for optimal site selection of solar and wind energy,” </w:t>
      </w:r>
      <w:proofErr w:type="spellStart"/>
      <w:r>
        <w:rPr>
          <w:i/>
          <w:iCs/>
        </w:rPr>
        <w:t>Unconv</w:t>
      </w:r>
      <w:proofErr w:type="spellEnd"/>
      <w:r>
        <w:rPr>
          <w:i/>
          <w:iCs/>
        </w:rPr>
        <w:t xml:space="preserve">. </w:t>
      </w:r>
      <w:proofErr w:type="spellStart"/>
      <w:r>
        <w:rPr>
          <w:i/>
          <w:iCs/>
        </w:rPr>
        <w:t>Resour</w:t>
      </w:r>
      <w:proofErr w:type="spellEnd"/>
      <w:r>
        <w:rPr>
          <w:i/>
          <w:iCs/>
        </w:rPr>
        <w:t>.</w:t>
      </w:r>
      <w:r>
        <w:t xml:space="preserve">, vol. 7, p. 100192, Jul. 2025, </w:t>
      </w:r>
      <w:proofErr w:type="spellStart"/>
      <w:r>
        <w:t>doi</w:t>
      </w:r>
      <w:proofErr w:type="spellEnd"/>
      <w:r>
        <w:t>: 10.1016/j.uncres.2025.100192.</w:t>
      </w:r>
    </w:p>
    <w:p w14:paraId="77394042" w14:textId="77777777" w:rsidR="00286292" w:rsidRDefault="00286292" w:rsidP="00286292">
      <w:pPr>
        <w:pStyle w:val="Bibliography"/>
      </w:pPr>
      <w:r>
        <w:t>[104]</w:t>
      </w:r>
      <w:r>
        <w:tab/>
        <w:t xml:space="preserve">T. Anderson, “An improved typical meteorological year for solar energy simulations in Rarotonga, Cook Islands,” </w:t>
      </w:r>
      <w:r>
        <w:rPr>
          <w:i/>
          <w:iCs/>
        </w:rPr>
        <w:t>J. R. Soc. N. Z.</w:t>
      </w:r>
      <w:r>
        <w:t xml:space="preserve">, vol. 52, no. 5, pp. 606–613, Oct. 2022, </w:t>
      </w:r>
      <w:proofErr w:type="spellStart"/>
      <w:r>
        <w:t>doi</w:t>
      </w:r>
      <w:proofErr w:type="spellEnd"/>
      <w:r>
        <w:t>: 10.1080/03036758.2021.2013262.</w:t>
      </w:r>
    </w:p>
    <w:p w14:paraId="6A6308D4" w14:textId="77777777" w:rsidR="00286292" w:rsidRDefault="00286292" w:rsidP="00286292">
      <w:pPr>
        <w:pStyle w:val="Bibliography"/>
      </w:pPr>
      <w:r>
        <w:t>[105]</w:t>
      </w:r>
      <w:r>
        <w:tab/>
        <w:t xml:space="preserve">C. Jung and D. Schindler, “Projections of energy yield- and complementarity-driven wind energy expansion scenarios in the European Union,” </w:t>
      </w:r>
      <w:r>
        <w:rPr>
          <w:i/>
          <w:iCs/>
        </w:rPr>
        <w:t>Energy Convers. Manag.</w:t>
      </w:r>
      <w:r>
        <w:t xml:space="preserve">, vol. 269, p. 116160, Oct. 2022, </w:t>
      </w:r>
      <w:proofErr w:type="spellStart"/>
      <w:r>
        <w:t>doi</w:t>
      </w:r>
      <w:proofErr w:type="spellEnd"/>
      <w:r>
        <w:t>: 10.1016/j.enconman.2022.116160.</w:t>
      </w:r>
    </w:p>
    <w:p w14:paraId="745699BC" w14:textId="77777777" w:rsidR="00286292" w:rsidRDefault="00286292" w:rsidP="00286292">
      <w:pPr>
        <w:pStyle w:val="Bibliography"/>
      </w:pPr>
      <w:r>
        <w:t>[106]</w:t>
      </w:r>
      <w:r>
        <w:tab/>
        <w:t xml:space="preserve">M. Li </w:t>
      </w:r>
      <w:r>
        <w:rPr>
          <w:i/>
          <w:iCs/>
        </w:rPr>
        <w:t>et al.</w:t>
      </w:r>
      <w:r>
        <w:t xml:space="preserve">, “Renewable energy quality trilemma and coincident wind and solar droughts,” </w:t>
      </w:r>
      <w:r>
        <w:rPr>
          <w:i/>
          <w:iCs/>
        </w:rPr>
        <w:t>Commun. Earth Environ.</w:t>
      </w:r>
      <w:r>
        <w:t xml:space="preserve">, vol. 5, no. 1, p. 661, Nov. 2024, </w:t>
      </w:r>
      <w:proofErr w:type="spellStart"/>
      <w:r>
        <w:t>doi</w:t>
      </w:r>
      <w:proofErr w:type="spellEnd"/>
      <w:r>
        <w:t>: 10.1038/s43247-024-01850-5.</w:t>
      </w:r>
    </w:p>
    <w:p w14:paraId="3954B0A4" w14:textId="77777777" w:rsidR="00286292" w:rsidRDefault="00286292" w:rsidP="00286292">
      <w:pPr>
        <w:pStyle w:val="Bibliography"/>
      </w:pPr>
      <w:r>
        <w:t>[107]</w:t>
      </w:r>
      <w:r>
        <w:tab/>
        <w:t xml:space="preserve">S. Jerez, I. Tobin, M. Turco, P. Jiménez-Guerrero, R. </w:t>
      </w:r>
      <w:proofErr w:type="spellStart"/>
      <w:r>
        <w:t>Vautard</w:t>
      </w:r>
      <w:proofErr w:type="spellEnd"/>
      <w:r>
        <w:t xml:space="preserve">, and J. P. </w:t>
      </w:r>
      <w:proofErr w:type="spellStart"/>
      <w:r>
        <w:t>Montávez</w:t>
      </w:r>
      <w:proofErr w:type="spellEnd"/>
      <w:r>
        <w:t xml:space="preserve">, “Future changes, or lack thereof, in the temporal variability of the combined wind-plus-solar power production in Europe,” </w:t>
      </w:r>
      <w:r>
        <w:rPr>
          <w:i/>
          <w:iCs/>
        </w:rPr>
        <w:t>Renew. Energy</w:t>
      </w:r>
      <w:r>
        <w:t xml:space="preserve">, vol. 139, pp. 251–260, Aug. 2019, </w:t>
      </w:r>
      <w:proofErr w:type="spellStart"/>
      <w:r>
        <w:t>doi</w:t>
      </w:r>
      <w:proofErr w:type="spellEnd"/>
      <w:r>
        <w:t>: 10.1016/j.renene.2019.02.060.</w:t>
      </w:r>
    </w:p>
    <w:p w14:paraId="01095A6D" w14:textId="77777777" w:rsidR="00286292" w:rsidRDefault="00286292" w:rsidP="00286292">
      <w:pPr>
        <w:pStyle w:val="Bibliography"/>
      </w:pPr>
      <w:r>
        <w:t>[108]</w:t>
      </w:r>
      <w:r>
        <w:tab/>
        <w:t xml:space="preserve">W. Cole, V. Ramasamy, and M. Turan, “Cost Projections for Utility-Scale Battery Storage: 2025 Update,” </w:t>
      </w:r>
      <w:r>
        <w:rPr>
          <w:i/>
          <w:iCs/>
        </w:rPr>
        <w:t>Renew. Energy</w:t>
      </w:r>
      <w:r>
        <w:t>, 2025, [Online]. Available: https://docs.nrel.gov/docs/fy25osti/93281.pdf</w:t>
      </w:r>
    </w:p>
    <w:p w14:paraId="5EDEA8B7" w14:textId="77777777" w:rsidR="00286292" w:rsidRDefault="00286292" w:rsidP="00286292">
      <w:pPr>
        <w:pStyle w:val="Bibliography"/>
      </w:pPr>
      <w:r>
        <w:t>[109]</w:t>
      </w:r>
      <w:r>
        <w:tab/>
        <w:t>Our World in Data, “Battery costs have declined by 99% in the last three decades, making electrified transport a reality.” [Online]. Available: https://ourworldindata.org/battery-price-decline</w:t>
      </w:r>
    </w:p>
    <w:p w14:paraId="1EFB5943" w14:textId="77777777" w:rsidR="00286292" w:rsidRDefault="00286292" w:rsidP="00286292">
      <w:pPr>
        <w:pStyle w:val="Bibliography"/>
      </w:pPr>
      <w:r>
        <w:t>[110]</w:t>
      </w:r>
      <w:r>
        <w:tab/>
        <w:t xml:space="preserve">European Commission. Joint Research Centre </w:t>
      </w:r>
      <w:r>
        <w:rPr>
          <w:i/>
          <w:iCs/>
        </w:rPr>
        <w:t>et al.</w:t>
      </w:r>
      <w:r>
        <w:t xml:space="preserve">, </w:t>
      </w:r>
      <w:r>
        <w:rPr>
          <w:i/>
          <w:iCs/>
        </w:rPr>
        <w:t>Clean Energy Technology Observatory</w:t>
      </w:r>
      <w:r>
        <w:t xml:space="preserve">. in EUR. LU: Publications Office of the European Union, 2026. </w:t>
      </w:r>
      <w:proofErr w:type="spellStart"/>
      <w:r>
        <w:t>doi</w:t>
      </w:r>
      <w:proofErr w:type="spellEnd"/>
      <w:r>
        <w:t>: 10.2760/2686206.</w:t>
      </w:r>
    </w:p>
    <w:p w14:paraId="2B9C2A0C" w14:textId="77777777" w:rsidR="00286292" w:rsidRDefault="00286292" w:rsidP="00286292">
      <w:pPr>
        <w:pStyle w:val="Bibliography"/>
      </w:pPr>
      <w:r>
        <w:t>[111]</w:t>
      </w:r>
      <w:r>
        <w:tab/>
        <w:t xml:space="preserve">D. Reber, S. Jarvis, and M. Marshak, “The role of energy density for grid-scale batteries,” Nov. 17, 2022. </w:t>
      </w:r>
      <w:proofErr w:type="spellStart"/>
      <w:r>
        <w:t>doi</w:t>
      </w:r>
      <w:proofErr w:type="spellEnd"/>
      <w:r>
        <w:t>: 10.26434/chemrxiv-2022-5ddhs.</w:t>
      </w:r>
    </w:p>
    <w:p w14:paraId="2105C582" w14:textId="77777777" w:rsidR="00286292" w:rsidRDefault="00286292" w:rsidP="00286292">
      <w:pPr>
        <w:pStyle w:val="Bibliography"/>
      </w:pPr>
      <w:r>
        <w:t>[112]</w:t>
      </w:r>
      <w:r>
        <w:tab/>
        <w:t xml:space="preserve">S. Rahman and T. A. Khan, “Energy Storage Systems for AI Data Centers: A Review of Technologies, Characteristics, and Applicability,” </w:t>
      </w:r>
      <w:r>
        <w:rPr>
          <w:i/>
          <w:iCs/>
        </w:rPr>
        <w:t>Energies</w:t>
      </w:r>
      <w:r>
        <w:t xml:space="preserve">, vol. 19, no. 3, p. 634, Jan. 2026, </w:t>
      </w:r>
      <w:proofErr w:type="spellStart"/>
      <w:r>
        <w:t>doi</w:t>
      </w:r>
      <w:proofErr w:type="spellEnd"/>
      <w:r>
        <w:t>: 10.3390/en19030634.</w:t>
      </w:r>
    </w:p>
    <w:p w14:paraId="7576DA13" w14:textId="77777777" w:rsidR="00286292" w:rsidRDefault="00286292" w:rsidP="00286292">
      <w:pPr>
        <w:pStyle w:val="Bibliography"/>
      </w:pPr>
      <w:r>
        <w:t>[113]</w:t>
      </w:r>
      <w:r>
        <w:tab/>
        <w:t>U. Remme, “Global Hydrogen Review 2025,” 2025, [Online]. Available: https://iea.blob.core.windows.net/assets/12d92ecc-e960-40f3-aff5-b2de6690ab6b/GlobalHydrogenReview2025.pdf</w:t>
      </w:r>
    </w:p>
    <w:p w14:paraId="6B99008A" w14:textId="77777777" w:rsidR="00286292" w:rsidRDefault="00286292" w:rsidP="00286292">
      <w:pPr>
        <w:pStyle w:val="Bibliography"/>
      </w:pPr>
      <w:r>
        <w:lastRenderedPageBreak/>
        <w:t>[114]</w:t>
      </w:r>
      <w:r>
        <w:tab/>
        <w:t xml:space="preserve">F. Yang, Z. Wang, and X. Tian, “Estimating future costs of hydrogen as long-duration energy storage based on a learning rate approach,” </w:t>
      </w:r>
      <w:r>
        <w:rPr>
          <w:i/>
          <w:iCs/>
        </w:rPr>
        <w:t>Clean Energy</w:t>
      </w:r>
      <w:r>
        <w:t xml:space="preserve">, vol. 10, no. 2, pp. 146–155, Mar. 2026, </w:t>
      </w:r>
      <w:proofErr w:type="spellStart"/>
      <w:r>
        <w:t>doi</w:t>
      </w:r>
      <w:proofErr w:type="spellEnd"/>
      <w:r>
        <w:t>: 10.1093/</w:t>
      </w:r>
      <w:proofErr w:type="spellStart"/>
      <w:r>
        <w:t>ce</w:t>
      </w:r>
      <w:proofErr w:type="spellEnd"/>
      <w:r>
        <w:t>/zkaf075.</w:t>
      </w:r>
    </w:p>
    <w:p w14:paraId="67B68EDD" w14:textId="77777777" w:rsidR="00286292" w:rsidRDefault="00286292" w:rsidP="00286292">
      <w:pPr>
        <w:pStyle w:val="Bibliography"/>
      </w:pPr>
      <w:r>
        <w:t>[115]</w:t>
      </w:r>
      <w:r>
        <w:tab/>
        <w:t xml:space="preserve">X. Dong, Z. Yang, Q. Zhu, J. Li, B. Zhou, and J. Zhu, “Research on Reliability Evaluation Method of Distribution Network Considering the Temporal Characteristics of Distributed Power Sources,” </w:t>
      </w:r>
      <w:r>
        <w:rPr>
          <w:i/>
          <w:iCs/>
        </w:rPr>
        <w:t>Processes</w:t>
      </w:r>
      <w:r>
        <w:t xml:space="preserve">, vol. 14, no. 8, p. 1296, Apr. 2026, </w:t>
      </w:r>
      <w:proofErr w:type="spellStart"/>
      <w:r>
        <w:t>doi</w:t>
      </w:r>
      <w:proofErr w:type="spellEnd"/>
      <w:r>
        <w:t>: 10.3390/pr14081296.</w:t>
      </w:r>
    </w:p>
    <w:p w14:paraId="6193A14E" w14:textId="77777777" w:rsidR="00286292" w:rsidRDefault="00286292" w:rsidP="00286292">
      <w:pPr>
        <w:pStyle w:val="Bibliography"/>
      </w:pPr>
      <w:r>
        <w:t>[116]</w:t>
      </w:r>
      <w:r>
        <w:tab/>
        <w:t xml:space="preserve">H. H. H. Mousa, K. Mahmoud, and M. Lehtonen, “Recent developments of demand‐side management towards flexible DER‐rich power systems: A systematic review,” </w:t>
      </w:r>
      <w:r>
        <w:rPr>
          <w:i/>
          <w:iCs/>
        </w:rPr>
        <w:t xml:space="preserve">IET Gener. Transm. </w:t>
      </w:r>
      <w:proofErr w:type="spellStart"/>
      <w:r>
        <w:rPr>
          <w:i/>
          <w:iCs/>
        </w:rPr>
        <w:t>Distrib</w:t>
      </w:r>
      <w:proofErr w:type="spellEnd"/>
      <w:r>
        <w:rPr>
          <w:i/>
          <w:iCs/>
        </w:rPr>
        <w:t>.</w:t>
      </w:r>
      <w:r>
        <w:t xml:space="preserve">, vol. 18, no. 13, pp. 2259–2300, Jul. 2024, </w:t>
      </w:r>
      <w:proofErr w:type="spellStart"/>
      <w:r>
        <w:t>doi</w:t>
      </w:r>
      <w:proofErr w:type="spellEnd"/>
      <w:r>
        <w:t>: 10.1049/gtd2.13204.</w:t>
      </w:r>
    </w:p>
    <w:p w14:paraId="77A01230" w14:textId="77777777" w:rsidR="00286292" w:rsidRDefault="00286292" w:rsidP="00286292">
      <w:pPr>
        <w:pStyle w:val="Bibliography"/>
      </w:pPr>
      <w:r>
        <w:t>[117]</w:t>
      </w:r>
      <w:r>
        <w:tab/>
        <w:t>EIA, “Electric Power Annual 2024.” [Online]. Available: https://www.eia.gov/electricity/annual/pdf/epa.pdf</w:t>
      </w:r>
    </w:p>
    <w:p w14:paraId="52E6A802" w14:textId="77777777" w:rsidR="00286292" w:rsidRDefault="00286292" w:rsidP="00286292">
      <w:pPr>
        <w:pStyle w:val="Bibliography"/>
      </w:pPr>
      <w:r>
        <w:t>[118]</w:t>
      </w:r>
      <w:r>
        <w:tab/>
        <w:t xml:space="preserve">NREL, “Annual </w:t>
      </w:r>
      <w:proofErr w:type="spellStart"/>
      <w:r>
        <w:t>Technoogy</w:t>
      </w:r>
      <w:proofErr w:type="spellEnd"/>
      <w:r>
        <w:t xml:space="preserve"> Baseline.” [Online]. Available: https://atb-archive.nlr.gov/</w:t>
      </w:r>
    </w:p>
    <w:p w14:paraId="75C83635" w14:textId="77777777" w:rsidR="00286292" w:rsidRDefault="00286292" w:rsidP="00286292">
      <w:pPr>
        <w:pStyle w:val="Bibliography"/>
      </w:pPr>
      <w:r>
        <w:t>[119]</w:t>
      </w:r>
      <w:r>
        <w:tab/>
        <w:t xml:space="preserve">Y. A. Sultan, S. S. </w:t>
      </w:r>
      <w:proofErr w:type="spellStart"/>
      <w:r>
        <w:t>Kaddah</w:t>
      </w:r>
      <w:proofErr w:type="spellEnd"/>
      <w:r>
        <w:t xml:space="preserve">, and M. A. </w:t>
      </w:r>
      <w:proofErr w:type="spellStart"/>
      <w:r>
        <w:t>Elhosseini</w:t>
      </w:r>
      <w:proofErr w:type="spellEnd"/>
      <w:r>
        <w:t xml:space="preserve">, “Enhancing smart grid transient performance using storage device‐based MPC controller,” </w:t>
      </w:r>
      <w:r>
        <w:rPr>
          <w:i/>
          <w:iCs/>
        </w:rPr>
        <w:t>IET Renew. Power Gener.</w:t>
      </w:r>
      <w:r>
        <w:t xml:space="preserve">, vol. 11, no. 10, pp. 1316–1324, Aug. 2017, </w:t>
      </w:r>
      <w:proofErr w:type="spellStart"/>
      <w:r>
        <w:t>doi</w:t>
      </w:r>
      <w:proofErr w:type="spellEnd"/>
      <w:r>
        <w:t>: 10.1049/iet-rpg.2016.0892.</w:t>
      </w:r>
    </w:p>
    <w:p w14:paraId="1CD47529" w14:textId="77777777" w:rsidR="00286292" w:rsidRDefault="00286292" w:rsidP="00286292">
      <w:pPr>
        <w:pStyle w:val="Bibliography"/>
      </w:pPr>
      <w:r>
        <w:t>[120]</w:t>
      </w:r>
      <w:r>
        <w:tab/>
        <w:t xml:space="preserve">Y. Hu, Z. Li, and J. Cui, “An economic model predictive control strategy for EV-integrated microgrids considering battery degradation,” </w:t>
      </w:r>
      <w:r>
        <w:rPr>
          <w:i/>
          <w:iCs/>
        </w:rPr>
        <w:t>Energy</w:t>
      </w:r>
      <w:r>
        <w:t xml:space="preserve">, vol. 335, p. 138205, Oct. 2025, </w:t>
      </w:r>
      <w:proofErr w:type="spellStart"/>
      <w:r>
        <w:t>doi</w:t>
      </w:r>
      <w:proofErr w:type="spellEnd"/>
      <w:r>
        <w:t>: 10.1016/j.energy.2025.138205.</w:t>
      </w:r>
    </w:p>
    <w:p w14:paraId="1D9F5A92" w14:textId="77777777" w:rsidR="00286292" w:rsidRDefault="00286292" w:rsidP="00286292">
      <w:pPr>
        <w:pStyle w:val="Bibliography"/>
      </w:pPr>
      <w:r>
        <w:t>[121]</w:t>
      </w:r>
      <w:r>
        <w:tab/>
        <w:t xml:space="preserve">L. Friedel, J. Grenz, and C. Hagist, “A comparison of long duration energy storage technologies based on levelized cost of storage,” </w:t>
      </w:r>
      <w:r>
        <w:rPr>
          <w:i/>
          <w:iCs/>
        </w:rPr>
        <w:t>J. Energy Storage</w:t>
      </w:r>
      <w:r>
        <w:t xml:space="preserve">, vol. 153, p. 120679, Apr. 2026, </w:t>
      </w:r>
      <w:proofErr w:type="spellStart"/>
      <w:r>
        <w:t>doi</w:t>
      </w:r>
      <w:proofErr w:type="spellEnd"/>
      <w:r>
        <w:t>: 10.1016/j.est.2026.120679.</w:t>
      </w:r>
    </w:p>
    <w:p w14:paraId="0562611E" w14:textId="77777777" w:rsidR="00286292" w:rsidRDefault="00286292" w:rsidP="00286292">
      <w:pPr>
        <w:pStyle w:val="Bibliography"/>
      </w:pPr>
      <w:r>
        <w:t>[122]</w:t>
      </w:r>
      <w:r>
        <w:tab/>
        <w:t xml:space="preserve">X.-R. Zhu, J.-H. Tian, and Y. Wang, “The impact of climate change on wind and solar photovoltaic power potential and distribution in China,” </w:t>
      </w:r>
      <w:r>
        <w:rPr>
          <w:i/>
          <w:iCs/>
        </w:rPr>
        <w:t>Adv. Clim. Change Res.</w:t>
      </w:r>
      <w:r>
        <w:t xml:space="preserve">, vol. 16, no. 4, pp. 730–746, Aug. 2025, </w:t>
      </w:r>
      <w:proofErr w:type="spellStart"/>
      <w:r>
        <w:t>doi</w:t>
      </w:r>
      <w:proofErr w:type="spellEnd"/>
      <w:r>
        <w:t>: 10.1016/j.accre.2025.04.015.</w:t>
      </w:r>
    </w:p>
    <w:p w14:paraId="2A3479B7" w14:textId="77777777" w:rsidR="00286292" w:rsidRDefault="00286292" w:rsidP="00286292">
      <w:pPr>
        <w:pStyle w:val="Bibliography"/>
      </w:pPr>
      <w:r>
        <w:t>[123]</w:t>
      </w:r>
      <w:r>
        <w:tab/>
        <w:t xml:space="preserve">J. M. Morales, A. J. Conejo, H. Madsen, P. Pinson, and M. </w:t>
      </w:r>
      <w:proofErr w:type="spellStart"/>
      <w:r>
        <w:t>Zugno</w:t>
      </w:r>
      <w:proofErr w:type="spellEnd"/>
      <w:r>
        <w:t xml:space="preserve">, </w:t>
      </w:r>
      <w:r>
        <w:rPr>
          <w:i/>
          <w:iCs/>
        </w:rPr>
        <w:t>Integrating Renewables in Electricity Markets: Operational Problems</w:t>
      </w:r>
      <w:r>
        <w:t xml:space="preserve">, 1st ed. 2014. in International Series in Operations Research &amp; Management Science, no. 205. New York, NY: Springer </w:t>
      </w:r>
      <w:proofErr w:type="gramStart"/>
      <w:r>
        <w:t>US :</w:t>
      </w:r>
      <w:proofErr w:type="gramEnd"/>
      <w:r>
        <w:t xml:space="preserve"> Imprint: Springer, 2014. </w:t>
      </w:r>
      <w:proofErr w:type="spellStart"/>
      <w:r>
        <w:t>doi</w:t>
      </w:r>
      <w:proofErr w:type="spellEnd"/>
      <w:r>
        <w:t>: 10.1007/978-1-4614-9411-9.</w:t>
      </w:r>
    </w:p>
    <w:p w14:paraId="3A2E35B3" w14:textId="77777777" w:rsidR="00286292" w:rsidRDefault="00286292" w:rsidP="00286292">
      <w:pPr>
        <w:pStyle w:val="Bibliography"/>
      </w:pPr>
      <w:r>
        <w:t>[124]</w:t>
      </w:r>
      <w:r>
        <w:tab/>
        <w:t xml:space="preserve">J. Kim </w:t>
      </w:r>
      <w:r>
        <w:rPr>
          <w:i/>
          <w:iCs/>
        </w:rPr>
        <w:t>et al.</w:t>
      </w:r>
      <w:r>
        <w:t xml:space="preserve">, “Reviewing the socio-technical dynamics of AI, data centers and digitalization on energy and the environment,” </w:t>
      </w:r>
      <w:r>
        <w:rPr>
          <w:i/>
          <w:iCs/>
        </w:rPr>
        <w:t>Renew. Sustain. Energy Rev.</w:t>
      </w:r>
      <w:r>
        <w:t xml:space="preserve">, vol. 234, p. 116861, Jul. 2026, </w:t>
      </w:r>
      <w:proofErr w:type="spellStart"/>
      <w:r>
        <w:t>doi</w:t>
      </w:r>
      <w:proofErr w:type="spellEnd"/>
      <w:r>
        <w:t>: 10.1016/j.rser.2026.116861.</w:t>
      </w:r>
    </w:p>
    <w:p w14:paraId="19CEF42A" w14:textId="77777777" w:rsidR="00286292" w:rsidRDefault="00286292" w:rsidP="00286292">
      <w:pPr>
        <w:pStyle w:val="Bibliography"/>
      </w:pPr>
      <w:r>
        <w:t>[125]</w:t>
      </w:r>
      <w:r>
        <w:tab/>
        <w:t>Idaho National Lab, “Powering Data Centers with Clean Energy.” [Online]. Available: https://gain.inl.gov/content/uploads/4/2024/11/INL-RPT-24-79307-Powering-Data-Cneters-with-Clean-Energy.pdf</w:t>
      </w:r>
    </w:p>
    <w:p w14:paraId="3379A475" w14:textId="77777777" w:rsidR="00286292" w:rsidRDefault="00286292" w:rsidP="00286292">
      <w:pPr>
        <w:pStyle w:val="Bibliography"/>
      </w:pPr>
      <w:r>
        <w:t>[126]</w:t>
      </w:r>
      <w:r>
        <w:tab/>
        <w:t xml:space="preserve">S. </w:t>
      </w:r>
      <w:proofErr w:type="spellStart"/>
      <w:r>
        <w:t>Babamohammadi</w:t>
      </w:r>
      <w:proofErr w:type="spellEnd"/>
      <w:r>
        <w:t xml:space="preserve">, A. R. Birss, H. Pouran, J. </w:t>
      </w:r>
      <w:proofErr w:type="spellStart"/>
      <w:r>
        <w:t>Pandhal</w:t>
      </w:r>
      <w:proofErr w:type="spellEnd"/>
      <w:r>
        <w:t xml:space="preserve">, and T. N. Borhani, “Emission control and carbon capture from diesel generators and engines: A decade-long perspective,” </w:t>
      </w:r>
      <w:r>
        <w:rPr>
          <w:i/>
          <w:iCs/>
        </w:rPr>
        <w:t>Carbon Capture Sci. Technol.</w:t>
      </w:r>
      <w:r>
        <w:t xml:space="preserve">, vol. 14, p. 100379, Mar. 2025, </w:t>
      </w:r>
      <w:proofErr w:type="spellStart"/>
      <w:r>
        <w:t>doi</w:t>
      </w:r>
      <w:proofErr w:type="spellEnd"/>
      <w:r>
        <w:t>: 10.1016/j.ccst.2025.100379.</w:t>
      </w:r>
    </w:p>
    <w:p w14:paraId="5CA6F4FE" w14:textId="77777777" w:rsidR="00286292" w:rsidRDefault="00286292" w:rsidP="00286292">
      <w:pPr>
        <w:pStyle w:val="Bibliography"/>
      </w:pPr>
      <w:r>
        <w:t>[127]</w:t>
      </w:r>
      <w:r>
        <w:tab/>
        <w:t xml:space="preserve">S. Ghosh and J. Damodara, “Scalable data centers – Power generation and delivery challenges and solutions,” </w:t>
      </w:r>
      <w:r>
        <w:rPr>
          <w:i/>
          <w:iCs/>
        </w:rPr>
        <w:t>Energy Rep.</w:t>
      </w:r>
      <w:r>
        <w:t xml:space="preserve">, vol. 15, p. 109178, Jun. 2026, </w:t>
      </w:r>
      <w:proofErr w:type="spellStart"/>
      <w:r>
        <w:t>doi</w:t>
      </w:r>
      <w:proofErr w:type="spellEnd"/>
      <w:r>
        <w:t>: 10.1016/j.egyr.2026.109178.</w:t>
      </w:r>
    </w:p>
    <w:p w14:paraId="0C11A1F9" w14:textId="77777777" w:rsidR="00286292" w:rsidRDefault="00286292" w:rsidP="00286292">
      <w:pPr>
        <w:pStyle w:val="Bibliography"/>
      </w:pPr>
      <w:r>
        <w:t>[128]</w:t>
      </w:r>
      <w:r>
        <w:tab/>
        <w:t>EPRI, “Powering Data Centers in the AI Era.” [Online]. Available: https://energie.hec.ca/wp-content/uploads/2025/10/PPT_EPRI.pdf</w:t>
      </w:r>
    </w:p>
    <w:p w14:paraId="1B7F7DF0" w14:textId="77777777" w:rsidR="00286292" w:rsidRDefault="00286292" w:rsidP="00286292">
      <w:pPr>
        <w:pStyle w:val="Bibliography"/>
      </w:pPr>
      <w:r>
        <w:t>[129]</w:t>
      </w:r>
      <w:r>
        <w:tab/>
        <w:t xml:space="preserve">J. W. Zhang, Y. H. Wang, G. C. Liu, and G. Z. Tian, “A review of control strategies for flywheel energy storage system and a case study with matrix converter,” </w:t>
      </w:r>
      <w:r>
        <w:rPr>
          <w:i/>
          <w:iCs/>
        </w:rPr>
        <w:t>Energy Rep.</w:t>
      </w:r>
      <w:r>
        <w:t xml:space="preserve">, vol. 8, pp. 3948–3963, Nov. 2022, </w:t>
      </w:r>
      <w:proofErr w:type="spellStart"/>
      <w:r>
        <w:t>doi</w:t>
      </w:r>
      <w:proofErr w:type="spellEnd"/>
      <w:r>
        <w:t>: 10.1016/j.egyr.2022.03.009.</w:t>
      </w:r>
    </w:p>
    <w:p w14:paraId="050F27AC" w14:textId="77777777" w:rsidR="00286292" w:rsidRDefault="00286292" w:rsidP="00286292">
      <w:pPr>
        <w:pStyle w:val="Bibliography"/>
      </w:pPr>
      <w:r>
        <w:lastRenderedPageBreak/>
        <w:t>[130]</w:t>
      </w:r>
      <w:r>
        <w:tab/>
        <w:t xml:space="preserve">L. Bongini, R. A. </w:t>
      </w:r>
      <w:proofErr w:type="spellStart"/>
      <w:r>
        <w:t>Mastromauro</w:t>
      </w:r>
      <w:proofErr w:type="spellEnd"/>
      <w:r>
        <w:t xml:space="preserve">, D. </w:t>
      </w:r>
      <w:proofErr w:type="spellStart"/>
      <w:r>
        <w:t>Sgrò</w:t>
      </w:r>
      <w:proofErr w:type="spellEnd"/>
      <w:r>
        <w:t xml:space="preserve">, and F. Malvaldi, “Electrical Damping Assessment and Stability Considerations for a Highly Electrified Liquefied Natural Gas Plant,” </w:t>
      </w:r>
      <w:r>
        <w:rPr>
          <w:i/>
          <w:iCs/>
        </w:rPr>
        <w:t>Energies</w:t>
      </w:r>
      <w:r>
        <w:t xml:space="preserve">, vol. 13, no. 10, p. 2612, May 2020, </w:t>
      </w:r>
      <w:proofErr w:type="spellStart"/>
      <w:r>
        <w:t>doi</w:t>
      </w:r>
      <w:proofErr w:type="spellEnd"/>
      <w:r>
        <w:t>: 10.3390/en13102612.</w:t>
      </w:r>
    </w:p>
    <w:p w14:paraId="3171AFE7" w14:textId="77777777" w:rsidR="00286292" w:rsidRDefault="00286292" w:rsidP="00286292">
      <w:pPr>
        <w:pStyle w:val="Bibliography"/>
      </w:pPr>
      <w:r>
        <w:t>[131]</w:t>
      </w:r>
      <w:r>
        <w:tab/>
        <w:t xml:space="preserve">A. J. Monticelli, A. Garcia, and O. R. Saavedra, “Fast decoupled load flow: hypothesis, derivations, and testing,” </w:t>
      </w:r>
      <w:r>
        <w:rPr>
          <w:i/>
          <w:iCs/>
        </w:rPr>
        <w:t>IEEE Trans. Power Syst.</w:t>
      </w:r>
      <w:r>
        <w:t xml:space="preserve">, vol. 5, no. 4, pp. 1425–1431, Nov. 1990, </w:t>
      </w:r>
      <w:proofErr w:type="spellStart"/>
      <w:r>
        <w:t>doi</w:t>
      </w:r>
      <w:proofErr w:type="spellEnd"/>
      <w:r>
        <w:t>: 10.1109/59.99396.</w:t>
      </w:r>
    </w:p>
    <w:p w14:paraId="7175F028" w14:textId="77777777" w:rsidR="00286292" w:rsidRDefault="00286292" w:rsidP="00286292">
      <w:pPr>
        <w:pStyle w:val="Bibliography"/>
      </w:pPr>
      <w:r>
        <w:t>[132]</w:t>
      </w:r>
      <w:r>
        <w:tab/>
        <w:t xml:space="preserve">M. </w:t>
      </w:r>
      <w:proofErr w:type="spellStart"/>
      <w:r>
        <w:t>Huneault</w:t>
      </w:r>
      <w:proofErr w:type="spellEnd"/>
      <w:r>
        <w:t xml:space="preserve"> and F. D. Galiana, “A survey of the optimal power flow literature,” </w:t>
      </w:r>
      <w:r>
        <w:rPr>
          <w:i/>
          <w:iCs/>
        </w:rPr>
        <w:t>IEEE Trans. Power Syst.</w:t>
      </w:r>
      <w:r>
        <w:t xml:space="preserve">, vol. 6, no. 2, pp. 762–770, May 1991, </w:t>
      </w:r>
      <w:proofErr w:type="spellStart"/>
      <w:r>
        <w:t>doi</w:t>
      </w:r>
      <w:proofErr w:type="spellEnd"/>
      <w:r>
        <w:t>: 10.1109/59.76723.</w:t>
      </w:r>
    </w:p>
    <w:p w14:paraId="548B140F" w14:textId="77777777" w:rsidR="00286292" w:rsidRDefault="00286292" w:rsidP="00286292">
      <w:pPr>
        <w:pStyle w:val="Bibliography"/>
      </w:pPr>
      <w:r>
        <w:t>[133]</w:t>
      </w:r>
      <w:r>
        <w:tab/>
      </w:r>
      <w:proofErr w:type="spellStart"/>
      <w:r>
        <w:t>Xiaokang</w:t>
      </w:r>
      <w:proofErr w:type="spellEnd"/>
      <w:r>
        <w:t xml:space="preserve"> Xu, M. F. </w:t>
      </w:r>
      <w:proofErr w:type="spellStart"/>
      <w:r>
        <w:t>Kandlawala</w:t>
      </w:r>
      <w:proofErr w:type="spellEnd"/>
      <w:r>
        <w:t xml:space="preserve">, and Ming Wu, “NERC TPL-001-4 transient voltage performance compliance study - criteria development, study methodology and case studies,” in </w:t>
      </w:r>
      <w:r>
        <w:rPr>
          <w:i/>
          <w:iCs/>
        </w:rPr>
        <w:t>2016 IEEE Power and Energy Society General Meeting (PESGM)</w:t>
      </w:r>
      <w:r>
        <w:t xml:space="preserve">, Boston, MA, USA: IEEE, Jul. 2016, pp. 1–5. </w:t>
      </w:r>
      <w:proofErr w:type="spellStart"/>
      <w:r>
        <w:t>doi</w:t>
      </w:r>
      <w:proofErr w:type="spellEnd"/>
      <w:r>
        <w:t>: 10.1109/PESGM.2016.7741072.</w:t>
      </w:r>
    </w:p>
    <w:p w14:paraId="768D6215" w14:textId="77777777" w:rsidR="00286292" w:rsidRDefault="00286292" w:rsidP="00286292">
      <w:pPr>
        <w:pStyle w:val="Bibliography"/>
      </w:pPr>
      <w:r>
        <w:t>[134]</w:t>
      </w:r>
      <w:r>
        <w:tab/>
        <w:t>A. Fernandez-</w:t>
      </w:r>
      <w:proofErr w:type="spellStart"/>
      <w:r>
        <w:t>Guillamon</w:t>
      </w:r>
      <w:proofErr w:type="spellEnd"/>
      <w:r>
        <w:t xml:space="preserve">, A. Molina-Garcia, K. Das, and M. Altin, “Comparison of different tools for power flow analysis with high wind power integration,” in </w:t>
      </w:r>
      <w:r>
        <w:rPr>
          <w:i/>
          <w:iCs/>
        </w:rPr>
        <w:t>2019 International Conference on Clean Electrical Power (ICCEP)</w:t>
      </w:r>
      <w:r>
        <w:t xml:space="preserve">, Otranto, Italy: IEEE, Jul. 2019, pp. 82–86. </w:t>
      </w:r>
      <w:proofErr w:type="spellStart"/>
      <w:r>
        <w:t>doi</w:t>
      </w:r>
      <w:proofErr w:type="spellEnd"/>
      <w:r>
        <w:t>: 10.1109/ICCEP.2019.8890163.</w:t>
      </w:r>
    </w:p>
    <w:p w14:paraId="28F8A948" w14:textId="77777777" w:rsidR="00286292" w:rsidRDefault="00286292" w:rsidP="00286292">
      <w:pPr>
        <w:pStyle w:val="Bibliography"/>
      </w:pPr>
      <w:r>
        <w:t>[135]</w:t>
      </w:r>
      <w:r>
        <w:tab/>
        <w:t xml:space="preserve">V. </w:t>
      </w:r>
      <w:proofErr w:type="spellStart"/>
      <w:r>
        <w:t>Geekiyanage</w:t>
      </w:r>
      <w:proofErr w:type="spellEnd"/>
      <w:r>
        <w:t xml:space="preserve"> and J. Seppänen, “Power System Stability Improvements Through Grid Forming Inverters for Systems with High Penetration of Grid Following Inverters,” in </w:t>
      </w:r>
      <w:r>
        <w:rPr>
          <w:i/>
          <w:iCs/>
        </w:rPr>
        <w:t>2024 IEEE PES Innovative Smart Grid Technologies Europe (ISGT EUROPE)</w:t>
      </w:r>
      <w:r>
        <w:t xml:space="preserve">, Dubrovnik, Croatia: IEEE, Oct. 2024, pp. 1–5. </w:t>
      </w:r>
      <w:proofErr w:type="spellStart"/>
      <w:r>
        <w:t>doi</w:t>
      </w:r>
      <w:proofErr w:type="spellEnd"/>
      <w:r>
        <w:t>: 10.1109/ISGTEUROPE62998.2024.10863434.</w:t>
      </w:r>
    </w:p>
    <w:p w14:paraId="6682E720" w14:textId="77777777" w:rsidR="00286292" w:rsidRDefault="00286292" w:rsidP="00286292">
      <w:pPr>
        <w:pStyle w:val="Bibliography"/>
      </w:pPr>
      <w:r>
        <w:t>[136]</w:t>
      </w:r>
      <w:r>
        <w:tab/>
      </w:r>
      <w:r>
        <w:rPr>
          <w:i/>
          <w:iCs/>
        </w:rPr>
        <w:t>IEEE Standard for the Specification of Microgrid Controllers</w:t>
      </w:r>
      <w:r>
        <w:t xml:space="preserve">. </w:t>
      </w:r>
      <w:proofErr w:type="spellStart"/>
      <w:r>
        <w:t>doi</w:t>
      </w:r>
      <w:proofErr w:type="spellEnd"/>
      <w:r>
        <w:t>: 10.1109/IEEESTD.2018.8340204.</w:t>
      </w:r>
    </w:p>
    <w:p w14:paraId="46E9AAC4" w14:textId="77777777" w:rsidR="00286292" w:rsidRDefault="00286292" w:rsidP="00286292">
      <w:pPr>
        <w:pStyle w:val="Bibliography"/>
      </w:pPr>
      <w:r>
        <w:t>[137]</w:t>
      </w:r>
      <w:r>
        <w:tab/>
        <w:t xml:space="preserve">J. S. Ali, Y. </w:t>
      </w:r>
      <w:proofErr w:type="spellStart"/>
      <w:r>
        <w:t>Qiblawey</w:t>
      </w:r>
      <w:proofErr w:type="spellEnd"/>
      <w:r>
        <w:t xml:space="preserve">, A. </w:t>
      </w:r>
      <w:proofErr w:type="spellStart"/>
      <w:r>
        <w:t>Alassi</w:t>
      </w:r>
      <w:proofErr w:type="spellEnd"/>
      <w:r>
        <w:t xml:space="preserve">, A. M. Massoud, S. M. </w:t>
      </w:r>
      <w:proofErr w:type="spellStart"/>
      <w:r>
        <w:t>Muyeen</w:t>
      </w:r>
      <w:proofErr w:type="spellEnd"/>
      <w:r>
        <w:t xml:space="preserve">, and H. Abu-Rub, “Power System Stability </w:t>
      </w:r>
      <w:proofErr w:type="gramStart"/>
      <w:r>
        <w:t>With</w:t>
      </w:r>
      <w:proofErr w:type="gramEnd"/>
      <w:r>
        <w:t xml:space="preserve"> High Penetration of Renewable Energy Sources: Challenges, Assessment, and Mitigation Strategies,” </w:t>
      </w:r>
      <w:r>
        <w:rPr>
          <w:i/>
          <w:iCs/>
        </w:rPr>
        <w:t>IEEE Access</w:t>
      </w:r>
      <w:r>
        <w:t xml:space="preserve">, vol. 13, pp. 39912–39934, 2025, </w:t>
      </w:r>
      <w:proofErr w:type="spellStart"/>
      <w:r>
        <w:t>doi</w:t>
      </w:r>
      <w:proofErr w:type="spellEnd"/>
      <w:r>
        <w:t>: 10.1109/ACCESS.2025.3546491.</w:t>
      </w:r>
    </w:p>
    <w:p w14:paraId="0D48E983" w14:textId="77777777" w:rsidR="00286292" w:rsidRDefault="00286292" w:rsidP="00286292">
      <w:pPr>
        <w:pStyle w:val="Bibliography"/>
      </w:pPr>
      <w:r>
        <w:t>[138]</w:t>
      </w:r>
      <w:r>
        <w:tab/>
        <w:t>NERC, “Inverter-Based Resource Performance Issues.” [Online]. Available: https://www.nerc.com/globalassets/programs/bpsa/alerts/2023/nerc-alert-r-2023-03-14-01-level-2---inverter-based-resource-performance-issues.pdf</w:t>
      </w:r>
    </w:p>
    <w:p w14:paraId="413304EE" w14:textId="77777777" w:rsidR="00286292" w:rsidRDefault="00286292" w:rsidP="00286292">
      <w:pPr>
        <w:pStyle w:val="Bibliography"/>
      </w:pPr>
      <w:r>
        <w:t>[139]</w:t>
      </w:r>
      <w:r>
        <w:tab/>
        <w:t xml:space="preserve">M. S. Anindya, F. Zaro, and M. Popescu, “Power Quality Improvement Using Active Power Filters in Industrial Systems,” </w:t>
      </w:r>
      <w:r>
        <w:rPr>
          <w:i/>
          <w:iCs/>
        </w:rPr>
        <w:t xml:space="preserve">RESWARA J. Ris. </w:t>
      </w:r>
      <w:proofErr w:type="spellStart"/>
      <w:r>
        <w:rPr>
          <w:i/>
          <w:iCs/>
        </w:rPr>
        <w:t>Ilmu</w:t>
      </w:r>
      <w:proofErr w:type="spellEnd"/>
      <w:r>
        <w:rPr>
          <w:i/>
          <w:iCs/>
        </w:rPr>
        <w:t xml:space="preserve"> Tek.</w:t>
      </w:r>
      <w:r>
        <w:t xml:space="preserve">, vol. 3, no. 2, pp. 44–50, Apr. 2025, </w:t>
      </w:r>
      <w:proofErr w:type="spellStart"/>
      <w:r>
        <w:t>doi</w:t>
      </w:r>
      <w:proofErr w:type="spellEnd"/>
      <w:r>
        <w:t>: 10.70716/</w:t>
      </w:r>
      <w:proofErr w:type="gramStart"/>
      <w:r>
        <w:t>reswara.v</w:t>
      </w:r>
      <w:proofErr w:type="gramEnd"/>
      <w:r>
        <w:t>3i2.404.</w:t>
      </w:r>
    </w:p>
    <w:p w14:paraId="5D50FD18" w14:textId="77777777" w:rsidR="00286292" w:rsidRDefault="00286292" w:rsidP="00286292">
      <w:pPr>
        <w:pStyle w:val="Bibliography"/>
      </w:pPr>
      <w:r>
        <w:t>[140]</w:t>
      </w:r>
      <w:r>
        <w:tab/>
        <w:t>HOMER, “Microgrid and Hybrid Power Modeling.” [Online]. Available: https://homerenergy.com/</w:t>
      </w:r>
    </w:p>
    <w:p w14:paraId="070A6B5F" w14:textId="77777777" w:rsidR="00286292" w:rsidRDefault="00286292" w:rsidP="00286292">
      <w:pPr>
        <w:pStyle w:val="Bibliography"/>
      </w:pPr>
      <w:r>
        <w:t>[141]</w:t>
      </w:r>
      <w:r>
        <w:tab/>
        <w:t xml:space="preserve">R. </w:t>
      </w:r>
      <w:proofErr w:type="spellStart"/>
      <w:r>
        <w:t>Rogersten</w:t>
      </w:r>
      <w:proofErr w:type="spellEnd"/>
      <w:r>
        <w:t>, L. Vanfretti, and W. Li, “Towards consistent model exchange and simulation of VSC-</w:t>
      </w:r>
      <w:proofErr w:type="spellStart"/>
      <w:r>
        <w:t>HVdc</w:t>
      </w:r>
      <w:proofErr w:type="spellEnd"/>
      <w:r>
        <w:t xml:space="preserve"> controls for EMT studies,” in </w:t>
      </w:r>
      <w:r>
        <w:rPr>
          <w:i/>
          <w:iCs/>
        </w:rPr>
        <w:t>2015 IEEE Power &amp; Energy Society General Meeting</w:t>
      </w:r>
      <w:r>
        <w:t xml:space="preserve">, Denver, CO, USA: IEEE, Jul. 2015, pp. 1–5. </w:t>
      </w:r>
      <w:proofErr w:type="spellStart"/>
      <w:r>
        <w:t>doi</w:t>
      </w:r>
      <w:proofErr w:type="spellEnd"/>
      <w:r>
        <w:t>: 10.1109/PESGM.2015.7285986.</w:t>
      </w:r>
    </w:p>
    <w:p w14:paraId="35C5D356" w14:textId="77777777" w:rsidR="00286292" w:rsidRDefault="00286292" w:rsidP="00286292">
      <w:pPr>
        <w:pStyle w:val="Bibliography"/>
      </w:pPr>
      <w:r>
        <w:t>[142]</w:t>
      </w:r>
      <w:r>
        <w:tab/>
        <w:t xml:space="preserve">A. N. Rosli, S. H. Yusoff, H. Mansor, S. N. M. </w:t>
      </w:r>
      <w:proofErr w:type="spellStart"/>
      <w:r>
        <w:t>Sapihie</w:t>
      </w:r>
      <w:proofErr w:type="spellEnd"/>
      <w:r>
        <w:t xml:space="preserve">, and M. A. M. M. Fahmi, “Using Model Predictive Control in Renewable Energy Sources,” in </w:t>
      </w:r>
      <w:r>
        <w:rPr>
          <w:i/>
          <w:iCs/>
        </w:rPr>
        <w:t>2023 IEEE 9th International Conference on Smart Instrumentation, Measurement and Applications (ICSIMA)</w:t>
      </w:r>
      <w:r>
        <w:t xml:space="preserve">, Kuala Lumpur, Malaysia: IEEE, Oct. 2023, pp. 263–268. </w:t>
      </w:r>
      <w:proofErr w:type="spellStart"/>
      <w:r>
        <w:t>doi</w:t>
      </w:r>
      <w:proofErr w:type="spellEnd"/>
      <w:r>
        <w:t>: 10.1109/ICSIMA59853.2023.10373520.</w:t>
      </w:r>
    </w:p>
    <w:p w14:paraId="01494A16" w14:textId="77777777" w:rsidR="00286292" w:rsidRDefault="00286292" w:rsidP="00286292">
      <w:pPr>
        <w:pStyle w:val="Bibliography"/>
      </w:pPr>
      <w:r>
        <w:t>[143]</w:t>
      </w:r>
      <w:r>
        <w:tab/>
        <w:t xml:space="preserve">R. H. Inman, H. T. C. Pedro, and C. F. M. Coimbra, “Solar forecasting methods for renewable energy integration,” </w:t>
      </w:r>
      <w:r>
        <w:rPr>
          <w:i/>
          <w:iCs/>
        </w:rPr>
        <w:t>Prog. Energy Combust. Sci.</w:t>
      </w:r>
      <w:r>
        <w:t xml:space="preserve">, vol. 39, no. 6, pp. 535–576, Dec. 2013, </w:t>
      </w:r>
      <w:proofErr w:type="spellStart"/>
      <w:r>
        <w:t>doi</w:t>
      </w:r>
      <w:proofErr w:type="spellEnd"/>
      <w:r>
        <w:t>: 10.1016/j.pecs.2013.06.002.</w:t>
      </w:r>
    </w:p>
    <w:p w14:paraId="73ABD82D" w14:textId="77777777" w:rsidR="00286292" w:rsidRDefault="00286292" w:rsidP="00286292">
      <w:pPr>
        <w:pStyle w:val="Bibliography"/>
      </w:pPr>
      <w:r>
        <w:lastRenderedPageBreak/>
        <w:t>[144]</w:t>
      </w:r>
      <w:r>
        <w:tab/>
        <w:t xml:space="preserve">U. Cali </w:t>
      </w:r>
      <w:r>
        <w:rPr>
          <w:i/>
          <w:iCs/>
        </w:rPr>
        <w:t>et al.</w:t>
      </w:r>
      <w:r>
        <w:t xml:space="preserve">, “Generative AI and LLM applications in renewable energy and smart grids: a systematic review for the sustainable energy transition,” </w:t>
      </w:r>
      <w:proofErr w:type="spellStart"/>
      <w:r>
        <w:rPr>
          <w:i/>
          <w:iCs/>
        </w:rPr>
        <w:t>Artif</w:t>
      </w:r>
      <w:proofErr w:type="spellEnd"/>
      <w:r>
        <w:rPr>
          <w:i/>
          <w:iCs/>
        </w:rPr>
        <w:t>. Intell. Rev.</w:t>
      </w:r>
      <w:r>
        <w:t xml:space="preserve">, Apr. 2026, </w:t>
      </w:r>
      <w:proofErr w:type="spellStart"/>
      <w:r>
        <w:t>doi</w:t>
      </w:r>
      <w:proofErr w:type="spellEnd"/>
      <w:r>
        <w:t>: 10.1007/s10462-026-11545-2.</w:t>
      </w:r>
    </w:p>
    <w:p w14:paraId="22911A4E" w14:textId="77777777" w:rsidR="00286292" w:rsidRDefault="00286292" w:rsidP="00286292">
      <w:pPr>
        <w:pStyle w:val="Bibliography"/>
      </w:pPr>
      <w:r>
        <w:t>[145]</w:t>
      </w:r>
      <w:r>
        <w:tab/>
        <w:t xml:space="preserve">E. Hosseini </w:t>
      </w:r>
      <w:r>
        <w:rPr>
          <w:i/>
          <w:iCs/>
        </w:rPr>
        <w:t>et al.</w:t>
      </w:r>
      <w:r>
        <w:t xml:space="preserve">, “Reinforcement learning-based energy management system for lithium-ion battery storage in multilevel microgrid,” </w:t>
      </w:r>
      <w:r>
        <w:rPr>
          <w:i/>
          <w:iCs/>
        </w:rPr>
        <w:t>J. Energy Storage</w:t>
      </w:r>
      <w:r>
        <w:t xml:space="preserve">, vol. 109, p. 115114, Feb. 2025, </w:t>
      </w:r>
      <w:proofErr w:type="spellStart"/>
      <w:r>
        <w:t>doi</w:t>
      </w:r>
      <w:proofErr w:type="spellEnd"/>
      <w:r>
        <w:t>: 10.1016/j.est.2024.115114.</w:t>
      </w:r>
    </w:p>
    <w:p w14:paraId="33AAED31" w14:textId="77777777" w:rsidR="00286292" w:rsidRDefault="00286292" w:rsidP="00286292">
      <w:pPr>
        <w:pStyle w:val="Bibliography"/>
      </w:pPr>
      <w:r>
        <w:t>[146]</w:t>
      </w:r>
      <w:r>
        <w:tab/>
        <w:t xml:space="preserve">N. Subramanian and A. A. Stonier, “Digital twin applications and case studies in modern power grid management,” </w:t>
      </w:r>
      <w:r>
        <w:rPr>
          <w:i/>
          <w:iCs/>
        </w:rPr>
        <w:t>Energy Rep.</w:t>
      </w:r>
      <w:r>
        <w:t xml:space="preserve">, vol. 15, p. 109218, Jun. 2026, </w:t>
      </w:r>
      <w:proofErr w:type="spellStart"/>
      <w:r>
        <w:t>doi</w:t>
      </w:r>
      <w:proofErr w:type="spellEnd"/>
      <w:r>
        <w:t>: 10.1016/j.egyr.2026.109218.</w:t>
      </w:r>
    </w:p>
    <w:p w14:paraId="3F5A35E3" w14:textId="77777777" w:rsidR="00286292" w:rsidRDefault="00286292" w:rsidP="00286292">
      <w:pPr>
        <w:pStyle w:val="Bibliography"/>
      </w:pPr>
      <w:r>
        <w:t>[147]</w:t>
      </w:r>
      <w:r>
        <w:tab/>
        <w:t xml:space="preserve">H. Chen, X. Feng, Q. Chen, and R. Han, “The Application of Machine Learning in Power Grid,” in </w:t>
      </w:r>
      <w:r>
        <w:rPr>
          <w:i/>
          <w:iCs/>
        </w:rPr>
        <w:t>2024 Boao New Power System International Forum - Power System and New Energy Technology Innovation Forum (NPSIF)</w:t>
      </w:r>
      <w:r>
        <w:t xml:space="preserve">, </w:t>
      </w:r>
      <w:proofErr w:type="spellStart"/>
      <w:r>
        <w:t>Qionghai</w:t>
      </w:r>
      <w:proofErr w:type="spellEnd"/>
      <w:r>
        <w:t xml:space="preserve">, China: IEEE, Dec. 2024, pp. 568–576. </w:t>
      </w:r>
      <w:proofErr w:type="spellStart"/>
      <w:r>
        <w:t>doi</w:t>
      </w:r>
      <w:proofErr w:type="spellEnd"/>
      <w:r>
        <w:t>: 10.1109/NPSIF64134.2024.10883453.</w:t>
      </w:r>
    </w:p>
    <w:p w14:paraId="02D20B14" w14:textId="77777777" w:rsidR="00286292" w:rsidRDefault="00286292" w:rsidP="00286292">
      <w:pPr>
        <w:pStyle w:val="Bibliography"/>
      </w:pPr>
      <w:r>
        <w:t>[148]</w:t>
      </w:r>
      <w:r>
        <w:tab/>
        <w:t xml:space="preserve">S. Sarkar </w:t>
      </w:r>
      <w:r>
        <w:rPr>
          <w:i/>
          <w:iCs/>
        </w:rPr>
        <w:t>et al.</w:t>
      </w:r>
      <w:r>
        <w:t xml:space="preserve">, “Carbon Footprint Reduction for Sustainable Data Centers in Real-Time,” 2024, </w:t>
      </w:r>
      <w:proofErr w:type="spellStart"/>
      <w:r>
        <w:rPr>
          <w:i/>
          <w:iCs/>
        </w:rPr>
        <w:t>arXiv</w:t>
      </w:r>
      <w:proofErr w:type="spellEnd"/>
      <w:r>
        <w:t xml:space="preserve">. </w:t>
      </w:r>
      <w:proofErr w:type="spellStart"/>
      <w:r>
        <w:t>doi</w:t>
      </w:r>
      <w:proofErr w:type="spellEnd"/>
      <w:r>
        <w:t>: 10.48550/ARXIV.2403.14092.</w:t>
      </w:r>
    </w:p>
    <w:p w14:paraId="4EFFA7ED" w14:textId="77777777" w:rsidR="00286292" w:rsidRDefault="00286292" w:rsidP="00286292">
      <w:pPr>
        <w:pStyle w:val="Bibliography"/>
      </w:pPr>
      <w:r>
        <w:t>[149]</w:t>
      </w:r>
      <w:r>
        <w:tab/>
        <w:t>EPA, “Summary of Inflation Reduction Act provisions related to renewable energy.” [Online]. Available: https://www.epa.gov/green-power-markets/summary-inflation-reduction-act-provisions-related-renewable-energy</w:t>
      </w:r>
    </w:p>
    <w:p w14:paraId="40DA08A4" w14:textId="77777777" w:rsidR="00286292" w:rsidRDefault="00286292" w:rsidP="00286292">
      <w:pPr>
        <w:pStyle w:val="Bibliography"/>
      </w:pPr>
      <w:r>
        <w:t>[150]</w:t>
      </w:r>
      <w:r>
        <w:tab/>
        <w:t>NFPA, “NFPA 110 Type 10 Requirements for Emergency Power Systems.” [Online]. Available: https://www.cummins.com/sites/default/files/2019-03/PowerHour_NFPA110.pdf</w:t>
      </w:r>
    </w:p>
    <w:p w14:paraId="078A4862" w14:textId="77777777" w:rsidR="00286292" w:rsidRDefault="00286292" w:rsidP="00286292">
      <w:pPr>
        <w:pStyle w:val="Bibliography"/>
      </w:pPr>
      <w:r>
        <w:t>[151]</w:t>
      </w:r>
      <w:r>
        <w:tab/>
        <w:t xml:space="preserve">Y. Chen and X. Zheng, “To Defer or To Shift? The Role of AI Data Center Flexibility on Grid Interconnection,” in </w:t>
      </w:r>
      <w:r>
        <w:rPr>
          <w:i/>
          <w:iCs/>
        </w:rPr>
        <w:t>Proceedings of the 2026 ACM Sustainability Week</w:t>
      </w:r>
      <w:r>
        <w:t xml:space="preserve">, </w:t>
      </w:r>
      <w:proofErr w:type="gramStart"/>
      <w:r>
        <w:t>Banff ,</w:t>
      </w:r>
      <w:proofErr w:type="gramEnd"/>
      <w:r>
        <w:t xml:space="preserve"> </w:t>
      </w:r>
      <w:proofErr w:type="gramStart"/>
      <w:r>
        <w:t>Alberta ,</w:t>
      </w:r>
      <w:proofErr w:type="gramEnd"/>
      <w:r>
        <w:t xml:space="preserve"> Canada: ACM, Jun. 2026, pp. 322–327. </w:t>
      </w:r>
      <w:proofErr w:type="spellStart"/>
      <w:r>
        <w:t>doi</w:t>
      </w:r>
      <w:proofErr w:type="spellEnd"/>
      <w:r>
        <w:t>: 10.1145/3765611.3815593.</w:t>
      </w:r>
    </w:p>
    <w:p w14:paraId="5F07920B" w14:textId="77777777" w:rsidR="00286292" w:rsidRDefault="00286292" w:rsidP="00286292">
      <w:pPr>
        <w:pStyle w:val="Bibliography"/>
      </w:pPr>
      <w:r>
        <w:t>[152]</w:t>
      </w:r>
      <w:r>
        <w:tab/>
        <w:t>AWS, “Batch Inference at Scale with Amazon SageMaker.” [Online]. Available: https://aws.amazon.com/blogs/architecture/batch-inference-at-scale-with-amazon-sagemaker/</w:t>
      </w:r>
    </w:p>
    <w:p w14:paraId="407AA3E9" w14:textId="77777777" w:rsidR="00286292" w:rsidRDefault="00286292" w:rsidP="00286292">
      <w:pPr>
        <w:pStyle w:val="Bibliography"/>
      </w:pPr>
      <w:r>
        <w:t>[153]</w:t>
      </w:r>
      <w:r>
        <w:tab/>
        <w:t>ASHARE, “Grid-Interactive Design (Demand Flexibility).” [Online]. Available: https://www.ashrae.org/technical-resources/ai-data-center-framework/grid-interactive-design-demand-flexibility</w:t>
      </w:r>
    </w:p>
    <w:p w14:paraId="3BEEFB69" w14:textId="77777777" w:rsidR="00286292" w:rsidRDefault="00286292" w:rsidP="00286292">
      <w:pPr>
        <w:pStyle w:val="Bibliography"/>
      </w:pPr>
      <w:r>
        <w:t>[154]</w:t>
      </w:r>
      <w:r>
        <w:tab/>
        <w:t>Christopher Johnson, “Load Flexibility’s Breakthrough Moment—Driven by Data Centers.” [Online]. Available: https://avanzaenergy.substack.com/p/load-flexibilitys-breakthrough-momentdriven</w:t>
      </w:r>
    </w:p>
    <w:p w14:paraId="5A2FB5D9" w14:textId="77777777" w:rsidR="00286292" w:rsidRDefault="00286292" w:rsidP="00286292">
      <w:pPr>
        <w:pStyle w:val="Bibliography"/>
      </w:pPr>
      <w:r>
        <w:t>[155]</w:t>
      </w:r>
      <w:r>
        <w:tab/>
        <w:t xml:space="preserve">A. Caprara, Y. Yu, F. Teng, A. Junyent-Ferré, E. </w:t>
      </w:r>
      <w:proofErr w:type="spellStart"/>
      <w:r>
        <w:t>Bullich-Massagué</w:t>
      </w:r>
      <w:proofErr w:type="spellEnd"/>
      <w:r>
        <w:t xml:space="preserve">, and M. </w:t>
      </w:r>
      <w:proofErr w:type="spellStart"/>
      <w:r>
        <w:t>Aragüés-Peñalba</w:t>
      </w:r>
      <w:proofErr w:type="spellEnd"/>
      <w:r>
        <w:t xml:space="preserve">, “Data center workload flexibility for power system demand response: Evidence from Alibaba traces,” </w:t>
      </w:r>
      <w:r>
        <w:rPr>
          <w:i/>
          <w:iCs/>
        </w:rPr>
        <w:t xml:space="preserve">Int. J. </w:t>
      </w:r>
      <w:proofErr w:type="spellStart"/>
      <w:r>
        <w:rPr>
          <w:i/>
          <w:iCs/>
        </w:rPr>
        <w:t>Electr</w:t>
      </w:r>
      <w:proofErr w:type="spellEnd"/>
      <w:r>
        <w:rPr>
          <w:i/>
          <w:iCs/>
        </w:rPr>
        <w:t>. Power Energy Syst.</w:t>
      </w:r>
      <w:r>
        <w:t xml:space="preserve">, vol. 178, p. 111940, May 2026, </w:t>
      </w:r>
      <w:proofErr w:type="spellStart"/>
      <w:r>
        <w:t>doi</w:t>
      </w:r>
      <w:proofErr w:type="spellEnd"/>
      <w:r>
        <w:t>: 10.1016/j.ijepes.2026.111940.</w:t>
      </w:r>
    </w:p>
    <w:p w14:paraId="73602357" w14:textId="77777777" w:rsidR="00286292" w:rsidRDefault="00286292" w:rsidP="00286292">
      <w:pPr>
        <w:pStyle w:val="Bibliography"/>
      </w:pPr>
      <w:r>
        <w:t>[156]</w:t>
      </w:r>
      <w:r>
        <w:tab/>
        <w:t xml:space="preserve">M. T. </w:t>
      </w:r>
      <w:proofErr w:type="spellStart"/>
      <w:r>
        <w:t>Takci</w:t>
      </w:r>
      <w:proofErr w:type="spellEnd"/>
      <w:r>
        <w:t xml:space="preserve">, J. Day, and M. </w:t>
      </w:r>
      <w:proofErr w:type="spellStart"/>
      <w:r>
        <w:t>Qadrdan</w:t>
      </w:r>
      <w:proofErr w:type="spellEnd"/>
      <w:r>
        <w:t>, “</w:t>
      </w:r>
      <w:proofErr w:type="spellStart"/>
      <w:r>
        <w:t>Characterisation</w:t>
      </w:r>
      <w:proofErr w:type="spellEnd"/>
      <w:r>
        <w:t xml:space="preserve"> and Quantification of Data Centre Flexibility for Power System Support,” Nov. 10, 2025, </w:t>
      </w:r>
      <w:proofErr w:type="spellStart"/>
      <w:r>
        <w:rPr>
          <w:i/>
          <w:iCs/>
        </w:rPr>
        <w:t>arXiv</w:t>
      </w:r>
      <w:proofErr w:type="spellEnd"/>
      <w:r>
        <w:t xml:space="preserve">: arXiv:2511.07159. </w:t>
      </w:r>
      <w:proofErr w:type="spellStart"/>
      <w:r>
        <w:t>doi</w:t>
      </w:r>
      <w:proofErr w:type="spellEnd"/>
      <w:r>
        <w:t>: 10.48550/arXiv.2511.07159.</w:t>
      </w:r>
    </w:p>
    <w:p w14:paraId="4A38B4D2" w14:textId="77777777" w:rsidR="00286292" w:rsidRDefault="00286292" w:rsidP="00286292">
      <w:pPr>
        <w:pStyle w:val="Bibliography"/>
      </w:pPr>
      <w:r>
        <w:t>[157]</w:t>
      </w:r>
      <w:r>
        <w:tab/>
        <w:t xml:space="preserve">M. S. Hoosain, B. S. Paul, S. Kass, and S. Ramakrishna, “Tools Towards the Sustainability and Circularity of Data Centers,” </w:t>
      </w:r>
      <w:r>
        <w:rPr>
          <w:i/>
          <w:iCs/>
        </w:rPr>
        <w:t>Circ. Econ. Sustain.</w:t>
      </w:r>
      <w:r>
        <w:t xml:space="preserve">, vol. 3, no. 1, pp. 173–197, Mar. 2023, </w:t>
      </w:r>
      <w:proofErr w:type="spellStart"/>
      <w:r>
        <w:t>doi</w:t>
      </w:r>
      <w:proofErr w:type="spellEnd"/>
      <w:r>
        <w:t>: 10.1007/s43615-022-00191-9.</w:t>
      </w:r>
    </w:p>
    <w:p w14:paraId="7C7DABA2" w14:textId="77777777" w:rsidR="00286292" w:rsidRDefault="00286292" w:rsidP="00286292">
      <w:pPr>
        <w:pStyle w:val="Bibliography"/>
      </w:pPr>
      <w:r>
        <w:t>[158]</w:t>
      </w:r>
      <w:r>
        <w:tab/>
        <w:t xml:space="preserve">R. Kasperzak, M. </w:t>
      </w:r>
      <w:proofErr w:type="spellStart"/>
      <w:r>
        <w:t>Kureljusic</w:t>
      </w:r>
      <w:proofErr w:type="spellEnd"/>
      <w:r>
        <w:t xml:space="preserve">, L. Reisch, and S. Thies, “Accounting for Carbon Emissions—Current State of Sustainability Reporting Practice under the GHG Protocol,” </w:t>
      </w:r>
      <w:r>
        <w:rPr>
          <w:i/>
          <w:iCs/>
        </w:rPr>
        <w:t>Sustainability</w:t>
      </w:r>
      <w:r>
        <w:t xml:space="preserve">, vol. 15, no. 2, p. 994, Jan. 2023, </w:t>
      </w:r>
      <w:proofErr w:type="spellStart"/>
      <w:r>
        <w:t>doi</w:t>
      </w:r>
      <w:proofErr w:type="spellEnd"/>
      <w:r>
        <w:t>: 10.3390/su15020994.</w:t>
      </w:r>
    </w:p>
    <w:p w14:paraId="7C2E73C3" w14:textId="77777777" w:rsidR="00286292" w:rsidRDefault="00286292" w:rsidP="00286292">
      <w:pPr>
        <w:pStyle w:val="Bibliography"/>
      </w:pPr>
      <w:r>
        <w:lastRenderedPageBreak/>
        <w:t>[159]</w:t>
      </w:r>
      <w:r>
        <w:tab/>
        <w:t>Arthur D. Little, “U N L O C K I N G FUSION ENERGY.” [Online]. Available: https://www.adlittle.com/sites/default/files/reports/ADL_Unlocking_fusion_energy_2025%20%281%29.pdf</w:t>
      </w:r>
    </w:p>
    <w:p w14:paraId="1D1C013E" w14:textId="77777777" w:rsidR="00286292" w:rsidRDefault="00286292" w:rsidP="00286292">
      <w:pPr>
        <w:pStyle w:val="Bibliography"/>
      </w:pPr>
      <w:r>
        <w:t>[160]</w:t>
      </w:r>
      <w:r>
        <w:tab/>
        <w:t xml:space="preserve">F. M. A. Hadi, H. H. Aly, and T. Little, “Harmonics Forecasting of Wind and Solar Hybrid Model Based on Deep Machine Learning,” </w:t>
      </w:r>
      <w:r>
        <w:rPr>
          <w:i/>
          <w:iCs/>
        </w:rPr>
        <w:t>IEEE Access</w:t>
      </w:r>
      <w:r>
        <w:t xml:space="preserve">, vol. 11, pp. 100438–100457, 2023, </w:t>
      </w:r>
      <w:proofErr w:type="spellStart"/>
      <w:r>
        <w:t>doi</w:t>
      </w:r>
      <w:proofErr w:type="spellEnd"/>
      <w:r>
        <w:t>: 10.1109/ACCESS.2023.3314742.</w:t>
      </w:r>
    </w:p>
    <w:p w14:paraId="566875AC" w14:textId="77777777" w:rsidR="00286292" w:rsidRDefault="00286292" w:rsidP="00286292">
      <w:pPr>
        <w:pStyle w:val="Bibliography"/>
      </w:pPr>
      <w:r>
        <w:t>[161]</w:t>
      </w:r>
      <w:r>
        <w:tab/>
        <w:t xml:space="preserve">G. </w:t>
      </w:r>
      <w:proofErr w:type="spellStart"/>
      <w:r>
        <w:t>Soyturk</w:t>
      </w:r>
      <w:proofErr w:type="spellEnd"/>
      <w:r>
        <w:t xml:space="preserve"> and O. </w:t>
      </w:r>
      <w:proofErr w:type="spellStart"/>
      <w:r>
        <w:t>Kizilkan</w:t>
      </w:r>
      <w:proofErr w:type="spellEnd"/>
      <w:r>
        <w:t xml:space="preserve">, “Modeling and analysis of solid oxide fuel cell-based multigeneration system with supercritical and </w:t>
      </w:r>
      <w:proofErr w:type="spellStart"/>
      <w:r>
        <w:t>transcritical</w:t>
      </w:r>
      <w:proofErr w:type="spellEnd"/>
      <w:r>
        <w:t xml:space="preserve"> carbon dioxide power cycles, humidification-dehumidification system and hydrogen generation,” </w:t>
      </w:r>
      <w:r>
        <w:rPr>
          <w:i/>
          <w:iCs/>
        </w:rPr>
        <w:t>Energy Convers. Manag.</w:t>
      </w:r>
      <w:r>
        <w:t xml:space="preserve">, vol. 332, p. 119762, May 2025, </w:t>
      </w:r>
      <w:proofErr w:type="spellStart"/>
      <w:r>
        <w:t>doi</w:t>
      </w:r>
      <w:proofErr w:type="spellEnd"/>
      <w:r>
        <w:t>: 10.1016/j.enconman.2025.119762.</w:t>
      </w:r>
    </w:p>
    <w:p w14:paraId="007732A3" w14:textId="77777777" w:rsidR="00286292" w:rsidRDefault="00286292" w:rsidP="00286292">
      <w:pPr>
        <w:pStyle w:val="Bibliography"/>
      </w:pPr>
      <w:r>
        <w:t>[162]</w:t>
      </w:r>
      <w:r>
        <w:tab/>
        <w:t xml:space="preserve">M. I. Saleem, S. Saha, U. Izhar, and L. Ang, “Stability assessment of inverter‐based renewable energy sources integrated to weak grids,” </w:t>
      </w:r>
      <w:r>
        <w:rPr>
          <w:i/>
          <w:iCs/>
        </w:rPr>
        <w:t xml:space="preserve">IET Energy Syst. </w:t>
      </w:r>
      <w:proofErr w:type="spellStart"/>
      <w:r>
        <w:rPr>
          <w:i/>
          <w:iCs/>
        </w:rPr>
        <w:t>Integr</w:t>
      </w:r>
      <w:proofErr w:type="spellEnd"/>
      <w:r>
        <w:rPr>
          <w:i/>
          <w:iCs/>
        </w:rPr>
        <w:t>.</w:t>
      </w:r>
      <w:r>
        <w:t xml:space="preserve">, vol. 6, no. 4, pp. 525–544, Dec. 2024, </w:t>
      </w:r>
      <w:proofErr w:type="spellStart"/>
      <w:r>
        <w:t>doi</w:t>
      </w:r>
      <w:proofErr w:type="spellEnd"/>
      <w:r>
        <w:t>: 10.1049/esi2.12151.</w:t>
      </w:r>
    </w:p>
    <w:p w14:paraId="77DE40F2" w14:textId="77777777" w:rsidR="00286292" w:rsidRDefault="00286292" w:rsidP="00286292">
      <w:pPr>
        <w:pStyle w:val="Bibliography"/>
      </w:pPr>
      <w:r>
        <w:t>[163]</w:t>
      </w:r>
      <w:r>
        <w:tab/>
        <w:t>N. Institute, “Beyond FERC Order 2023: Considerations on Deep Interconnection Reform”, [Online]. Available: https://www.researchgate.net/publication/382074664_Beyond_FERC_Order_2023_Considerations_on_Deep_Interconnection_Reform</w:t>
      </w:r>
    </w:p>
    <w:p w14:paraId="246E8ACA" w14:textId="77777777" w:rsidR="00286292" w:rsidRDefault="00286292" w:rsidP="00286292">
      <w:pPr>
        <w:pStyle w:val="Bibliography"/>
      </w:pPr>
      <w:r>
        <w:t>[164]</w:t>
      </w:r>
      <w:r>
        <w:tab/>
        <w:t xml:space="preserve">M. D. E. </w:t>
      </w:r>
      <w:proofErr w:type="spellStart"/>
      <w:r>
        <w:t>Gouaouri</w:t>
      </w:r>
      <w:proofErr w:type="spellEnd"/>
      <w:r>
        <w:t xml:space="preserve">, M. </w:t>
      </w:r>
      <w:proofErr w:type="spellStart"/>
      <w:r>
        <w:t>Bagaa</w:t>
      </w:r>
      <w:proofErr w:type="spellEnd"/>
      <w:r>
        <w:t xml:space="preserve">, S. </w:t>
      </w:r>
      <w:proofErr w:type="spellStart"/>
      <w:r>
        <w:t>Ouahouah</w:t>
      </w:r>
      <w:proofErr w:type="spellEnd"/>
      <w:r>
        <w:t xml:space="preserve">, M. A. </w:t>
      </w:r>
      <w:proofErr w:type="spellStart"/>
      <w:r>
        <w:t>Ouameur</w:t>
      </w:r>
      <w:proofErr w:type="spellEnd"/>
      <w:r>
        <w:t xml:space="preserve">, and A. </w:t>
      </w:r>
      <w:proofErr w:type="spellStart"/>
      <w:r>
        <w:t>Ksentini</w:t>
      </w:r>
      <w:proofErr w:type="spellEnd"/>
      <w:r>
        <w:t xml:space="preserve">, “Enabling Power-Awareness for Kubernetes Scheduling Through Multi-Criteria Optimization,” in </w:t>
      </w:r>
      <w:r>
        <w:rPr>
          <w:i/>
          <w:iCs/>
        </w:rPr>
        <w:t>ICC 2025 - IEEE International Conference on Communications</w:t>
      </w:r>
      <w:r>
        <w:t xml:space="preserve">, Montreal, QC, Canada: IEEE, Jun. 2025, pp. 1500–1505. </w:t>
      </w:r>
      <w:proofErr w:type="spellStart"/>
      <w:r>
        <w:t>doi</w:t>
      </w:r>
      <w:proofErr w:type="spellEnd"/>
      <w:r>
        <w:t>: 10.1109/ICC52391.2025.11160865.</w:t>
      </w:r>
    </w:p>
    <w:p w14:paraId="3FCF2499" w14:textId="77777777" w:rsidR="00286292" w:rsidRDefault="00286292" w:rsidP="00286292">
      <w:pPr>
        <w:pStyle w:val="Bibliography"/>
      </w:pPr>
      <w:r>
        <w:t>[165]</w:t>
      </w:r>
      <w:r>
        <w:tab/>
        <w:t xml:space="preserve">S. Talebi and H. H. Aly, “Optimized Renewable Energy Integration: Advanced Modeling, Control, and Design of a Standalone Microgrid Using Hybrid FA-PSO,” </w:t>
      </w:r>
      <w:r>
        <w:rPr>
          <w:i/>
          <w:iCs/>
        </w:rPr>
        <w:t>IEEE Access</w:t>
      </w:r>
      <w:r>
        <w:t xml:space="preserve">, vol. 13, pp. 63486–63503, 2025, </w:t>
      </w:r>
      <w:proofErr w:type="spellStart"/>
      <w:r>
        <w:t>doi</w:t>
      </w:r>
      <w:proofErr w:type="spellEnd"/>
      <w:r>
        <w:t>: 10.1109/ACCESS.2025.3559725.</w:t>
      </w:r>
    </w:p>
    <w:p w14:paraId="08BBEAC9" w14:textId="77777777" w:rsidR="00286292" w:rsidRDefault="00286292" w:rsidP="00286292">
      <w:pPr>
        <w:pStyle w:val="Bibliography"/>
      </w:pPr>
      <w:r>
        <w:t>[166]</w:t>
      </w:r>
      <w:r>
        <w:tab/>
        <w:t xml:space="preserve">J. Lu, R. Xiong, J. Tian, C. Wang, and F. Sun, “Deep learning to estimate lithium-ion battery state of health without additional degradation experiments,” </w:t>
      </w:r>
      <w:r>
        <w:rPr>
          <w:i/>
          <w:iCs/>
        </w:rPr>
        <w:t>Nat. Commun.</w:t>
      </w:r>
      <w:r>
        <w:t xml:space="preserve">, vol. 14, no. 1, p. 2760, May 2023, </w:t>
      </w:r>
      <w:proofErr w:type="spellStart"/>
      <w:r>
        <w:t>doi</w:t>
      </w:r>
      <w:proofErr w:type="spellEnd"/>
      <w:r>
        <w:t>: 10.1038/s41467-023-38458-w.</w:t>
      </w:r>
    </w:p>
    <w:p w14:paraId="2C2AD565" w14:textId="77777777" w:rsidR="00286292" w:rsidRDefault="00286292" w:rsidP="00286292">
      <w:pPr>
        <w:pStyle w:val="Bibliography"/>
      </w:pPr>
      <w:r>
        <w:t>[167]</w:t>
      </w:r>
      <w:r>
        <w:tab/>
        <w:t>S. Chatterjee, “Mitigating Supply Chain Malware Risks in Operational Technology: Challenges and Solutions for the Oil and Gas Industry”.</w:t>
      </w:r>
    </w:p>
    <w:p w14:paraId="02495C43" w14:textId="77777777" w:rsidR="00286292" w:rsidRDefault="00286292" w:rsidP="00286292">
      <w:pPr>
        <w:pStyle w:val="Bibliography"/>
      </w:pPr>
      <w:r>
        <w:t>[168]</w:t>
      </w:r>
      <w:r>
        <w:tab/>
        <w:t xml:space="preserve">M. G. Todeschini, G. </w:t>
      </w:r>
      <w:proofErr w:type="spellStart"/>
      <w:r>
        <w:t>Dondossola</w:t>
      </w:r>
      <w:proofErr w:type="spellEnd"/>
      <w:r>
        <w:t xml:space="preserve">, and R. </w:t>
      </w:r>
      <w:proofErr w:type="spellStart"/>
      <w:r>
        <w:t>Terruggia</w:t>
      </w:r>
      <w:proofErr w:type="spellEnd"/>
      <w:r>
        <w:t>, “IMPACT EVALUATION OF IEC 62351 CYBER SECURITY ON IEC 61850 COMMUNICATIONS PERFORMANCE,” 2019.</w:t>
      </w:r>
    </w:p>
    <w:p w14:paraId="53651E47" w14:textId="77777777" w:rsidR="00286292" w:rsidRDefault="00286292" w:rsidP="00286292">
      <w:pPr>
        <w:pStyle w:val="Bibliography"/>
      </w:pPr>
      <w:r>
        <w:t>[169]</w:t>
      </w:r>
      <w:r>
        <w:tab/>
        <w:t xml:space="preserve">A. </w:t>
      </w:r>
      <w:proofErr w:type="spellStart"/>
      <w:r>
        <w:t>Dimakopoulou</w:t>
      </w:r>
      <w:proofErr w:type="spellEnd"/>
      <w:r>
        <w:t xml:space="preserve"> and K. </w:t>
      </w:r>
      <w:proofErr w:type="spellStart"/>
      <w:r>
        <w:t>Rantos</w:t>
      </w:r>
      <w:proofErr w:type="spellEnd"/>
      <w:r>
        <w:t xml:space="preserve">, “Comprehensive Analysis of Maritime Cybersecurity Landscape Based on the NIST CSF v2.0,” </w:t>
      </w:r>
      <w:r>
        <w:rPr>
          <w:i/>
          <w:iCs/>
        </w:rPr>
        <w:t>J. Mar. Sci. Eng.</w:t>
      </w:r>
      <w:r>
        <w:t xml:space="preserve">, vol. 12, no. 6, p. 919, May 2024, </w:t>
      </w:r>
      <w:proofErr w:type="spellStart"/>
      <w:r>
        <w:t>doi</w:t>
      </w:r>
      <w:proofErr w:type="spellEnd"/>
      <w:r>
        <w:t>: 10.3390/jmse12060919.</w:t>
      </w:r>
    </w:p>
    <w:p w14:paraId="69475C84" w14:textId="77777777" w:rsidR="00286292" w:rsidRDefault="00286292" w:rsidP="00286292">
      <w:pPr>
        <w:pStyle w:val="Bibliography"/>
      </w:pPr>
      <w:r>
        <w:t>[170]</w:t>
      </w:r>
      <w:r>
        <w:tab/>
        <w:t>LAZARD, “Lazard’s Levelized Cost of Energy.” [Online]. Available: https://www.lazard.com/research-insights/levelized-cost-of-energyplus-lcoeplus/</w:t>
      </w:r>
    </w:p>
    <w:p w14:paraId="71B512CF" w14:textId="77777777" w:rsidR="00286292" w:rsidRDefault="00286292" w:rsidP="00286292">
      <w:pPr>
        <w:pStyle w:val="Bibliography"/>
      </w:pPr>
      <w:r>
        <w:t>[171]</w:t>
      </w:r>
      <w:r>
        <w:tab/>
        <w:t>Markets, “PJM Markets Support Efficiency and Resource Adequacy.” [Online]. Available: https://services.pjm.com/annualreport2025/markets/</w:t>
      </w:r>
    </w:p>
    <w:p w14:paraId="4A9F8DC1" w14:textId="77777777" w:rsidR="00286292" w:rsidRDefault="00286292" w:rsidP="00286292">
      <w:pPr>
        <w:pStyle w:val="Bibliography"/>
      </w:pPr>
      <w:r>
        <w:t>[172]</w:t>
      </w:r>
      <w:r>
        <w:tab/>
        <w:t>PJM, “Markets Report.” [Online]. Available: https://www.pjm.com/-/media/DotCom/committees-groups/committees/mc/2025/20251120/20251120-item-04a---1-pjm-market-operations-report---presentation.pdf</w:t>
      </w:r>
    </w:p>
    <w:p w14:paraId="660DF702" w14:textId="77777777" w:rsidR="00286292" w:rsidRDefault="00286292" w:rsidP="00286292">
      <w:pPr>
        <w:pStyle w:val="Bibliography"/>
      </w:pPr>
      <w:r>
        <w:t>[173]</w:t>
      </w:r>
      <w:r>
        <w:tab/>
        <w:t>KPMG, “What’s News in Tax Analysis that matters from Washington National Tax.” [Online]. Available: https://kpmg.com/kpmg-us/content/dam/kpmg/taxnewsflash/pdf/2026/01/tnf-wnit-energy-credits-jan-12-2026.pdf</w:t>
      </w:r>
    </w:p>
    <w:p w14:paraId="40C9F605" w14:textId="77777777" w:rsidR="00286292" w:rsidRDefault="00286292" w:rsidP="00286292">
      <w:pPr>
        <w:pStyle w:val="Bibliography"/>
      </w:pPr>
      <w:r>
        <w:lastRenderedPageBreak/>
        <w:t>[174]</w:t>
      </w:r>
      <w:r>
        <w:tab/>
        <w:t xml:space="preserve">G. Duppati, “Carbon pricing and revenue growth valuation risk exposure,” </w:t>
      </w:r>
      <w:r>
        <w:rPr>
          <w:i/>
          <w:iCs/>
        </w:rPr>
        <w:t>Int. Rev. Econ. Finance</w:t>
      </w:r>
      <w:r>
        <w:t xml:space="preserve">, vol. 103, p. 104442, Oct. 2025, </w:t>
      </w:r>
      <w:proofErr w:type="spellStart"/>
      <w:r>
        <w:t>doi</w:t>
      </w:r>
      <w:proofErr w:type="spellEnd"/>
      <w:r>
        <w:t>: 10.1016/j.iref.2025.104442.</w:t>
      </w:r>
    </w:p>
    <w:p w14:paraId="1EF0060B" w14:textId="77777777" w:rsidR="00286292" w:rsidRDefault="00286292" w:rsidP="00286292">
      <w:pPr>
        <w:pStyle w:val="Bibliography"/>
      </w:pPr>
      <w:r>
        <w:t>[175]</w:t>
      </w:r>
      <w:r>
        <w:tab/>
        <w:t>Oxford, “Risk Structure and Financial Hedging in Nodal Electricity Markets.” [Online]. Available: https://www.oxfordenergy.org/wpcms/wp-content/uploads/2026/01/EL-61-Risk-Structure-and-Financial-Hedging.pdf</w:t>
      </w:r>
    </w:p>
    <w:p w14:paraId="7924A0DF" w14:textId="77777777" w:rsidR="00286292" w:rsidRDefault="00286292" w:rsidP="00286292">
      <w:pPr>
        <w:pStyle w:val="Bibliography"/>
      </w:pPr>
      <w:r>
        <w:t>[176]</w:t>
      </w:r>
      <w:r>
        <w:tab/>
        <w:t xml:space="preserve">J. Commins and K. Irion, “Towards Planet-Proof </w:t>
      </w:r>
      <w:proofErr w:type="spellStart"/>
      <w:proofErr w:type="gramStart"/>
      <w:r>
        <w:t>Computing:Ten</w:t>
      </w:r>
      <w:proofErr w:type="spellEnd"/>
      <w:proofErr w:type="gramEnd"/>
      <w:r>
        <w:t xml:space="preserve"> Key Elements EU Data Centre Sustainability Policy Should Take Onboard,” </w:t>
      </w:r>
      <w:r>
        <w:rPr>
          <w:i/>
          <w:iCs/>
        </w:rPr>
        <w:t>Eur. Law Blog</w:t>
      </w:r>
      <w:r>
        <w:t xml:space="preserve">, Mar. 2025, </w:t>
      </w:r>
      <w:proofErr w:type="spellStart"/>
      <w:r>
        <w:t>doi</w:t>
      </w:r>
      <w:proofErr w:type="spellEnd"/>
      <w:r>
        <w:t>: 10.21428/9885764c.f93298cf.</w:t>
      </w:r>
    </w:p>
    <w:p w14:paraId="0D3C72CA" w14:textId="77777777" w:rsidR="00286292" w:rsidRDefault="00286292" w:rsidP="00286292">
      <w:pPr>
        <w:pStyle w:val="Bibliography"/>
      </w:pPr>
      <w:r>
        <w:t>[177]</w:t>
      </w:r>
      <w:r>
        <w:tab/>
        <w:t xml:space="preserve">R. Eriksson, N. Modig, and K. Elkington, “Synthetic inertia versus fast frequency response: a definition,” </w:t>
      </w:r>
      <w:r>
        <w:rPr>
          <w:i/>
          <w:iCs/>
        </w:rPr>
        <w:t>IET Renew. Power Gener.</w:t>
      </w:r>
      <w:r>
        <w:t xml:space="preserve">, vol. 12, no. 5, pp. 507–514, Apr. 2018, </w:t>
      </w:r>
      <w:proofErr w:type="spellStart"/>
      <w:r>
        <w:t>doi</w:t>
      </w:r>
      <w:proofErr w:type="spellEnd"/>
      <w:r>
        <w:t>: 10.1049/iet-rpg.2017.0370.</w:t>
      </w:r>
    </w:p>
    <w:p w14:paraId="630C78E3" w14:textId="77777777" w:rsidR="00286292" w:rsidRDefault="00286292" w:rsidP="00286292">
      <w:pPr>
        <w:pStyle w:val="Bibliography"/>
      </w:pPr>
      <w:r>
        <w:t>[178]</w:t>
      </w:r>
      <w:r>
        <w:tab/>
        <w:t xml:space="preserve">X. Li, Z. Zhao, X. Jiang, Y. Chen, and R. He, “A Review on AI-Driven Optimization of Data Center Energy Efficiency and Thermal Management,” </w:t>
      </w:r>
      <w:r>
        <w:rPr>
          <w:i/>
          <w:iCs/>
        </w:rPr>
        <w:t>Int. J. Appl. Sci.</w:t>
      </w:r>
      <w:r>
        <w:t xml:space="preserve">, vol. 8, no. 3, p. p108, Sep. 2025, </w:t>
      </w:r>
      <w:proofErr w:type="spellStart"/>
      <w:r>
        <w:t>doi</w:t>
      </w:r>
      <w:proofErr w:type="spellEnd"/>
      <w:r>
        <w:t>: 10.30560/</w:t>
      </w:r>
      <w:proofErr w:type="gramStart"/>
      <w:r>
        <w:t>ijas.v</w:t>
      </w:r>
      <w:proofErr w:type="gramEnd"/>
      <w:r>
        <w:t>8n3p108.</w:t>
      </w:r>
    </w:p>
    <w:p w14:paraId="70867D92" w14:textId="77777777" w:rsidR="00286292" w:rsidRDefault="00286292" w:rsidP="00286292">
      <w:pPr>
        <w:pStyle w:val="Bibliography"/>
      </w:pPr>
      <w:r>
        <w:t>[179]</w:t>
      </w:r>
      <w:r>
        <w:tab/>
        <w:t xml:space="preserve">R. </w:t>
      </w:r>
      <w:proofErr w:type="spellStart"/>
      <w:r>
        <w:t>Abritta</w:t>
      </w:r>
      <w:proofErr w:type="spellEnd"/>
      <w:r>
        <w:t xml:space="preserve"> </w:t>
      </w:r>
      <w:r>
        <w:rPr>
          <w:i/>
          <w:iCs/>
        </w:rPr>
        <w:t>et al.</w:t>
      </w:r>
      <w:r>
        <w:t xml:space="preserve">, “Power Flow-Based Estimation of Short-Circuit Currents </w:t>
      </w:r>
      <w:proofErr w:type="gramStart"/>
      <w:r>
        <w:t>From</w:t>
      </w:r>
      <w:proofErr w:type="gramEnd"/>
      <w:r>
        <w:t xml:space="preserve"> Inverter-Based Resources,” </w:t>
      </w:r>
      <w:r>
        <w:rPr>
          <w:i/>
          <w:iCs/>
        </w:rPr>
        <w:t>IEEE Open Access J. Power Energy</w:t>
      </w:r>
      <w:r>
        <w:t xml:space="preserve">, vol. 13, pp. 229–239, 2026, </w:t>
      </w:r>
      <w:proofErr w:type="spellStart"/>
      <w:r>
        <w:t>doi</w:t>
      </w:r>
      <w:proofErr w:type="spellEnd"/>
      <w:r>
        <w:t>: 10.1109/OAJPE.2026.3673646.</w:t>
      </w:r>
    </w:p>
    <w:p w14:paraId="728C3376" w14:textId="77777777" w:rsidR="00286292" w:rsidRDefault="00286292" w:rsidP="00286292">
      <w:pPr>
        <w:pStyle w:val="Bibliography"/>
      </w:pPr>
      <w:r>
        <w:t>[180]</w:t>
      </w:r>
      <w:r>
        <w:tab/>
        <w:t>i2X, “Transmission Interconnection Roadmap.” [Online]. Available: https://www.energy.gov/sites/default/files/2024-04/i2X%20Transmission%20Interconnection%20Roadmap.pdf</w:t>
      </w:r>
    </w:p>
    <w:p w14:paraId="079F2597" w14:textId="77777777" w:rsidR="00286292" w:rsidRDefault="00286292" w:rsidP="00286292">
      <w:pPr>
        <w:pStyle w:val="Bibliography"/>
      </w:pPr>
      <w:r>
        <w:t>[181]</w:t>
      </w:r>
      <w:r>
        <w:tab/>
        <w:t xml:space="preserve">J. Rand </w:t>
      </w:r>
      <w:r>
        <w:rPr>
          <w:i/>
          <w:iCs/>
        </w:rPr>
        <w:t>et al.</w:t>
      </w:r>
      <w:r>
        <w:t xml:space="preserve">, “Up: 2025 Edition, Characteristics of Power Plants Seeking Transmission Interconnection </w:t>
      </w:r>
      <w:proofErr w:type="gramStart"/>
      <w:r>
        <w:t>As</w:t>
      </w:r>
      <w:proofErr w:type="gramEnd"/>
      <w:r>
        <w:t xml:space="preserve"> of the End of 2024,” 2025, </w:t>
      </w:r>
      <w:proofErr w:type="spellStart"/>
      <w:r>
        <w:t>doi</w:t>
      </w:r>
      <w:proofErr w:type="spellEnd"/>
      <w:r>
        <w:t>: 10.13140/RG.2.2.12274.67520.</w:t>
      </w:r>
    </w:p>
    <w:p w14:paraId="7F71BEBC" w14:textId="77777777" w:rsidR="00286292" w:rsidRDefault="00286292" w:rsidP="00286292">
      <w:pPr>
        <w:pStyle w:val="Bibliography"/>
      </w:pPr>
      <w:r>
        <w:t>[182]</w:t>
      </w:r>
      <w:r>
        <w:tab/>
        <w:t xml:space="preserve">UN, “ENVIRONMENTAL COST OF AI’S ENERGY USE.” </w:t>
      </w:r>
    </w:p>
    <w:p w14:paraId="49AF2AEE" w14:textId="77777777" w:rsidR="00286292" w:rsidRDefault="00286292" w:rsidP="00286292">
      <w:pPr>
        <w:pStyle w:val="Bibliography"/>
      </w:pPr>
      <w:r>
        <w:t>[183]</w:t>
      </w:r>
      <w:r>
        <w:tab/>
        <w:t>Alexander Heiss, Zacharias Sautner, and Zacharias Sautner, “Powering AI: How Do Data Centers Affect Renewable Energy Investment?” [Online]. Available: https://papers.ssrn.com/sol3/papers.cfm?abstract_id=6426079</w:t>
      </w:r>
    </w:p>
    <w:p w14:paraId="600ED762" w14:textId="77777777" w:rsidR="00286292" w:rsidRDefault="00286292" w:rsidP="00286292">
      <w:pPr>
        <w:pStyle w:val="Bibliography"/>
      </w:pPr>
      <w:r>
        <w:t>[184]</w:t>
      </w:r>
      <w:r>
        <w:tab/>
        <w:t>IESO, “2026 Annual Planning Outlook.” [Online]. Available: https://www.ieso.ca/-/media/Files/IESO/Document-Library/planning-forecasts/apo/2026/2026-APO-Demand-Forecast-Module.pdf</w:t>
      </w:r>
    </w:p>
    <w:p w14:paraId="3469AC29" w14:textId="77777777" w:rsidR="00286292" w:rsidRDefault="00286292" w:rsidP="00286292">
      <w:pPr>
        <w:pStyle w:val="Bibliography"/>
      </w:pPr>
      <w:r>
        <w:t>[185]</w:t>
      </w:r>
      <w:r>
        <w:tab/>
        <w:t xml:space="preserve">P. A. Vilchez Olivares and B. J. Astorga De La Cruz, “AI and Data Analytics in Sustainable Financial Reporting and ESG Disclosure: A Systematic Literature Review,” </w:t>
      </w:r>
      <w:r>
        <w:rPr>
          <w:i/>
          <w:iCs/>
        </w:rPr>
        <w:t>Sustainability</w:t>
      </w:r>
      <w:r>
        <w:t xml:space="preserve">, vol. 18, no. 11, p. 5393, May 2026, </w:t>
      </w:r>
      <w:proofErr w:type="spellStart"/>
      <w:r>
        <w:t>doi</w:t>
      </w:r>
      <w:proofErr w:type="spellEnd"/>
      <w:r>
        <w:t>: 10.3390/su18115393.</w:t>
      </w:r>
    </w:p>
    <w:p w14:paraId="54FE6767" w14:textId="77777777" w:rsidR="00286292" w:rsidRDefault="00286292" w:rsidP="00286292">
      <w:pPr>
        <w:pStyle w:val="Bibliography"/>
      </w:pPr>
      <w:r>
        <w:t>[186]</w:t>
      </w:r>
      <w:r>
        <w:tab/>
        <w:t xml:space="preserve">C. D. Schuman, S. R. Kulkarni, M. Parsa, J. P. Mitchell, P. Date, and B. Kay, “Opportunities for neuromorphic computing algorithms and applications,” </w:t>
      </w:r>
      <w:r>
        <w:rPr>
          <w:i/>
          <w:iCs/>
        </w:rPr>
        <w:t xml:space="preserve">Nat. </w:t>
      </w:r>
      <w:proofErr w:type="spellStart"/>
      <w:r>
        <w:rPr>
          <w:i/>
          <w:iCs/>
        </w:rPr>
        <w:t>Comput</w:t>
      </w:r>
      <w:proofErr w:type="spellEnd"/>
      <w:r>
        <w:rPr>
          <w:i/>
          <w:iCs/>
        </w:rPr>
        <w:t>. Sci.</w:t>
      </w:r>
      <w:r>
        <w:t xml:space="preserve">, vol. 2, no. 1, pp. 10–19, Jan. 2022, </w:t>
      </w:r>
      <w:proofErr w:type="spellStart"/>
      <w:r>
        <w:t>doi</w:t>
      </w:r>
      <w:proofErr w:type="spellEnd"/>
      <w:r>
        <w:t>: 10.1038/s43588-021-00184-y.</w:t>
      </w:r>
    </w:p>
    <w:p w14:paraId="3ED1B156" w14:textId="77777777" w:rsidR="00286292" w:rsidRDefault="00286292" w:rsidP="00286292">
      <w:pPr>
        <w:pStyle w:val="Bibliography"/>
      </w:pPr>
      <w:r>
        <w:t>[187]</w:t>
      </w:r>
      <w:r>
        <w:tab/>
        <w:t>T.-C. Hsueh, “Panel-Scale Reconfigurable Photonic Interconnects for Scalable AI Computation”.</w:t>
      </w:r>
    </w:p>
    <w:p w14:paraId="0D8CFEB2" w14:textId="77777777" w:rsidR="00286292" w:rsidRDefault="00286292" w:rsidP="00286292">
      <w:pPr>
        <w:pStyle w:val="Bibliography"/>
      </w:pPr>
      <w:r>
        <w:t>[188]</w:t>
      </w:r>
      <w:r>
        <w:tab/>
        <w:t xml:space="preserve">Y. Ding, Z. P. </w:t>
      </w:r>
      <w:proofErr w:type="spellStart"/>
      <w:r>
        <w:t>Cano</w:t>
      </w:r>
      <w:proofErr w:type="spellEnd"/>
      <w:r>
        <w:t xml:space="preserve">, A. Yu, J. Lu, and Z. Chen, “Automotive Li-Ion Batteries: Current Status and Future Perspectives,” </w:t>
      </w:r>
      <w:proofErr w:type="spellStart"/>
      <w:r>
        <w:rPr>
          <w:i/>
          <w:iCs/>
        </w:rPr>
        <w:t>Electrochem</w:t>
      </w:r>
      <w:proofErr w:type="spellEnd"/>
      <w:r>
        <w:rPr>
          <w:i/>
          <w:iCs/>
        </w:rPr>
        <w:t>. Energy Rev.</w:t>
      </w:r>
      <w:r>
        <w:t xml:space="preserve">, vol. 2, no. 1, pp. 1–28, Mar. 2019, </w:t>
      </w:r>
      <w:proofErr w:type="spellStart"/>
      <w:r>
        <w:t>doi</w:t>
      </w:r>
      <w:proofErr w:type="spellEnd"/>
      <w:r>
        <w:t>: 10.1007/s41918-018-0022-z.</w:t>
      </w:r>
    </w:p>
    <w:p w14:paraId="7513ACF5" w14:textId="77777777" w:rsidR="00286292" w:rsidRDefault="00286292" w:rsidP="00286292">
      <w:pPr>
        <w:pStyle w:val="Bibliography"/>
      </w:pPr>
      <w:r>
        <w:t>[189]</w:t>
      </w:r>
      <w:r>
        <w:tab/>
        <w:t xml:space="preserve">A. Kushwaha, K. Ravish, P. Lamba, and P. Kumar, “A Survey of Safe Reinforcement Learning and Constrained MDPs: A Technical Survey on Single-Agent and Multi-Agent Safety,” Apr. 29, 2026, </w:t>
      </w:r>
      <w:proofErr w:type="spellStart"/>
      <w:r>
        <w:rPr>
          <w:i/>
          <w:iCs/>
        </w:rPr>
        <w:t>arXiv</w:t>
      </w:r>
      <w:proofErr w:type="spellEnd"/>
      <w:r>
        <w:t xml:space="preserve">: arXiv:2505.17342. </w:t>
      </w:r>
      <w:proofErr w:type="spellStart"/>
      <w:r>
        <w:t>doi</w:t>
      </w:r>
      <w:proofErr w:type="spellEnd"/>
      <w:r>
        <w:t>: 10.48550/arXiv.2505.17342.</w:t>
      </w:r>
    </w:p>
    <w:p w14:paraId="0EDF18FC" w14:textId="77777777" w:rsidR="00286292" w:rsidRDefault="00286292" w:rsidP="00286292">
      <w:pPr>
        <w:pStyle w:val="Bibliography"/>
      </w:pPr>
      <w:r>
        <w:lastRenderedPageBreak/>
        <w:t>[190]</w:t>
      </w:r>
      <w:r>
        <w:tab/>
        <w:t xml:space="preserve">H. </w:t>
      </w:r>
      <w:proofErr w:type="spellStart"/>
      <w:r>
        <w:t>Nikafshan</w:t>
      </w:r>
      <w:proofErr w:type="spellEnd"/>
      <w:r>
        <w:t xml:space="preserve"> Rad, A. Ghasemi, and M. </w:t>
      </w:r>
      <w:proofErr w:type="spellStart"/>
      <w:r>
        <w:t>Marefati</w:t>
      </w:r>
      <w:proofErr w:type="spellEnd"/>
      <w:r>
        <w:t xml:space="preserve">, “Cost and environmental analysis and optimization of a new and green three-level waste heat recovery-based cogeneration cycle: A comparative study,” </w:t>
      </w:r>
      <w:proofErr w:type="spellStart"/>
      <w:r>
        <w:rPr>
          <w:i/>
          <w:iCs/>
        </w:rPr>
        <w:t>Heliyon</w:t>
      </w:r>
      <w:proofErr w:type="spellEnd"/>
      <w:r>
        <w:t xml:space="preserve">, vol. 10, no. 7, p. e29087, Apr. 2024, </w:t>
      </w:r>
      <w:proofErr w:type="spellStart"/>
      <w:r>
        <w:t>doi</w:t>
      </w:r>
      <w:proofErr w:type="spellEnd"/>
      <w:r>
        <w:t xml:space="preserve">: </w:t>
      </w:r>
      <w:proofErr w:type="gramStart"/>
      <w:r>
        <w:t>10.1016/j.heliyon.2024.e</w:t>
      </w:r>
      <w:proofErr w:type="gramEnd"/>
      <w:r>
        <w:t>29087.</w:t>
      </w:r>
    </w:p>
    <w:p w14:paraId="2B2213DA" w14:textId="452AFCA0" w:rsidR="00FE013C" w:rsidRDefault="00BB50D5" w:rsidP="004C16FF">
      <w:pPr>
        <w:pStyle w:val="Bibliography"/>
        <w:rPr>
          <w:color w:val="auto"/>
        </w:rPr>
      </w:pPr>
      <w:r>
        <w:rPr>
          <w:color w:val="auto"/>
        </w:rPr>
        <w:fldChar w:fldCharType="end"/>
      </w:r>
    </w:p>
    <w:sectPr w:rsidR="00FE013C" w:rsidSect="005F08CE">
      <w:headerReference w:type="even" r:id="rId21"/>
      <w:headerReference w:type="default" r:id="rId22"/>
      <w:footerReference w:type="default" r:id="rId23"/>
      <w:pgSz w:w="11906" w:h="16838" w:code="9"/>
      <w:pgMar w:top="737" w:right="1077" w:bottom="1077" w:left="1077" w:header="1021" w:footer="851" w:gutter="0"/>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28786" w14:textId="77777777" w:rsidR="00D979DB" w:rsidRDefault="00D979DB">
      <w:r>
        <w:separator/>
      </w:r>
    </w:p>
  </w:endnote>
  <w:endnote w:type="continuationSeparator" w:id="0">
    <w:p w14:paraId="7730E535" w14:textId="77777777" w:rsidR="00D979DB" w:rsidRDefault="00D979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Segoe UI Light">
    <w:panose1 w:val="020B0502040204020203"/>
    <w:charset w:val="00"/>
    <w:family w:val="swiss"/>
    <w:pitch w:val="variable"/>
    <w:sig w:usb0="E4002EFF" w:usb1="C000E47F"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F899F" w14:textId="77777777" w:rsidR="0062701F" w:rsidRDefault="0062701F">
    <w:pPr>
      <w:pStyle w:val="Footer"/>
      <w:spacing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82092" w14:textId="77777777" w:rsidR="00D979DB" w:rsidRDefault="00D979DB">
      <w:r>
        <w:separator/>
      </w:r>
    </w:p>
  </w:footnote>
  <w:footnote w:type="continuationSeparator" w:id="0">
    <w:p w14:paraId="2D209166" w14:textId="77777777" w:rsidR="00D979DB" w:rsidRDefault="00D979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128D4" w14:textId="77777777" w:rsidR="0062701F" w:rsidRDefault="0062701F">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B8C13" w14:textId="5F97BB5F" w:rsidR="0062701F" w:rsidRDefault="009F7E9F" w:rsidP="009F7E9F">
    <w:pPr>
      <w:tabs>
        <w:tab w:val="left" w:pos="1618"/>
      </w:tabs>
      <w:adjustRightInd w:val="0"/>
      <w:snapToGrid w:val="0"/>
      <w:rPr>
        <w:rFonts w:ascii="Palatino Linotype" w:hAnsi="Palatino Linotype"/>
        <w:sz w:val="16"/>
      </w:rPr>
    </w:pPr>
    <w:r>
      <w:rPr>
        <w:rFonts w:ascii="Palatino Linotype" w:hAnsi="Palatino Linotype"/>
        <w:sz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D6480D34"/>
    <w:lvl w:ilvl="0" w:tplc="CDCEE7DA">
      <w:start w:val="1"/>
      <w:numFmt w:val="decimal"/>
      <w:pStyle w:val="SSPWT37itemize"/>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1" w15:restartNumberingAfterBreak="0">
    <w:nsid w:val="00000002"/>
    <w:multiLevelType w:val="hybridMultilevel"/>
    <w:tmpl w:val="534CEB7C"/>
    <w:lvl w:ilvl="0" w:tplc="7B0628CE">
      <w:start w:val="1"/>
      <w:numFmt w:val="bullet"/>
      <w:pStyle w:val="SSPWT38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2" w15:restartNumberingAfterBreak="0">
    <w:nsid w:val="02AB1C17"/>
    <w:multiLevelType w:val="multilevel"/>
    <w:tmpl w:val="9FB4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F2BF0"/>
    <w:multiLevelType w:val="hybridMultilevel"/>
    <w:tmpl w:val="8B9E9210"/>
    <w:lvl w:ilvl="0" w:tplc="10090001">
      <w:start w:val="1"/>
      <w:numFmt w:val="bullet"/>
      <w:lvlText w:val=""/>
      <w:lvlJc w:val="left"/>
      <w:pPr>
        <w:ind w:left="1200" w:hanging="360"/>
      </w:pPr>
      <w:rPr>
        <w:rFonts w:ascii="Symbol" w:hAnsi="Symbol" w:hint="default"/>
      </w:rPr>
    </w:lvl>
    <w:lvl w:ilvl="1" w:tplc="10090003" w:tentative="1">
      <w:start w:val="1"/>
      <w:numFmt w:val="bullet"/>
      <w:lvlText w:val="o"/>
      <w:lvlJc w:val="left"/>
      <w:pPr>
        <w:ind w:left="1920" w:hanging="360"/>
      </w:pPr>
      <w:rPr>
        <w:rFonts w:ascii="Courier New" w:hAnsi="Courier New" w:cs="Courier New" w:hint="default"/>
      </w:rPr>
    </w:lvl>
    <w:lvl w:ilvl="2" w:tplc="10090005" w:tentative="1">
      <w:start w:val="1"/>
      <w:numFmt w:val="bullet"/>
      <w:lvlText w:val=""/>
      <w:lvlJc w:val="left"/>
      <w:pPr>
        <w:ind w:left="2640" w:hanging="360"/>
      </w:pPr>
      <w:rPr>
        <w:rFonts w:ascii="Wingdings" w:hAnsi="Wingdings" w:hint="default"/>
      </w:rPr>
    </w:lvl>
    <w:lvl w:ilvl="3" w:tplc="10090001" w:tentative="1">
      <w:start w:val="1"/>
      <w:numFmt w:val="bullet"/>
      <w:lvlText w:val=""/>
      <w:lvlJc w:val="left"/>
      <w:pPr>
        <w:ind w:left="3360" w:hanging="360"/>
      </w:pPr>
      <w:rPr>
        <w:rFonts w:ascii="Symbol" w:hAnsi="Symbol" w:hint="default"/>
      </w:rPr>
    </w:lvl>
    <w:lvl w:ilvl="4" w:tplc="10090003" w:tentative="1">
      <w:start w:val="1"/>
      <w:numFmt w:val="bullet"/>
      <w:lvlText w:val="o"/>
      <w:lvlJc w:val="left"/>
      <w:pPr>
        <w:ind w:left="4080" w:hanging="360"/>
      </w:pPr>
      <w:rPr>
        <w:rFonts w:ascii="Courier New" w:hAnsi="Courier New" w:cs="Courier New" w:hint="default"/>
      </w:rPr>
    </w:lvl>
    <w:lvl w:ilvl="5" w:tplc="10090005" w:tentative="1">
      <w:start w:val="1"/>
      <w:numFmt w:val="bullet"/>
      <w:lvlText w:val=""/>
      <w:lvlJc w:val="left"/>
      <w:pPr>
        <w:ind w:left="4800" w:hanging="360"/>
      </w:pPr>
      <w:rPr>
        <w:rFonts w:ascii="Wingdings" w:hAnsi="Wingdings" w:hint="default"/>
      </w:rPr>
    </w:lvl>
    <w:lvl w:ilvl="6" w:tplc="10090001" w:tentative="1">
      <w:start w:val="1"/>
      <w:numFmt w:val="bullet"/>
      <w:lvlText w:val=""/>
      <w:lvlJc w:val="left"/>
      <w:pPr>
        <w:ind w:left="5520" w:hanging="360"/>
      </w:pPr>
      <w:rPr>
        <w:rFonts w:ascii="Symbol" w:hAnsi="Symbol" w:hint="default"/>
      </w:rPr>
    </w:lvl>
    <w:lvl w:ilvl="7" w:tplc="10090003" w:tentative="1">
      <w:start w:val="1"/>
      <w:numFmt w:val="bullet"/>
      <w:lvlText w:val="o"/>
      <w:lvlJc w:val="left"/>
      <w:pPr>
        <w:ind w:left="6240" w:hanging="360"/>
      </w:pPr>
      <w:rPr>
        <w:rFonts w:ascii="Courier New" w:hAnsi="Courier New" w:cs="Courier New" w:hint="default"/>
      </w:rPr>
    </w:lvl>
    <w:lvl w:ilvl="8" w:tplc="10090005" w:tentative="1">
      <w:start w:val="1"/>
      <w:numFmt w:val="bullet"/>
      <w:lvlText w:val=""/>
      <w:lvlJc w:val="left"/>
      <w:pPr>
        <w:ind w:left="6960" w:hanging="360"/>
      </w:pPr>
      <w:rPr>
        <w:rFonts w:ascii="Wingdings" w:hAnsi="Wingdings" w:hint="default"/>
      </w:rPr>
    </w:lvl>
  </w:abstractNum>
  <w:abstractNum w:abstractNumId="4" w15:restartNumberingAfterBreak="0">
    <w:nsid w:val="081C3FA3"/>
    <w:multiLevelType w:val="multilevel"/>
    <w:tmpl w:val="254A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F4AF9"/>
    <w:multiLevelType w:val="multilevel"/>
    <w:tmpl w:val="D0B6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61AD4"/>
    <w:multiLevelType w:val="multilevel"/>
    <w:tmpl w:val="D7BE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35F44"/>
    <w:multiLevelType w:val="hybridMultilevel"/>
    <w:tmpl w:val="EF9498B4"/>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8" w15:restartNumberingAfterBreak="0">
    <w:nsid w:val="1E0A2360"/>
    <w:multiLevelType w:val="hybridMultilevel"/>
    <w:tmpl w:val="855481C0"/>
    <w:lvl w:ilvl="0" w:tplc="10090001">
      <w:start w:val="1"/>
      <w:numFmt w:val="bullet"/>
      <w:lvlText w:val=""/>
      <w:lvlJc w:val="left"/>
      <w:pPr>
        <w:ind w:left="1200" w:hanging="360"/>
      </w:pPr>
      <w:rPr>
        <w:rFonts w:ascii="Symbol" w:hAnsi="Symbol" w:hint="default"/>
      </w:rPr>
    </w:lvl>
    <w:lvl w:ilvl="1" w:tplc="10090003" w:tentative="1">
      <w:start w:val="1"/>
      <w:numFmt w:val="bullet"/>
      <w:lvlText w:val="o"/>
      <w:lvlJc w:val="left"/>
      <w:pPr>
        <w:ind w:left="1920" w:hanging="360"/>
      </w:pPr>
      <w:rPr>
        <w:rFonts w:ascii="Courier New" w:hAnsi="Courier New" w:cs="Courier New" w:hint="default"/>
      </w:rPr>
    </w:lvl>
    <w:lvl w:ilvl="2" w:tplc="10090005" w:tentative="1">
      <w:start w:val="1"/>
      <w:numFmt w:val="bullet"/>
      <w:lvlText w:val=""/>
      <w:lvlJc w:val="left"/>
      <w:pPr>
        <w:ind w:left="2640" w:hanging="360"/>
      </w:pPr>
      <w:rPr>
        <w:rFonts w:ascii="Wingdings" w:hAnsi="Wingdings" w:hint="default"/>
      </w:rPr>
    </w:lvl>
    <w:lvl w:ilvl="3" w:tplc="10090001" w:tentative="1">
      <w:start w:val="1"/>
      <w:numFmt w:val="bullet"/>
      <w:lvlText w:val=""/>
      <w:lvlJc w:val="left"/>
      <w:pPr>
        <w:ind w:left="3360" w:hanging="360"/>
      </w:pPr>
      <w:rPr>
        <w:rFonts w:ascii="Symbol" w:hAnsi="Symbol" w:hint="default"/>
      </w:rPr>
    </w:lvl>
    <w:lvl w:ilvl="4" w:tplc="10090003" w:tentative="1">
      <w:start w:val="1"/>
      <w:numFmt w:val="bullet"/>
      <w:lvlText w:val="o"/>
      <w:lvlJc w:val="left"/>
      <w:pPr>
        <w:ind w:left="4080" w:hanging="360"/>
      </w:pPr>
      <w:rPr>
        <w:rFonts w:ascii="Courier New" w:hAnsi="Courier New" w:cs="Courier New" w:hint="default"/>
      </w:rPr>
    </w:lvl>
    <w:lvl w:ilvl="5" w:tplc="10090005" w:tentative="1">
      <w:start w:val="1"/>
      <w:numFmt w:val="bullet"/>
      <w:lvlText w:val=""/>
      <w:lvlJc w:val="left"/>
      <w:pPr>
        <w:ind w:left="4800" w:hanging="360"/>
      </w:pPr>
      <w:rPr>
        <w:rFonts w:ascii="Wingdings" w:hAnsi="Wingdings" w:hint="default"/>
      </w:rPr>
    </w:lvl>
    <w:lvl w:ilvl="6" w:tplc="10090001" w:tentative="1">
      <w:start w:val="1"/>
      <w:numFmt w:val="bullet"/>
      <w:lvlText w:val=""/>
      <w:lvlJc w:val="left"/>
      <w:pPr>
        <w:ind w:left="5520" w:hanging="360"/>
      </w:pPr>
      <w:rPr>
        <w:rFonts w:ascii="Symbol" w:hAnsi="Symbol" w:hint="default"/>
      </w:rPr>
    </w:lvl>
    <w:lvl w:ilvl="7" w:tplc="10090003" w:tentative="1">
      <w:start w:val="1"/>
      <w:numFmt w:val="bullet"/>
      <w:lvlText w:val="o"/>
      <w:lvlJc w:val="left"/>
      <w:pPr>
        <w:ind w:left="6240" w:hanging="360"/>
      </w:pPr>
      <w:rPr>
        <w:rFonts w:ascii="Courier New" w:hAnsi="Courier New" w:cs="Courier New" w:hint="default"/>
      </w:rPr>
    </w:lvl>
    <w:lvl w:ilvl="8" w:tplc="10090005" w:tentative="1">
      <w:start w:val="1"/>
      <w:numFmt w:val="bullet"/>
      <w:lvlText w:val=""/>
      <w:lvlJc w:val="left"/>
      <w:pPr>
        <w:ind w:left="6960" w:hanging="360"/>
      </w:pPr>
      <w:rPr>
        <w:rFonts w:ascii="Wingdings" w:hAnsi="Wingdings" w:hint="default"/>
      </w:rPr>
    </w:lvl>
  </w:abstractNum>
  <w:abstractNum w:abstractNumId="9" w15:restartNumberingAfterBreak="0">
    <w:nsid w:val="2024308A"/>
    <w:multiLevelType w:val="hybridMultilevel"/>
    <w:tmpl w:val="99B89C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41B691C"/>
    <w:multiLevelType w:val="multilevel"/>
    <w:tmpl w:val="452C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614F39"/>
    <w:multiLevelType w:val="multilevel"/>
    <w:tmpl w:val="E2B492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A6681E"/>
    <w:multiLevelType w:val="hybridMultilevel"/>
    <w:tmpl w:val="4844E8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4C23A63"/>
    <w:multiLevelType w:val="hybridMultilevel"/>
    <w:tmpl w:val="436C04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50A7E18"/>
    <w:multiLevelType w:val="multilevel"/>
    <w:tmpl w:val="7D32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CB66C4"/>
    <w:multiLevelType w:val="multilevel"/>
    <w:tmpl w:val="6326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8C6439"/>
    <w:multiLevelType w:val="multilevel"/>
    <w:tmpl w:val="68BC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206F8F"/>
    <w:multiLevelType w:val="hybridMultilevel"/>
    <w:tmpl w:val="0E36806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D2A7972"/>
    <w:multiLevelType w:val="hybridMultilevel"/>
    <w:tmpl w:val="D53E4CE0"/>
    <w:lvl w:ilvl="0" w:tplc="10090001">
      <w:start w:val="1"/>
      <w:numFmt w:val="bullet"/>
      <w:lvlText w:val=""/>
      <w:lvlJc w:val="left"/>
      <w:pPr>
        <w:ind w:left="1200" w:hanging="360"/>
      </w:pPr>
      <w:rPr>
        <w:rFonts w:ascii="Symbol" w:hAnsi="Symbol" w:hint="default"/>
      </w:rPr>
    </w:lvl>
    <w:lvl w:ilvl="1" w:tplc="10090003" w:tentative="1">
      <w:start w:val="1"/>
      <w:numFmt w:val="bullet"/>
      <w:lvlText w:val="o"/>
      <w:lvlJc w:val="left"/>
      <w:pPr>
        <w:ind w:left="1920" w:hanging="360"/>
      </w:pPr>
      <w:rPr>
        <w:rFonts w:ascii="Courier New" w:hAnsi="Courier New" w:cs="Courier New" w:hint="default"/>
      </w:rPr>
    </w:lvl>
    <w:lvl w:ilvl="2" w:tplc="10090005" w:tentative="1">
      <w:start w:val="1"/>
      <w:numFmt w:val="bullet"/>
      <w:lvlText w:val=""/>
      <w:lvlJc w:val="left"/>
      <w:pPr>
        <w:ind w:left="2640" w:hanging="360"/>
      </w:pPr>
      <w:rPr>
        <w:rFonts w:ascii="Wingdings" w:hAnsi="Wingdings" w:hint="default"/>
      </w:rPr>
    </w:lvl>
    <w:lvl w:ilvl="3" w:tplc="10090001" w:tentative="1">
      <w:start w:val="1"/>
      <w:numFmt w:val="bullet"/>
      <w:lvlText w:val=""/>
      <w:lvlJc w:val="left"/>
      <w:pPr>
        <w:ind w:left="3360" w:hanging="360"/>
      </w:pPr>
      <w:rPr>
        <w:rFonts w:ascii="Symbol" w:hAnsi="Symbol" w:hint="default"/>
      </w:rPr>
    </w:lvl>
    <w:lvl w:ilvl="4" w:tplc="10090003" w:tentative="1">
      <w:start w:val="1"/>
      <w:numFmt w:val="bullet"/>
      <w:lvlText w:val="o"/>
      <w:lvlJc w:val="left"/>
      <w:pPr>
        <w:ind w:left="4080" w:hanging="360"/>
      </w:pPr>
      <w:rPr>
        <w:rFonts w:ascii="Courier New" w:hAnsi="Courier New" w:cs="Courier New" w:hint="default"/>
      </w:rPr>
    </w:lvl>
    <w:lvl w:ilvl="5" w:tplc="10090005" w:tentative="1">
      <w:start w:val="1"/>
      <w:numFmt w:val="bullet"/>
      <w:lvlText w:val=""/>
      <w:lvlJc w:val="left"/>
      <w:pPr>
        <w:ind w:left="4800" w:hanging="360"/>
      </w:pPr>
      <w:rPr>
        <w:rFonts w:ascii="Wingdings" w:hAnsi="Wingdings" w:hint="default"/>
      </w:rPr>
    </w:lvl>
    <w:lvl w:ilvl="6" w:tplc="10090001" w:tentative="1">
      <w:start w:val="1"/>
      <w:numFmt w:val="bullet"/>
      <w:lvlText w:val=""/>
      <w:lvlJc w:val="left"/>
      <w:pPr>
        <w:ind w:left="5520" w:hanging="360"/>
      </w:pPr>
      <w:rPr>
        <w:rFonts w:ascii="Symbol" w:hAnsi="Symbol" w:hint="default"/>
      </w:rPr>
    </w:lvl>
    <w:lvl w:ilvl="7" w:tplc="10090003" w:tentative="1">
      <w:start w:val="1"/>
      <w:numFmt w:val="bullet"/>
      <w:lvlText w:val="o"/>
      <w:lvlJc w:val="left"/>
      <w:pPr>
        <w:ind w:left="6240" w:hanging="360"/>
      </w:pPr>
      <w:rPr>
        <w:rFonts w:ascii="Courier New" w:hAnsi="Courier New" w:cs="Courier New" w:hint="default"/>
      </w:rPr>
    </w:lvl>
    <w:lvl w:ilvl="8" w:tplc="10090005" w:tentative="1">
      <w:start w:val="1"/>
      <w:numFmt w:val="bullet"/>
      <w:lvlText w:val=""/>
      <w:lvlJc w:val="left"/>
      <w:pPr>
        <w:ind w:left="6960" w:hanging="360"/>
      </w:pPr>
      <w:rPr>
        <w:rFonts w:ascii="Wingdings" w:hAnsi="Wingdings" w:hint="default"/>
      </w:rPr>
    </w:lvl>
  </w:abstractNum>
  <w:abstractNum w:abstractNumId="19" w15:restartNumberingAfterBreak="0">
    <w:nsid w:val="501D3049"/>
    <w:multiLevelType w:val="multilevel"/>
    <w:tmpl w:val="2662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EC5ECC"/>
    <w:multiLevelType w:val="hybridMultilevel"/>
    <w:tmpl w:val="288CD068"/>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21" w15:restartNumberingAfterBreak="0">
    <w:nsid w:val="5C6C750E"/>
    <w:multiLevelType w:val="multilevel"/>
    <w:tmpl w:val="E5FE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BE1E6A"/>
    <w:multiLevelType w:val="multilevel"/>
    <w:tmpl w:val="F638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2665A2"/>
    <w:multiLevelType w:val="hybridMultilevel"/>
    <w:tmpl w:val="702CB71E"/>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24" w15:restartNumberingAfterBreak="0">
    <w:nsid w:val="77497AE3"/>
    <w:multiLevelType w:val="hybridMultilevel"/>
    <w:tmpl w:val="458C8FE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7AE74939"/>
    <w:multiLevelType w:val="hybridMultilevel"/>
    <w:tmpl w:val="C3402338"/>
    <w:lvl w:ilvl="0" w:tplc="71D0B74A">
      <w:start w:val="1"/>
      <w:numFmt w:val="decimal"/>
      <w:pStyle w:val="References"/>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D1A301E"/>
    <w:multiLevelType w:val="multilevel"/>
    <w:tmpl w:val="3452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8929D2"/>
    <w:multiLevelType w:val="hybridMultilevel"/>
    <w:tmpl w:val="2128682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846089424">
    <w:abstractNumId w:val="0"/>
  </w:num>
  <w:num w:numId="2" w16cid:durableId="1612470030">
    <w:abstractNumId w:val="1"/>
  </w:num>
  <w:num w:numId="3" w16cid:durableId="241839649">
    <w:abstractNumId w:val="25"/>
  </w:num>
  <w:num w:numId="4" w16cid:durableId="1280408060">
    <w:abstractNumId w:val="26"/>
  </w:num>
  <w:num w:numId="5" w16cid:durableId="451441336">
    <w:abstractNumId w:val="17"/>
  </w:num>
  <w:num w:numId="6" w16cid:durableId="2038002810">
    <w:abstractNumId w:val="12"/>
  </w:num>
  <w:num w:numId="7" w16cid:durableId="618532243">
    <w:abstractNumId w:val="3"/>
  </w:num>
  <w:num w:numId="8" w16cid:durableId="45876077">
    <w:abstractNumId w:val="16"/>
  </w:num>
  <w:num w:numId="9" w16cid:durableId="1102922736">
    <w:abstractNumId w:val="11"/>
  </w:num>
  <w:num w:numId="10" w16cid:durableId="473761911">
    <w:abstractNumId w:val="24"/>
  </w:num>
  <w:num w:numId="11" w16cid:durableId="661275805">
    <w:abstractNumId w:val="27"/>
  </w:num>
  <w:num w:numId="12" w16cid:durableId="1540119753">
    <w:abstractNumId w:val="14"/>
  </w:num>
  <w:num w:numId="13" w16cid:durableId="881593489">
    <w:abstractNumId w:val="5"/>
  </w:num>
  <w:num w:numId="14" w16cid:durableId="204802956">
    <w:abstractNumId w:val="9"/>
  </w:num>
  <w:num w:numId="15" w16cid:durableId="2062554760">
    <w:abstractNumId w:val="21"/>
  </w:num>
  <w:num w:numId="16" w16cid:durableId="1269310907">
    <w:abstractNumId w:val="6"/>
  </w:num>
  <w:num w:numId="17" w16cid:durableId="357046737">
    <w:abstractNumId w:val="15"/>
  </w:num>
  <w:num w:numId="18" w16cid:durableId="565454282">
    <w:abstractNumId w:val="10"/>
  </w:num>
  <w:num w:numId="19" w16cid:durableId="1621452831">
    <w:abstractNumId w:val="22"/>
  </w:num>
  <w:num w:numId="20" w16cid:durableId="1132864569">
    <w:abstractNumId w:val="20"/>
  </w:num>
  <w:num w:numId="21" w16cid:durableId="1252196837">
    <w:abstractNumId w:val="23"/>
  </w:num>
  <w:num w:numId="22" w16cid:durableId="1693648589">
    <w:abstractNumId w:val="7"/>
  </w:num>
  <w:num w:numId="23" w16cid:durableId="1266109321">
    <w:abstractNumId w:val="8"/>
  </w:num>
  <w:num w:numId="24" w16cid:durableId="595477789">
    <w:abstractNumId w:val="13"/>
  </w:num>
  <w:num w:numId="25" w16cid:durableId="1410956718">
    <w:abstractNumId w:val="19"/>
  </w:num>
  <w:num w:numId="26" w16cid:durableId="219481690">
    <w:abstractNumId w:val="18"/>
  </w:num>
  <w:num w:numId="27" w16cid:durableId="1250508567">
    <w:abstractNumId w:val="4"/>
  </w:num>
  <w:num w:numId="28" w16cid:durableId="5425227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attachedTemplate r:id="rId1"/>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01F"/>
    <w:rsid w:val="00000CC0"/>
    <w:rsid w:val="000028D9"/>
    <w:rsid w:val="00004098"/>
    <w:rsid w:val="00004DA8"/>
    <w:rsid w:val="00013085"/>
    <w:rsid w:val="00021D4C"/>
    <w:rsid w:val="00022E66"/>
    <w:rsid w:val="0002304C"/>
    <w:rsid w:val="00023B78"/>
    <w:rsid w:val="000256A6"/>
    <w:rsid w:val="00030122"/>
    <w:rsid w:val="000321B5"/>
    <w:rsid w:val="0003524E"/>
    <w:rsid w:val="00035D77"/>
    <w:rsid w:val="00037346"/>
    <w:rsid w:val="00040480"/>
    <w:rsid w:val="00044C5D"/>
    <w:rsid w:val="00044E2C"/>
    <w:rsid w:val="000465AA"/>
    <w:rsid w:val="00057870"/>
    <w:rsid w:val="000642A3"/>
    <w:rsid w:val="00064826"/>
    <w:rsid w:val="000665E7"/>
    <w:rsid w:val="00070841"/>
    <w:rsid w:val="000717F7"/>
    <w:rsid w:val="00072A8F"/>
    <w:rsid w:val="00073208"/>
    <w:rsid w:val="0007532D"/>
    <w:rsid w:val="00075A12"/>
    <w:rsid w:val="00080FE2"/>
    <w:rsid w:val="000812E0"/>
    <w:rsid w:val="00081E76"/>
    <w:rsid w:val="0008622D"/>
    <w:rsid w:val="0008678B"/>
    <w:rsid w:val="00095528"/>
    <w:rsid w:val="00095712"/>
    <w:rsid w:val="00095C48"/>
    <w:rsid w:val="00095E8E"/>
    <w:rsid w:val="00095F7E"/>
    <w:rsid w:val="000973F7"/>
    <w:rsid w:val="000A408E"/>
    <w:rsid w:val="000A5126"/>
    <w:rsid w:val="000B0F03"/>
    <w:rsid w:val="000B39AB"/>
    <w:rsid w:val="000B7B56"/>
    <w:rsid w:val="000B7BFE"/>
    <w:rsid w:val="000C0A5A"/>
    <w:rsid w:val="000C1B14"/>
    <w:rsid w:val="000C26DB"/>
    <w:rsid w:val="000C2F0C"/>
    <w:rsid w:val="000C3F0F"/>
    <w:rsid w:val="000D010A"/>
    <w:rsid w:val="000D0D3F"/>
    <w:rsid w:val="000D42C3"/>
    <w:rsid w:val="000D6850"/>
    <w:rsid w:val="000E0127"/>
    <w:rsid w:val="000E3C80"/>
    <w:rsid w:val="000E4885"/>
    <w:rsid w:val="000E64DD"/>
    <w:rsid w:val="000E77FA"/>
    <w:rsid w:val="000E7A56"/>
    <w:rsid w:val="000F2608"/>
    <w:rsid w:val="000F592A"/>
    <w:rsid w:val="000F6695"/>
    <w:rsid w:val="00100329"/>
    <w:rsid w:val="0010384E"/>
    <w:rsid w:val="00103F18"/>
    <w:rsid w:val="00104D7D"/>
    <w:rsid w:val="001109A6"/>
    <w:rsid w:val="00114F15"/>
    <w:rsid w:val="001161F2"/>
    <w:rsid w:val="00116D36"/>
    <w:rsid w:val="001170F1"/>
    <w:rsid w:val="00120E08"/>
    <w:rsid w:val="00131821"/>
    <w:rsid w:val="001329E8"/>
    <w:rsid w:val="00132B05"/>
    <w:rsid w:val="00134CA9"/>
    <w:rsid w:val="00137E95"/>
    <w:rsid w:val="0014185D"/>
    <w:rsid w:val="00141971"/>
    <w:rsid w:val="00142460"/>
    <w:rsid w:val="00145C6F"/>
    <w:rsid w:val="0014625D"/>
    <w:rsid w:val="00147ED5"/>
    <w:rsid w:val="001530DD"/>
    <w:rsid w:val="001617BE"/>
    <w:rsid w:val="00161993"/>
    <w:rsid w:val="001623F2"/>
    <w:rsid w:val="00163578"/>
    <w:rsid w:val="00166084"/>
    <w:rsid w:val="00166ED5"/>
    <w:rsid w:val="0017147F"/>
    <w:rsid w:val="001718D7"/>
    <w:rsid w:val="00171B72"/>
    <w:rsid w:val="00172115"/>
    <w:rsid w:val="0017345A"/>
    <w:rsid w:val="00173D97"/>
    <w:rsid w:val="0017518F"/>
    <w:rsid w:val="001751D4"/>
    <w:rsid w:val="0017669A"/>
    <w:rsid w:val="001772C5"/>
    <w:rsid w:val="00177B3A"/>
    <w:rsid w:val="00180502"/>
    <w:rsid w:val="00180833"/>
    <w:rsid w:val="0018348D"/>
    <w:rsid w:val="001850C1"/>
    <w:rsid w:val="00187143"/>
    <w:rsid w:val="0019198D"/>
    <w:rsid w:val="00194936"/>
    <w:rsid w:val="0019592A"/>
    <w:rsid w:val="00195B91"/>
    <w:rsid w:val="00196D1B"/>
    <w:rsid w:val="001A3F06"/>
    <w:rsid w:val="001A427F"/>
    <w:rsid w:val="001A5343"/>
    <w:rsid w:val="001A6DB0"/>
    <w:rsid w:val="001A7127"/>
    <w:rsid w:val="001B2A37"/>
    <w:rsid w:val="001B3304"/>
    <w:rsid w:val="001B70F9"/>
    <w:rsid w:val="001B74A6"/>
    <w:rsid w:val="001B7512"/>
    <w:rsid w:val="001B7822"/>
    <w:rsid w:val="001C0F6D"/>
    <w:rsid w:val="001C1DB8"/>
    <w:rsid w:val="001C2BF8"/>
    <w:rsid w:val="001C37FA"/>
    <w:rsid w:val="001C3837"/>
    <w:rsid w:val="001D0BAC"/>
    <w:rsid w:val="001D13F4"/>
    <w:rsid w:val="001D1403"/>
    <w:rsid w:val="001D5471"/>
    <w:rsid w:val="001E0758"/>
    <w:rsid w:val="001E09C3"/>
    <w:rsid w:val="001E0AAE"/>
    <w:rsid w:val="001E162E"/>
    <w:rsid w:val="001E2527"/>
    <w:rsid w:val="001E32DD"/>
    <w:rsid w:val="001F0361"/>
    <w:rsid w:val="001F3982"/>
    <w:rsid w:val="001F4430"/>
    <w:rsid w:val="002032C0"/>
    <w:rsid w:val="00203B6C"/>
    <w:rsid w:val="002054B5"/>
    <w:rsid w:val="002068F4"/>
    <w:rsid w:val="0020794C"/>
    <w:rsid w:val="002108A4"/>
    <w:rsid w:val="0021274D"/>
    <w:rsid w:val="00215994"/>
    <w:rsid w:val="00217AE8"/>
    <w:rsid w:val="00217ECC"/>
    <w:rsid w:val="00220493"/>
    <w:rsid w:val="00225E6D"/>
    <w:rsid w:val="002261A6"/>
    <w:rsid w:val="00227113"/>
    <w:rsid w:val="002272B2"/>
    <w:rsid w:val="002306B5"/>
    <w:rsid w:val="0023297E"/>
    <w:rsid w:val="00232D2E"/>
    <w:rsid w:val="00234316"/>
    <w:rsid w:val="00240FF9"/>
    <w:rsid w:val="002415E7"/>
    <w:rsid w:val="002458A7"/>
    <w:rsid w:val="002462C2"/>
    <w:rsid w:val="002473F3"/>
    <w:rsid w:val="00251236"/>
    <w:rsid w:val="00253CAD"/>
    <w:rsid w:val="002641B9"/>
    <w:rsid w:val="002645AA"/>
    <w:rsid w:val="00266077"/>
    <w:rsid w:val="00266ECA"/>
    <w:rsid w:val="00267BAF"/>
    <w:rsid w:val="00272BD0"/>
    <w:rsid w:val="002777A1"/>
    <w:rsid w:val="002814C1"/>
    <w:rsid w:val="00282103"/>
    <w:rsid w:val="0028220C"/>
    <w:rsid w:val="00285B13"/>
    <w:rsid w:val="00286292"/>
    <w:rsid w:val="00286D4E"/>
    <w:rsid w:val="00291195"/>
    <w:rsid w:val="00291800"/>
    <w:rsid w:val="00294363"/>
    <w:rsid w:val="002951E4"/>
    <w:rsid w:val="0029629A"/>
    <w:rsid w:val="00297AD0"/>
    <w:rsid w:val="002A05B5"/>
    <w:rsid w:val="002A0616"/>
    <w:rsid w:val="002A0D24"/>
    <w:rsid w:val="002A1323"/>
    <w:rsid w:val="002A1396"/>
    <w:rsid w:val="002A4526"/>
    <w:rsid w:val="002A74E3"/>
    <w:rsid w:val="002B35CB"/>
    <w:rsid w:val="002B39C3"/>
    <w:rsid w:val="002B3E4F"/>
    <w:rsid w:val="002C06D9"/>
    <w:rsid w:val="002C0878"/>
    <w:rsid w:val="002C0C00"/>
    <w:rsid w:val="002C1117"/>
    <w:rsid w:val="002C20E4"/>
    <w:rsid w:val="002C323F"/>
    <w:rsid w:val="002C35E0"/>
    <w:rsid w:val="002C38FF"/>
    <w:rsid w:val="002C3CD7"/>
    <w:rsid w:val="002C43F2"/>
    <w:rsid w:val="002C45A5"/>
    <w:rsid w:val="002C4691"/>
    <w:rsid w:val="002C5687"/>
    <w:rsid w:val="002C5CB3"/>
    <w:rsid w:val="002D05E1"/>
    <w:rsid w:val="002D56E0"/>
    <w:rsid w:val="002E0101"/>
    <w:rsid w:val="002E0505"/>
    <w:rsid w:val="002E2886"/>
    <w:rsid w:val="002E442C"/>
    <w:rsid w:val="002E5A5D"/>
    <w:rsid w:val="002E772B"/>
    <w:rsid w:val="002F1748"/>
    <w:rsid w:val="002F313A"/>
    <w:rsid w:val="002F33B1"/>
    <w:rsid w:val="002F47FC"/>
    <w:rsid w:val="002F4FBC"/>
    <w:rsid w:val="002F6018"/>
    <w:rsid w:val="00300D14"/>
    <w:rsid w:val="0030179F"/>
    <w:rsid w:val="00301AC3"/>
    <w:rsid w:val="00302B88"/>
    <w:rsid w:val="00303C61"/>
    <w:rsid w:val="003104FC"/>
    <w:rsid w:val="00310653"/>
    <w:rsid w:val="003110B3"/>
    <w:rsid w:val="003130C9"/>
    <w:rsid w:val="00314B47"/>
    <w:rsid w:val="003218A2"/>
    <w:rsid w:val="00322C79"/>
    <w:rsid w:val="00323D3C"/>
    <w:rsid w:val="00323DD0"/>
    <w:rsid w:val="003265AE"/>
    <w:rsid w:val="00330029"/>
    <w:rsid w:val="00332576"/>
    <w:rsid w:val="00332F17"/>
    <w:rsid w:val="003336B9"/>
    <w:rsid w:val="00333CD8"/>
    <w:rsid w:val="003340E7"/>
    <w:rsid w:val="003342AC"/>
    <w:rsid w:val="00336475"/>
    <w:rsid w:val="00337DE9"/>
    <w:rsid w:val="00341A95"/>
    <w:rsid w:val="00341E54"/>
    <w:rsid w:val="00342674"/>
    <w:rsid w:val="00342ED7"/>
    <w:rsid w:val="003442B1"/>
    <w:rsid w:val="0035074E"/>
    <w:rsid w:val="00350D1E"/>
    <w:rsid w:val="003511DA"/>
    <w:rsid w:val="00352CE2"/>
    <w:rsid w:val="003546AC"/>
    <w:rsid w:val="00354B1B"/>
    <w:rsid w:val="00355C72"/>
    <w:rsid w:val="00356E13"/>
    <w:rsid w:val="00357DE5"/>
    <w:rsid w:val="00361F8B"/>
    <w:rsid w:val="003625E3"/>
    <w:rsid w:val="00363763"/>
    <w:rsid w:val="00363AE3"/>
    <w:rsid w:val="00365172"/>
    <w:rsid w:val="00365B2C"/>
    <w:rsid w:val="00366C40"/>
    <w:rsid w:val="00367469"/>
    <w:rsid w:val="00367A03"/>
    <w:rsid w:val="00367B33"/>
    <w:rsid w:val="003728B2"/>
    <w:rsid w:val="00373AC1"/>
    <w:rsid w:val="00373B58"/>
    <w:rsid w:val="003756CB"/>
    <w:rsid w:val="00375D05"/>
    <w:rsid w:val="003769FC"/>
    <w:rsid w:val="00380693"/>
    <w:rsid w:val="00380ED5"/>
    <w:rsid w:val="00381260"/>
    <w:rsid w:val="00383E7D"/>
    <w:rsid w:val="0038749B"/>
    <w:rsid w:val="00392289"/>
    <w:rsid w:val="00392B15"/>
    <w:rsid w:val="00392C53"/>
    <w:rsid w:val="00392EA5"/>
    <w:rsid w:val="0039462A"/>
    <w:rsid w:val="00394AF8"/>
    <w:rsid w:val="00394F06"/>
    <w:rsid w:val="003A11C8"/>
    <w:rsid w:val="003A221C"/>
    <w:rsid w:val="003A3C82"/>
    <w:rsid w:val="003A534C"/>
    <w:rsid w:val="003A6352"/>
    <w:rsid w:val="003A6977"/>
    <w:rsid w:val="003B1317"/>
    <w:rsid w:val="003B1D88"/>
    <w:rsid w:val="003B30CC"/>
    <w:rsid w:val="003B33E0"/>
    <w:rsid w:val="003B44B7"/>
    <w:rsid w:val="003B53B0"/>
    <w:rsid w:val="003B6288"/>
    <w:rsid w:val="003B7EEF"/>
    <w:rsid w:val="003B7F03"/>
    <w:rsid w:val="003C05F8"/>
    <w:rsid w:val="003C4670"/>
    <w:rsid w:val="003C6158"/>
    <w:rsid w:val="003D0802"/>
    <w:rsid w:val="003D3FE4"/>
    <w:rsid w:val="003D7C63"/>
    <w:rsid w:val="003E1B02"/>
    <w:rsid w:val="003E3E28"/>
    <w:rsid w:val="003E44F5"/>
    <w:rsid w:val="003F2173"/>
    <w:rsid w:val="003F24D0"/>
    <w:rsid w:val="003F4876"/>
    <w:rsid w:val="003F5F56"/>
    <w:rsid w:val="003F6317"/>
    <w:rsid w:val="003F666C"/>
    <w:rsid w:val="00405D55"/>
    <w:rsid w:val="00405F8F"/>
    <w:rsid w:val="0040687D"/>
    <w:rsid w:val="00407699"/>
    <w:rsid w:val="00407B1F"/>
    <w:rsid w:val="00412819"/>
    <w:rsid w:val="0041565E"/>
    <w:rsid w:val="00416183"/>
    <w:rsid w:val="004172B4"/>
    <w:rsid w:val="00417AAE"/>
    <w:rsid w:val="004211F1"/>
    <w:rsid w:val="00423213"/>
    <w:rsid w:val="00424065"/>
    <w:rsid w:val="00424328"/>
    <w:rsid w:val="004246FC"/>
    <w:rsid w:val="0042470B"/>
    <w:rsid w:val="0042671C"/>
    <w:rsid w:val="00426773"/>
    <w:rsid w:val="00426A09"/>
    <w:rsid w:val="0043037D"/>
    <w:rsid w:val="00430A84"/>
    <w:rsid w:val="00432446"/>
    <w:rsid w:val="0043558A"/>
    <w:rsid w:val="00436A2E"/>
    <w:rsid w:val="00436DD1"/>
    <w:rsid w:val="0043771C"/>
    <w:rsid w:val="004426C6"/>
    <w:rsid w:val="00444FE2"/>
    <w:rsid w:val="004450CF"/>
    <w:rsid w:val="00447CC4"/>
    <w:rsid w:val="00452A11"/>
    <w:rsid w:val="00453FDB"/>
    <w:rsid w:val="00462752"/>
    <w:rsid w:val="004644BD"/>
    <w:rsid w:val="00465E05"/>
    <w:rsid w:val="00466451"/>
    <w:rsid w:val="00472E8E"/>
    <w:rsid w:val="00482AE3"/>
    <w:rsid w:val="00483956"/>
    <w:rsid w:val="00484A3A"/>
    <w:rsid w:val="004864DB"/>
    <w:rsid w:val="00491686"/>
    <w:rsid w:val="00492874"/>
    <w:rsid w:val="0049309D"/>
    <w:rsid w:val="00493D72"/>
    <w:rsid w:val="00494A61"/>
    <w:rsid w:val="00495A80"/>
    <w:rsid w:val="00496175"/>
    <w:rsid w:val="004A0F17"/>
    <w:rsid w:val="004A38EB"/>
    <w:rsid w:val="004A4722"/>
    <w:rsid w:val="004A6040"/>
    <w:rsid w:val="004A620F"/>
    <w:rsid w:val="004B221A"/>
    <w:rsid w:val="004B2C96"/>
    <w:rsid w:val="004B2DB1"/>
    <w:rsid w:val="004C16FF"/>
    <w:rsid w:val="004C1E8D"/>
    <w:rsid w:val="004C48CC"/>
    <w:rsid w:val="004C5D3A"/>
    <w:rsid w:val="004C74D2"/>
    <w:rsid w:val="004D02F2"/>
    <w:rsid w:val="004D4343"/>
    <w:rsid w:val="004D516A"/>
    <w:rsid w:val="004E2572"/>
    <w:rsid w:val="004E5D29"/>
    <w:rsid w:val="004E7936"/>
    <w:rsid w:val="004F02EF"/>
    <w:rsid w:val="004F362B"/>
    <w:rsid w:val="004F5508"/>
    <w:rsid w:val="004F551C"/>
    <w:rsid w:val="004F6FE0"/>
    <w:rsid w:val="004F700D"/>
    <w:rsid w:val="00500091"/>
    <w:rsid w:val="005022CC"/>
    <w:rsid w:val="00510160"/>
    <w:rsid w:val="005108FD"/>
    <w:rsid w:val="005117D6"/>
    <w:rsid w:val="005150B5"/>
    <w:rsid w:val="00515495"/>
    <w:rsid w:val="00516167"/>
    <w:rsid w:val="00516CD8"/>
    <w:rsid w:val="005175CC"/>
    <w:rsid w:val="005236B6"/>
    <w:rsid w:val="00525D68"/>
    <w:rsid w:val="005269FF"/>
    <w:rsid w:val="00527524"/>
    <w:rsid w:val="00527876"/>
    <w:rsid w:val="00530654"/>
    <w:rsid w:val="00530F71"/>
    <w:rsid w:val="00531B55"/>
    <w:rsid w:val="005321C4"/>
    <w:rsid w:val="005324E9"/>
    <w:rsid w:val="00532C4C"/>
    <w:rsid w:val="00533059"/>
    <w:rsid w:val="00540990"/>
    <w:rsid w:val="00540B71"/>
    <w:rsid w:val="00541971"/>
    <w:rsid w:val="00544775"/>
    <w:rsid w:val="00545ED6"/>
    <w:rsid w:val="005536A1"/>
    <w:rsid w:val="00555CCB"/>
    <w:rsid w:val="00556DEC"/>
    <w:rsid w:val="00556DF7"/>
    <w:rsid w:val="00560922"/>
    <w:rsid w:val="00560B9F"/>
    <w:rsid w:val="00561461"/>
    <w:rsid w:val="00561FEA"/>
    <w:rsid w:val="00566296"/>
    <w:rsid w:val="005676C1"/>
    <w:rsid w:val="005705A5"/>
    <w:rsid w:val="00571D9E"/>
    <w:rsid w:val="00572140"/>
    <w:rsid w:val="0057330A"/>
    <w:rsid w:val="00580BAE"/>
    <w:rsid w:val="005810F9"/>
    <w:rsid w:val="00581E8E"/>
    <w:rsid w:val="00582570"/>
    <w:rsid w:val="0058473E"/>
    <w:rsid w:val="00584BC7"/>
    <w:rsid w:val="00586E14"/>
    <w:rsid w:val="00593464"/>
    <w:rsid w:val="00593A3C"/>
    <w:rsid w:val="005957BD"/>
    <w:rsid w:val="005962B4"/>
    <w:rsid w:val="00596679"/>
    <w:rsid w:val="005A2E15"/>
    <w:rsid w:val="005A4C37"/>
    <w:rsid w:val="005B0229"/>
    <w:rsid w:val="005B1FF5"/>
    <w:rsid w:val="005B20EC"/>
    <w:rsid w:val="005B3228"/>
    <w:rsid w:val="005B3B34"/>
    <w:rsid w:val="005B5BA4"/>
    <w:rsid w:val="005B6395"/>
    <w:rsid w:val="005C1A2E"/>
    <w:rsid w:val="005C44F5"/>
    <w:rsid w:val="005C58DC"/>
    <w:rsid w:val="005C62D0"/>
    <w:rsid w:val="005D0804"/>
    <w:rsid w:val="005D3F4C"/>
    <w:rsid w:val="005D447E"/>
    <w:rsid w:val="005D66E7"/>
    <w:rsid w:val="005D792C"/>
    <w:rsid w:val="005E1042"/>
    <w:rsid w:val="005F08CE"/>
    <w:rsid w:val="005F1307"/>
    <w:rsid w:val="005F31AA"/>
    <w:rsid w:val="005F338F"/>
    <w:rsid w:val="005F4387"/>
    <w:rsid w:val="005F5410"/>
    <w:rsid w:val="006010FC"/>
    <w:rsid w:val="00604139"/>
    <w:rsid w:val="0060590B"/>
    <w:rsid w:val="00607AA0"/>
    <w:rsid w:val="00612AA0"/>
    <w:rsid w:val="00613288"/>
    <w:rsid w:val="00614114"/>
    <w:rsid w:val="006155BF"/>
    <w:rsid w:val="0061637B"/>
    <w:rsid w:val="00617F36"/>
    <w:rsid w:val="00617F77"/>
    <w:rsid w:val="0062025B"/>
    <w:rsid w:val="006216B7"/>
    <w:rsid w:val="00621DDC"/>
    <w:rsid w:val="006236BD"/>
    <w:rsid w:val="00624913"/>
    <w:rsid w:val="0062701F"/>
    <w:rsid w:val="00634212"/>
    <w:rsid w:val="00637A97"/>
    <w:rsid w:val="00637E25"/>
    <w:rsid w:val="00640B1F"/>
    <w:rsid w:val="00642719"/>
    <w:rsid w:val="00642763"/>
    <w:rsid w:val="00645165"/>
    <w:rsid w:val="006456FF"/>
    <w:rsid w:val="00646205"/>
    <w:rsid w:val="00646C76"/>
    <w:rsid w:val="00647BBB"/>
    <w:rsid w:val="00650A30"/>
    <w:rsid w:val="006512AA"/>
    <w:rsid w:val="00651340"/>
    <w:rsid w:val="00653055"/>
    <w:rsid w:val="00653A57"/>
    <w:rsid w:val="006541C1"/>
    <w:rsid w:val="00654C5B"/>
    <w:rsid w:val="00655A07"/>
    <w:rsid w:val="0065715D"/>
    <w:rsid w:val="00657990"/>
    <w:rsid w:val="00661EF0"/>
    <w:rsid w:val="00665F0B"/>
    <w:rsid w:val="00666832"/>
    <w:rsid w:val="00666BB6"/>
    <w:rsid w:val="0066721E"/>
    <w:rsid w:val="006701FD"/>
    <w:rsid w:val="00670E8A"/>
    <w:rsid w:val="0067511B"/>
    <w:rsid w:val="006751FE"/>
    <w:rsid w:val="00677033"/>
    <w:rsid w:val="00677594"/>
    <w:rsid w:val="00680F50"/>
    <w:rsid w:val="006843AB"/>
    <w:rsid w:val="00684620"/>
    <w:rsid w:val="0068505A"/>
    <w:rsid w:val="00685D20"/>
    <w:rsid w:val="006953CF"/>
    <w:rsid w:val="0069673B"/>
    <w:rsid w:val="006A4FAE"/>
    <w:rsid w:val="006A5666"/>
    <w:rsid w:val="006A6177"/>
    <w:rsid w:val="006A6861"/>
    <w:rsid w:val="006B0924"/>
    <w:rsid w:val="006B3F86"/>
    <w:rsid w:val="006B6F7A"/>
    <w:rsid w:val="006B708C"/>
    <w:rsid w:val="006C04AA"/>
    <w:rsid w:val="006C168C"/>
    <w:rsid w:val="006C2AEA"/>
    <w:rsid w:val="006C5722"/>
    <w:rsid w:val="006C5E08"/>
    <w:rsid w:val="006D0E83"/>
    <w:rsid w:val="006D1510"/>
    <w:rsid w:val="006D435C"/>
    <w:rsid w:val="006E1A39"/>
    <w:rsid w:val="006E21DA"/>
    <w:rsid w:val="006E3CEE"/>
    <w:rsid w:val="006E41AA"/>
    <w:rsid w:val="006E439E"/>
    <w:rsid w:val="006E614B"/>
    <w:rsid w:val="006E6D9E"/>
    <w:rsid w:val="006F0E97"/>
    <w:rsid w:val="006F51CB"/>
    <w:rsid w:val="006F5703"/>
    <w:rsid w:val="0070515F"/>
    <w:rsid w:val="0070582C"/>
    <w:rsid w:val="00711AA9"/>
    <w:rsid w:val="0071235E"/>
    <w:rsid w:val="00721E74"/>
    <w:rsid w:val="00722717"/>
    <w:rsid w:val="0072287A"/>
    <w:rsid w:val="0072648C"/>
    <w:rsid w:val="007275B1"/>
    <w:rsid w:val="0073022C"/>
    <w:rsid w:val="00730D0A"/>
    <w:rsid w:val="0073470D"/>
    <w:rsid w:val="0073662B"/>
    <w:rsid w:val="00737A13"/>
    <w:rsid w:val="007447D4"/>
    <w:rsid w:val="007504E5"/>
    <w:rsid w:val="00751BCD"/>
    <w:rsid w:val="007528D6"/>
    <w:rsid w:val="00757408"/>
    <w:rsid w:val="00760EDA"/>
    <w:rsid w:val="00762428"/>
    <w:rsid w:val="00762DCD"/>
    <w:rsid w:val="00770843"/>
    <w:rsid w:val="00770EE9"/>
    <w:rsid w:val="007711F0"/>
    <w:rsid w:val="007715C4"/>
    <w:rsid w:val="00771877"/>
    <w:rsid w:val="00772C6B"/>
    <w:rsid w:val="00775467"/>
    <w:rsid w:val="007803A3"/>
    <w:rsid w:val="00784DD3"/>
    <w:rsid w:val="00786534"/>
    <w:rsid w:val="0079480E"/>
    <w:rsid w:val="00797947"/>
    <w:rsid w:val="007A48E6"/>
    <w:rsid w:val="007A7079"/>
    <w:rsid w:val="007B470D"/>
    <w:rsid w:val="007B5EF9"/>
    <w:rsid w:val="007B720C"/>
    <w:rsid w:val="007B7606"/>
    <w:rsid w:val="007B76FF"/>
    <w:rsid w:val="007B7F82"/>
    <w:rsid w:val="007C1DA5"/>
    <w:rsid w:val="007C4483"/>
    <w:rsid w:val="007C4CD9"/>
    <w:rsid w:val="007D006A"/>
    <w:rsid w:val="007D00B9"/>
    <w:rsid w:val="007D0685"/>
    <w:rsid w:val="007D08DE"/>
    <w:rsid w:val="007D29E8"/>
    <w:rsid w:val="007D315D"/>
    <w:rsid w:val="007D4972"/>
    <w:rsid w:val="007D5C38"/>
    <w:rsid w:val="007D632C"/>
    <w:rsid w:val="007D6A70"/>
    <w:rsid w:val="007D7825"/>
    <w:rsid w:val="007E0119"/>
    <w:rsid w:val="007E1BC7"/>
    <w:rsid w:val="007E2AA2"/>
    <w:rsid w:val="007E3FC3"/>
    <w:rsid w:val="007E5970"/>
    <w:rsid w:val="007F0967"/>
    <w:rsid w:val="007F14EA"/>
    <w:rsid w:val="007F2B99"/>
    <w:rsid w:val="007F3A9E"/>
    <w:rsid w:val="007F408C"/>
    <w:rsid w:val="007F4093"/>
    <w:rsid w:val="007F7AF6"/>
    <w:rsid w:val="007F7CDC"/>
    <w:rsid w:val="0080266D"/>
    <w:rsid w:val="00803B94"/>
    <w:rsid w:val="008051DD"/>
    <w:rsid w:val="00805509"/>
    <w:rsid w:val="00807110"/>
    <w:rsid w:val="008124C4"/>
    <w:rsid w:val="008130CA"/>
    <w:rsid w:val="008145E6"/>
    <w:rsid w:val="00815A16"/>
    <w:rsid w:val="00817CAF"/>
    <w:rsid w:val="00820347"/>
    <w:rsid w:val="00820A59"/>
    <w:rsid w:val="00822298"/>
    <w:rsid w:val="00824393"/>
    <w:rsid w:val="008254C7"/>
    <w:rsid w:val="008257C1"/>
    <w:rsid w:val="00831A6A"/>
    <w:rsid w:val="00831EE0"/>
    <w:rsid w:val="00832063"/>
    <w:rsid w:val="00832BD4"/>
    <w:rsid w:val="00833AA9"/>
    <w:rsid w:val="00833F3E"/>
    <w:rsid w:val="008344F0"/>
    <w:rsid w:val="00836B83"/>
    <w:rsid w:val="00837B84"/>
    <w:rsid w:val="00837E50"/>
    <w:rsid w:val="0084108D"/>
    <w:rsid w:val="00843609"/>
    <w:rsid w:val="008447E1"/>
    <w:rsid w:val="00847F9F"/>
    <w:rsid w:val="0085025B"/>
    <w:rsid w:val="00850EA8"/>
    <w:rsid w:val="008513ED"/>
    <w:rsid w:val="00866BB5"/>
    <w:rsid w:val="0087193F"/>
    <w:rsid w:val="008729A6"/>
    <w:rsid w:val="00874C62"/>
    <w:rsid w:val="00875489"/>
    <w:rsid w:val="00877478"/>
    <w:rsid w:val="00884991"/>
    <w:rsid w:val="0089411A"/>
    <w:rsid w:val="0089615F"/>
    <w:rsid w:val="008A0073"/>
    <w:rsid w:val="008A1C61"/>
    <w:rsid w:val="008A2A37"/>
    <w:rsid w:val="008A2F4C"/>
    <w:rsid w:val="008A765B"/>
    <w:rsid w:val="008B1FE8"/>
    <w:rsid w:val="008B333D"/>
    <w:rsid w:val="008B3B48"/>
    <w:rsid w:val="008B5AA3"/>
    <w:rsid w:val="008B7997"/>
    <w:rsid w:val="008C1D8C"/>
    <w:rsid w:val="008C253E"/>
    <w:rsid w:val="008D1B07"/>
    <w:rsid w:val="008D577B"/>
    <w:rsid w:val="008D67D3"/>
    <w:rsid w:val="008D6A66"/>
    <w:rsid w:val="008D6D76"/>
    <w:rsid w:val="008E07DE"/>
    <w:rsid w:val="008E212E"/>
    <w:rsid w:val="008E350C"/>
    <w:rsid w:val="008E5B92"/>
    <w:rsid w:val="008E5F30"/>
    <w:rsid w:val="008E68EC"/>
    <w:rsid w:val="008E6980"/>
    <w:rsid w:val="008E6F28"/>
    <w:rsid w:val="008E7870"/>
    <w:rsid w:val="008F2267"/>
    <w:rsid w:val="008F410C"/>
    <w:rsid w:val="008F5078"/>
    <w:rsid w:val="008F5C4B"/>
    <w:rsid w:val="00901B02"/>
    <w:rsid w:val="00901B3D"/>
    <w:rsid w:val="009035F8"/>
    <w:rsid w:val="00903822"/>
    <w:rsid w:val="009055C9"/>
    <w:rsid w:val="00905AA2"/>
    <w:rsid w:val="00905B51"/>
    <w:rsid w:val="009068CF"/>
    <w:rsid w:val="00915220"/>
    <w:rsid w:val="009153F7"/>
    <w:rsid w:val="009213EE"/>
    <w:rsid w:val="009216D3"/>
    <w:rsid w:val="009219B6"/>
    <w:rsid w:val="009238A0"/>
    <w:rsid w:val="00925EC6"/>
    <w:rsid w:val="00925F1B"/>
    <w:rsid w:val="00931E05"/>
    <w:rsid w:val="0093262F"/>
    <w:rsid w:val="009357C6"/>
    <w:rsid w:val="009370A7"/>
    <w:rsid w:val="00941682"/>
    <w:rsid w:val="009429B7"/>
    <w:rsid w:val="00946210"/>
    <w:rsid w:val="009473CB"/>
    <w:rsid w:val="009514C3"/>
    <w:rsid w:val="0095647B"/>
    <w:rsid w:val="00957B20"/>
    <w:rsid w:val="00962957"/>
    <w:rsid w:val="00962BDF"/>
    <w:rsid w:val="00963C91"/>
    <w:rsid w:val="00963ECF"/>
    <w:rsid w:val="00965B5C"/>
    <w:rsid w:val="009669E1"/>
    <w:rsid w:val="00966FBB"/>
    <w:rsid w:val="00967457"/>
    <w:rsid w:val="00970159"/>
    <w:rsid w:val="0097515A"/>
    <w:rsid w:val="00977FE8"/>
    <w:rsid w:val="00984C4F"/>
    <w:rsid w:val="00984CA9"/>
    <w:rsid w:val="0098546F"/>
    <w:rsid w:val="00991B18"/>
    <w:rsid w:val="00994384"/>
    <w:rsid w:val="0099465F"/>
    <w:rsid w:val="009948A0"/>
    <w:rsid w:val="00994C5A"/>
    <w:rsid w:val="0099741A"/>
    <w:rsid w:val="009A3002"/>
    <w:rsid w:val="009A54F9"/>
    <w:rsid w:val="009A5758"/>
    <w:rsid w:val="009A7CA8"/>
    <w:rsid w:val="009B3274"/>
    <w:rsid w:val="009B372B"/>
    <w:rsid w:val="009B39BA"/>
    <w:rsid w:val="009B3EC2"/>
    <w:rsid w:val="009C0925"/>
    <w:rsid w:val="009C1130"/>
    <w:rsid w:val="009C3032"/>
    <w:rsid w:val="009C3C8B"/>
    <w:rsid w:val="009C5A33"/>
    <w:rsid w:val="009C775C"/>
    <w:rsid w:val="009D0C8A"/>
    <w:rsid w:val="009D69B5"/>
    <w:rsid w:val="009E0A0D"/>
    <w:rsid w:val="009E0D53"/>
    <w:rsid w:val="009E3649"/>
    <w:rsid w:val="009E64DF"/>
    <w:rsid w:val="009F52EC"/>
    <w:rsid w:val="009F5B51"/>
    <w:rsid w:val="009F5D08"/>
    <w:rsid w:val="009F5E9B"/>
    <w:rsid w:val="009F7E9F"/>
    <w:rsid w:val="00A01245"/>
    <w:rsid w:val="00A01CCD"/>
    <w:rsid w:val="00A02978"/>
    <w:rsid w:val="00A0306E"/>
    <w:rsid w:val="00A0692C"/>
    <w:rsid w:val="00A07C45"/>
    <w:rsid w:val="00A1253B"/>
    <w:rsid w:val="00A13CFF"/>
    <w:rsid w:val="00A155CD"/>
    <w:rsid w:val="00A15B71"/>
    <w:rsid w:val="00A16B49"/>
    <w:rsid w:val="00A20371"/>
    <w:rsid w:val="00A23247"/>
    <w:rsid w:val="00A232F6"/>
    <w:rsid w:val="00A24736"/>
    <w:rsid w:val="00A24EAF"/>
    <w:rsid w:val="00A3022C"/>
    <w:rsid w:val="00A32DE7"/>
    <w:rsid w:val="00A32F7F"/>
    <w:rsid w:val="00A34E8F"/>
    <w:rsid w:val="00A42C11"/>
    <w:rsid w:val="00A42F34"/>
    <w:rsid w:val="00A44D61"/>
    <w:rsid w:val="00A4549A"/>
    <w:rsid w:val="00A47543"/>
    <w:rsid w:val="00A50C22"/>
    <w:rsid w:val="00A52AC2"/>
    <w:rsid w:val="00A63ABE"/>
    <w:rsid w:val="00A6495D"/>
    <w:rsid w:val="00A675D8"/>
    <w:rsid w:val="00A7052F"/>
    <w:rsid w:val="00A71ADA"/>
    <w:rsid w:val="00A72334"/>
    <w:rsid w:val="00A7261B"/>
    <w:rsid w:val="00A75D7F"/>
    <w:rsid w:val="00A75EF8"/>
    <w:rsid w:val="00A8352A"/>
    <w:rsid w:val="00A84736"/>
    <w:rsid w:val="00A85A64"/>
    <w:rsid w:val="00A85F9E"/>
    <w:rsid w:val="00A8646E"/>
    <w:rsid w:val="00A91417"/>
    <w:rsid w:val="00A91FD2"/>
    <w:rsid w:val="00A9262B"/>
    <w:rsid w:val="00A9395C"/>
    <w:rsid w:val="00A95E3D"/>
    <w:rsid w:val="00A96961"/>
    <w:rsid w:val="00AA35E2"/>
    <w:rsid w:val="00AA4A79"/>
    <w:rsid w:val="00AA4B8F"/>
    <w:rsid w:val="00AA4E78"/>
    <w:rsid w:val="00AA52FF"/>
    <w:rsid w:val="00AA7BA7"/>
    <w:rsid w:val="00AB2163"/>
    <w:rsid w:val="00AB2F5A"/>
    <w:rsid w:val="00AB503F"/>
    <w:rsid w:val="00AB5408"/>
    <w:rsid w:val="00AB544C"/>
    <w:rsid w:val="00AB6923"/>
    <w:rsid w:val="00AC2F22"/>
    <w:rsid w:val="00AC40BA"/>
    <w:rsid w:val="00AC4E47"/>
    <w:rsid w:val="00AC5FC4"/>
    <w:rsid w:val="00AD1F07"/>
    <w:rsid w:val="00AD4713"/>
    <w:rsid w:val="00AD7656"/>
    <w:rsid w:val="00AD7884"/>
    <w:rsid w:val="00AD7BFD"/>
    <w:rsid w:val="00AE0C9B"/>
    <w:rsid w:val="00AE143F"/>
    <w:rsid w:val="00AE3245"/>
    <w:rsid w:val="00AE36CD"/>
    <w:rsid w:val="00AE55E1"/>
    <w:rsid w:val="00AE6A99"/>
    <w:rsid w:val="00AE74B4"/>
    <w:rsid w:val="00AF1505"/>
    <w:rsid w:val="00AF1560"/>
    <w:rsid w:val="00AF3016"/>
    <w:rsid w:val="00AF3830"/>
    <w:rsid w:val="00AF40CE"/>
    <w:rsid w:val="00AF4131"/>
    <w:rsid w:val="00AF6E46"/>
    <w:rsid w:val="00B0261C"/>
    <w:rsid w:val="00B05FA0"/>
    <w:rsid w:val="00B062FB"/>
    <w:rsid w:val="00B07A7D"/>
    <w:rsid w:val="00B11F1D"/>
    <w:rsid w:val="00B138D4"/>
    <w:rsid w:val="00B17287"/>
    <w:rsid w:val="00B177C4"/>
    <w:rsid w:val="00B204E7"/>
    <w:rsid w:val="00B2096E"/>
    <w:rsid w:val="00B23B6D"/>
    <w:rsid w:val="00B2441A"/>
    <w:rsid w:val="00B27D63"/>
    <w:rsid w:val="00B34AEE"/>
    <w:rsid w:val="00B36D6A"/>
    <w:rsid w:val="00B37D51"/>
    <w:rsid w:val="00B40CF9"/>
    <w:rsid w:val="00B42475"/>
    <w:rsid w:val="00B42D4C"/>
    <w:rsid w:val="00B4497F"/>
    <w:rsid w:val="00B44A5B"/>
    <w:rsid w:val="00B50B4A"/>
    <w:rsid w:val="00B54B37"/>
    <w:rsid w:val="00B55492"/>
    <w:rsid w:val="00B55BC9"/>
    <w:rsid w:val="00B56A24"/>
    <w:rsid w:val="00B64FB3"/>
    <w:rsid w:val="00B653B1"/>
    <w:rsid w:val="00B71BA8"/>
    <w:rsid w:val="00B72506"/>
    <w:rsid w:val="00B73641"/>
    <w:rsid w:val="00B73E41"/>
    <w:rsid w:val="00B765D6"/>
    <w:rsid w:val="00B768DA"/>
    <w:rsid w:val="00B8030A"/>
    <w:rsid w:val="00B80448"/>
    <w:rsid w:val="00B83856"/>
    <w:rsid w:val="00B854B4"/>
    <w:rsid w:val="00B856CD"/>
    <w:rsid w:val="00B85EB2"/>
    <w:rsid w:val="00B92CC3"/>
    <w:rsid w:val="00B93B28"/>
    <w:rsid w:val="00B9789E"/>
    <w:rsid w:val="00BA07F6"/>
    <w:rsid w:val="00BA1E86"/>
    <w:rsid w:val="00BA2BA6"/>
    <w:rsid w:val="00BA3D74"/>
    <w:rsid w:val="00BB1439"/>
    <w:rsid w:val="00BB50D5"/>
    <w:rsid w:val="00BB69C9"/>
    <w:rsid w:val="00BC0335"/>
    <w:rsid w:val="00BC0E93"/>
    <w:rsid w:val="00BC16C4"/>
    <w:rsid w:val="00BC4945"/>
    <w:rsid w:val="00BC59F2"/>
    <w:rsid w:val="00BC5EE1"/>
    <w:rsid w:val="00BD018A"/>
    <w:rsid w:val="00BD2299"/>
    <w:rsid w:val="00BD2BF1"/>
    <w:rsid w:val="00BD4B33"/>
    <w:rsid w:val="00BE03AE"/>
    <w:rsid w:val="00BE0A60"/>
    <w:rsid w:val="00BE113B"/>
    <w:rsid w:val="00BE3B0C"/>
    <w:rsid w:val="00BE4166"/>
    <w:rsid w:val="00BE4FC7"/>
    <w:rsid w:val="00BE55EA"/>
    <w:rsid w:val="00BE68C7"/>
    <w:rsid w:val="00BE6E41"/>
    <w:rsid w:val="00BE7CB0"/>
    <w:rsid w:val="00BF1056"/>
    <w:rsid w:val="00BF4946"/>
    <w:rsid w:val="00BF5C15"/>
    <w:rsid w:val="00BF65C5"/>
    <w:rsid w:val="00C01144"/>
    <w:rsid w:val="00C04593"/>
    <w:rsid w:val="00C055D1"/>
    <w:rsid w:val="00C071A1"/>
    <w:rsid w:val="00C127D3"/>
    <w:rsid w:val="00C161EC"/>
    <w:rsid w:val="00C16D07"/>
    <w:rsid w:val="00C2010E"/>
    <w:rsid w:val="00C20CFF"/>
    <w:rsid w:val="00C218A6"/>
    <w:rsid w:val="00C24F3F"/>
    <w:rsid w:val="00C33AC1"/>
    <w:rsid w:val="00C3415F"/>
    <w:rsid w:val="00C3424F"/>
    <w:rsid w:val="00C3472F"/>
    <w:rsid w:val="00C34C89"/>
    <w:rsid w:val="00C355CA"/>
    <w:rsid w:val="00C44206"/>
    <w:rsid w:val="00C44659"/>
    <w:rsid w:val="00C45362"/>
    <w:rsid w:val="00C45569"/>
    <w:rsid w:val="00C52C71"/>
    <w:rsid w:val="00C54998"/>
    <w:rsid w:val="00C55716"/>
    <w:rsid w:val="00C57541"/>
    <w:rsid w:val="00C57C71"/>
    <w:rsid w:val="00C57FAE"/>
    <w:rsid w:val="00C6437B"/>
    <w:rsid w:val="00C6766B"/>
    <w:rsid w:val="00C70768"/>
    <w:rsid w:val="00C71CA7"/>
    <w:rsid w:val="00C72DDD"/>
    <w:rsid w:val="00C74BA1"/>
    <w:rsid w:val="00C751CB"/>
    <w:rsid w:val="00C80B29"/>
    <w:rsid w:val="00C8356E"/>
    <w:rsid w:val="00C84E30"/>
    <w:rsid w:val="00C86F0B"/>
    <w:rsid w:val="00C901E2"/>
    <w:rsid w:val="00C90ABC"/>
    <w:rsid w:val="00C92131"/>
    <w:rsid w:val="00C96AEE"/>
    <w:rsid w:val="00C9792E"/>
    <w:rsid w:val="00CA1249"/>
    <w:rsid w:val="00CA49D7"/>
    <w:rsid w:val="00CA4C67"/>
    <w:rsid w:val="00CA7AD5"/>
    <w:rsid w:val="00CB0BDB"/>
    <w:rsid w:val="00CB75CF"/>
    <w:rsid w:val="00CC570B"/>
    <w:rsid w:val="00CC5EED"/>
    <w:rsid w:val="00CC7EAF"/>
    <w:rsid w:val="00CD0542"/>
    <w:rsid w:val="00CD098A"/>
    <w:rsid w:val="00CD4BCB"/>
    <w:rsid w:val="00CD6F8E"/>
    <w:rsid w:val="00CE10B6"/>
    <w:rsid w:val="00CE1B1C"/>
    <w:rsid w:val="00CE402A"/>
    <w:rsid w:val="00CE5CEE"/>
    <w:rsid w:val="00CF09BC"/>
    <w:rsid w:val="00CF499A"/>
    <w:rsid w:val="00CF6F72"/>
    <w:rsid w:val="00D0205A"/>
    <w:rsid w:val="00D02C10"/>
    <w:rsid w:val="00D04786"/>
    <w:rsid w:val="00D04B6A"/>
    <w:rsid w:val="00D079A2"/>
    <w:rsid w:val="00D1053A"/>
    <w:rsid w:val="00D143A6"/>
    <w:rsid w:val="00D17DBD"/>
    <w:rsid w:val="00D200B1"/>
    <w:rsid w:val="00D21173"/>
    <w:rsid w:val="00D221DC"/>
    <w:rsid w:val="00D233EF"/>
    <w:rsid w:val="00D26ECD"/>
    <w:rsid w:val="00D27B11"/>
    <w:rsid w:val="00D31E21"/>
    <w:rsid w:val="00D34D14"/>
    <w:rsid w:val="00D40A09"/>
    <w:rsid w:val="00D41ABC"/>
    <w:rsid w:val="00D43001"/>
    <w:rsid w:val="00D478C8"/>
    <w:rsid w:val="00D47CF5"/>
    <w:rsid w:val="00D5023F"/>
    <w:rsid w:val="00D51B19"/>
    <w:rsid w:val="00D52CC4"/>
    <w:rsid w:val="00D546F1"/>
    <w:rsid w:val="00D56DCB"/>
    <w:rsid w:val="00D572C0"/>
    <w:rsid w:val="00D600DA"/>
    <w:rsid w:val="00D6082B"/>
    <w:rsid w:val="00D61687"/>
    <w:rsid w:val="00D62888"/>
    <w:rsid w:val="00D6323E"/>
    <w:rsid w:val="00D642FE"/>
    <w:rsid w:val="00D64775"/>
    <w:rsid w:val="00D65F06"/>
    <w:rsid w:val="00D67F5B"/>
    <w:rsid w:val="00D707A7"/>
    <w:rsid w:val="00D70EF1"/>
    <w:rsid w:val="00D71FCA"/>
    <w:rsid w:val="00D72981"/>
    <w:rsid w:val="00D73303"/>
    <w:rsid w:val="00D734F8"/>
    <w:rsid w:val="00D746B6"/>
    <w:rsid w:val="00D75763"/>
    <w:rsid w:val="00D81182"/>
    <w:rsid w:val="00D81A5B"/>
    <w:rsid w:val="00D81E2E"/>
    <w:rsid w:val="00D85E14"/>
    <w:rsid w:val="00D8717C"/>
    <w:rsid w:val="00D874DC"/>
    <w:rsid w:val="00D904C4"/>
    <w:rsid w:val="00D910DC"/>
    <w:rsid w:val="00D9450C"/>
    <w:rsid w:val="00D968E8"/>
    <w:rsid w:val="00D979DB"/>
    <w:rsid w:val="00DA4899"/>
    <w:rsid w:val="00DA4C8D"/>
    <w:rsid w:val="00DB0B99"/>
    <w:rsid w:val="00DB0C37"/>
    <w:rsid w:val="00DB1FD5"/>
    <w:rsid w:val="00DB24DF"/>
    <w:rsid w:val="00DB6901"/>
    <w:rsid w:val="00DB7639"/>
    <w:rsid w:val="00DC09E9"/>
    <w:rsid w:val="00DC1A35"/>
    <w:rsid w:val="00DC3063"/>
    <w:rsid w:val="00DC4828"/>
    <w:rsid w:val="00DC6319"/>
    <w:rsid w:val="00DC72B4"/>
    <w:rsid w:val="00DD6FC7"/>
    <w:rsid w:val="00DE27F0"/>
    <w:rsid w:val="00DE2AF5"/>
    <w:rsid w:val="00DE3070"/>
    <w:rsid w:val="00DE6321"/>
    <w:rsid w:val="00DE6A2A"/>
    <w:rsid w:val="00DE7C2F"/>
    <w:rsid w:val="00DF0C2F"/>
    <w:rsid w:val="00DF2596"/>
    <w:rsid w:val="00DF4B39"/>
    <w:rsid w:val="00DF551E"/>
    <w:rsid w:val="00DF58DF"/>
    <w:rsid w:val="00DF6659"/>
    <w:rsid w:val="00DF7526"/>
    <w:rsid w:val="00E01813"/>
    <w:rsid w:val="00E02F2D"/>
    <w:rsid w:val="00E07028"/>
    <w:rsid w:val="00E07F2C"/>
    <w:rsid w:val="00E11FE4"/>
    <w:rsid w:val="00E14DE0"/>
    <w:rsid w:val="00E1627B"/>
    <w:rsid w:val="00E16731"/>
    <w:rsid w:val="00E17344"/>
    <w:rsid w:val="00E20CA4"/>
    <w:rsid w:val="00E2506A"/>
    <w:rsid w:val="00E26484"/>
    <w:rsid w:val="00E2702F"/>
    <w:rsid w:val="00E27421"/>
    <w:rsid w:val="00E3235C"/>
    <w:rsid w:val="00E342F7"/>
    <w:rsid w:val="00E34A9C"/>
    <w:rsid w:val="00E41B2F"/>
    <w:rsid w:val="00E46991"/>
    <w:rsid w:val="00E47D1C"/>
    <w:rsid w:val="00E56DF3"/>
    <w:rsid w:val="00E613FB"/>
    <w:rsid w:val="00E61F85"/>
    <w:rsid w:val="00E621BF"/>
    <w:rsid w:val="00E66E1D"/>
    <w:rsid w:val="00E74A80"/>
    <w:rsid w:val="00E75DCC"/>
    <w:rsid w:val="00E75DEE"/>
    <w:rsid w:val="00E87A9C"/>
    <w:rsid w:val="00E92130"/>
    <w:rsid w:val="00E95F3C"/>
    <w:rsid w:val="00EA0A9E"/>
    <w:rsid w:val="00EA1707"/>
    <w:rsid w:val="00EA2F7B"/>
    <w:rsid w:val="00EA2FA4"/>
    <w:rsid w:val="00EA3B7C"/>
    <w:rsid w:val="00EA6137"/>
    <w:rsid w:val="00EA67DF"/>
    <w:rsid w:val="00EA776E"/>
    <w:rsid w:val="00EB03E4"/>
    <w:rsid w:val="00EB1FF0"/>
    <w:rsid w:val="00EB2057"/>
    <w:rsid w:val="00EB3CAD"/>
    <w:rsid w:val="00EB4F97"/>
    <w:rsid w:val="00EB5E56"/>
    <w:rsid w:val="00EB7271"/>
    <w:rsid w:val="00EB77FB"/>
    <w:rsid w:val="00EB7AE1"/>
    <w:rsid w:val="00EC024C"/>
    <w:rsid w:val="00EC0439"/>
    <w:rsid w:val="00EC11D5"/>
    <w:rsid w:val="00EC4C43"/>
    <w:rsid w:val="00ED0153"/>
    <w:rsid w:val="00ED11B4"/>
    <w:rsid w:val="00ED2C1B"/>
    <w:rsid w:val="00ED2CB2"/>
    <w:rsid w:val="00ED54A3"/>
    <w:rsid w:val="00ED5900"/>
    <w:rsid w:val="00EE0471"/>
    <w:rsid w:val="00EE168C"/>
    <w:rsid w:val="00EE49A4"/>
    <w:rsid w:val="00EE5514"/>
    <w:rsid w:val="00EE6C9C"/>
    <w:rsid w:val="00EF0A8C"/>
    <w:rsid w:val="00EF17CB"/>
    <w:rsid w:val="00EF1B88"/>
    <w:rsid w:val="00EF54E4"/>
    <w:rsid w:val="00F02BE4"/>
    <w:rsid w:val="00F0303A"/>
    <w:rsid w:val="00F03B21"/>
    <w:rsid w:val="00F04882"/>
    <w:rsid w:val="00F04E69"/>
    <w:rsid w:val="00F07242"/>
    <w:rsid w:val="00F07E08"/>
    <w:rsid w:val="00F07E5A"/>
    <w:rsid w:val="00F1013B"/>
    <w:rsid w:val="00F11272"/>
    <w:rsid w:val="00F12DCF"/>
    <w:rsid w:val="00F14637"/>
    <w:rsid w:val="00F149F2"/>
    <w:rsid w:val="00F14A82"/>
    <w:rsid w:val="00F14BD8"/>
    <w:rsid w:val="00F14FD4"/>
    <w:rsid w:val="00F166F8"/>
    <w:rsid w:val="00F17FC4"/>
    <w:rsid w:val="00F20B6D"/>
    <w:rsid w:val="00F20E8C"/>
    <w:rsid w:val="00F23251"/>
    <w:rsid w:val="00F30983"/>
    <w:rsid w:val="00F30DD8"/>
    <w:rsid w:val="00F31A23"/>
    <w:rsid w:val="00F33804"/>
    <w:rsid w:val="00F3432F"/>
    <w:rsid w:val="00F357B2"/>
    <w:rsid w:val="00F36463"/>
    <w:rsid w:val="00F37B6C"/>
    <w:rsid w:val="00F416AE"/>
    <w:rsid w:val="00F417EF"/>
    <w:rsid w:val="00F432AD"/>
    <w:rsid w:val="00F44B4B"/>
    <w:rsid w:val="00F50509"/>
    <w:rsid w:val="00F51CFF"/>
    <w:rsid w:val="00F52BDA"/>
    <w:rsid w:val="00F5465D"/>
    <w:rsid w:val="00F56D3B"/>
    <w:rsid w:val="00F61006"/>
    <w:rsid w:val="00F628EC"/>
    <w:rsid w:val="00F65405"/>
    <w:rsid w:val="00F65F01"/>
    <w:rsid w:val="00F66B81"/>
    <w:rsid w:val="00F67283"/>
    <w:rsid w:val="00F70DBD"/>
    <w:rsid w:val="00F71164"/>
    <w:rsid w:val="00F7126E"/>
    <w:rsid w:val="00F722B9"/>
    <w:rsid w:val="00F722BB"/>
    <w:rsid w:val="00F72FC8"/>
    <w:rsid w:val="00F732F9"/>
    <w:rsid w:val="00F73394"/>
    <w:rsid w:val="00F73CD6"/>
    <w:rsid w:val="00F7616C"/>
    <w:rsid w:val="00F76513"/>
    <w:rsid w:val="00F7716E"/>
    <w:rsid w:val="00F77E8E"/>
    <w:rsid w:val="00F81B79"/>
    <w:rsid w:val="00F85C33"/>
    <w:rsid w:val="00F9103B"/>
    <w:rsid w:val="00F914E9"/>
    <w:rsid w:val="00F91991"/>
    <w:rsid w:val="00F9303E"/>
    <w:rsid w:val="00F9340C"/>
    <w:rsid w:val="00F93504"/>
    <w:rsid w:val="00F93C13"/>
    <w:rsid w:val="00F97477"/>
    <w:rsid w:val="00FA09B8"/>
    <w:rsid w:val="00FA22E6"/>
    <w:rsid w:val="00FA40BC"/>
    <w:rsid w:val="00FA4329"/>
    <w:rsid w:val="00FA4627"/>
    <w:rsid w:val="00FA53F1"/>
    <w:rsid w:val="00FA7E58"/>
    <w:rsid w:val="00FB1BE5"/>
    <w:rsid w:val="00FB44CF"/>
    <w:rsid w:val="00FB48A0"/>
    <w:rsid w:val="00FB48E7"/>
    <w:rsid w:val="00FB62CE"/>
    <w:rsid w:val="00FB732E"/>
    <w:rsid w:val="00FC26B6"/>
    <w:rsid w:val="00FC3188"/>
    <w:rsid w:val="00FC4265"/>
    <w:rsid w:val="00FC528D"/>
    <w:rsid w:val="00FC5E40"/>
    <w:rsid w:val="00FC638D"/>
    <w:rsid w:val="00FD154D"/>
    <w:rsid w:val="00FD5AD2"/>
    <w:rsid w:val="00FD5E90"/>
    <w:rsid w:val="00FD64CA"/>
    <w:rsid w:val="00FD76F5"/>
    <w:rsid w:val="00FE013C"/>
    <w:rsid w:val="00FE141F"/>
    <w:rsid w:val="00FE2248"/>
    <w:rsid w:val="00FE61B7"/>
    <w:rsid w:val="00FE7955"/>
    <w:rsid w:val="00FF0674"/>
    <w:rsid w:val="00FF0DBE"/>
    <w:rsid w:val="00FF26BE"/>
    <w:rsid w:val="00FF5DCC"/>
    <w:rsid w:val="00FF620A"/>
    <w:rsid w:val="00FF659B"/>
    <w:rsid w:val="00FF79A5"/>
    <w:rsid w:val="00FF7DB3"/>
    <w:rsid w:val="2F2ED697"/>
    <w:rsid w:val="5A4BC1A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3254BD"/>
  <w15:docId w15:val="{337563FD-9F88-4F92-B0CE-5881FB963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674"/>
    <w:pPr>
      <w:jc w:val="both"/>
    </w:pPr>
    <w:rPr>
      <w:rFonts w:ascii="Times New Roman" w:eastAsia="Times New Roman" w:hAnsi="Times New Roman"/>
      <w:color w:val="000000"/>
      <w:sz w:val="24"/>
      <w:lang w:eastAsia="de-DE"/>
    </w:rPr>
  </w:style>
  <w:style w:type="paragraph" w:styleId="Heading1">
    <w:name w:val="heading 1"/>
    <w:link w:val="Heading1Char"/>
    <w:uiPriority w:val="9"/>
    <w:qFormat/>
    <w:rsid w:val="00F17FC4"/>
    <w:pPr>
      <w:spacing w:before="360" w:after="200" w:line="312" w:lineRule="auto"/>
      <w:outlineLvl w:val="0"/>
    </w:pPr>
    <w:rPr>
      <w:rFonts w:ascii="Times New Roman" w:eastAsia="Times New Roman" w:hAnsi="Times New Roman"/>
      <w:b/>
      <w:bCs/>
      <w:color w:val="000000"/>
      <w:sz w:val="32"/>
      <w:szCs w:val="32"/>
      <w:lang w:val="en-CA" w:eastAsia="en-CA"/>
    </w:rPr>
  </w:style>
  <w:style w:type="paragraph" w:styleId="Heading2">
    <w:name w:val="heading 2"/>
    <w:basedOn w:val="Normal"/>
    <w:next w:val="Normal"/>
    <w:link w:val="Heading2Char"/>
    <w:uiPriority w:val="9"/>
    <w:semiHidden/>
    <w:unhideWhenUsed/>
    <w:qFormat/>
    <w:rsid w:val="00EB1FF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F362B"/>
    <w:pPr>
      <w:keepNext/>
      <w:keepLines/>
      <w:spacing w:before="4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4F362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SPWT11articletype">
    <w:name w:val="SSPWT1.1_article_type"/>
    <w:basedOn w:val="SSPWT31text"/>
    <w:next w:val="SSPWT12title"/>
    <w:link w:val="SSPWT11articletype0"/>
    <w:qFormat/>
    <w:pPr>
      <w:spacing w:before="240" w:line="240" w:lineRule="auto"/>
      <w:ind w:firstLine="0"/>
      <w:jc w:val="left"/>
    </w:pPr>
    <w:rPr>
      <w:i/>
    </w:rPr>
  </w:style>
  <w:style w:type="paragraph" w:customStyle="1" w:styleId="SSPWT12title">
    <w:name w:val="SSPWT1.2_title"/>
    <w:next w:val="SSPWT13authornames"/>
    <w:link w:val="SSPWT12title0"/>
    <w:qFormat/>
    <w:pPr>
      <w:adjustRightInd w:val="0"/>
      <w:snapToGrid w:val="0"/>
      <w:spacing w:after="240" w:line="400" w:lineRule="exact"/>
    </w:pPr>
    <w:rPr>
      <w:rFonts w:ascii="Palatino Linotype" w:eastAsia="Times New Roman" w:hAnsi="Palatino Linotype"/>
      <w:b/>
      <w:snapToGrid w:val="0"/>
      <w:color w:val="000000"/>
      <w:sz w:val="36"/>
      <w:lang w:eastAsia="de-DE" w:bidi="en-US"/>
    </w:rPr>
  </w:style>
  <w:style w:type="paragraph" w:customStyle="1" w:styleId="SSPWT13authornames">
    <w:name w:val="SSPWT_1.3_authornames"/>
    <w:basedOn w:val="SSPWT31text"/>
    <w:next w:val="SSPWT14history"/>
    <w:link w:val="SSPWT13authornames0"/>
    <w:pPr>
      <w:spacing w:after="120"/>
      <w:ind w:firstLine="0"/>
      <w:jc w:val="left"/>
    </w:pPr>
    <w:rPr>
      <w:b/>
      <w:snapToGrid/>
    </w:rPr>
  </w:style>
  <w:style w:type="paragraph" w:customStyle="1" w:styleId="SSPWT14history">
    <w:name w:val="SSPWT_1.4_history"/>
    <w:basedOn w:val="Acknowledgments"/>
    <w:next w:val="Normal"/>
    <w:link w:val="SSPWT14history0"/>
    <w:pPr>
      <w:ind w:left="113"/>
      <w:jc w:val="left"/>
    </w:pPr>
    <w:rPr>
      <w:snapToGrid/>
    </w:rPr>
  </w:style>
  <w:style w:type="paragraph" w:customStyle="1" w:styleId="SSPWT16affiliation">
    <w:name w:val="SSPWT_1.6_affiliation"/>
    <w:basedOn w:val="Acknowledgments"/>
    <w:link w:val="SSPWT16affiliation0"/>
    <w:pPr>
      <w:spacing w:before="0"/>
      <w:ind w:left="311" w:hanging="198"/>
      <w:jc w:val="left"/>
    </w:pPr>
    <w:rPr>
      <w:snapToGrid/>
      <w:szCs w:val="18"/>
    </w:rPr>
  </w:style>
  <w:style w:type="paragraph" w:customStyle="1" w:styleId="SSPWT17abstract">
    <w:name w:val="SSPWT_1.7_abstract"/>
    <w:basedOn w:val="SSPWT31text"/>
    <w:next w:val="SSPWT18keywords"/>
    <w:link w:val="SSPWT17abstract0"/>
    <w:qFormat/>
    <w:pPr>
      <w:spacing w:before="240"/>
      <w:ind w:left="113" w:firstLine="0"/>
    </w:pPr>
    <w:rPr>
      <w:snapToGrid/>
    </w:rPr>
  </w:style>
  <w:style w:type="paragraph" w:customStyle="1" w:styleId="SSPWT18keywords">
    <w:name w:val="SSPWT_1.8_keywords"/>
    <w:basedOn w:val="SSPWT31text"/>
    <w:next w:val="Normal"/>
    <w:qFormat/>
    <w:pPr>
      <w:spacing w:before="240"/>
      <w:ind w:left="113" w:firstLine="0"/>
    </w:pPr>
  </w:style>
  <w:style w:type="paragraph" w:customStyle="1" w:styleId="SSPWT19line">
    <w:name w:val="SSPWT_1.9_line"/>
    <w:basedOn w:val="SSPWT31text"/>
    <w:link w:val="SSPWT19line0"/>
    <w:qFormat/>
    <w:pPr>
      <w:pBdr>
        <w:bottom w:val="single" w:sz="6" w:space="1" w:color="auto"/>
      </w:pBdr>
      <w:ind w:firstLine="0"/>
    </w:pPr>
    <w:rPr>
      <w:snapToGrid/>
      <w:szCs w:val="24"/>
    </w:rPr>
  </w:style>
  <w:style w:type="table" w:customStyle="1" w:styleId="Mdeck5tablebodythreelines">
    <w:name w:val="M_deck_5_table_body_three_lines"/>
    <w:basedOn w:val="TableNormal"/>
    <w:uiPriority w:val="99"/>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Autospacing="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pPr>
      <w:tabs>
        <w:tab w:val="center" w:pos="4153"/>
        <w:tab w:val="right" w:pos="8306"/>
      </w:tabs>
      <w:snapToGrid w:val="0"/>
      <w:spacing w:line="240" w:lineRule="atLeast"/>
    </w:pPr>
    <w:rPr>
      <w:sz w:val="18"/>
      <w:szCs w:val="18"/>
    </w:rPr>
  </w:style>
  <w:style w:type="character" w:customStyle="1" w:styleId="FooterChar">
    <w:name w:val="Footer Char"/>
    <w:link w:val="Footer"/>
    <w:uiPriority w:val="99"/>
    <w:rPr>
      <w:rFonts w:ascii="Times New Roman" w:eastAsia="Times New Roman" w:hAnsi="Times New Roman" w:cs="Times New Roman"/>
      <w:color w:val="000000"/>
      <w:kern w:val="0"/>
      <w:sz w:val="18"/>
      <w:szCs w:val="18"/>
      <w:lang w:eastAsia="de-DE"/>
    </w:rPr>
  </w:style>
  <w:style w:type="paragraph" w:styleId="Header">
    <w:name w:val="header"/>
    <w:basedOn w:val="Normal"/>
    <w:link w:val="HeaderChar"/>
    <w:uiPriority w:val="99"/>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HeaderChar">
    <w:name w:val="Header Char"/>
    <w:link w:val="Header"/>
    <w:uiPriority w:val="99"/>
    <w:rPr>
      <w:rFonts w:ascii="Times New Roman" w:eastAsia="Times New Roman" w:hAnsi="Times New Roman" w:cs="Times New Roman"/>
      <w:color w:val="000000"/>
      <w:kern w:val="0"/>
      <w:sz w:val="18"/>
      <w:szCs w:val="18"/>
      <w:lang w:eastAsia="de-DE"/>
    </w:rPr>
  </w:style>
  <w:style w:type="paragraph" w:customStyle="1" w:styleId="SSPWTheaderjournallogo">
    <w:name w:val="SSPWT_header_journal_logo"/>
    <w:qFormat/>
    <w:pPr>
      <w:adjustRightInd w:val="0"/>
      <w:snapToGrid w:val="0"/>
    </w:pPr>
    <w:rPr>
      <w:rFonts w:ascii="Palatino Linotype" w:eastAsia="Times New Roman" w:hAnsi="Palatino Linotype"/>
      <w:i/>
      <w:color w:val="000000"/>
      <w:sz w:val="24"/>
      <w:szCs w:val="22"/>
      <w:lang w:eastAsia="de-CH"/>
    </w:rPr>
  </w:style>
  <w:style w:type="paragraph" w:customStyle="1" w:styleId="SSPWT32textnoindent">
    <w:name w:val="SSPWT_3.2_text_no_indent"/>
    <w:basedOn w:val="SSPWT31text"/>
    <w:qFormat/>
    <w:pPr>
      <w:ind w:firstLine="0"/>
    </w:pPr>
  </w:style>
  <w:style w:type="paragraph" w:customStyle="1" w:styleId="SSPWT33textspaceafter">
    <w:name w:val="SSPWT_3.3_text_space_after"/>
    <w:basedOn w:val="SSPWT31text"/>
    <w:qFormat/>
    <w:pPr>
      <w:spacing w:after="240"/>
    </w:pPr>
  </w:style>
  <w:style w:type="paragraph" w:customStyle="1" w:styleId="SSPWT35textbeforelist">
    <w:name w:val="SSPWT_3.5_text_before_list"/>
    <w:basedOn w:val="SSPWT31text"/>
    <w:qFormat/>
    <w:pPr>
      <w:spacing w:after="120"/>
    </w:pPr>
  </w:style>
  <w:style w:type="paragraph" w:customStyle="1" w:styleId="SSPWT36textafterlist">
    <w:name w:val="SSPWT_3.6_text_after_list"/>
    <w:basedOn w:val="SSPWT31text"/>
    <w:qFormat/>
    <w:pPr>
      <w:spacing w:before="120"/>
    </w:pPr>
  </w:style>
  <w:style w:type="paragraph" w:customStyle="1" w:styleId="SSPWT37itemize">
    <w:name w:val="SSPWT_3.7_itemize"/>
    <w:basedOn w:val="SSPWT31text"/>
    <w:qFormat/>
    <w:pPr>
      <w:numPr>
        <w:numId w:val="1"/>
      </w:numPr>
      <w:ind w:left="425" w:hanging="425"/>
    </w:pPr>
  </w:style>
  <w:style w:type="paragraph" w:customStyle="1" w:styleId="SSPWT38bullet">
    <w:name w:val="SSPWT_3.8_bullet"/>
    <w:basedOn w:val="SSPWT31text"/>
    <w:link w:val="SSPWT38bullet0"/>
    <w:qFormat/>
    <w:pPr>
      <w:numPr>
        <w:numId w:val="2"/>
      </w:numPr>
      <w:ind w:left="425" w:hanging="425"/>
    </w:pPr>
  </w:style>
  <w:style w:type="paragraph" w:customStyle="1" w:styleId="Equation">
    <w:name w:val="Equation"/>
    <w:basedOn w:val="Text"/>
    <w:qFormat/>
    <w:pPr>
      <w:spacing w:before="120" w:after="120"/>
      <w:ind w:left="709" w:firstLine="0"/>
      <w:jc w:val="center"/>
    </w:pPr>
  </w:style>
  <w:style w:type="paragraph" w:customStyle="1" w:styleId="EquationNumber">
    <w:name w:val="Equation Number"/>
    <w:basedOn w:val="Text"/>
    <w:qFormat/>
    <w:pPr>
      <w:spacing w:before="120" w:after="120" w:line="260" w:lineRule="atLeast"/>
      <w:ind w:firstLine="0"/>
      <w:jc w:val="right"/>
    </w:pPr>
  </w:style>
  <w:style w:type="paragraph" w:customStyle="1" w:styleId="Acknowledgments">
    <w:name w:val="Acknowledgments"/>
    <w:link w:val="Acknowledgments0"/>
    <w:qFormat/>
    <w:pPr>
      <w:adjustRightInd w:val="0"/>
      <w:snapToGrid w:val="0"/>
      <w:spacing w:before="360" w:after="240" w:line="300" w:lineRule="auto"/>
      <w:jc w:val="both"/>
    </w:pPr>
    <w:rPr>
      <w:rFonts w:ascii="Times New Roman" w:eastAsia="Times New Roman" w:hAnsi="Times New Roman"/>
      <w:snapToGrid w:val="0"/>
      <w:color w:val="000000"/>
      <w:sz w:val="22"/>
      <w:szCs w:val="22"/>
      <w:lang w:eastAsia="de-DE" w:bidi="en-US"/>
    </w:rPr>
  </w:style>
  <w:style w:type="paragraph" w:customStyle="1" w:styleId="SSPWT41tablecaption">
    <w:name w:val="SSPWT_4.1_table_caption"/>
    <w:basedOn w:val="Acknowledgments"/>
    <w:link w:val="SSPWT41tablecaption0"/>
    <w:qFormat/>
    <w:pPr>
      <w:spacing w:before="240" w:after="120" w:line="260" w:lineRule="atLeast"/>
      <w:ind w:left="425" w:right="425"/>
    </w:pPr>
    <w:rPr>
      <w:snapToGrid/>
    </w:rPr>
  </w:style>
  <w:style w:type="paragraph" w:customStyle="1" w:styleId="TableBody">
    <w:name w:val="Table Body"/>
    <w:qFormat/>
    <w:pPr>
      <w:adjustRightInd w:val="0"/>
      <w:snapToGrid w:val="0"/>
      <w:jc w:val="center"/>
    </w:pPr>
    <w:rPr>
      <w:rFonts w:ascii="Times New Roman" w:eastAsia="Times New Roman" w:hAnsi="Times New Roman"/>
      <w:snapToGrid w:val="0"/>
      <w:color w:val="000000"/>
      <w:sz w:val="22"/>
      <w:lang w:eastAsia="de-DE" w:bidi="en-US"/>
    </w:rPr>
  </w:style>
  <w:style w:type="paragraph" w:customStyle="1" w:styleId="TableFooter">
    <w:name w:val="Table_Footer"/>
    <w:next w:val="Text"/>
    <w:qFormat/>
    <w:pPr>
      <w:spacing w:after="240"/>
      <w:jc w:val="center"/>
    </w:pPr>
    <w:rPr>
      <w:rFonts w:ascii="Times New Roman" w:eastAsia="Times New Roman" w:hAnsi="Times New Roman"/>
      <w:color w:val="000000"/>
      <w:szCs w:val="22"/>
      <w:lang w:eastAsia="de-DE" w:bidi="en-US"/>
    </w:rPr>
  </w:style>
  <w:style w:type="paragraph" w:customStyle="1" w:styleId="SSPWT51figurecaption">
    <w:name w:val="SSPWT_5.1_figure_caption"/>
    <w:basedOn w:val="Acknowledgments"/>
    <w:link w:val="SSPWT51figurecaption0"/>
    <w:qFormat/>
    <w:pPr>
      <w:spacing w:line="260" w:lineRule="atLeast"/>
      <w:ind w:left="425" w:right="425"/>
    </w:pPr>
    <w:rPr>
      <w:snapToGrid/>
    </w:rPr>
  </w:style>
  <w:style w:type="paragraph" w:customStyle="1" w:styleId="SSPWT52figure">
    <w:name w:val="SSPWT_5.2_figure"/>
    <w:link w:val="SSPWT52figure0"/>
    <w:qFormat/>
    <w:pPr>
      <w:jc w:val="center"/>
    </w:pPr>
    <w:rPr>
      <w:rFonts w:ascii="Palatino Linotype" w:eastAsia="Times New Roman" w:hAnsi="Palatino Linotype"/>
      <w:snapToGrid w:val="0"/>
      <w:color w:val="000000"/>
      <w:sz w:val="24"/>
      <w:lang w:eastAsia="de-DE" w:bidi="en-US"/>
    </w:rPr>
  </w:style>
  <w:style w:type="paragraph" w:customStyle="1" w:styleId="SSPWT61Supplementary">
    <w:name w:val="SSPWT_6.1_Supplementary"/>
    <w:basedOn w:val="Acknowledgments"/>
    <w:qFormat/>
    <w:pPr>
      <w:spacing w:before="240"/>
    </w:pPr>
    <w:rPr>
      <w:lang w:eastAsia="en-US"/>
    </w:rPr>
  </w:style>
  <w:style w:type="paragraph" w:customStyle="1" w:styleId="SSPWT63AuthorContributions">
    <w:name w:val="SSPWT_6.3_AuthorContributions"/>
    <w:basedOn w:val="Acknowledgments"/>
    <w:qFormat/>
    <w:rPr>
      <w:rFonts w:eastAsia="SimSun"/>
      <w:color w:val="auto"/>
      <w:lang w:eastAsia="en-US"/>
    </w:rPr>
  </w:style>
  <w:style w:type="paragraph" w:customStyle="1" w:styleId="SSPWT64CoI">
    <w:name w:val="SSPWT_6.4_CoI"/>
    <w:basedOn w:val="Acknowledgments"/>
    <w:qFormat/>
  </w:style>
  <w:style w:type="paragraph" w:customStyle="1" w:styleId="SSPWT31text">
    <w:name w:val="SSPWT_3.1_text"/>
    <w:link w:val="SSPWT31text0"/>
    <w:qFormat/>
    <w:pPr>
      <w:adjustRightInd w:val="0"/>
      <w:snapToGrid w:val="0"/>
      <w:spacing w:line="260" w:lineRule="atLeast"/>
      <w:ind w:firstLine="425"/>
      <w:jc w:val="both"/>
    </w:pPr>
    <w:rPr>
      <w:rFonts w:ascii="Palatino Linotype" w:eastAsia="Times New Roman" w:hAnsi="Palatino Linotype"/>
      <w:snapToGrid w:val="0"/>
      <w:color w:val="000000"/>
      <w:szCs w:val="22"/>
      <w:lang w:eastAsia="de-DE" w:bidi="en-US"/>
    </w:rPr>
  </w:style>
  <w:style w:type="paragraph" w:customStyle="1" w:styleId="SSPWT23heading3">
    <w:name w:val="SSPWT_2.3_heading3"/>
    <w:basedOn w:val="SSPWT31text"/>
    <w:link w:val="SSPWT23heading30"/>
    <w:qFormat/>
    <w:pPr>
      <w:spacing w:before="240" w:after="120"/>
      <w:ind w:firstLine="0"/>
      <w:jc w:val="left"/>
      <w:outlineLvl w:val="2"/>
    </w:pPr>
  </w:style>
  <w:style w:type="paragraph" w:customStyle="1" w:styleId="SSPWT21heading1">
    <w:name w:val="SSPWT_2.1_heading1"/>
    <w:basedOn w:val="SSPWT23heading3"/>
    <w:link w:val="SSPWT21heading10"/>
    <w:qFormat/>
    <w:pPr>
      <w:outlineLvl w:val="0"/>
    </w:pPr>
    <w:rPr>
      <w:b/>
    </w:rPr>
  </w:style>
  <w:style w:type="paragraph" w:customStyle="1" w:styleId="SSPWT22heading2">
    <w:name w:val="SSPWT_2.2_heading2"/>
    <w:basedOn w:val="Normal"/>
    <w:qFormat/>
    <w:pPr>
      <w:kinsoku w:val="0"/>
      <w:overflowPunct w:val="0"/>
      <w:autoSpaceDE w:val="0"/>
      <w:autoSpaceDN w:val="0"/>
      <w:adjustRightInd w:val="0"/>
      <w:snapToGrid w:val="0"/>
      <w:spacing w:before="240" w:after="120" w:line="260" w:lineRule="atLeast"/>
      <w:jc w:val="left"/>
      <w:outlineLvl w:val="1"/>
    </w:pPr>
    <w:rPr>
      <w:rFonts w:ascii="Palatino Linotype" w:hAnsi="Palatino Linotype"/>
      <w:i/>
      <w:noProof/>
      <w:snapToGrid w:val="0"/>
      <w:sz w:val="20"/>
      <w:szCs w:val="22"/>
      <w:lang w:bidi="en-US"/>
    </w:rPr>
  </w:style>
  <w:style w:type="paragraph" w:customStyle="1" w:styleId="References">
    <w:name w:val="References"/>
    <w:basedOn w:val="Acknowledgments"/>
    <w:qFormat/>
    <w:pPr>
      <w:numPr>
        <w:numId w:val="3"/>
      </w:numPr>
      <w:spacing w:before="0" w:after="120" w:line="260" w:lineRule="atLeast"/>
      <w:ind w:left="357" w:hanging="357"/>
    </w:pPr>
  </w:style>
  <w:style w:type="paragraph" w:styleId="BalloonText">
    <w:name w:val="Balloon Text"/>
    <w:basedOn w:val="Normal"/>
    <w:link w:val="BalloonTextChar"/>
    <w:uiPriority w:val="99"/>
    <w:rPr>
      <w:sz w:val="18"/>
      <w:szCs w:val="18"/>
    </w:rPr>
  </w:style>
  <w:style w:type="character" w:customStyle="1" w:styleId="BalloonTextChar">
    <w:name w:val="Balloon Text Char"/>
    <w:link w:val="BalloonText"/>
    <w:uiPriority w:val="99"/>
    <w:rPr>
      <w:rFonts w:ascii="Times New Roman" w:eastAsia="Times New Roman" w:hAnsi="Times New Roman" w:cs="Times New Roman"/>
      <w:color w:val="000000"/>
      <w:kern w:val="0"/>
      <w:sz w:val="18"/>
      <w:szCs w:val="18"/>
      <w:lang w:eastAsia="de-DE"/>
    </w:rPr>
  </w:style>
  <w:style w:type="character" w:styleId="LineNumber">
    <w:name w:val="line number"/>
    <w:basedOn w:val="DefaultParagraphFont"/>
    <w:uiPriority w:val="99"/>
  </w:style>
  <w:style w:type="table" w:customStyle="1" w:styleId="MDPI41threelinetable">
    <w:name w:val="MDPI_4.1_three_line_table"/>
    <w:basedOn w:val="TableNormal"/>
    <w:uiPriority w:val="99"/>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Segoe UI Light" w:hAnsi="Segoe UI Light"/>
        <w:b/>
        <w:i w:val="0"/>
        <w:sz w:val="20"/>
      </w:rPr>
      <w:tblPr/>
      <w:tcPr>
        <w:tcBorders>
          <w:bottom w:val="single" w:sz="4" w:space="0" w:color="auto"/>
        </w:tcBorders>
      </w:tcPr>
    </w:tblStylePr>
  </w:style>
  <w:style w:type="character" w:styleId="Hyperlink">
    <w:name w:val="Hyperlink"/>
    <w:uiPriority w:val="99"/>
    <w:rPr>
      <w:color w:val="0563C1"/>
      <w:u w:val="single"/>
    </w:rPr>
  </w:style>
  <w:style w:type="character" w:customStyle="1" w:styleId="1">
    <w:name w:val="未处理的提及1"/>
    <w:uiPriority w:val="99"/>
    <w:rPr>
      <w:color w:val="605E5C"/>
      <w:shd w:val="clear" w:color="auto" w:fill="E1DFDD"/>
    </w:rPr>
  </w:style>
  <w:style w:type="table" w:customStyle="1" w:styleId="41">
    <w:name w:val="无格式表格 41"/>
    <w:basedOn w:val="TableNormal"/>
    <w:uiPriority w:val="4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CommentReference">
    <w:name w:val="annotation reference"/>
    <w:basedOn w:val="DefaultParagraphFont"/>
    <w:uiPriority w:val="99"/>
    <w:rPr>
      <w:sz w:val="21"/>
      <w:szCs w:val="21"/>
    </w:rPr>
  </w:style>
  <w:style w:type="paragraph" w:styleId="CommentText">
    <w:name w:val="annotation text"/>
    <w:basedOn w:val="Normal"/>
    <w:link w:val="CommentTextChar"/>
    <w:uiPriority w:val="99"/>
    <w:pPr>
      <w:jc w:val="left"/>
    </w:pPr>
  </w:style>
  <w:style w:type="character" w:customStyle="1" w:styleId="CommentTextChar">
    <w:name w:val="Comment Text Char"/>
    <w:basedOn w:val="DefaultParagraphFont"/>
    <w:link w:val="CommentText"/>
    <w:uiPriority w:val="99"/>
    <w:rPr>
      <w:rFonts w:ascii="Times New Roman" w:eastAsia="Times New Roman" w:hAnsi="Times New Roman"/>
      <w:color w:val="000000"/>
      <w:sz w:val="24"/>
      <w:lang w:eastAsia="de-DE"/>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rFonts w:ascii="Times New Roman" w:eastAsia="Times New Roman" w:hAnsi="Times New Roman"/>
      <w:b/>
      <w:bCs/>
      <w:color w:val="000000"/>
      <w:sz w:val="24"/>
      <w:lang w:eastAsia="de-DE"/>
    </w:rPr>
  </w:style>
  <w:style w:type="paragraph" w:customStyle="1" w:styleId="SSPWTAbstract">
    <w:name w:val="SSPWT_Abstract"/>
    <w:basedOn w:val="Normal"/>
    <w:next w:val="Normal"/>
    <w:pPr>
      <w:spacing w:before="360" w:after="360" w:line="480" w:lineRule="auto"/>
    </w:pPr>
    <w:rPr>
      <w:rFonts w:ascii="Times" w:eastAsia="SimSun" w:hAnsi="Times"/>
      <w:color w:val="auto"/>
      <w:lang w:eastAsia="en-US"/>
    </w:rPr>
  </w:style>
  <w:style w:type="paragraph" w:styleId="Revision">
    <w:name w:val="Revision"/>
    <w:uiPriority w:val="99"/>
    <w:rPr>
      <w:rFonts w:ascii="Times New Roman" w:eastAsia="Times New Roman" w:hAnsi="Times New Roman"/>
      <w:color w:val="000000"/>
      <w:sz w:val="24"/>
      <w:lang w:eastAsia="de-DE"/>
    </w:rPr>
  </w:style>
  <w:style w:type="paragraph" w:customStyle="1" w:styleId="PaperType">
    <w:name w:val="Paper Type"/>
    <w:basedOn w:val="SSPWT11articletype"/>
    <w:link w:val="PaperType0"/>
    <w:qFormat/>
    <w:rPr>
      <w:rFonts w:ascii="Times New Roman" w:hAnsi="Times New Roman"/>
    </w:rPr>
  </w:style>
  <w:style w:type="paragraph" w:customStyle="1" w:styleId="10">
    <w:name w:val="标题1"/>
    <w:link w:val="Title"/>
    <w:qFormat/>
    <w:pPr>
      <w:tabs>
        <w:tab w:val="left" w:pos="2687"/>
      </w:tabs>
      <w:spacing w:line="240" w:lineRule="atLeast"/>
      <w:jc w:val="center"/>
    </w:pPr>
    <w:rPr>
      <w:rFonts w:ascii="Times New Roman" w:eastAsia="Times New Roman" w:hAnsi="Times New Roman"/>
      <w:b/>
      <w:snapToGrid w:val="0"/>
      <w:color w:val="000000"/>
      <w:sz w:val="36"/>
      <w:lang w:eastAsia="de-DE" w:bidi="en-US"/>
    </w:rPr>
  </w:style>
  <w:style w:type="character" w:customStyle="1" w:styleId="SSPWT31text0">
    <w:name w:val="SSPWT_3.1_text 字符"/>
    <w:basedOn w:val="DefaultParagraphFont"/>
    <w:link w:val="SSPWT31text"/>
    <w:rPr>
      <w:rFonts w:ascii="Palatino Linotype" w:eastAsia="Times New Roman" w:hAnsi="Palatino Linotype"/>
      <w:snapToGrid w:val="0"/>
      <w:color w:val="000000"/>
      <w:szCs w:val="22"/>
      <w:lang w:eastAsia="de-DE" w:bidi="en-US"/>
    </w:rPr>
  </w:style>
  <w:style w:type="character" w:customStyle="1" w:styleId="SSPWT11articletype0">
    <w:name w:val="SSPWT1.1_article_type 字符"/>
    <w:basedOn w:val="SSPWT31text0"/>
    <w:link w:val="SSPWT11articletype"/>
    <w:rPr>
      <w:rFonts w:ascii="Palatino Linotype" w:eastAsia="Times New Roman" w:hAnsi="Palatino Linotype"/>
      <w:i/>
      <w:snapToGrid w:val="0"/>
      <w:color w:val="000000"/>
      <w:szCs w:val="22"/>
      <w:lang w:eastAsia="de-DE" w:bidi="en-US"/>
    </w:rPr>
  </w:style>
  <w:style w:type="character" w:customStyle="1" w:styleId="PaperType0">
    <w:name w:val="Paper Type 字符"/>
    <w:basedOn w:val="SSPWT11articletype0"/>
    <w:link w:val="PaperType"/>
    <w:rPr>
      <w:rFonts w:ascii="Times New Roman" w:eastAsia="Times New Roman" w:hAnsi="Times New Roman"/>
      <w:i/>
      <w:snapToGrid w:val="0"/>
      <w:color w:val="000000"/>
      <w:szCs w:val="22"/>
      <w:lang w:eastAsia="de-DE" w:bidi="en-US"/>
    </w:rPr>
  </w:style>
  <w:style w:type="paragraph" w:customStyle="1" w:styleId="AuthorNames">
    <w:name w:val="AuthorNames"/>
    <w:link w:val="AuthorNames0"/>
    <w:qFormat/>
    <w:pPr>
      <w:jc w:val="center"/>
    </w:pPr>
    <w:rPr>
      <w:rFonts w:ascii="Times New Roman" w:eastAsia="Times New Roman" w:hAnsi="Times New Roman"/>
      <w:b/>
      <w:color w:val="000000"/>
      <w:sz w:val="22"/>
      <w:szCs w:val="22"/>
      <w:lang w:eastAsia="de-DE" w:bidi="en-US"/>
    </w:rPr>
  </w:style>
  <w:style w:type="character" w:customStyle="1" w:styleId="SSPWT12title0">
    <w:name w:val="SSPWT1.2_title 字符"/>
    <w:basedOn w:val="DefaultParagraphFont"/>
    <w:link w:val="SSPWT12title"/>
    <w:rPr>
      <w:rFonts w:ascii="Palatino Linotype" w:eastAsia="Times New Roman" w:hAnsi="Palatino Linotype"/>
      <w:b/>
      <w:snapToGrid w:val="0"/>
      <w:color w:val="000000"/>
      <w:sz w:val="36"/>
      <w:lang w:eastAsia="de-DE" w:bidi="en-US"/>
    </w:rPr>
  </w:style>
  <w:style w:type="character" w:customStyle="1" w:styleId="Title">
    <w:name w:val="Title 字符"/>
    <w:basedOn w:val="SSPWT12title0"/>
    <w:link w:val="10"/>
    <w:rPr>
      <w:rFonts w:ascii="Times New Roman" w:eastAsia="Times New Roman" w:hAnsi="Times New Roman"/>
      <w:b/>
      <w:snapToGrid w:val="0"/>
      <w:color w:val="000000"/>
      <w:sz w:val="36"/>
      <w:lang w:eastAsia="de-DE" w:bidi="en-US"/>
    </w:rPr>
  </w:style>
  <w:style w:type="paragraph" w:customStyle="1" w:styleId="Affiliations">
    <w:name w:val="Affiliations"/>
    <w:link w:val="Affiliations0"/>
    <w:qFormat/>
    <w:pPr>
      <w:snapToGrid w:val="0"/>
      <w:spacing w:before="120" w:after="120"/>
      <w:jc w:val="center"/>
    </w:pPr>
    <w:rPr>
      <w:rFonts w:ascii="Times New Roman" w:eastAsia="Times New Roman" w:hAnsi="Times New Roman"/>
      <w:color w:val="000000"/>
      <w:sz w:val="22"/>
      <w:szCs w:val="18"/>
      <w:lang w:eastAsia="de-DE" w:bidi="en-US"/>
    </w:rPr>
  </w:style>
  <w:style w:type="character" w:customStyle="1" w:styleId="SSPWT13authornames0">
    <w:name w:val="SSPWT_1.3_authornames 字符"/>
    <w:basedOn w:val="SSPWT31text0"/>
    <w:link w:val="SSPWT13authornames"/>
    <w:rPr>
      <w:rFonts w:ascii="Palatino Linotype" w:eastAsia="Times New Roman" w:hAnsi="Palatino Linotype"/>
      <w:b/>
      <w:snapToGrid/>
      <w:color w:val="000000"/>
      <w:szCs w:val="22"/>
      <w:lang w:eastAsia="de-DE" w:bidi="en-US"/>
    </w:rPr>
  </w:style>
  <w:style w:type="character" w:customStyle="1" w:styleId="AuthorNames0">
    <w:name w:val="AuthorNames 字符"/>
    <w:basedOn w:val="SSPWT13authornames0"/>
    <w:link w:val="AuthorNames"/>
    <w:rPr>
      <w:rFonts w:ascii="Times New Roman" w:eastAsia="Times New Roman" w:hAnsi="Times New Roman"/>
      <w:b/>
      <w:snapToGrid/>
      <w:color w:val="000000"/>
      <w:sz w:val="22"/>
      <w:szCs w:val="22"/>
      <w:lang w:eastAsia="de-DE" w:bidi="en-US"/>
    </w:rPr>
  </w:style>
  <w:style w:type="paragraph" w:customStyle="1" w:styleId="Correspondence">
    <w:name w:val="Correspondence"/>
    <w:basedOn w:val="SSPWT14history"/>
    <w:link w:val="Correspondence0"/>
    <w:qFormat/>
    <w:pPr>
      <w:spacing w:before="120" w:after="120" w:line="240" w:lineRule="auto"/>
      <w:ind w:left="0"/>
      <w:jc w:val="center"/>
    </w:pPr>
  </w:style>
  <w:style w:type="character" w:customStyle="1" w:styleId="Acknowledgments0">
    <w:name w:val="Acknowledgments 字符"/>
    <w:basedOn w:val="DefaultParagraphFont"/>
    <w:link w:val="Acknowledgments"/>
    <w:rPr>
      <w:rFonts w:ascii="Times New Roman" w:eastAsia="Times New Roman" w:hAnsi="Times New Roman"/>
      <w:snapToGrid w:val="0"/>
      <w:color w:val="000000"/>
      <w:sz w:val="22"/>
      <w:szCs w:val="22"/>
      <w:lang w:eastAsia="de-DE" w:bidi="en-US"/>
    </w:rPr>
  </w:style>
  <w:style w:type="character" w:customStyle="1" w:styleId="SSPWT16affiliation0">
    <w:name w:val="SSPWT_1.6_affiliation 字符"/>
    <w:basedOn w:val="Acknowledgments0"/>
    <w:link w:val="SSPWT16affiliation"/>
    <w:rPr>
      <w:rFonts w:ascii="Times New Roman" w:eastAsia="Times New Roman" w:hAnsi="Times New Roman"/>
      <w:snapToGrid/>
      <w:color w:val="000000"/>
      <w:sz w:val="22"/>
      <w:szCs w:val="18"/>
      <w:lang w:eastAsia="de-DE" w:bidi="en-US"/>
    </w:rPr>
  </w:style>
  <w:style w:type="character" w:customStyle="1" w:styleId="Affiliations0">
    <w:name w:val="Affiliations 字符"/>
    <w:basedOn w:val="SSPWT16affiliation0"/>
    <w:link w:val="Affiliations"/>
    <w:rPr>
      <w:rFonts w:ascii="Times New Roman" w:eastAsia="Times New Roman" w:hAnsi="Times New Roman"/>
      <w:snapToGrid/>
      <w:color w:val="000000"/>
      <w:sz w:val="22"/>
      <w:szCs w:val="18"/>
      <w:lang w:eastAsia="de-DE" w:bidi="en-US"/>
    </w:rPr>
  </w:style>
  <w:style w:type="paragraph" w:customStyle="1" w:styleId="Abstract">
    <w:name w:val="Abstract"/>
    <w:link w:val="Abstract0"/>
    <w:qFormat/>
    <w:pPr>
      <w:spacing w:before="220" w:line="300" w:lineRule="auto"/>
      <w:jc w:val="both"/>
    </w:pPr>
    <w:rPr>
      <w:rFonts w:ascii="Times New Roman" w:eastAsia="Times New Roman" w:hAnsi="Times New Roman"/>
      <w:sz w:val="24"/>
      <w:szCs w:val="22"/>
      <w:lang w:eastAsia="de-DE" w:bidi="en-US"/>
    </w:rPr>
  </w:style>
  <w:style w:type="character" w:customStyle="1" w:styleId="SSPWT14history0">
    <w:name w:val="SSPWT_1.4_history 字符"/>
    <w:basedOn w:val="Acknowledgments0"/>
    <w:link w:val="SSPWT14history"/>
    <w:rPr>
      <w:rFonts w:ascii="Times New Roman" w:eastAsia="Times New Roman" w:hAnsi="Times New Roman"/>
      <w:snapToGrid/>
      <w:color w:val="000000"/>
      <w:sz w:val="22"/>
      <w:szCs w:val="22"/>
      <w:lang w:eastAsia="de-DE" w:bidi="en-US"/>
    </w:rPr>
  </w:style>
  <w:style w:type="character" w:customStyle="1" w:styleId="Correspondence0">
    <w:name w:val="Correspondence 字符"/>
    <w:basedOn w:val="SSPWT14history0"/>
    <w:link w:val="Correspondence"/>
    <w:rPr>
      <w:rFonts w:ascii="Times New Roman" w:eastAsia="Times New Roman" w:hAnsi="Times New Roman"/>
      <w:snapToGrid/>
      <w:color w:val="000000"/>
      <w:sz w:val="22"/>
      <w:szCs w:val="22"/>
      <w:lang w:eastAsia="de-DE" w:bidi="en-US"/>
    </w:rPr>
  </w:style>
  <w:style w:type="paragraph" w:customStyle="1" w:styleId="SeparationLine">
    <w:name w:val="Separation Line"/>
    <w:link w:val="SeparationLine0"/>
    <w:qFormat/>
    <w:pPr>
      <w:pBdr>
        <w:bottom w:val="single" w:sz="6" w:space="1" w:color="auto"/>
      </w:pBdr>
      <w:adjustRightInd w:val="0"/>
      <w:snapToGrid w:val="0"/>
      <w:spacing w:line="260" w:lineRule="atLeast"/>
      <w:jc w:val="both"/>
    </w:pPr>
    <w:rPr>
      <w:rFonts w:ascii="Times New Roman" w:eastAsia="Times New Roman" w:hAnsi="Times New Roman"/>
      <w:color w:val="000000"/>
      <w:szCs w:val="24"/>
      <w:lang w:eastAsia="de-DE" w:bidi="en-US"/>
    </w:rPr>
  </w:style>
  <w:style w:type="character" w:customStyle="1" w:styleId="SSPWT17abstract0">
    <w:name w:val="SSPWT_1.7_abstract 字符"/>
    <w:basedOn w:val="SSPWT31text0"/>
    <w:link w:val="SSPWT17abstract"/>
    <w:rPr>
      <w:rFonts w:ascii="Palatino Linotype" w:eastAsia="Times New Roman" w:hAnsi="Palatino Linotype"/>
      <w:snapToGrid/>
      <w:color w:val="000000"/>
      <w:szCs w:val="22"/>
      <w:lang w:eastAsia="de-DE" w:bidi="en-US"/>
    </w:rPr>
  </w:style>
  <w:style w:type="character" w:customStyle="1" w:styleId="Abstract0">
    <w:name w:val="Abstract 字符"/>
    <w:basedOn w:val="SSPWT17abstract0"/>
    <w:link w:val="Abstract"/>
    <w:rPr>
      <w:rFonts w:ascii="Times New Roman" w:eastAsia="Times New Roman" w:hAnsi="Times New Roman"/>
      <w:snapToGrid/>
      <w:color w:val="000000"/>
      <w:sz w:val="24"/>
      <w:szCs w:val="22"/>
      <w:lang w:eastAsia="de-DE" w:bidi="en-US"/>
    </w:rPr>
  </w:style>
  <w:style w:type="paragraph" w:customStyle="1" w:styleId="Heading10">
    <w:name w:val="Heading1"/>
    <w:link w:val="Heading11"/>
    <w:qFormat/>
    <w:pPr>
      <w:adjustRightInd w:val="0"/>
      <w:snapToGrid w:val="0"/>
      <w:spacing w:before="360" w:after="240"/>
      <w:outlineLvl w:val="0"/>
    </w:pPr>
    <w:rPr>
      <w:rFonts w:ascii="Times New Roman" w:eastAsia="Times New Roman" w:hAnsi="Times New Roman"/>
      <w:b/>
      <w:snapToGrid w:val="0"/>
      <w:color w:val="000000"/>
      <w:sz w:val="24"/>
      <w:szCs w:val="22"/>
      <w:lang w:eastAsia="de-DE" w:bidi="en-US"/>
    </w:rPr>
  </w:style>
  <w:style w:type="character" w:customStyle="1" w:styleId="SSPWT19line0">
    <w:name w:val="SSPWT_1.9_line 字符"/>
    <w:basedOn w:val="SSPWT31text0"/>
    <w:link w:val="SSPWT19line"/>
    <w:rPr>
      <w:rFonts w:ascii="Palatino Linotype" w:eastAsia="Times New Roman" w:hAnsi="Palatino Linotype"/>
      <w:snapToGrid/>
      <w:color w:val="000000"/>
      <w:szCs w:val="24"/>
      <w:lang w:eastAsia="de-DE" w:bidi="en-US"/>
    </w:rPr>
  </w:style>
  <w:style w:type="character" w:customStyle="1" w:styleId="SeparationLine0">
    <w:name w:val="Separation Line 字符"/>
    <w:basedOn w:val="SSPWT19line0"/>
    <w:link w:val="SeparationLine"/>
    <w:rPr>
      <w:rFonts w:ascii="Times New Roman" w:eastAsia="Times New Roman" w:hAnsi="Times New Roman"/>
      <w:snapToGrid/>
      <w:color w:val="000000"/>
      <w:szCs w:val="24"/>
      <w:lang w:eastAsia="de-DE" w:bidi="en-US"/>
    </w:rPr>
  </w:style>
  <w:style w:type="paragraph" w:customStyle="1" w:styleId="Text">
    <w:name w:val="Text"/>
    <w:link w:val="Text0"/>
    <w:qFormat/>
    <w:pPr>
      <w:snapToGrid w:val="0"/>
      <w:spacing w:line="300" w:lineRule="auto"/>
      <w:ind w:firstLine="425"/>
      <w:jc w:val="both"/>
    </w:pPr>
    <w:rPr>
      <w:rFonts w:ascii="Times New Roman" w:eastAsia="Times New Roman" w:hAnsi="Times New Roman"/>
      <w:snapToGrid w:val="0"/>
      <w:color w:val="000000"/>
      <w:sz w:val="24"/>
      <w:szCs w:val="22"/>
      <w:lang w:eastAsia="de-DE" w:bidi="en-US"/>
    </w:rPr>
  </w:style>
  <w:style w:type="character" w:customStyle="1" w:styleId="SSPWT23heading30">
    <w:name w:val="SSPWT_2.3_heading3 字符"/>
    <w:basedOn w:val="SSPWT31text0"/>
    <w:link w:val="SSPWT23heading3"/>
    <w:rPr>
      <w:rFonts w:ascii="Palatino Linotype" w:eastAsia="Times New Roman" w:hAnsi="Palatino Linotype"/>
      <w:snapToGrid w:val="0"/>
      <w:color w:val="000000"/>
      <w:szCs w:val="22"/>
      <w:lang w:eastAsia="de-DE" w:bidi="en-US"/>
    </w:rPr>
  </w:style>
  <w:style w:type="character" w:customStyle="1" w:styleId="SSPWT21heading10">
    <w:name w:val="SSPWT_2.1_heading1 字符"/>
    <w:basedOn w:val="SSPWT23heading30"/>
    <w:link w:val="SSPWT21heading1"/>
    <w:rPr>
      <w:rFonts w:ascii="Palatino Linotype" w:eastAsia="Times New Roman" w:hAnsi="Palatino Linotype"/>
      <w:b/>
      <w:snapToGrid w:val="0"/>
      <w:color w:val="000000"/>
      <w:szCs w:val="22"/>
      <w:lang w:eastAsia="de-DE" w:bidi="en-US"/>
    </w:rPr>
  </w:style>
  <w:style w:type="character" w:customStyle="1" w:styleId="Heading11">
    <w:name w:val="Heading1 字符"/>
    <w:basedOn w:val="SSPWT21heading10"/>
    <w:link w:val="Heading10"/>
    <w:rPr>
      <w:rFonts w:ascii="Times New Roman" w:eastAsia="Times New Roman" w:hAnsi="Times New Roman"/>
      <w:b/>
      <w:snapToGrid w:val="0"/>
      <w:color w:val="000000"/>
      <w:sz w:val="24"/>
      <w:szCs w:val="22"/>
      <w:lang w:eastAsia="de-DE" w:bidi="en-US"/>
    </w:rPr>
  </w:style>
  <w:style w:type="paragraph" w:customStyle="1" w:styleId="Heading20">
    <w:name w:val="Heading2"/>
    <w:link w:val="Heading21"/>
    <w:qFormat/>
    <w:pPr>
      <w:spacing w:before="240" w:after="240"/>
    </w:pPr>
    <w:rPr>
      <w:rFonts w:ascii="Times New Roman" w:eastAsia="Times New Roman" w:hAnsi="Times New Roman"/>
      <w:i/>
      <w:noProof/>
      <w:snapToGrid w:val="0"/>
      <w:color w:val="000000"/>
      <w:sz w:val="24"/>
      <w:szCs w:val="22"/>
      <w:lang w:eastAsia="de-DE" w:bidi="en-US"/>
    </w:rPr>
  </w:style>
  <w:style w:type="character" w:customStyle="1" w:styleId="Text0">
    <w:name w:val="Text 字符"/>
    <w:basedOn w:val="SSPWT31text0"/>
    <w:link w:val="Text"/>
    <w:rPr>
      <w:rFonts w:ascii="Times New Roman" w:eastAsia="Times New Roman" w:hAnsi="Times New Roman"/>
      <w:snapToGrid w:val="0"/>
      <w:color w:val="000000"/>
      <w:sz w:val="24"/>
      <w:szCs w:val="22"/>
      <w:lang w:eastAsia="de-DE" w:bidi="en-US"/>
    </w:rPr>
  </w:style>
  <w:style w:type="paragraph" w:customStyle="1" w:styleId="Heading30">
    <w:name w:val="Heading3"/>
    <w:link w:val="Heading31"/>
    <w:qFormat/>
    <w:pPr>
      <w:spacing w:before="120" w:after="120"/>
    </w:pPr>
    <w:rPr>
      <w:rFonts w:ascii="Times New Roman" w:eastAsia="Times New Roman" w:hAnsi="Times New Roman"/>
      <w:snapToGrid w:val="0"/>
      <w:color w:val="000000"/>
      <w:sz w:val="24"/>
      <w:szCs w:val="22"/>
      <w:lang w:eastAsia="de-DE" w:bidi="en-US"/>
    </w:rPr>
  </w:style>
  <w:style w:type="character" w:customStyle="1" w:styleId="Heading21">
    <w:name w:val="Heading2 字符"/>
    <w:basedOn w:val="DefaultParagraphFont"/>
    <w:link w:val="Heading20"/>
    <w:rPr>
      <w:rFonts w:ascii="Times New Roman" w:eastAsia="Times New Roman" w:hAnsi="Times New Roman"/>
      <w:i/>
      <w:noProof/>
      <w:snapToGrid w:val="0"/>
      <w:color w:val="000000"/>
      <w:sz w:val="24"/>
      <w:szCs w:val="22"/>
      <w:lang w:eastAsia="de-DE" w:bidi="en-US"/>
    </w:rPr>
  </w:style>
  <w:style w:type="paragraph" w:customStyle="1" w:styleId="Bullet">
    <w:name w:val="Bullet"/>
    <w:link w:val="Bullet0"/>
    <w:rPr>
      <w:rFonts w:ascii="Times New Roman" w:eastAsia="Times New Roman" w:hAnsi="Times New Roman"/>
      <w:snapToGrid w:val="0"/>
      <w:color w:val="000000"/>
      <w:sz w:val="24"/>
      <w:szCs w:val="22"/>
      <w:lang w:eastAsia="de-DE" w:bidi="en-US"/>
    </w:rPr>
  </w:style>
  <w:style w:type="character" w:customStyle="1" w:styleId="Heading31">
    <w:name w:val="Heading3 字符"/>
    <w:basedOn w:val="DefaultParagraphFont"/>
    <w:link w:val="Heading30"/>
    <w:rPr>
      <w:rFonts w:ascii="Times New Roman" w:eastAsia="Times New Roman" w:hAnsi="Times New Roman"/>
      <w:snapToGrid w:val="0"/>
      <w:color w:val="000000"/>
      <w:sz w:val="24"/>
      <w:szCs w:val="22"/>
      <w:lang w:eastAsia="de-DE" w:bidi="en-US"/>
    </w:rPr>
  </w:style>
  <w:style w:type="paragraph" w:customStyle="1" w:styleId="Tes">
    <w:name w:val="Tes"/>
    <w:basedOn w:val="SSPWT33textspaceafter"/>
    <w:qFormat/>
    <w:rPr>
      <w:rFonts w:ascii="Times New Roman" w:hAnsi="Times New Roman"/>
    </w:rPr>
  </w:style>
  <w:style w:type="character" w:customStyle="1" w:styleId="SSPWT38bullet0">
    <w:name w:val="SSPWT_3.8_bullet 字符"/>
    <w:basedOn w:val="SSPWT31text0"/>
    <w:link w:val="SSPWT38bullet"/>
    <w:rPr>
      <w:rFonts w:ascii="Palatino Linotype" w:eastAsia="Times New Roman" w:hAnsi="Palatino Linotype"/>
      <w:snapToGrid w:val="0"/>
      <w:color w:val="000000"/>
      <w:szCs w:val="22"/>
      <w:lang w:eastAsia="de-DE" w:bidi="en-US"/>
    </w:rPr>
  </w:style>
  <w:style w:type="character" w:customStyle="1" w:styleId="Bullet0">
    <w:name w:val="Bullet 字符"/>
    <w:basedOn w:val="SSPWT38bullet0"/>
    <w:link w:val="Bullet"/>
    <w:rPr>
      <w:rFonts w:ascii="Times New Roman" w:eastAsia="Times New Roman" w:hAnsi="Times New Roman"/>
      <w:snapToGrid w:val="0"/>
      <w:color w:val="000000"/>
      <w:sz w:val="24"/>
      <w:szCs w:val="22"/>
      <w:lang w:eastAsia="de-DE" w:bidi="en-US"/>
    </w:rPr>
  </w:style>
  <w:style w:type="paragraph" w:customStyle="1" w:styleId="FigureCaption">
    <w:name w:val="Figure Caption"/>
    <w:link w:val="FigureCaption0"/>
    <w:qFormat/>
    <w:pPr>
      <w:ind w:left="425" w:right="340"/>
      <w:jc w:val="both"/>
    </w:pPr>
    <w:rPr>
      <w:rFonts w:ascii="Times New Roman" w:eastAsia="Times New Roman" w:hAnsi="Times New Roman"/>
      <w:color w:val="000000"/>
      <w:sz w:val="22"/>
      <w:lang w:eastAsia="de-DE" w:bidi="en-US"/>
    </w:rPr>
  </w:style>
  <w:style w:type="paragraph" w:customStyle="1" w:styleId="Figure">
    <w:name w:val="Figure"/>
    <w:link w:val="Figure0"/>
    <w:qFormat/>
    <w:pPr>
      <w:adjustRightInd w:val="0"/>
      <w:snapToGrid w:val="0"/>
      <w:jc w:val="center"/>
    </w:pPr>
    <w:rPr>
      <w:rFonts w:ascii="Times New Roman" w:eastAsia="Times New Roman" w:hAnsi="Times New Roman"/>
      <w:snapToGrid w:val="0"/>
      <w:color w:val="000000"/>
      <w:sz w:val="22"/>
      <w:lang w:eastAsia="de-DE" w:bidi="en-US"/>
    </w:rPr>
  </w:style>
  <w:style w:type="character" w:customStyle="1" w:styleId="SSPWT51figurecaption0">
    <w:name w:val="SSPWT_5.1_figure_caption 字符"/>
    <w:basedOn w:val="Acknowledgments0"/>
    <w:link w:val="SSPWT51figurecaption"/>
    <w:rPr>
      <w:rFonts w:ascii="Times New Roman" w:eastAsia="Times New Roman" w:hAnsi="Times New Roman"/>
      <w:snapToGrid/>
      <w:color w:val="000000"/>
      <w:sz w:val="22"/>
      <w:szCs w:val="22"/>
      <w:lang w:eastAsia="de-DE" w:bidi="en-US"/>
    </w:rPr>
  </w:style>
  <w:style w:type="character" w:customStyle="1" w:styleId="FigureCaption0">
    <w:name w:val="Figure Caption 字符"/>
    <w:basedOn w:val="SSPWT51figurecaption0"/>
    <w:link w:val="FigureCaption"/>
    <w:rPr>
      <w:rFonts w:ascii="Times New Roman" w:eastAsia="Times New Roman" w:hAnsi="Times New Roman"/>
      <w:snapToGrid/>
      <w:color w:val="000000"/>
      <w:sz w:val="22"/>
      <w:szCs w:val="22"/>
      <w:lang w:eastAsia="de-DE" w:bidi="en-US"/>
    </w:rPr>
  </w:style>
  <w:style w:type="paragraph" w:customStyle="1" w:styleId="TableCaption">
    <w:name w:val="Table Caption"/>
    <w:link w:val="TableCaption0"/>
    <w:qFormat/>
    <w:pPr>
      <w:spacing w:before="240" w:after="120"/>
      <w:ind w:left="284" w:right="197"/>
      <w:jc w:val="center"/>
    </w:pPr>
    <w:rPr>
      <w:rFonts w:ascii="Times New Roman" w:eastAsia="Times New Roman" w:hAnsi="Times New Roman"/>
      <w:color w:val="000000"/>
      <w:sz w:val="22"/>
      <w:szCs w:val="22"/>
      <w:lang w:eastAsia="de-DE" w:bidi="en-US"/>
    </w:rPr>
  </w:style>
  <w:style w:type="character" w:customStyle="1" w:styleId="SSPWT52figure0">
    <w:name w:val="SSPWT_5.2_figure 字符"/>
    <w:basedOn w:val="DefaultParagraphFont"/>
    <w:link w:val="SSPWT52figure"/>
    <w:rPr>
      <w:rFonts w:ascii="Palatino Linotype" w:eastAsia="Times New Roman" w:hAnsi="Palatino Linotype"/>
      <w:snapToGrid w:val="0"/>
      <w:color w:val="000000"/>
      <w:sz w:val="24"/>
      <w:lang w:eastAsia="de-DE" w:bidi="en-US"/>
    </w:rPr>
  </w:style>
  <w:style w:type="character" w:customStyle="1" w:styleId="Figure0">
    <w:name w:val="Figure 字符"/>
    <w:basedOn w:val="SSPWT52figure0"/>
    <w:link w:val="Figure"/>
    <w:rPr>
      <w:rFonts w:ascii="Times New Roman" w:eastAsia="Times New Roman" w:hAnsi="Times New Roman"/>
      <w:snapToGrid w:val="0"/>
      <w:color w:val="000000"/>
      <w:sz w:val="22"/>
      <w:lang w:eastAsia="de-DE" w:bidi="en-US"/>
    </w:rPr>
  </w:style>
  <w:style w:type="character" w:customStyle="1" w:styleId="SSPWT41tablecaption0">
    <w:name w:val="SSPWT_4.1_table_caption 字符"/>
    <w:basedOn w:val="Acknowledgments0"/>
    <w:link w:val="SSPWT41tablecaption"/>
    <w:rPr>
      <w:rFonts w:ascii="Times New Roman" w:eastAsia="Times New Roman" w:hAnsi="Times New Roman"/>
      <w:snapToGrid/>
      <w:color w:val="000000"/>
      <w:sz w:val="22"/>
      <w:szCs w:val="22"/>
      <w:lang w:eastAsia="de-DE" w:bidi="en-US"/>
    </w:rPr>
  </w:style>
  <w:style w:type="character" w:customStyle="1" w:styleId="TableCaption0">
    <w:name w:val="Table Caption 字符"/>
    <w:basedOn w:val="SSPWT41tablecaption0"/>
    <w:link w:val="TableCaption"/>
    <w:rPr>
      <w:rFonts w:ascii="Times New Roman" w:eastAsia="Times New Roman" w:hAnsi="Times New Roman"/>
      <w:snapToGrid/>
      <w:color w:val="000000"/>
      <w:sz w:val="22"/>
      <w:szCs w:val="22"/>
      <w:lang w:eastAsia="de-DE" w:bidi="en-US"/>
    </w:rPr>
  </w:style>
  <w:style w:type="paragraph" w:styleId="Caption">
    <w:name w:val="caption"/>
    <w:basedOn w:val="Normal"/>
    <w:next w:val="Normal"/>
    <w:uiPriority w:val="35"/>
    <w:unhideWhenUsed/>
    <w:qFormat/>
    <w:rsid w:val="004B2DB1"/>
    <w:pPr>
      <w:spacing w:after="200"/>
    </w:pPr>
    <w:rPr>
      <w:i/>
      <w:iCs/>
      <w:color w:val="1F497D" w:themeColor="text2"/>
      <w:sz w:val="18"/>
      <w:szCs w:val="18"/>
    </w:rPr>
  </w:style>
  <w:style w:type="paragraph" w:styleId="Bibliography">
    <w:name w:val="Bibliography"/>
    <w:basedOn w:val="Normal"/>
    <w:next w:val="Normal"/>
    <w:uiPriority w:val="37"/>
    <w:unhideWhenUsed/>
    <w:rsid w:val="000F2608"/>
    <w:pPr>
      <w:tabs>
        <w:tab w:val="left" w:pos="504"/>
      </w:tabs>
      <w:ind w:left="504" w:hanging="504"/>
    </w:pPr>
  </w:style>
  <w:style w:type="character" w:customStyle="1" w:styleId="Heading1Char">
    <w:name w:val="Heading 1 Char"/>
    <w:basedOn w:val="DefaultParagraphFont"/>
    <w:link w:val="Heading1"/>
    <w:uiPriority w:val="9"/>
    <w:rsid w:val="00F17FC4"/>
    <w:rPr>
      <w:rFonts w:ascii="Times New Roman" w:eastAsia="Times New Roman" w:hAnsi="Times New Roman"/>
      <w:b/>
      <w:bCs/>
      <w:color w:val="000000"/>
      <w:sz w:val="32"/>
      <w:szCs w:val="32"/>
      <w:lang w:val="en-CA" w:eastAsia="en-CA"/>
    </w:rPr>
  </w:style>
  <w:style w:type="character" w:customStyle="1" w:styleId="Heading2Char">
    <w:name w:val="Heading 2 Char"/>
    <w:basedOn w:val="DefaultParagraphFont"/>
    <w:link w:val="Heading2"/>
    <w:uiPriority w:val="9"/>
    <w:semiHidden/>
    <w:rsid w:val="00EB1FF0"/>
    <w:rPr>
      <w:rFonts w:asciiTheme="majorHAnsi" w:eastAsiaTheme="majorEastAsia" w:hAnsiTheme="majorHAnsi" w:cstheme="majorBidi"/>
      <w:color w:val="365F91" w:themeColor="accent1" w:themeShade="BF"/>
      <w:sz w:val="26"/>
      <w:szCs w:val="26"/>
      <w:lang w:eastAsia="de-DE"/>
    </w:rPr>
  </w:style>
  <w:style w:type="paragraph" w:styleId="ListParagraph">
    <w:name w:val="List Paragraph"/>
    <w:basedOn w:val="Normal"/>
    <w:uiPriority w:val="34"/>
    <w:qFormat/>
    <w:rsid w:val="00CE10B6"/>
    <w:pPr>
      <w:ind w:left="720"/>
      <w:contextualSpacing/>
    </w:pPr>
  </w:style>
  <w:style w:type="character" w:customStyle="1" w:styleId="Heading3Char">
    <w:name w:val="Heading 3 Char"/>
    <w:basedOn w:val="DefaultParagraphFont"/>
    <w:link w:val="Heading3"/>
    <w:uiPriority w:val="9"/>
    <w:semiHidden/>
    <w:rsid w:val="004F362B"/>
    <w:rPr>
      <w:rFonts w:asciiTheme="majorHAnsi" w:eastAsiaTheme="majorEastAsia" w:hAnsiTheme="majorHAnsi" w:cstheme="majorBidi"/>
      <w:color w:val="243F60" w:themeColor="accent1" w:themeShade="7F"/>
      <w:sz w:val="24"/>
      <w:szCs w:val="24"/>
      <w:lang w:eastAsia="de-DE"/>
    </w:rPr>
  </w:style>
  <w:style w:type="character" w:customStyle="1" w:styleId="Heading4Char">
    <w:name w:val="Heading 4 Char"/>
    <w:basedOn w:val="DefaultParagraphFont"/>
    <w:link w:val="Heading4"/>
    <w:uiPriority w:val="9"/>
    <w:semiHidden/>
    <w:rsid w:val="004F362B"/>
    <w:rPr>
      <w:rFonts w:asciiTheme="majorHAnsi" w:eastAsiaTheme="majorEastAsia" w:hAnsiTheme="majorHAnsi" w:cstheme="majorBidi"/>
      <w:i/>
      <w:iCs/>
      <w:color w:val="365F91" w:themeColor="accent1" w:themeShade="BF"/>
      <w:sz w:val="24"/>
      <w:lang w:eastAsia="de-DE"/>
    </w:rPr>
  </w:style>
  <w:style w:type="character" w:styleId="PlaceholderText">
    <w:name w:val="Placeholder Text"/>
    <w:basedOn w:val="DefaultParagraphFont"/>
    <w:uiPriority w:val="99"/>
    <w:semiHidden/>
    <w:rsid w:val="002C4691"/>
    <w:rPr>
      <w:color w:val="666666"/>
    </w:rPr>
  </w:style>
  <w:style w:type="character" w:styleId="UnresolvedMention">
    <w:name w:val="Unresolved Mention"/>
    <w:basedOn w:val="DefaultParagraphFont"/>
    <w:uiPriority w:val="99"/>
    <w:semiHidden/>
    <w:unhideWhenUsed/>
    <w:rsid w:val="009216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jpeg"/><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footer" Target="footer1.xml"/><Relationship Id="rId10" Type="http://schemas.openxmlformats.org/officeDocument/2006/relationships/hyperlink" Target="mailto:Hamed.Aly@dal.ca" TargetMode="External"/><Relationship Id="rId19" Type="http://schemas.openxmlformats.org/officeDocument/2006/relationships/image" Target="media/image9.jpeg"/><Relationship Id="rId4" Type="http://schemas.openxmlformats.org/officeDocument/2006/relationships/styles" Target="styles.xml"/><Relationship Id="rId9" Type="http://schemas.openxmlformats.org/officeDocument/2006/relationships/hyperlink" Target="mailto:Mahmoud.Kiasari@dal.ca" TargetMode="External"/><Relationship Id="rId14" Type="http://schemas.openxmlformats.org/officeDocument/2006/relationships/image" Target="media/image4.png"/><Relationship Id="rId22"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E:\&#20020;&#26102;&#25991;&#20214;\&#33647;&#21270;\processe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D001A68-CF98-4476-89EE-A3822C23B2F6}">
  <we:reference id="WA200001361" version="2.129.3.0" store="Omex" storeType="OMEX"/>
  <we:alternateReferences>
    <we:reference id="WA200001361" version="2.129.3.0" store="WA200001361" storeType="OMEX"/>
  </we:alternateReferences>
  <we:properties>
    <we:property name="paperpal-document-id" value="&quot;a185e4ea-5022-43a5-9b0f-6c0f83c35f2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cd:customData xmlns="http://www.wps.cn/android/officeDocument/2013/mofficeCustomData" xmlns:mcd="http://www.wps.cn/android/officeDocument/2013/mofficeCustomData" version="2">
  <mcd:comments/>
</mcd:customData>
</file>

<file path=customXml/itemProps1.xml><?xml version="1.0" encoding="utf-8"?>
<ds:datastoreItem xmlns:ds="http://schemas.openxmlformats.org/officeDocument/2006/customXml" ds:itemID="{1188F8B2-BF8E-4D3B-80BF-B0C1F5EA13DB}">
  <ds:schemaRefs>
    <ds:schemaRef ds:uri="http://schemas.openxmlformats.org/officeDocument/2006/bibliography"/>
  </ds:schemaRefs>
</ds:datastoreItem>
</file>

<file path=customXml/itemProps2.xml><?xml version="1.0" encoding="utf-8"?>
<ds:datastoreItem xmlns:ds="http://schemas.openxmlformats.org/officeDocument/2006/customXml" ds:itemID="{31FABE08-0839-488B-AB38-5B64263CA501}">
  <ds:schemaRefs>
    <ds:schemaRef ds:uri="http://www.wps.cn/android/officeDocument/2013/mofficeCustomData"/>
  </ds:schemaRefs>
</ds:datastoreItem>
</file>

<file path=docProps/app.xml><?xml version="1.0" encoding="utf-8"?>
<Properties xmlns="http://schemas.openxmlformats.org/officeDocument/2006/extended-properties" xmlns:vt="http://schemas.openxmlformats.org/officeDocument/2006/docPropsVTypes">
  <Template>processes-template.dot</Template>
  <TotalTime>6462</TotalTime>
  <Pages>77</Pages>
  <Words>102155</Words>
  <Characters>582287</Characters>
  <Application>Microsoft Office Word</Application>
  <DocSecurity>0</DocSecurity>
  <Lines>4852</Lines>
  <Paragraphs>1366</Paragraphs>
  <ScaleCrop>false</ScaleCrop>
  <Company/>
  <LinksUpToDate>false</LinksUpToDate>
  <CharactersWithSpaces>683076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Hamed Aly</dc:creator>
  <cp:keywords/>
  <cp:lastModifiedBy>Mahmoud Kiasari</cp:lastModifiedBy>
  <cp:revision>209</cp:revision>
  <cp:lastPrinted>2026-06-17T16:15:00Z</cp:lastPrinted>
  <dcterms:created xsi:type="dcterms:W3CDTF">2026-06-17T16:15:00Z</dcterms:created>
  <dcterms:modified xsi:type="dcterms:W3CDTF">2026-09-02T09:09:00Z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9a3262f8b85c43a8b1e1f9797828b6c6_22</vt:lpwstr>
  </property>
  <property fmtid="{D5CDD505-2E9C-101B-9397-08002B2CF9AE}" pid="3" name="ZOTERO_PREF_1">
    <vt:lpwstr>&lt;data data-version="3" zotero-version="9.0.6"&gt;&lt;session id="yOsC0jWT"/&gt;&lt;style id="http://www.zotero.org/styles/ieee"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y fmtid="{D5CDD505-2E9C-101B-9397-08002B2CF9AE}" pid="5" name="ZOTERO_BREF_okwlG68la8Ol_1">
    <vt:lpwstr>ZOTERO_ITEM CSL_CITATION {"citationID":"Fs8kZQN1","properties":{"formattedCitation":"[3]","plainCitation":"[3]","dontUpdate":true,"noteIndex":0},"citationItems":[{"id":1892,"uris":["http://zotero.org/users/9870935/items/FF7QIGXZ"],"itemData":{"id":1892,"t</vt:lpwstr>
  </property>
  <property fmtid="{D5CDD505-2E9C-101B-9397-08002B2CF9AE}" pid="6" name="ZOTERO_BREF_okwlG68la8Ol_2">
    <vt:lpwstr>ype":"post-weblog","title":"Wind","URL":"https://www.iea.org/energy-system/renewables/wind","author":[{"family":"IEA","given":""}],"accessed":{"date-parts":[["2025",2,25]]},"issued":{"date-parts":[["2025",2,25]]}}}],"schema":"https://github.com/citation-s</vt:lpwstr>
  </property>
  <property fmtid="{D5CDD505-2E9C-101B-9397-08002B2CF9AE}" pid="7" name="ZOTERO_BREF_okwlG68la8Ol_3">
    <vt:lpwstr>tyle-language/schema/raw/master/csl-citation.json"}</vt:lpwstr>
  </property>
  <property fmtid="{D5CDD505-2E9C-101B-9397-08002B2CF9AE}" pid="8" name="ZOTERO_BREF_hNWAXeeYukc6_1">
    <vt:lpwstr>ZOTERO_ITEM CSL_CITATION {"citationID":"fF34IWzD","properties":{"formattedCitation":"[3]","plainCitation":"[3]","noteIndex":0},"citationItems":[{"id":1892,"uris":["http://zotero.org/users/9870935/items/FF7QIGXZ"],"itemData":{"id":1892,"type":"post-weblog"</vt:lpwstr>
  </property>
  <property fmtid="{D5CDD505-2E9C-101B-9397-08002B2CF9AE}" pid="9" name="ZOTERO_BREF_hNWAXeeYukc6_2">
    <vt:lpwstr>,"title":"Wind","URL":"https://www.iea.org/energy-system/renewables/wind","author":[{"family":"IEA","given":""}],"accessed":{"date-parts":[["2025",2,25]]},"issued":{"date-parts":[["2025",2,25]]}}}],"schema":"https://github.com/citation-style-language/sche</vt:lpwstr>
  </property>
  <property fmtid="{D5CDD505-2E9C-101B-9397-08002B2CF9AE}" pid="10" name="ZOTERO_BREF_hNWAXeeYukc6_3">
    <vt:lpwstr>ma/raw/master/csl-citation.json"}</vt:lpwstr>
  </property>
  <property fmtid="{D5CDD505-2E9C-101B-9397-08002B2CF9AE}" pid="11" name="ZOTERO_BREF_2C1pJPrHrq4l_1">
    <vt:lpwstr>ZOTERO_ITEM CSL_CITATION {"citationID":"pGChGYEo","properties":{"formattedCitation":"[5]","plainCitation":"[5]","noteIndex":0},"citationItems":[{"id":1893,"uris":["http://zotero.org/users/9870935/items/QNEHP29S"],"itemData":{"id":1893,"type":"post-weblog"</vt:lpwstr>
  </property>
  <property fmtid="{D5CDD505-2E9C-101B-9397-08002B2CF9AE}" pid="12" name="ZOTERO_BREF_2C1pJPrHrq4l_2">
    <vt:lpwstr>,"title":"Renewables","URL":"https://www.iea.org/reports/renewables-2024","author":[{"family":"IEA","given":""}],"accessed":{"date-parts":[["2024",10,9]]}}}],"schema":"https://github.com/citation-style-language/schema/raw/master/csl-citation.json"}</vt:lpwstr>
  </property>
  <property fmtid="{D5CDD505-2E9C-101B-9397-08002B2CF9AE}" pid="13" name="ZOTERO_BREF_4vXwJ5yLEiz1_1">
    <vt:lpwstr>ZOTERO_TEMP</vt:lpwstr>
  </property>
  <property fmtid="{D5CDD505-2E9C-101B-9397-08002B2CF9AE}" pid="14" name="ZOTERO_BREF_wu8OLmHyuqzg_1">
    <vt:lpwstr>ZOTERO_ITEM CSL_CITATION {"citationID":"8RgihEPN","properties":{"formattedCitation":"[5]","plainCitation":"[5]","dontUpdate":true,"noteIndex":0},"citationItems":[{"id":1895,"uris":["http://zotero.org/users/9870935/items/3ZDJBDIS"],"itemData":{"id":1895,"t</vt:lpwstr>
  </property>
  <property fmtid="{D5CDD505-2E9C-101B-9397-08002B2CF9AE}" pid="15" name="ZOTERO_BREF_wu8OLmHyuqzg_2">
    <vt:lpwstr>ype":"post-weblog","title":"International Smart Grid Action Network (ISGAN) Annual Report 2024","URL":"https://www.iea-isgan.org/wp-content/uploads/2025/07/2024-Annual-Report.pdf","author":[{"family":"ISGAN","given":""}],"accessed":{"date-parts":[["2025",</vt:lpwstr>
  </property>
  <property fmtid="{D5CDD505-2E9C-101B-9397-08002B2CF9AE}" pid="16" name="ZOTERO_BREF_wu8OLmHyuqzg_3">
    <vt:lpwstr>2,28]]}}}],"schema":"https://github.com/citation-style-language/schema/raw/master/csl-citation.json"}</vt:lpwstr>
  </property>
  <property fmtid="{D5CDD505-2E9C-101B-9397-08002B2CF9AE}" pid="17" name="ZOTERO_BREF_QvkQVh7ZBI3l_1">
    <vt:lpwstr>ZOTERO_ITEM CSL_CITATION {"citationID":"bZ0KZvDK","properties":{"formattedCitation":"[6]","plainCitation":"[6]","dontUpdate":true,"noteIndex":0},"citationItems":[{"id":1897,"uris":["http://zotero.org/users/9870935/items/8ETZLS3G"],"itemData":{"id":1897,"t</vt:lpwstr>
  </property>
  <property fmtid="{D5CDD505-2E9C-101B-9397-08002B2CF9AE}" pid="18" name="ZOTERO_BREF_QvkQVh7ZBI3l_2">
    <vt:lpwstr>ype":"article-journal","language":"en","source":"Zotero","title":"Key Questions on Energy and AI","author":[{"family":"Christopoulou","given":"Christina"},{"family":"Coroama","given":"Vlad"}]}}],"schema":"https://github.com/citation-style-language/schema/</vt:lpwstr>
  </property>
  <property fmtid="{D5CDD505-2E9C-101B-9397-08002B2CF9AE}" pid="19" name="ZOTERO_BREF_QvkQVh7ZBI3l_3">
    <vt:lpwstr>raw/master/csl-citation.json"}</vt:lpwstr>
  </property>
  <property fmtid="{D5CDD505-2E9C-101B-9397-08002B2CF9AE}" pid="20" name="ZOTERO_BREF_Z7nyIFJbMw7m_1">
    <vt:lpwstr>ZOTERO_ITEM CSL_CITATION {"citationID":"koNtpjpF","properties":{"formattedCitation":"[7]","plainCitation":"[7]","dontUpdate":true,"noteIndex":0},"citationItems":[{"id":1899,"uris":["http://zotero.org/users/9870935/items/DSZ4EYRB"],"itemData":{"id":1899,"t</vt:lpwstr>
  </property>
  <property fmtid="{D5CDD505-2E9C-101B-9397-08002B2CF9AE}" pid="21" name="ZOTERO_BREF_Z7nyIFJbMw7m_2">
    <vt:lpwstr>ype":"report","DOI":"10.2172/1372902","language":"en","number":"LBNL--1005775, 1372902","page":"LBNL--1005775, 1372902","source":"DOI.org (Crossref)","title":"United States Data Center Energy Usage Report","URL":"http://www.osti.gov/servlets/purl/1372902/</vt:lpwstr>
  </property>
  <property fmtid="{D5CDD505-2E9C-101B-9397-08002B2CF9AE}" pid="22" name="ZOTERO_BREF_Z7nyIFJbMw7m_3">
    <vt:lpwstr>","author":[{"family":"Shehabi","given":"Arman"},{"family":"Smith","given":"Sarah"},{"family":"Sartor","given":"Dale"},{"family":"Brown","given":"Richard"},{"family":"Herrlin","given":"Magnus"},{"family":"Koomey","given":"Jonathan"},{"family":"Masanet","g</vt:lpwstr>
  </property>
  <property fmtid="{D5CDD505-2E9C-101B-9397-08002B2CF9AE}" pid="23" name="ZOTERO_BREF_Z7nyIFJbMw7m_4">
    <vt:lpwstr>iven":"Eric"},{"family":"Horner","given":"Nathaniel"},{"family":"Azevedo","given":"Inês"},{"family":"Lintner","given":"William"}],"accessed":{"date-parts":[["2026",5,10]]},"issued":{"date-parts":[["2016",6,1]]}}}],"schema":"https://github.com/citation-sty</vt:lpwstr>
  </property>
  <property fmtid="{D5CDD505-2E9C-101B-9397-08002B2CF9AE}" pid="24" name="ZOTERO_BREF_Z7nyIFJbMw7m_5">
    <vt:lpwstr>le-language/schema/raw/master/csl-citation.json"}</vt:lpwstr>
  </property>
  <property fmtid="{D5CDD505-2E9C-101B-9397-08002B2CF9AE}" pid="25" name="ZOTERO_BREF_2ZcgfMmetQ0j_1">
    <vt:lpwstr>ZOTERO_ITEM CSL_CITATION {"citationID":"7KG3MiJq","properties":{"formattedCitation":"[8]","plainCitation":"[8]","dontUpdate":true,"noteIndex":0},"citationItems":[{"id":1900,"uris":["http://zotero.org/users/9870935/items/IDZTTL47"],"itemData":{"id":1900,"t</vt:lpwstr>
  </property>
  <property fmtid="{D5CDD505-2E9C-101B-9397-08002B2CF9AE}" pid="26" name="ZOTERO_BREF_2ZcgfMmetQ0j_2">
    <vt:lpwstr>ype":"article","abstract":"The computation demand for machine learning (ML) has grown rapidly recently, which comes with a number of costs. Estimating the energy cost helps measure its environmental impact and finding greener strategies, yet it is challen</vt:lpwstr>
  </property>
  <property fmtid="{D5CDD505-2E9C-101B-9397-08002B2CF9AE}" pid="27" name="ZOTERO_BREF_2ZcgfMmetQ0j_3">
    <vt:lpwstr>ging without detailed information. We calculate the energy use and carbon footprint of several recent large models-T5, Meena, GShard, Switch Transformer, and GPT-3-and refine earlier estimates for the neural architecture search that found Evolved Transfor</vt:lpwstr>
  </property>
  <property fmtid="{D5CDD505-2E9C-101B-9397-08002B2CF9AE}" pid="28" name="ZOTERO_BREF_2ZcgfMmetQ0j_4">
    <vt:lpwstr>mer. We highlight the following opportunities to improve energy efficiency and CO2 equivalent emissions (CO2e): Large but sparsely activated DNNs can consume &amp;lt;1/10th the energy of large, dense DNNs without sacrificing accuracy despite using as many or </vt:lpwstr>
  </property>
  <property fmtid="{D5CDD505-2E9C-101B-9397-08002B2CF9AE}" pid="29" name="ZOTERO_BREF_2ZcgfMmetQ0j_5">
    <vt:lpwstr>even more parameters. Geographic location matters for ML workload scheduling since the fraction of carbon-free energy and resulting CO2e vary ~5X-10X, even within the same country and the same organization. We are now optimizing where and when large model</vt:lpwstr>
  </property>
  <property fmtid="{D5CDD505-2E9C-101B-9397-08002B2CF9AE}" pid="30" name="ZOTERO_BREF_2ZcgfMmetQ0j_6">
    <vt:lpwstr>s are trained. Specific datacenter infrastructure matters, as Cloud datacenters can be ~1.4-2X more energy efficient than typical datacenters, and the ML-oriented accelerators inside them can be ~2-5X more effective than off-the-shelf systems. Remarkably,</vt:lpwstr>
  </property>
  <property fmtid="{D5CDD505-2E9C-101B-9397-08002B2CF9AE}" pid="31" name="ZOTERO_BREF_2ZcgfMmetQ0j_7">
    <vt:lpwstr> the choice of DNN, datacenter, and processor can reduce the carbon footprint up to ~100-1000X. These large factors also make retroactive estimates of energy cost difficult. To avoid miscalculations, we believe ML papers requiring large computational reso</vt:lpwstr>
  </property>
  <property fmtid="{D5CDD505-2E9C-101B-9397-08002B2CF9AE}" pid="32" name="ZOTERO_BREF_2ZcgfMmetQ0j_8">
    <vt:lpwstr>urces should make energy consumption and CO2e explicit when practical. We are working to be more transparent about energy use and CO2e in our future research. To help reduce the carbon footprint of ML, we believe energy usage and CO2e should be a key metr</vt:lpwstr>
  </property>
  <property fmtid="{D5CDD505-2E9C-101B-9397-08002B2CF9AE}" pid="33" name="ZOTERO_BREF_2ZcgfMmetQ0j_9">
    <vt:lpwstr>ic in evaluating models, and we are collaborating with MLPerf developers to include energy usage during training and inference in this industry standard benchmark.","DOI":"10.48550/ARXIV.2104.10350","license":"arXiv.org perpetual, non-exclusive license","</vt:lpwstr>
  </property>
  <property fmtid="{D5CDD505-2E9C-101B-9397-08002B2CF9AE}" pid="34" name="ZOTERO_BREF_2ZcgfMmetQ0j_10">
    <vt:lpwstr>note":"version: 3","publisher":"arXiv","source":"DOI.org (Datacite)","title":"Carbon Emissions and Large Neural Network Training","URL":"https://arxiv.org/abs/2104.10350","author":[{"family":"Patterson","given":"David"},{"family":"Gonzalez","given":"Josep</vt:lpwstr>
  </property>
  <property fmtid="{D5CDD505-2E9C-101B-9397-08002B2CF9AE}" pid="35" name="ZOTERO_BREF_2ZcgfMmetQ0j_11">
    <vt:lpwstr>h"},{"family":"Le","given":"Quoc"},{"family":"Liang","given":"Chen"},{"family":"Munguia","given":"Lluis-Miquel"},{"family":"Rothchild","given":"Daniel"},{"family":"So","given":"David"},{"family":"Texier","given":"Maud"},{"family":"Dean","given":"Jeff"}],"</vt:lpwstr>
  </property>
  <property fmtid="{D5CDD505-2E9C-101B-9397-08002B2CF9AE}" pid="36" name="ZOTERO_BREF_2ZcgfMmetQ0j_12">
    <vt:lpwstr>accessed":{"date-parts":[["2026",5,10]]},"issued":{"date-parts":[["2021"]]}}}],"schema":"https://github.com/citation-style-language/schema/raw/master/csl-citation.json"}</vt:lpwstr>
  </property>
  <property fmtid="{D5CDD505-2E9C-101B-9397-08002B2CF9AE}" pid="37" name="ZOTERO_BREF_TnnOjkevPghg_1">
    <vt:lpwstr>ZOTERO_ITEM CSL_CITATION {"citationID":"3TgEv9Sm","properties":{"formattedCitation":"[9]","plainCitation":"[9]","dontUpdate":true,"noteIndex":0},"citationItems":[{"id":1901,"uris":["http://zotero.org/users/9870935/items/TV95D224"],"itemData":{"id":1901,"t</vt:lpwstr>
  </property>
  <property fmtid="{D5CDD505-2E9C-101B-9397-08002B2CF9AE}" pid="38" name="ZOTERO_BREF_TnnOjkevPghg_2">
    <vt:lpwstr>ype":"article","abstract":"Recent progress in hardware and methodology for training neural networks has ushered in a new generation of large networks trained on abundant data. These models have obtained notable gains in accuracy across many NLP tasks. How</vt:lpwstr>
  </property>
  <property fmtid="{D5CDD505-2E9C-101B-9397-08002B2CF9AE}" pid="39" name="ZOTERO_BREF_TnnOjkevPghg_3">
    <vt:lpwstr>ever, these accuracy improvements depend on the availability of exceptionally large computational resources that necessitate similarly substantial energy consumption. As a result these models are costly to train and develop, both financially, due to the c</vt:lpwstr>
  </property>
  <property fmtid="{D5CDD505-2E9C-101B-9397-08002B2CF9AE}" pid="40" name="ZOTERO_BREF_TnnOjkevPghg_4">
    <vt:lpwstr>ost of hardware and electricity or cloud compute time, and environmentally, due to the carbon footprint required to fuel modern tensor processing hardware. In this paper we bring this issue to the attention of NLP researchers by quantifying the approximat</vt:lpwstr>
  </property>
  <property fmtid="{D5CDD505-2E9C-101B-9397-08002B2CF9AE}" pid="41" name="ZOTERO_BREF_TnnOjkevPghg_5">
    <vt:lpwstr>e financial and environmental costs of training a variety of recently successful neural network models for NLP. Based on these findings, we propose actionable recommendations to reduce costs and improve equity in NLP research and practice.","DOI":"10.4855</vt:lpwstr>
  </property>
  <property fmtid="{D5CDD505-2E9C-101B-9397-08002B2CF9AE}" pid="42" name="ZOTERO_BREF_TnnOjkevPghg_6">
    <vt:lpwstr>0/ARXIV.1906.02243","license":"arXiv.org perpetual, non-exclusive license","note":"version: 1","publisher":"arXiv","source":"DOI.org (Datacite)","title":"Energy and Policy Considerations for Deep Learning in NLP","URL":"https://arxiv.org/abs/1906.02243","</vt:lpwstr>
  </property>
  <property fmtid="{D5CDD505-2E9C-101B-9397-08002B2CF9AE}" pid="43" name="ZOTERO_BREF_TnnOjkevPghg_7">
    <vt:lpwstr>author":[{"family":"Strubell","given":"Emma"},{"family":"Ganesh","given":"Ananya"},{"family":"McCallum","given":"Andrew"}],"accessed":{"date-parts":[["2026",5,10]]},"issued":{"date-parts":[["2019"]]}}}],"schema":"https://github.com/citation-style-language</vt:lpwstr>
  </property>
  <property fmtid="{D5CDD505-2E9C-101B-9397-08002B2CF9AE}" pid="44" name="ZOTERO_BREF_TnnOjkevPghg_8">
    <vt:lpwstr>/schema/raw/master/csl-citation.json"}</vt:lpwstr>
  </property>
  <property fmtid="{D5CDD505-2E9C-101B-9397-08002B2CF9AE}" pid="45" name="ZOTERO_BREF_5EUQ41HHIaWa_1">
    <vt:lpwstr>ZOTERO_ITEM CSL_CITATION {"citationID":"DSWM6hB1","properties":{"formattedCitation":"[4]","plainCitation":"[4]","dontUpdate":true,"noteIndex":0},"citationItems":[{"id":1897,"uris":["http://zotero.org/users/9870935/items/8ETZLS3G"],"itemData":{"id":1897,"t</vt:lpwstr>
  </property>
  <property fmtid="{D5CDD505-2E9C-101B-9397-08002B2CF9AE}" pid="46" name="ZOTERO_BREF_5EUQ41HHIaWa_2">
    <vt:lpwstr>ype":"article-journal","language":"en","source":"Zotero","title":"Key Questions on Energy and AI","author":[{"family":"Christopoulou","given":"Christina"},{"family":"Coroama","given":"Vlad"}]}}],"schema":"https://github.com/citation-style-language/schema/</vt:lpwstr>
  </property>
  <property fmtid="{D5CDD505-2E9C-101B-9397-08002B2CF9AE}" pid="47" name="ZOTERO_BREF_5EUQ41HHIaWa_3">
    <vt:lpwstr>raw/master/csl-citation.json"}</vt:lpwstr>
  </property>
  <property fmtid="{D5CDD505-2E9C-101B-9397-08002B2CF9AE}" pid="48" name="ZOTERO_BREF_dHv8VG7MV9EW_1">
    <vt:lpwstr>ZOTERO_ITEM CSL_CITATION {"citationID":"bMEhKCVs","properties":{"formattedCitation":"[4]","plainCitation":"[4]","dontUpdate":true,"noteIndex":0},"citationItems":[{"id":1891,"uris":["http://zotero.org/users/9870935/items/Y726ZSXQ"],"itemData":{"id":1891,"t</vt:lpwstr>
  </property>
  <property fmtid="{D5CDD505-2E9C-101B-9397-08002B2CF9AE}" pid="49" name="ZOTERO_BREF_dHv8VG7MV9EW_2">
    <vt:lpwstr>ype":"post-weblog","title":"Energy and AI","URL":"https://www.iea.org/reports/energy-and-ai","author":[{"family":"IEA","given":""}],"accessed":{"date-parts":[["2025",4,10]]}}}],"schema":"https://github.com/citation-style-language/schema/raw/master/csl-cit</vt:lpwstr>
  </property>
  <property fmtid="{D5CDD505-2E9C-101B-9397-08002B2CF9AE}" pid="50" name="ZOTERO_BREF_dHv8VG7MV9EW_3">
    <vt:lpwstr>ation.json"}</vt:lpwstr>
  </property>
  <property fmtid="{D5CDD505-2E9C-101B-9397-08002B2CF9AE}" pid="51" name="ZOTERO_BREF_H70vUx20hBhO_1">
    <vt:lpwstr>ZOTERO_ITEM CSL_CITATION {"citationID":"lrMHeWyX","properties":{"formattedCitation":"[3]","plainCitation":"[3]","dontUpdate":true,"noteIndex":0},"citationItems":[{"id":1891,"uris":["http://zotero.org/users/9870935/items/Y726ZSXQ"],"itemData":{"id":1891,"t</vt:lpwstr>
  </property>
  <property fmtid="{D5CDD505-2E9C-101B-9397-08002B2CF9AE}" pid="52" name="ZOTERO_BREF_H70vUx20hBhO_2">
    <vt:lpwstr>ype":"post-weblog","title":"Energy and AI","URL":"https://www.iea.org/reports/energy-and-ai","author":[{"family":"IEA","given":""}],"accessed":{"date-parts":[["2025",4,10]]}}}],"schema":"https://github.com/citation-style-language/schema/raw/master/csl-cit</vt:lpwstr>
  </property>
  <property fmtid="{D5CDD505-2E9C-101B-9397-08002B2CF9AE}" pid="53" name="ZOTERO_BREF_F1GLAsW3xgTG_1">
    <vt:lpwstr>ZOTERO_ITEM CSL_CITATION {"citationID":"7Zl4vijI","properties":{"formattedCitation":"[6], [7]","plainCitation":"[6], [7]","dontUpdate":true,"noteIndex":0},"citationItems":[{"id":1903,"uris":["http://zotero.org/users/9870935/items/QAA9ZM27"],"itemData":{"i</vt:lpwstr>
  </property>
  <property fmtid="{D5CDD505-2E9C-101B-9397-08002B2CF9AE}" pid="54" name="ZOTERO_BREF_F1GLAsW3xgTG_2">
    <vt:lpwstr>d":1903,"type":"article-journal","container-title":"Resources, Conservation and Recycling","DOI":"10.1016/j.resconrec.2025.108670","ISSN":"09213449","journalAbbreviation":"Resources, Conservation and Recycling","language":"en","page":"108670","source":"DO</vt:lpwstr>
  </property>
  <property fmtid="{D5CDD505-2E9C-101B-9397-08002B2CF9AE}" pid="55" name="ZOTERO_BREF_F1GLAsW3xgTG_3">
    <vt:lpwstr>I.org (Crossref)","title":"Assessing the carbon footprint of language models: Towards sustainability in AI","title-short":"Assessing the carbon footprint of language models","volume":"226","author":[{"family":"Jeanquartier","given":"Fleur"},{"family":"Jea</vt:lpwstr>
  </property>
  <property fmtid="{D5CDD505-2E9C-101B-9397-08002B2CF9AE}" pid="56" name="ZOTERO_BREF_F1GLAsW3xgTG_4">
    <vt:lpwstr>n-Quartier","given":"Claire"},{"family":"Rieder","given":"Paul"},{"family":"Misirlić","given":"Vedad"},{"family":"Pasero","given":"Christian"},{"family":"Hohensinner","given":"Richard"},{"family":"Müller","given":"Heimo"},{"family":"Holzinger","given":"An</vt:lpwstr>
  </property>
  <property fmtid="{D5CDD505-2E9C-101B-9397-08002B2CF9AE}" pid="57" name="ZOTERO_BREF_F1GLAsW3xgTG_5">
    <vt:lpwstr>dreas"}],"issued":{"date-parts":[["2026",2]]}}},{"id":1895,"uris":["http://zotero.org/users/9870935/items/3ZDJBDIS"],"itemData":{"id":1895,"type":"post-weblog","title":"International Smart Grid Action Network (ISGAN) Annual Report 2024","URL":"https://www</vt:lpwstr>
  </property>
  <property fmtid="{D5CDD505-2E9C-101B-9397-08002B2CF9AE}" pid="58" name="ZOTERO_BREF_H70vUx20hBhO_3">
    <vt:lpwstr>ation.json"}</vt:lpwstr>
  </property>
  <property fmtid="{D5CDD505-2E9C-101B-9397-08002B2CF9AE}" pid="59" name="ZOTERO_BREF_5YwRRrwIy7F7_1">
    <vt:lpwstr>ZOTERO_ITEM CSL_CITATION {"citationID":"yWq8hUUv","properties":{"formattedCitation":"[2], [9]","plainCitation":"[2], [9]","noteIndex":0},"citationItems":[{"id":1908,"uris":["http://zotero.org/users/9870935/items/5SZSS7UD"],"itemData":{"id":1908,"type":"ar</vt:lpwstr>
  </property>
  <property fmtid="{D5CDD505-2E9C-101B-9397-08002B2CF9AE}" pid="60" name="ZOTERO_BREF_5YwRRrwIy7F7_2">
    <vt:lpwstr>ticle","abstract":"The rapid growth of artificial intelligence (AI) is driving an unprecedented increase in the electricity demand of AI data centers, raising emerging challenges for electric power grids. Understanding the characteristics of AI data cente</vt:lpwstr>
  </property>
  <property fmtid="{D5CDD505-2E9C-101B-9397-08002B2CF9AE}" pid="61" name="ZOTERO_BREF_5YwRRrwIy7F7_3">
    <vt:lpwstr>r loads and their interactions with the grid is therefore critical for ensuring both reliable power system operation and sustainable AI development. This paper provides a comprehensive review and vision of this evolving landscape. Specifically, this paper</vt:lpwstr>
  </property>
  <property fmtid="{D5CDD505-2E9C-101B-9397-08002B2CF9AE}" pid="62" name="ZOTERO_BREF_5YwRRrwIy7F7_4">
    <vt:lpwstr> (i) presents an overview of AI data center infrastructure and its key components, (ii) examines the key characteristics and patterns of electricity demand across the stages of model preparation, training, fine-tuning, and inference, (iii) analyzes the cr</vt:lpwstr>
  </property>
  <property fmtid="{D5CDD505-2E9C-101B-9397-08002B2CF9AE}" pid="63" name="ZOTERO_BREF_5YwRRrwIy7F7_5">
    <vt:lpwstr>itical challenges that AI data center loads pose to power systems across three interrelated timescales, including long-term planning and interconnection, short-term operation and electricity markets, and real-time dynamics and stability, and (iv) discusse</vt:lpwstr>
  </property>
  <property fmtid="{D5CDD505-2E9C-101B-9397-08002B2CF9AE}" pid="64" name="ZOTERO_BREF_5YwRRrwIy7F7_6">
    <vt:lpwstr>s potential solutions from the perspectives of the grid, AI data centers, and AI end-users to address these challenges. By synthesizing current knowledge and outlining future directions, this review aims to guide research and development in support of the</vt:lpwstr>
  </property>
  <property fmtid="{D5CDD505-2E9C-101B-9397-08002B2CF9AE}" pid="65" name="ZOTERO_BREF_5YwRRrwIy7F7_7">
    <vt:lpwstr> joint advancement of AI data centers and power systems toward reliable, efficient, and sustainable operation.","DOI":"10.48550/arXiv.2509.07218","note":"arXiv:2509.07218 [eess]","number":"arXiv:2509.07218","publisher":"arXiv","source":"arXiv.org","title"</vt:lpwstr>
  </property>
  <property fmtid="{D5CDD505-2E9C-101B-9397-08002B2CF9AE}" pid="66" name="ZOTERO_BREF_5YwRRrwIy7F7_8">
    <vt:lpwstr>:"Electricity Demand and Grid Impacts of AI Data Centers: Challenges and Prospects","title-short":"Electricity Demand and Grid Impacts of AI Data Centers","URL":"http://arxiv.org/abs/2509.07218","author":[{"family":"Chen","given":"Xin"},{"family":"Wang","</vt:lpwstr>
  </property>
  <property fmtid="{D5CDD505-2E9C-101B-9397-08002B2CF9AE}" pid="67" name="ZOTERO_BREF_5YwRRrwIy7F7_9">
    <vt:lpwstr>given":"Xiaoyang"},{"family":"Colacelli","given":"Ana"},{"family":"Lee","given":"Matt"},{"family":"Xie","given":"Le"}],"accessed":{"date-parts":[["2026",5,10]]},"issued":{"date-parts":[["2025",11,26]]}}},{"id":1899,"uris":["http://zotero.org/users/9870935</vt:lpwstr>
  </property>
  <property fmtid="{D5CDD505-2E9C-101B-9397-08002B2CF9AE}" pid="68" name="ZOTERO_BREF_5YwRRrwIy7F7_10">
    <vt:lpwstr>/items/DSZ4EYRB"],"itemData":{"id":1899,"type":"report","DOI":"10.2172/1372902","language":"en","number":"LBNL--1005775, 1372902","page":"LBNL--1005775, 1372902","source":"DOI.org (Crossref)","title":"United States Data Center Energy Usage Report","URL":"</vt:lpwstr>
  </property>
  <property fmtid="{D5CDD505-2E9C-101B-9397-08002B2CF9AE}" pid="69" name="ZOTERO_BREF_5YwRRrwIy7F7_11">
    <vt:lpwstr>http://www.osti.gov/servlets/purl/1372902/","author":[{"family":"Shehabi","given":"Arman"},{"family":"Smith","given":"Sarah"},{"family":"Sartor","given":"Dale"},{"family":"Brown","given":"Richard"},{"family":"Herrlin","given":"Magnus"},{"family":"Koomey",</vt:lpwstr>
  </property>
  <property fmtid="{D5CDD505-2E9C-101B-9397-08002B2CF9AE}" pid="70" name="ZOTERO_BREF_5YwRRrwIy7F7_12">
    <vt:lpwstr>"given":"Jonathan"},{"family":"Masanet","given":"Eric"},{"family":"Horner","given":"Nathaniel"},{"family":"Azevedo","given":"Inês"},{"family":"Lintner","given":"William"}],"accessed":{"date-parts":[["2026",5,10]]},"issued":{"date-parts":[["2016",6,1]]}}}]</vt:lpwstr>
  </property>
  <property fmtid="{D5CDD505-2E9C-101B-9397-08002B2CF9AE}" pid="71" name="ZOTERO_BREF_5YwRRrwIy7F7_13">
    <vt:lpwstr>,"schema":"https://github.com/citation-style-language/schema/raw/master/csl-citation.json"}</vt:lpwstr>
  </property>
  <property fmtid="{D5CDD505-2E9C-101B-9397-08002B2CF9AE}" pid="72" name="ZOTERO_BREF_F1GLAsW3xgTG_6">
    <vt:lpwstr>.iea-isgan.org/wp-content/uploads/2025/07/2024-Annual-Report.pdf","author":[{"family":"ISGAN","given":""}],"accessed":{"date-parts":[["2025",2,28]]}}}],"schema":"https://github.com/citation-style-language/schema/raw/master/csl-citation.json"}</vt:lpwstr>
  </property>
  <property fmtid="{D5CDD505-2E9C-101B-9397-08002B2CF9AE}" pid="73" name="ZOTERO_BREF_VzOpl4gXp4N6_1">
    <vt:lpwstr>ZOTERO_ITEM CSL_CITATION {"citationID":"M5h8VY47","properties":{"formattedCitation":"[10]","plainCitation":"[10]","dontUpdate":true,"noteIndex":0},"citationItems":[{"id":1912,"uris":["http://zotero.org/users/9870935/items/YDR6GAHQ"],"itemData":{"id":1912,</vt:lpwstr>
  </property>
  <property fmtid="{D5CDD505-2E9C-101B-9397-08002B2CF9AE}" pid="74" name="ZOTERO_BREF_VzOpl4gXp4N6_2">
    <vt:lpwstr>"type":"article-journal","language":"en","source":"Zotero","title":"Uptime Institute Global Data Center Survey 2024","author":[{"family":"Donnellan","given":"Douglas"},{"family":"Lawrence","given":"Andy"},{"family":"Bizo","given":"Daniel"},{"family":"Judg</vt:lpwstr>
  </property>
  <property fmtid="{D5CDD505-2E9C-101B-9397-08002B2CF9AE}" pid="75" name="ZOTERO_BREF_VzOpl4gXp4N6_3">
    <vt:lpwstr>e","given":"Peter"},{"family":"O’Brien","given":"John"},{"family":"Davis","given":"Jacqueline"},{"family":"Smolaks","given":"Max"},{"family":"Williams-George","given":"Jabari"},{"family":"Weinschenk","given":"Rose"}],"issued":{"date-parts":[["2024"]]}}}],</vt:lpwstr>
  </property>
  <property fmtid="{D5CDD505-2E9C-101B-9397-08002B2CF9AE}" pid="76" name="ZOTERO_BREF_VzOpl4gXp4N6_4">
    <vt:lpwstr>"schema":"https://github.com/citation-style-language/schema/raw/master/csl-citation.json"}</vt:lpwstr>
  </property>
</Properties>
</file>